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null)" ContentType="image/x-em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bookmarkStart w:id="0" w:name="_Toc517175473" w:displacedByCustomXml="next"/>
    <w:bookmarkStart w:id="1" w:name="_Toc518488916" w:displacedByCustomXml="next"/>
    <w:bookmarkStart w:id="2" w:name="_Toc517175498" w:displacedByCustomXml="next"/>
    <w:bookmarkStart w:id="3" w:name="_Toc518488941" w:displacedByCustomXml="next"/>
    <w:sdt>
      <w:sdtPr>
        <w:rPr>
          <w:b/>
          <w:sz w:val="48"/>
          <w:szCs w:val="48"/>
        </w:rPr>
        <w:id w:val="-271624085"/>
        <w:docPartObj>
          <w:docPartGallery w:val="Cover Pages"/>
          <w:docPartUnique/>
        </w:docPartObj>
      </w:sdtPr>
      <w:sdtEndPr>
        <w:rPr>
          <w:b w:val="0"/>
          <w:sz w:val="24"/>
          <w:szCs w:val="24"/>
        </w:rPr>
      </w:sdtEndPr>
      <w:sdtContent>
        <w:p w14:paraId="4A56EB7A" w14:textId="56C05C65" w:rsidR="003F34A3" w:rsidRPr="008B3AD6" w:rsidRDefault="003F34A3" w:rsidP="00937A21">
          <w:pPr>
            <w:spacing w:line="360" w:lineRule="auto"/>
            <w:jc w:val="both"/>
            <w:rPr>
              <w:b/>
              <w:sz w:val="48"/>
              <w:szCs w:val="48"/>
            </w:rPr>
          </w:pPr>
        </w:p>
        <w:p w14:paraId="2CA58441" w14:textId="7F8E76AC" w:rsidR="00937A21" w:rsidRPr="008B3AD6" w:rsidRDefault="00937A21" w:rsidP="00937A21">
          <w:pPr>
            <w:spacing w:line="360" w:lineRule="auto"/>
            <w:jc w:val="both"/>
            <w:rPr>
              <w:b/>
              <w:sz w:val="48"/>
              <w:szCs w:val="48"/>
            </w:rPr>
          </w:pPr>
        </w:p>
        <w:p w14:paraId="01012ECE" w14:textId="256D51E8" w:rsidR="00937A21" w:rsidRPr="008B3AD6" w:rsidRDefault="00937A21" w:rsidP="00937A21">
          <w:pPr>
            <w:spacing w:line="360" w:lineRule="auto"/>
            <w:jc w:val="both"/>
            <w:rPr>
              <w:b/>
              <w:sz w:val="48"/>
              <w:szCs w:val="48"/>
            </w:rPr>
          </w:pPr>
        </w:p>
        <w:p w14:paraId="16BB80EA" w14:textId="536DB950" w:rsidR="003F34A3" w:rsidRPr="008B3AD6" w:rsidRDefault="003F34A3" w:rsidP="00937A21">
          <w:pPr>
            <w:spacing w:line="276" w:lineRule="auto"/>
            <w:jc w:val="center"/>
            <w:rPr>
              <w:rFonts w:ascii="BlairMdITC TT" w:eastAsia="Times New Roman" w:hAnsi="BlairMdITC TT"/>
              <w:sz w:val="52"/>
              <w:szCs w:val="52"/>
            </w:rPr>
          </w:pPr>
          <w:r w:rsidRPr="008B3AD6">
            <w:rPr>
              <w:rFonts w:eastAsia="Times New Roman"/>
              <w:b/>
              <w:color w:val="252525"/>
              <w:sz w:val="48"/>
              <w:szCs w:val="48"/>
              <w:shd w:val="clear" w:color="auto" w:fill="FFFFFF"/>
            </w:rPr>
            <w:t xml:space="preserve">An </w:t>
          </w:r>
          <w:r w:rsidR="00937A21" w:rsidRPr="008B3AD6">
            <w:rPr>
              <w:rFonts w:eastAsia="Times New Roman"/>
              <w:b/>
              <w:color w:val="252525"/>
              <w:sz w:val="48"/>
              <w:szCs w:val="48"/>
              <w:shd w:val="clear" w:color="auto" w:fill="FFFFFF"/>
            </w:rPr>
            <w:t>Interdisciplinary Approach to Investigating Drug Distribution During Experimental Visceral Leishmaniasis</w:t>
          </w:r>
        </w:p>
        <w:p w14:paraId="1BD47179" w14:textId="77777777" w:rsidR="00937A21" w:rsidRPr="008B3AD6" w:rsidRDefault="00937A21" w:rsidP="00937A21">
          <w:pPr>
            <w:spacing w:line="276" w:lineRule="auto"/>
            <w:rPr>
              <w:sz w:val="40"/>
              <w:szCs w:val="40"/>
            </w:rPr>
          </w:pPr>
        </w:p>
        <w:p w14:paraId="7E03CFD6" w14:textId="77777777" w:rsidR="00937A21" w:rsidRPr="008B3AD6" w:rsidRDefault="00937A21" w:rsidP="00937A21">
          <w:pPr>
            <w:spacing w:line="276" w:lineRule="auto"/>
            <w:jc w:val="center"/>
            <w:rPr>
              <w:sz w:val="44"/>
              <w:szCs w:val="44"/>
            </w:rPr>
          </w:pPr>
          <w:r w:rsidRPr="008B3AD6">
            <w:rPr>
              <w:sz w:val="44"/>
              <w:szCs w:val="44"/>
            </w:rPr>
            <w:t>Jonathan David Hamp</w:t>
          </w:r>
        </w:p>
        <w:p w14:paraId="5DC13FD5" w14:textId="77777777" w:rsidR="00937A21" w:rsidRPr="008B3AD6" w:rsidRDefault="00937A21" w:rsidP="00937A21">
          <w:pPr>
            <w:spacing w:line="276" w:lineRule="auto"/>
            <w:rPr>
              <w:sz w:val="40"/>
              <w:szCs w:val="40"/>
            </w:rPr>
          </w:pPr>
        </w:p>
        <w:p w14:paraId="652BFE91" w14:textId="63D1F5A3" w:rsidR="00937A21" w:rsidRPr="008B3AD6" w:rsidRDefault="00937A21" w:rsidP="00937A21">
          <w:pPr>
            <w:spacing w:line="276" w:lineRule="auto"/>
            <w:rPr>
              <w:sz w:val="40"/>
              <w:szCs w:val="40"/>
            </w:rPr>
          </w:pPr>
        </w:p>
        <w:p w14:paraId="08C95CD0" w14:textId="2FFA4EF0" w:rsidR="00937A21" w:rsidRPr="008B3AD6" w:rsidRDefault="00937A21" w:rsidP="00937A21">
          <w:pPr>
            <w:spacing w:line="276" w:lineRule="auto"/>
            <w:rPr>
              <w:sz w:val="40"/>
              <w:szCs w:val="40"/>
            </w:rPr>
          </w:pPr>
        </w:p>
        <w:p w14:paraId="6D887BD1" w14:textId="2802E867" w:rsidR="00937A21" w:rsidRPr="008B3AD6" w:rsidRDefault="00937A21" w:rsidP="00937A21">
          <w:pPr>
            <w:spacing w:line="276" w:lineRule="auto"/>
            <w:rPr>
              <w:sz w:val="40"/>
              <w:szCs w:val="40"/>
            </w:rPr>
          </w:pPr>
        </w:p>
        <w:p w14:paraId="129A8B6A" w14:textId="77777777" w:rsidR="00937A21" w:rsidRPr="008B3AD6" w:rsidRDefault="00937A21" w:rsidP="00937A21">
          <w:pPr>
            <w:spacing w:line="276" w:lineRule="auto"/>
            <w:rPr>
              <w:sz w:val="40"/>
              <w:szCs w:val="40"/>
            </w:rPr>
          </w:pPr>
        </w:p>
        <w:p w14:paraId="7A6456AD" w14:textId="338C88A1" w:rsidR="00937A21" w:rsidRPr="008B3AD6" w:rsidRDefault="00937A21" w:rsidP="00937A21">
          <w:pPr>
            <w:spacing w:line="276" w:lineRule="auto"/>
            <w:jc w:val="center"/>
            <w:rPr>
              <w:sz w:val="40"/>
              <w:szCs w:val="40"/>
            </w:rPr>
          </w:pPr>
          <w:r w:rsidRPr="008B3AD6">
            <w:rPr>
              <w:sz w:val="40"/>
              <w:szCs w:val="40"/>
            </w:rPr>
            <w:t>Doctor of Philosophy</w:t>
          </w:r>
        </w:p>
        <w:p w14:paraId="30AD0A35" w14:textId="77777777" w:rsidR="00937A21" w:rsidRPr="008B3AD6" w:rsidRDefault="00937A21" w:rsidP="00937A21">
          <w:pPr>
            <w:spacing w:line="276" w:lineRule="auto"/>
            <w:jc w:val="center"/>
            <w:rPr>
              <w:sz w:val="40"/>
              <w:szCs w:val="40"/>
            </w:rPr>
          </w:pPr>
        </w:p>
        <w:p w14:paraId="08DDE7D9" w14:textId="787EB9DB" w:rsidR="00937A21" w:rsidRPr="008B3AD6" w:rsidRDefault="00937A21" w:rsidP="00937A21">
          <w:pPr>
            <w:spacing w:line="276" w:lineRule="auto"/>
            <w:jc w:val="center"/>
            <w:rPr>
              <w:sz w:val="40"/>
              <w:szCs w:val="40"/>
            </w:rPr>
          </w:pPr>
          <w:r w:rsidRPr="008B3AD6">
            <w:rPr>
              <w:sz w:val="40"/>
              <w:szCs w:val="40"/>
            </w:rPr>
            <w:t>University of York</w:t>
          </w:r>
        </w:p>
        <w:p w14:paraId="1F38103A" w14:textId="6141CA99" w:rsidR="00937A21" w:rsidRPr="008B3AD6" w:rsidRDefault="00937A21" w:rsidP="00937A21">
          <w:pPr>
            <w:spacing w:line="276" w:lineRule="auto"/>
            <w:jc w:val="center"/>
            <w:rPr>
              <w:sz w:val="40"/>
              <w:szCs w:val="40"/>
            </w:rPr>
          </w:pPr>
          <w:r w:rsidRPr="008B3AD6">
            <w:rPr>
              <w:sz w:val="40"/>
              <w:szCs w:val="40"/>
            </w:rPr>
            <w:t>Biology</w:t>
          </w:r>
        </w:p>
        <w:p w14:paraId="62DED57F" w14:textId="67F126BF" w:rsidR="00937A21" w:rsidRPr="008B3AD6" w:rsidRDefault="00937A21" w:rsidP="00937A21">
          <w:pPr>
            <w:spacing w:line="276" w:lineRule="auto"/>
            <w:jc w:val="center"/>
            <w:rPr>
              <w:sz w:val="40"/>
              <w:szCs w:val="40"/>
            </w:rPr>
          </w:pPr>
        </w:p>
        <w:p w14:paraId="31BD5C0E" w14:textId="77777777" w:rsidR="00937A21" w:rsidRPr="008B3AD6" w:rsidRDefault="00937A21" w:rsidP="00937A21">
          <w:pPr>
            <w:spacing w:line="276" w:lineRule="auto"/>
            <w:jc w:val="center"/>
            <w:rPr>
              <w:sz w:val="40"/>
              <w:szCs w:val="40"/>
            </w:rPr>
          </w:pPr>
        </w:p>
        <w:p w14:paraId="3FD17ACE" w14:textId="06B0C5EE" w:rsidR="003F34A3" w:rsidRPr="008B3AD6" w:rsidRDefault="00937A21" w:rsidP="00937A21">
          <w:pPr>
            <w:spacing w:line="276" w:lineRule="auto"/>
            <w:jc w:val="center"/>
          </w:pPr>
          <w:r w:rsidRPr="008B3AD6">
            <w:rPr>
              <w:sz w:val="40"/>
              <w:szCs w:val="40"/>
            </w:rPr>
            <w:t>September 2018</w:t>
          </w:r>
          <w:r w:rsidR="003F34A3" w:rsidRPr="008B3AD6">
            <w:br w:type="page"/>
          </w:r>
        </w:p>
      </w:sdtContent>
    </w:sdt>
    <w:p w14:paraId="65FE834B" w14:textId="06CE9FB4" w:rsidR="00E96C8F" w:rsidRPr="008B3AD6" w:rsidRDefault="00E96C8F" w:rsidP="00E44977">
      <w:pPr>
        <w:spacing w:line="360" w:lineRule="auto"/>
        <w:rPr>
          <w:b/>
          <w:sz w:val="48"/>
          <w:szCs w:val="48"/>
        </w:rPr>
      </w:pPr>
      <w:r w:rsidRPr="008B3AD6">
        <w:rPr>
          <w:b/>
          <w:sz w:val="48"/>
          <w:szCs w:val="48"/>
        </w:rPr>
        <w:lastRenderedPageBreak/>
        <w:t>Abstract</w:t>
      </w:r>
    </w:p>
    <w:p w14:paraId="40BC8C87" w14:textId="77777777" w:rsidR="00106204" w:rsidRDefault="00106204" w:rsidP="00106204">
      <w:pPr>
        <w:spacing w:line="360" w:lineRule="auto"/>
        <w:jc w:val="both"/>
      </w:pPr>
      <w:r w:rsidRPr="00E3204A">
        <w:t xml:space="preserve">Visceral leishmaniasis (VL) is a neglected tropical disease caused by various </w:t>
      </w:r>
      <w:r w:rsidRPr="00BD5DB8">
        <w:rPr>
          <w:i/>
        </w:rPr>
        <w:t>Leishmania</w:t>
      </w:r>
      <w:r>
        <w:t xml:space="preserve"> spp. I</w:t>
      </w:r>
      <w:r w:rsidRPr="00E3204A">
        <w:t>t poses a threat throughout the world with 200,000-400,000 new cases annually. During</w:t>
      </w:r>
      <w:r>
        <w:t xml:space="preserve"> </w:t>
      </w:r>
      <w:r w:rsidRPr="00E3204A">
        <w:t>VL, large scale localised immune responses are mounted which fail to contain the parasite and morbidity ensues</w:t>
      </w:r>
      <w:r>
        <w:t>, leading to death if untreated</w:t>
      </w:r>
      <w:r w:rsidRPr="00E3204A">
        <w:t xml:space="preserve">. </w:t>
      </w:r>
      <w:r>
        <w:t xml:space="preserve">A hallmark of this immune response to visceral infection in experimental models of VL is the development of hepatic granulomas, comprised of inflammatory leukocyte aggregates surrounding a central parasitized core of macrophages. </w:t>
      </w:r>
      <w:r w:rsidRPr="00E3204A">
        <w:t xml:space="preserve">Liposomal Amphotericin B (LAmB) is a frontline treatment for VL but </w:t>
      </w:r>
      <w:r>
        <w:t xml:space="preserve">the </w:t>
      </w:r>
      <w:r w:rsidRPr="00E3204A">
        <w:t xml:space="preserve">interaction </w:t>
      </w:r>
      <w:r>
        <w:t xml:space="preserve">of LAmB </w:t>
      </w:r>
      <w:r w:rsidRPr="00E3204A">
        <w:t>wi</w:t>
      </w:r>
      <w:r>
        <w:t>th different leukocyte subsets</w:t>
      </w:r>
      <w:r w:rsidRPr="00E3204A">
        <w:t xml:space="preserve"> is poorly characterised</w:t>
      </w:r>
      <w:r>
        <w:t xml:space="preserve"> and the dependency of therapeutic outcome on processes such as leukocyte</w:t>
      </w:r>
      <w:r w:rsidRPr="00E3204A">
        <w:t xml:space="preserve"> </w:t>
      </w:r>
      <w:r>
        <w:t xml:space="preserve">migration </w:t>
      </w:r>
      <w:r w:rsidRPr="00E3204A">
        <w:t xml:space="preserve">is </w:t>
      </w:r>
      <w:r>
        <w:t xml:space="preserve">largely </w:t>
      </w:r>
      <w:r w:rsidRPr="00E3204A">
        <w:t>unknown</w:t>
      </w:r>
      <w:r>
        <w:t>.</w:t>
      </w:r>
    </w:p>
    <w:p w14:paraId="1C67FBE6" w14:textId="77777777" w:rsidR="00106204" w:rsidRDefault="00106204" w:rsidP="00106204">
      <w:pPr>
        <w:spacing w:line="360" w:lineRule="auto"/>
        <w:jc w:val="both"/>
      </w:pPr>
    </w:p>
    <w:p w14:paraId="4477BD8F" w14:textId="5C376CC3" w:rsidR="00E96C8F" w:rsidRPr="00E3204A" w:rsidRDefault="00106204" w:rsidP="00106204">
      <w:pPr>
        <w:spacing w:line="360" w:lineRule="auto"/>
        <w:jc w:val="both"/>
      </w:pPr>
      <w:r>
        <w:t xml:space="preserve">In this thesis, an interdisciplinary approach, combining immunological investigations, mass spectroscopy analysis and mathematical modelling, was employed to investigate the sub-tissue distribution of Amphotericin B in the liver of </w:t>
      </w:r>
      <w:r>
        <w:rPr>
          <w:i/>
        </w:rPr>
        <w:t>L. donovani</w:t>
      </w:r>
      <w:r>
        <w:t xml:space="preserve">-infected mice treated with LAmB. Utilising fluorescence activated cell sorting coupled with liquid chromatography tandem mass spectroscopy, we defined the sub-tissue description of Amphotericin B for the first time. Following from this, a mathematical model was developed that described the hepatic immune response to infection with </w:t>
      </w:r>
      <w:r>
        <w:rPr>
          <w:i/>
        </w:rPr>
        <w:t>L. donovani</w:t>
      </w:r>
      <w:r>
        <w:t>, accounting for both intracellular and extracellular populations of parasite, with the aim of extending this model using pharmacological data. The mathematical model describing both the immune response to infection and the pharmacokinetic and pharmacodynamic activities of LAmB within the liver allows for investigation into the influence of immunological processes on drug accumulation.</w:t>
      </w:r>
      <w:r w:rsidR="00E96C8F" w:rsidRPr="00E3204A">
        <w:br w:type="page"/>
      </w:r>
    </w:p>
    <w:p w14:paraId="122943F9" w14:textId="1F0C1933" w:rsidR="00713C98" w:rsidRPr="00F44DE2" w:rsidRDefault="00B251C6" w:rsidP="00B23FF8">
      <w:pPr>
        <w:snapToGrid w:val="0"/>
        <w:spacing w:line="276" w:lineRule="auto"/>
        <w:rPr>
          <w:b/>
        </w:rPr>
      </w:pPr>
      <w:r>
        <w:rPr>
          <w:b/>
          <w:sz w:val="48"/>
          <w:szCs w:val="48"/>
        </w:rPr>
        <w:lastRenderedPageBreak/>
        <w:t xml:space="preserve">List of </w:t>
      </w:r>
      <w:r w:rsidR="00E96C8F" w:rsidRPr="008B3AD6">
        <w:rPr>
          <w:b/>
          <w:sz w:val="48"/>
          <w:szCs w:val="48"/>
        </w:rPr>
        <w:t>Contents</w:t>
      </w:r>
    </w:p>
    <w:p w14:paraId="695AB5E0" w14:textId="04FD8500" w:rsidR="00B251C6" w:rsidRPr="00B251C6" w:rsidRDefault="00B251C6" w:rsidP="00B251C6">
      <w:pPr>
        <w:pStyle w:val="TOC1"/>
        <w:rPr>
          <w:rFonts w:eastAsiaTheme="minorEastAsia"/>
          <w:noProof/>
        </w:rPr>
      </w:pPr>
      <w:r>
        <w:rPr>
          <w:rStyle w:val="Hyperlink"/>
          <w:noProof/>
          <w:color w:val="auto"/>
          <w:u w:val="none"/>
        </w:rPr>
        <w:t>Abstract</w:t>
      </w:r>
      <w:r w:rsidRPr="00B251C6">
        <w:rPr>
          <w:noProof/>
          <w:webHidden/>
        </w:rPr>
        <w:tab/>
      </w:r>
      <w:r>
        <w:rPr>
          <w:noProof/>
          <w:webHidden/>
        </w:rPr>
        <w:t>2</w:t>
      </w:r>
    </w:p>
    <w:p w14:paraId="492D491D" w14:textId="43FCC180" w:rsidR="00B251C6" w:rsidRDefault="00B251C6" w:rsidP="00B251C6">
      <w:pPr>
        <w:pStyle w:val="TOC1"/>
        <w:rPr>
          <w:b/>
        </w:rPr>
      </w:pPr>
      <w:r w:rsidRPr="00B251C6">
        <w:rPr>
          <w:rStyle w:val="Hyperlink"/>
          <w:noProof/>
          <w:color w:val="auto"/>
          <w:u w:val="none"/>
        </w:rPr>
        <w:t xml:space="preserve">List of </w:t>
      </w:r>
      <w:r>
        <w:rPr>
          <w:rStyle w:val="Hyperlink"/>
          <w:noProof/>
          <w:color w:val="auto"/>
          <w:u w:val="none"/>
        </w:rPr>
        <w:t>Contents</w:t>
      </w:r>
      <w:r w:rsidRPr="00F61130">
        <w:rPr>
          <w:noProof/>
          <w:webHidden/>
        </w:rPr>
        <w:tab/>
      </w:r>
      <w:r>
        <w:rPr>
          <w:noProof/>
          <w:webHidden/>
        </w:rPr>
        <w:t>3</w:t>
      </w:r>
    </w:p>
    <w:p w14:paraId="7E3D4C56" w14:textId="5D34AF13" w:rsidR="00F61130" w:rsidRPr="00F61130" w:rsidRDefault="00713C98" w:rsidP="00B251C6">
      <w:pPr>
        <w:pStyle w:val="TOC1"/>
        <w:rPr>
          <w:rFonts w:eastAsiaTheme="minorEastAsia"/>
          <w:noProof/>
        </w:rPr>
      </w:pPr>
      <w:r w:rsidRPr="00F44DE2">
        <w:rPr>
          <w:b/>
        </w:rPr>
        <w:fldChar w:fldCharType="begin"/>
      </w:r>
      <w:r w:rsidRPr="00F44DE2">
        <w:rPr>
          <w:b/>
        </w:rPr>
        <w:instrText xml:space="preserve"> TOC \o "1-4" \h \z \u </w:instrText>
      </w:r>
      <w:r w:rsidRPr="00F44DE2">
        <w:rPr>
          <w:b/>
        </w:rPr>
        <w:fldChar w:fldCharType="separate"/>
      </w:r>
      <w:hyperlink w:anchor="_Toc3716034" w:history="1">
        <w:r w:rsidR="00F61130" w:rsidRPr="00F61130">
          <w:rPr>
            <w:rStyle w:val="Hyperlink"/>
            <w:noProof/>
          </w:rPr>
          <w:t>List of Tables</w:t>
        </w:r>
        <w:r w:rsidR="00F61130" w:rsidRPr="00F61130">
          <w:rPr>
            <w:noProof/>
            <w:webHidden/>
          </w:rPr>
          <w:tab/>
        </w:r>
        <w:r w:rsidR="00F61130" w:rsidRPr="00F61130">
          <w:rPr>
            <w:noProof/>
            <w:webHidden/>
          </w:rPr>
          <w:fldChar w:fldCharType="begin"/>
        </w:r>
        <w:r w:rsidR="00F61130" w:rsidRPr="00F61130">
          <w:rPr>
            <w:noProof/>
            <w:webHidden/>
          </w:rPr>
          <w:instrText xml:space="preserve"> PAGEREF _Toc3716034 \h </w:instrText>
        </w:r>
        <w:r w:rsidR="00F61130" w:rsidRPr="00F61130">
          <w:rPr>
            <w:noProof/>
            <w:webHidden/>
          </w:rPr>
        </w:r>
        <w:r w:rsidR="00F61130" w:rsidRPr="00F61130">
          <w:rPr>
            <w:noProof/>
            <w:webHidden/>
          </w:rPr>
          <w:fldChar w:fldCharType="separate"/>
        </w:r>
        <w:r w:rsidR="00F61130" w:rsidRPr="00F61130">
          <w:rPr>
            <w:noProof/>
            <w:webHidden/>
          </w:rPr>
          <w:t>8</w:t>
        </w:r>
        <w:r w:rsidR="00F61130" w:rsidRPr="00F61130">
          <w:rPr>
            <w:noProof/>
            <w:webHidden/>
          </w:rPr>
          <w:fldChar w:fldCharType="end"/>
        </w:r>
      </w:hyperlink>
    </w:p>
    <w:p w14:paraId="10A6740F" w14:textId="4A68AB5D" w:rsidR="00F61130" w:rsidRPr="00F61130" w:rsidRDefault="00F61130" w:rsidP="00B251C6">
      <w:pPr>
        <w:pStyle w:val="TOC1"/>
        <w:rPr>
          <w:rFonts w:eastAsiaTheme="minorEastAsia"/>
          <w:noProof/>
        </w:rPr>
      </w:pPr>
      <w:hyperlink w:anchor="_Toc3716035" w:history="1">
        <w:r w:rsidRPr="00F61130">
          <w:rPr>
            <w:rStyle w:val="Hyperlink"/>
            <w:noProof/>
          </w:rPr>
          <w:t>List of Figures</w:t>
        </w:r>
        <w:r w:rsidRPr="00F61130">
          <w:rPr>
            <w:noProof/>
            <w:webHidden/>
          </w:rPr>
          <w:tab/>
        </w:r>
        <w:r w:rsidRPr="00F61130">
          <w:rPr>
            <w:noProof/>
            <w:webHidden/>
          </w:rPr>
          <w:fldChar w:fldCharType="begin"/>
        </w:r>
        <w:r w:rsidRPr="00F61130">
          <w:rPr>
            <w:noProof/>
            <w:webHidden/>
          </w:rPr>
          <w:instrText xml:space="preserve"> PAGEREF _Toc3716035 \h </w:instrText>
        </w:r>
        <w:r w:rsidRPr="00F61130">
          <w:rPr>
            <w:noProof/>
            <w:webHidden/>
          </w:rPr>
        </w:r>
        <w:r w:rsidRPr="00F61130">
          <w:rPr>
            <w:noProof/>
            <w:webHidden/>
          </w:rPr>
          <w:fldChar w:fldCharType="separate"/>
        </w:r>
        <w:r w:rsidRPr="00F61130">
          <w:rPr>
            <w:noProof/>
            <w:webHidden/>
          </w:rPr>
          <w:t>9</w:t>
        </w:r>
        <w:r w:rsidRPr="00F61130">
          <w:rPr>
            <w:noProof/>
            <w:webHidden/>
          </w:rPr>
          <w:fldChar w:fldCharType="end"/>
        </w:r>
      </w:hyperlink>
    </w:p>
    <w:p w14:paraId="5CBF1DD1" w14:textId="37259CA6" w:rsidR="00F61130" w:rsidRPr="00F61130" w:rsidRDefault="00F61130" w:rsidP="00B251C6">
      <w:pPr>
        <w:pStyle w:val="TOC1"/>
        <w:rPr>
          <w:rFonts w:eastAsiaTheme="minorEastAsia"/>
          <w:noProof/>
        </w:rPr>
      </w:pPr>
      <w:hyperlink w:anchor="_Toc3716036" w:history="1">
        <w:r w:rsidRPr="00F61130">
          <w:rPr>
            <w:rStyle w:val="Hyperlink"/>
            <w:noProof/>
          </w:rPr>
          <w:t>Preface</w:t>
        </w:r>
        <w:r w:rsidRPr="00F61130">
          <w:rPr>
            <w:noProof/>
            <w:webHidden/>
          </w:rPr>
          <w:tab/>
        </w:r>
        <w:r w:rsidRPr="00F61130">
          <w:rPr>
            <w:noProof/>
            <w:webHidden/>
          </w:rPr>
          <w:fldChar w:fldCharType="begin"/>
        </w:r>
        <w:r w:rsidRPr="00F61130">
          <w:rPr>
            <w:noProof/>
            <w:webHidden/>
          </w:rPr>
          <w:instrText xml:space="preserve"> PAGEREF _Toc3716036 \h </w:instrText>
        </w:r>
        <w:r w:rsidRPr="00F61130">
          <w:rPr>
            <w:noProof/>
            <w:webHidden/>
          </w:rPr>
        </w:r>
        <w:r w:rsidRPr="00F61130">
          <w:rPr>
            <w:noProof/>
            <w:webHidden/>
          </w:rPr>
          <w:fldChar w:fldCharType="separate"/>
        </w:r>
        <w:r w:rsidRPr="00F61130">
          <w:rPr>
            <w:noProof/>
            <w:webHidden/>
          </w:rPr>
          <w:t>13</w:t>
        </w:r>
        <w:r w:rsidRPr="00F61130">
          <w:rPr>
            <w:noProof/>
            <w:webHidden/>
          </w:rPr>
          <w:fldChar w:fldCharType="end"/>
        </w:r>
      </w:hyperlink>
    </w:p>
    <w:p w14:paraId="2AE7C7E0" w14:textId="04B4DB06" w:rsidR="00F61130" w:rsidRPr="00F61130" w:rsidRDefault="00F61130" w:rsidP="00B251C6">
      <w:pPr>
        <w:pStyle w:val="TOC1"/>
        <w:rPr>
          <w:rFonts w:eastAsiaTheme="minorEastAsia"/>
          <w:noProof/>
        </w:rPr>
      </w:pPr>
      <w:hyperlink w:anchor="_Toc3716037" w:history="1">
        <w:r w:rsidRPr="00F61130">
          <w:rPr>
            <w:rStyle w:val="Hyperlink"/>
            <w:noProof/>
          </w:rPr>
          <w:t>Acknowledgements</w:t>
        </w:r>
        <w:r w:rsidRPr="00F61130">
          <w:rPr>
            <w:noProof/>
            <w:webHidden/>
          </w:rPr>
          <w:tab/>
        </w:r>
        <w:r w:rsidRPr="00F61130">
          <w:rPr>
            <w:noProof/>
            <w:webHidden/>
          </w:rPr>
          <w:fldChar w:fldCharType="begin"/>
        </w:r>
        <w:r w:rsidRPr="00F61130">
          <w:rPr>
            <w:noProof/>
            <w:webHidden/>
          </w:rPr>
          <w:instrText xml:space="preserve"> PAGEREF _Toc3716037 \h </w:instrText>
        </w:r>
        <w:r w:rsidRPr="00F61130">
          <w:rPr>
            <w:noProof/>
            <w:webHidden/>
          </w:rPr>
        </w:r>
        <w:r w:rsidRPr="00F61130">
          <w:rPr>
            <w:noProof/>
            <w:webHidden/>
          </w:rPr>
          <w:fldChar w:fldCharType="separate"/>
        </w:r>
        <w:r w:rsidRPr="00F61130">
          <w:rPr>
            <w:noProof/>
            <w:webHidden/>
          </w:rPr>
          <w:t>14</w:t>
        </w:r>
        <w:r w:rsidRPr="00F61130">
          <w:rPr>
            <w:noProof/>
            <w:webHidden/>
          </w:rPr>
          <w:fldChar w:fldCharType="end"/>
        </w:r>
      </w:hyperlink>
    </w:p>
    <w:p w14:paraId="18EB93E6" w14:textId="11A39963" w:rsidR="00F61130" w:rsidRPr="00F61130" w:rsidRDefault="00F61130" w:rsidP="00B251C6">
      <w:pPr>
        <w:pStyle w:val="TOC1"/>
        <w:rPr>
          <w:rFonts w:eastAsiaTheme="minorEastAsia"/>
          <w:noProof/>
        </w:rPr>
      </w:pPr>
      <w:hyperlink w:anchor="_Toc3716038" w:history="1">
        <w:r w:rsidRPr="00F61130">
          <w:rPr>
            <w:rStyle w:val="Hyperlink"/>
            <w:noProof/>
          </w:rPr>
          <w:t>Declaration</w:t>
        </w:r>
        <w:r w:rsidRPr="00F61130">
          <w:rPr>
            <w:noProof/>
            <w:webHidden/>
          </w:rPr>
          <w:tab/>
        </w:r>
        <w:r w:rsidRPr="00F61130">
          <w:rPr>
            <w:noProof/>
            <w:webHidden/>
          </w:rPr>
          <w:fldChar w:fldCharType="begin"/>
        </w:r>
        <w:r w:rsidRPr="00F61130">
          <w:rPr>
            <w:noProof/>
            <w:webHidden/>
          </w:rPr>
          <w:instrText xml:space="preserve"> PAGEREF _Toc3716038 \h </w:instrText>
        </w:r>
        <w:r w:rsidRPr="00F61130">
          <w:rPr>
            <w:noProof/>
            <w:webHidden/>
          </w:rPr>
        </w:r>
        <w:r w:rsidRPr="00F61130">
          <w:rPr>
            <w:noProof/>
            <w:webHidden/>
          </w:rPr>
          <w:fldChar w:fldCharType="separate"/>
        </w:r>
        <w:r w:rsidRPr="00F61130">
          <w:rPr>
            <w:noProof/>
            <w:webHidden/>
          </w:rPr>
          <w:t>15</w:t>
        </w:r>
        <w:r w:rsidRPr="00F61130">
          <w:rPr>
            <w:noProof/>
            <w:webHidden/>
          </w:rPr>
          <w:fldChar w:fldCharType="end"/>
        </w:r>
      </w:hyperlink>
    </w:p>
    <w:p w14:paraId="2095A8E3" w14:textId="526C8BC4" w:rsidR="00F61130" w:rsidRPr="00F61130" w:rsidRDefault="00F61130" w:rsidP="00B251C6">
      <w:pPr>
        <w:pStyle w:val="TOC1"/>
        <w:rPr>
          <w:rFonts w:eastAsiaTheme="minorEastAsia"/>
          <w:noProof/>
        </w:rPr>
      </w:pPr>
      <w:hyperlink w:anchor="_Toc3716039" w:history="1">
        <w:r w:rsidRPr="00F61130">
          <w:rPr>
            <w:rStyle w:val="Hyperlink"/>
            <w:noProof/>
          </w:rPr>
          <w:t>Chapter 1 | Introduction</w:t>
        </w:r>
        <w:r w:rsidRPr="00F61130">
          <w:rPr>
            <w:noProof/>
            <w:webHidden/>
          </w:rPr>
          <w:tab/>
        </w:r>
        <w:r w:rsidRPr="00F61130">
          <w:rPr>
            <w:noProof/>
            <w:webHidden/>
          </w:rPr>
          <w:fldChar w:fldCharType="begin"/>
        </w:r>
        <w:r w:rsidRPr="00F61130">
          <w:rPr>
            <w:noProof/>
            <w:webHidden/>
          </w:rPr>
          <w:instrText xml:space="preserve"> PAGEREF _Toc3716039 \h </w:instrText>
        </w:r>
        <w:r w:rsidRPr="00F61130">
          <w:rPr>
            <w:noProof/>
            <w:webHidden/>
          </w:rPr>
        </w:r>
        <w:r w:rsidRPr="00F61130">
          <w:rPr>
            <w:noProof/>
            <w:webHidden/>
          </w:rPr>
          <w:fldChar w:fldCharType="separate"/>
        </w:r>
        <w:r w:rsidRPr="00F61130">
          <w:rPr>
            <w:noProof/>
            <w:webHidden/>
          </w:rPr>
          <w:t>16</w:t>
        </w:r>
        <w:r w:rsidRPr="00F61130">
          <w:rPr>
            <w:noProof/>
            <w:webHidden/>
          </w:rPr>
          <w:fldChar w:fldCharType="end"/>
        </w:r>
      </w:hyperlink>
    </w:p>
    <w:p w14:paraId="287CC723" w14:textId="4DB8E3E6" w:rsidR="00F61130" w:rsidRPr="00F61130" w:rsidRDefault="00F61130" w:rsidP="00F61130">
      <w:pPr>
        <w:pStyle w:val="TOC2"/>
        <w:spacing w:line="276" w:lineRule="auto"/>
        <w:rPr>
          <w:rFonts w:eastAsiaTheme="minorEastAsia"/>
          <w:noProof/>
        </w:rPr>
      </w:pPr>
      <w:hyperlink w:anchor="_Toc3716040" w:history="1">
        <w:r w:rsidRPr="00F61130">
          <w:rPr>
            <w:rStyle w:val="Hyperlink"/>
            <w:noProof/>
            <w14:scene3d>
              <w14:camera w14:prst="orthographicFront"/>
              <w14:lightRig w14:rig="threePt" w14:dir="t">
                <w14:rot w14:lat="0" w14:lon="0" w14:rev="0"/>
              </w14:lightRig>
            </w14:scene3d>
          </w:rPr>
          <w:t>1.1</w:t>
        </w:r>
        <w:r w:rsidRPr="00F61130">
          <w:rPr>
            <w:rStyle w:val="Hyperlink"/>
            <w:noProof/>
          </w:rPr>
          <w:t xml:space="preserve"> General Research Overview</w:t>
        </w:r>
        <w:r w:rsidRPr="00F61130">
          <w:rPr>
            <w:noProof/>
            <w:webHidden/>
          </w:rPr>
          <w:tab/>
        </w:r>
        <w:r w:rsidRPr="00F61130">
          <w:rPr>
            <w:noProof/>
            <w:webHidden/>
          </w:rPr>
          <w:fldChar w:fldCharType="begin"/>
        </w:r>
        <w:r w:rsidRPr="00F61130">
          <w:rPr>
            <w:noProof/>
            <w:webHidden/>
          </w:rPr>
          <w:instrText xml:space="preserve"> PAGEREF _Toc3716040 \h </w:instrText>
        </w:r>
        <w:r w:rsidRPr="00F61130">
          <w:rPr>
            <w:noProof/>
            <w:webHidden/>
          </w:rPr>
        </w:r>
        <w:r w:rsidRPr="00F61130">
          <w:rPr>
            <w:noProof/>
            <w:webHidden/>
          </w:rPr>
          <w:fldChar w:fldCharType="separate"/>
        </w:r>
        <w:r w:rsidRPr="00F61130">
          <w:rPr>
            <w:noProof/>
            <w:webHidden/>
          </w:rPr>
          <w:t>17</w:t>
        </w:r>
        <w:r w:rsidRPr="00F61130">
          <w:rPr>
            <w:noProof/>
            <w:webHidden/>
          </w:rPr>
          <w:fldChar w:fldCharType="end"/>
        </w:r>
      </w:hyperlink>
    </w:p>
    <w:p w14:paraId="55F045CE" w14:textId="654CEE44" w:rsidR="00F61130" w:rsidRPr="00F61130" w:rsidRDefault="00F61130" w:rsidP="00F61130">
      <w:pPr>
        <w:pStyle w:val="TOC2"/>
        <w:spacing w:line="276" w:lineRule="auto"/>
        <w:rPr>
          <w:rFonts w:eastAsiaTheme="minorEastAsia"/>
          <w:noProof/>
        </w:rPr>
      </w:pPr>
      <w:hyperlink w:anchor="_Toc3716041" w:history="1">
        <w:r w:rsidRPr="00F61130">
          <w:rPr>
            <w:rStyle w:val="Hyperlink"/>
            <w:noProof/>
            <w14:scene3d>
              <w14:camera w14:prst="orthographicFront"/>
              <w14:lightRig w14:rig="threePt" w14:dir="t">
                <w14:rot w14:lat="0" w14:lon="0" w14:rev="0"/>
              </w14:lightRig>
            </w14:scene3d>
          </w:rPr>
          <w:t>1.2</w:t>
        </w:r>
        <w:r w:rsidRPr="00F61130">
          <w:rPr>
            <w:rStyle w:val="Hyperlink"/>
            <w:noProof/>
          </w:rPr>
          <w:t xml:space="preserve"> Visceral Leishmaniasis</w:t>
        </w:r>
        <w:r w:rsidRPr="00F61130">
          <w:rPr>
            <w:noProof/>
            <w:webHidden/>
          </w:rPr>
          <w:tab/>
        </w:r>
        <w:r w:rsidRPr="00F61130">
          <w:rPr>
            <w:noProof/>
            <w:webHidden/>
          </w:rPr>
          <w:fldChar w:fldCharType="begin"/>
        </w:r>
        <w:r w:rsidRPr="00F61130">
          <w:rPr>
            <w:noProof/>
            <w:webHidden/>
          </w:rPr>
          <w:instrText xml:space="preserve"> PAGEREF _Toc3716041 \h </w:instrText>
        </w:r>
        <w:r w:rsidRPr="00F61130">
          <w:rPr>
            <w:noProof/>
            <w:webHidden/>
          </w:rPr>
        </w:r>
        <w:r w:rsidRPr="00F61130">
          <w:rPr>
            <w:noProof/>
            <w:webHidden/>
          </w:rPr>
          <w:fldChar w:fldCharType="separate"/>
        </w:r>
        <w:r w:rsidRPr="00F61130">
          <w:rPr>
            <w:noProof/>
            <w:webHidden/>
          </w:rPr>
          <w:t>18</w:t>
        </w:r>
        <w:r w:rsidRPr="00F61130">
          <w:rPr>
            <w:noProof/>
            <w:webHidden/>
          </w:rPr>
          <w:fldChar w:fldCharType="end"/>
        </w:r>
      </w:hyperlink>
    </w:p>
    <w:p w14:paraId="7DB2E399" w14:textId="46B433AD" w:rsidR="00F61130" w:rsidRPr="00F61130" w:rsidRDefault="00F61130" w:rsidP="00F61130">
      <w:pPr>
        <w:pStyle w:val="TOC3"/>
        <w:tabs>
          <w:tab w:val="right" w:leader="dot" w:pos="8771"/>
        </w:tabs>
        <w:spacing w:line="276" w:lineRule="auto"/>
        <w:rPr>
          <w:rFonts w:eastAsiaTheme="minorEastAsia"/>
          <w:noProof/>
        </w:rPr>
      </w:pPr>
      <w:hyperlink w:anchor="_Toc3716042" w:history="1">
        <w:r w:rsidRPr="00F61130">
          <w:rPr>
            <w:rStyle w:val="Hyperlink"/>
            <w:noProof/>
          </w:rPr>
          <w:t>1.2.1 Epidemiology</w:t>
        </w:r>
        <w:r w:rsidRPr="00F61130">
          <w:rPr>
            <w:noProof/>
            <w:webHidden/>
          </w:rPr>
          <w:tab/>
        </w:r>
        <w:r w:rsidRPr="00F61130">
          <w:rPr>
            <w:noProof/>
            <w:webHidden/>
          </w:rPr>
          <w:fldChar w:fldCharType="begin"/>
        </w:r>
        <w:r w:rsidRPr="00F61130">
          <w:rPr>
            <w:noProof/>
            <w:webHidden/>
          </w:rPr>
          <w:instrText xml:space="preserve"> PAGEREF _Toc3716042 \h </w:instrText>
        </w:r>
        <w:r w:rsidRPr="00F61130">
          <w:rPr>
            <w:noProof/>
            <w:webHidden/>
          </w:rPr>
        </w:r>
        <w:r w:rsidRPr="00F61130">
          <w:rPr>
            <w:noProof/>
            <w:webHidden/>
          </w:rPr>
          <w:fldChar w:fldCharType="separate"/>
        </w:r>
        <w:r w:rsidRPr="00F61130">
          <w:rPr>
            <w:noProof/>
            <w:webHidden/>
          </w:rPr>
          <w:t>18</w:t>
        </w:r>
        <w:r w:rsidRPr="00F61130">
          <w:rPr>
            <w:noProof/>
            <w:webHidden/>
          </w:rPr>
          <w:fldChar w:fldCharType="end"/>
        </w:r>
      </w:hyperlink>
    </w:p>
    <w:p w14:paraId="52D256C6" w14:textId="519F234F" w:rsidR="00F61130" w:rsidRPr="00F61130" w:rsidRDefault="00F61130" w:rsidP="00F61130">
      <w:pPr>
        <w:pStyle w:val="TOC3"/>
        <w:tabs>
          <w:tab w:val="right" w:leader="dot" w:pos="8771"/>
        </w:tabs>
        <w:spacing w:line="276" w:lineRule="auto"/>
        <w:rPr>
          <w:rFonts w:eastAsiaTheme="minorEastAsia"/>
          <w:noProof/>
        </w:rPr>
      </w:pPr>
      <w:hyperlink w:anchor="_Toc3716043" w:history="1">
        <w:r w:rsidRPr="00F61130">
          <w:rPr>
            <w:rStyle w:val="Hyperlink"/>
            <w:noProof/>
          </w:rPr>
          <w:t>1.2.2 Transmission</w:t>
        </w:r>
        <w:r w:rsidRPr="00F61130">
          <w:rPr>
            <w:noProof/>
            <w:webHidden/>
          </w:rPr>
          <w:tab/>
        </w:r>
        <w:r w:rsidRPr="00F61130">
          <w:rPr>
            <w:noProof/>
            <w:webHidden/>
          </w:rPr>
          <w:fldChar w:fldCharType="begin"/>
        </w:r>
        <w:r w:rsidRPr="00F61130">
          <w:rPr>
            <w:noProof/>
            <w:webHidden/>
          </w:rPr>
          <w:instrText xml:space="preserve"> PAGEREF _Toc3716043 \h </w:instrText>
        </w:r>
        <w:r w:rsidRPr="00F61130">
          <w:rPr>
            <w:noProof/>
            <w:webHidden/>
          </w:rPr>
        </w:r>
        <w:r w:rsidRPr="00F61130">
          <w:rPr>
            <w:noProof/>
            <w:webHidden/>
          </w:rPr>
          <w:fldChar w:fldCharType="separate"/>
        </w:r>
        <w:r w:rsidRPr="00F61130">
          <w:rPr>
            <w:noProof/>
            <w:webHidden/>
          </w:rPr>
          <w:t>20</w:t>
        </w:r>
        <w:r w:rsidRPr="00F61130">
          <w:rPr>
            <w:noProof/>
            <w:webHidden/>
          </w:rPr>
          <w:fldChar w:fldCharType="end"/>
        </w:r>
      </w:hyperlink>
    </w:p>
    <w:p w14:paraId="6A57BCE0" w14:textId="4FEB694F" w:rsidR="00F61130" w:rsidRPr="00F61130" w:rsidRDefault="00F61130" w:rsidP="00F61130">
      <w:pPr>
        <w:pStyle w:val="TOC3"/>
        <w:tabs>
          <w:tab w:val="right" w:leader="dot" w:pos="8771"/>
        </w:tabs>
        <w:spacing w:line="276" w:lineRule="auto"/>
        <w:rPr>
          <w:rFonts w:eastAsiaTheme="minorEastAsia"/>
          <w:noProof/>
        </w:rPr>
      </w:pPr>
      <w:hyperlink w:anchor="_Toc3716044" w:history="1">
        <w:r w:rsidRPr="00F61130">
          <w:rPr>
            <w:rStyle w:val="Hyperlink"/>
            <w:noProof/>
          </w:rPr>
          <w:t>1.2.3 Parasite Life Cycle</w:t>
        </w:r>
        <w:r w:rsidRPr="00F61130">
          <w:rPr>
            <w:noProof/>
            <w:webHidden/>
          </w:rPr>
          <w:tab/>
        </w:r>
        <w:r w:rsidRPr="00F61130">
          <w:rPr>
            <w:noProof/>
            <w:webHidden/>
          </w:rPr>
          <w:fldChar w:fldCharType="begin"/>
        </w:r>
        <w:r w:rsidRPr="00F61130">
          <w:rPr>
            <w:noProof/>
            <w:webHidden/>
          </w:rPr>
          <w:instrText xml:space="preserve"> PAGEREF _Toc3716044 \h </w:instrText>
        </w:r>
        <w:r w:rsidRPr="00F61130">
          <w:rPr>
            <w:noProof/>
            <w:webHidden/>
          </w:rPr>
        </w:r>
        <w:r w:rsidRPr="00F61130">
          <w:rPr>
            <w:noProof/>
            <w:webHidden/>
          </w:rPr>
          <w:fldChar w:fldCharType="separate"/>
        </w:r>
        <w:r w:rsidRPr="00F61130">
          <w:rPr>
            <w:noProof/>
            <w:webHidden/>
          </w:rPr>
          <w:t>20</w:t>
        </w:r>
        <w:r w:rsidRPr="00F61130">
          <w:rPr>
            <w:noProof/>
            <w:webHidden/>
          </w:rPr>
          <w:fldChar w:fldCharType="end"/>
        </w:r>
      </w:hyperlink>
    </w:p>
    <w:p w14:paraId="42F5BA23" w14:textId="018835D1" w:rsidR="00F61130" w:rsidRPr="00F61130" w:rsidRDefault="00F61130" w:rsidP="00F61130">
      <w:pPr>
        <w:pStyle w:val="TOC3"/>
        <w:tabs>
          <w:tab w:val="right" w:leader="dot" w:pos="8771"/>
        </w:tabs>
        <w:spacing w:line="276" w:lineRule="auto"/>
        <w:rPr>
          <w:rFonts w:eastAsiaTheme="minorEastAsia"/>
          <w:noProof/>
        </w:rPr>
      </w:pPr>
      <w:hyperlink w:anchor="_Toc3716045" w:history="1">
        <w:r w:rsidRPr="00F61130">
          <w:rPr>
            <w:rStyle w:val="Hyperlink"/>
            <w:noProof/>
          </w:rPr>
          <w:t>1.2.4 Initial Infection with Visceral Leishmaniasis</w:t>
        </w:r>
        <w:r w:rsidRPr="00F61130">
          <w:rPr>
            <w:noProof/>
            <w:webHidden/>
          </w:rPr>
          <w:tab/>
        </w:r>
        <w:r w:rsidRPr="00F61130">
          <w:rPr>
            <w:noProof/>
            <w:webHidden/>
          </w:rPr>
          <w:fldChar w:fldCharType="begin"/>
        </w:r>
        <w:r w:rsidRPr="00F61130">
          <w:rPr>
            <w:noProof/>
            <w:webHidden/>
          </w:rPr>
          <w:instrText xml:space="preserve"> PAGEREF _Toc3716045 \h </w:instrText>
        </w:r>
        <w:r w:rsidRPr="00F61130">
          <w:rPr>
            <w:noProof/>
            <w:webHidden/>
          </w:rPr>
        </w:r>
        <w:r w:rsidRPr="00F61130">
          <w:rPr>
            <w:noProof/>
            <w:webHidden/>
          </w:rPr>
          <w:fldChar w:fldCharType="separate"/>
        </w:r>
        <w:r w:rsidRPr="00F61130">
          <w:rPr>
            <w:noProof/>
            <w:webHidden/>
          </w:rPr>
          <w:t>21</w:t>
        </w:r>
        <w:r w:rsidRPr="00F61130">
          <w:rPr>
            <w:noProof/>
            <w:webHidden/>
          </w:rPr>
          <w:fldChar w:fldCharType="end"/>
        </w:r>
      </w:hyperlink>
    </w:p>
    <w:p w14:paraId="67F2A59B" w14:textId="5018D888" w:rsidR="00F61130" w:rsidRPr="00F61130" w:rsidRDefault="00F61130" w:rsidP="00F61130">
      <w:pPr>
        <w:pStyle w:val="TOC3"/>
        <w:tabs>
          <w:tab w:val="right" w:leader="dot" w:pos="8771"/>
        </w:tabs>
        <w:spacing w:line="276" w:lineRule="auto"/>
        <w:rPr>
          <w:rFonts w:eastAsiaTheme="minorEastAsia"/>
          <w:noProof/>
        </w:rPr>
      </w:pPr>
      <w:hyperlink w:anchor="_Toc3716046" w:history="1">
        <w:r w:rsidRPr="00F61130">
          <w:rPr>
            <w:rStyle w:val="Hyperlink"/>
            <w:noProof/>
          </w:rPr>
          <w:t>1.2.5 Hepatic Immune Response to Infection</w:t>
        </w:r>
        <w:r w:rsidRPr="00F61130">
          <w:rPr>
            <w:noProof/>
            <w:webHidden/>
          </w:rPr>
          <w:tab/>
        </w:r>
        <w:r w:rsidRPr="00F61130">
          <w:rPr>
            <w:noProof/>
            <w:webHidden/>
          </w:rPr>
          <w:fldChar w:fldCharType="begin"/>
        </w:r>
        <w:r w:rsidRPr="00F61130">
          <w:rPr>
            <w:noProof/>
            <w:webHidden/>
          </w:rPr>
          <w:instrText xml:space="preserve"> PAGEREF _Toc3716046 \h </w:instrText>
        </w:r>
        <w:r w:rsidRPr="00F61130">
          <w:rPr>
            <w:noProof/>
            <w:webHidden/>
          </w:rPr>
        </w:r>
        <w:r w:rsidRPr="00F61130">
          <w:rPr>
            <w:noProof/>
            <w:webHidden/>
          </w:rPr>
          <w:fldChar w:fldCharType="separate"/>
        </w:r>
        <w:r w:rsidRPr="00F61130">
          <w:rPr>
            <w:noProof/>
            <w:webHidden/>
          </w:rPr>
          <w:t>22</w:t>
        </w:r>
        <w:r w:rsidRPr="00F61130">
          <w:rPr>
            <w:noProof/>
            <w:webHidden/>
          </w:rPr>
          <w:fldChar w:fldCharType="end"/>
        </w:r>
      </w:hyperlink>
    </w:p>
    <w:p w14:paraId="62C823CB" w14:textId="48A20106" w:rsidR="00F61130" w:rsidRPr="00F61130" w:rsidRDefault="00F61130" w:rsidP="00F61130">
      <w:pPr>
        <w:pStyle w:val="TOC4"/>
        <w:tabs>
          <w:tab w:val="left" w:pos="1680"/>
          <w:tab w:val="right" w:leader="dot" w:pos="8771"/>
        </w:tabs>
        <w:spacing w:line="276" w:lineRule="auto"/>
        <w:rPr>
          <w:rFonts w:eastAsiaTheme="minorEastAsia"/>
          <w:noProof/>
        </w:rPr>
      </w:pPr>
      <w:hyperlink w:anchor="_Toc3716047" w:history="1">
        <w:r w:rsidRPr="00F61130">
          <w:rPr>
            <w:rStyle w:val="Hyperlink"/>
            <w:noProof/>
          </w:rPr>
          <w:t>1.2.5.1</w:t>
        </w:r>
        <w:r w:rsidRPr="00F61130">
          <w:rPr>
            <w:rFonts w:eastAsiaTheme="minorEastAsia"/>
            <w:noProof/>
          </w:rPr>
          <w:tab/>
        </w:r>
        <w:r w:rsidRPr="00F61130">
          <w:rPr>
            <w:rStyle w:val="Hyperlink"/>
            <w:noProof/>
          </w:rPr>
          <w:t>Early Infection Events</w:t>
        </w:r>
        <w:r w:rsidRPr="00F61130">
          <w:rPr>
            <w:noProof/>
            <w:webHidden/>
          </w:rPr>
          <w:tab/>
        </w:r>
        <w:r w:rsidRPr="00F61130">
          <w:rPr>
            <w:noProof/>
            <w:webHidden/>
          </w:rPr>
          <w:fldChar w:fldCharType="begin"/>
        </w:r>
        <w:r w:rsidRPr="00F61130">
          <w:rPr>
            <w:noProof/>
            <w:webHidden/>
          </w:rPr>
          <w:instrText xml:space="preserve"> PAGEREF _Toc3716047 \h </w:instrText>
        </w:r>
        <w:r w:rsidRPr="00F61130">
          <w:rPr>
            <w:noProof/>
            <w:webHidden/>
          </w:rPr>
        </w:r>
        <w:r w:rsidRPr="00F61130">
          <w:rPr>
            <w:noProof/>
            <w:webHidden/>
          </w:rPr>
          <w:fldChar w:fldCharType="separate"/>
        </w:r>
        <w:r w:rsidRPr="00F61130">
          <w:rPr>
            <w:noProof/>
            <w:webHidden/>
          </w:rPr>
          <w:t>22</w:t>
        </w:r>
        <w:r w:rsidRPr="00F61130">
          <w:rPr>
            <w:noProof/>
            <w:webHidden/>
          </w:rPr>
          <w:fldChar w:fldCharType="end"/>
        </w:r>
      </w:hyperlink>
    </w:p>
    <w:p w14:paraId="3311FF95" w14:textId="59E6A136" w:rsidR="00F61130" w:rsidRPr="00F61130" w:rsidRDefault="00F61130" w:rsidP="00F61130">
      <w:pPr>
        <w:pStyle w:val="TOC4"/>
        <w:tabs>
          <w:tab w:val="left" w:pos="1680"/>
          <w:tab w:val="right" w:leader="dot" w:pos="8771"/>
        </w:tabs>
        <w:spacing w:line="276" w:lineRule="auto"/>
        <w:rPr>
          <w:rFonts w:eastAsiaTheme="minorEastAsia"/>
          <w:noProof/>
        </w:rPr>
      </w:pPr>
      <w:hyperlink w:anchor="_Toc3716048" w:history="1">
        <w:r w:rsidRPr="00F61130">
          <w:rPr>
            <w:rStyle w:val="Hyperlink"/>
            <w:noProof/>
          </w:rPr>
          <w:t>1.2.5.2</w:t>
        </w:r>
        <w:r w:rsidRPr="00F61130">
          <w:rPr>
            <w:rFonts w:eastAsiaTheme="minorEastAsia"/>
            <w:noProof/>
          </w:rPr>
          <w:tab/>
        </w:r>
        <w:r w:rsidRPr="00F61130">
          <w:rPr>
            <w:rStyle w:val="Hyperlink"/>
            <w:noProof/>
          </w:rPr>
          <w:t>Granuloma Formation &amp; Maturation</w:t>
        </w:r>
        <w:r w:rsidRPr="00F61130">
          <w:rPr>
            <w:noProof/>
            <w:webHidden/>
          </w:rPr>
          <w:tab/>
        </w:r>
        <w:r w:rsidRPr="00F61130">
          <w:rPr>
            <w:noProof/>
            <w:webHidden/>
          </w:rPr>
          <w:fldChar w:fldCharType="begin"/>
        </w:r>
        <w:r w:rsidRPr="00F61130">
          <w:rPr>
            <w:noProof/>
            <w:webHidden/>
          </w:rPr>
          <w:instrText xml:space="preserve"> PAGEREF _Toc3716048 \h </w:instrText>
        </w:r>
        <w:r w:rsidRPr="00F61130">
          <w:rPr>
            <w:noProof/>
            <w:webHidden/>
          </w:rPr>
        </w:r>
        <w:r w:rsidRPr="00F61130">
          <w:rPr>
            <w:noProof/>
            <w:webHidden/>
          </w:rPr>
          <w:fldChar w:fldCharType="separate"/>
        </w:r>
        <w:r w:rsidRPr="00F61130">
          <w:rPr>
            <w:noProof/>
            <w:webHidden/>
          </w:rPr>
          <w:t>26</w:t>
        </w:r>
        <w:r w:rsidRPr="00F61130">
          <w:rPr>
            <w:noProof/>
            <w:webHidden/>
          </w:rPr>
          <w:fldChar w:fldCharType="end"/>
        </w:r>
      </w:hyperlink>
    </w:p>
    <w:p w14:paraId="5486D2FD" w14:textId="0ABE6A28" w:rsidR="00F61130" w:rsidRPr="00F61130" w:rsidRDefault="00F61130" w:rsidP="00F61130">
      <w:pPr>
        <w:pStyle w:val="TOC4"/>
        <w:tabs>
          <w:tab w:val="left" w:pos="1680"/>
          <w:tab w:val="right" w:leader="dot" w:pos="8771"/>
        </w:tabs>
        <w:spacing w:line="276" w:lineRule="auto"/>
        <w:rPr>
          <w:rFonts w:eastAsiaTheme="minorEastAsia"/>
          <w:noProof/>
        </w:rPr>
      </w:pPr>
      <w:hyperlink w:anchor="_Toc3716049" w:history="1">
        <w:r w:rsidRPr="00F61130">
          <w:rPr>
            <w:rStyle w:val="Hyperlink"/>
            <w:noProof/>
          </w:rPr>
          <w:t>1.2.5.3</w:t>
        </w:r>
        <w:r w:rsidRPr="00F61130">
          <w:rPr>
            <w:rFonts w:eastAsiaTheme="minorEastAsia"/>
            <w:noProof/>
          </w:rPr>
          <w:tab/>
        </w:r>
        <w:r w:rsidRPr="00F61130">
          <w:rPr>
            <w:rStyle w:val="Hyperlink"/>
            <w:noProof/>
          </w:rPr>
          <w:t>Parasite Clearance</w:t>
        </w:r>
        <w:r w:rsidRPr="00F61130">
          <w:rPr>
            <w:noProof/>
            <w:webHidden/>
          </w:rPr>
          <w:tab/>
        </w:r>
        <w:r w:rsidRPr="00F61130">
          <w:rPr>
            <w:noProof/>
            <w:webHidden/>
          </w:rPr>
          <w:fldChar w:fldCharType="begin"/>
        </w:r>
        <w:r w:rsidRPr="00F61130">
          <w:rPr>
            <w:noProof/>
            <w:webHidden/>
          </w:rPr>
          <w:instrText xml:space="preserve"> PAGEREF _Toc3716049 \h </w:instrText>
        </w:r>
        <w:r w:rsidRPr="00F61130">
          <w:rPr>
            <w:noProof/>
            <w:webHidden/>
          </w:rPr>
        </w:r>
        <w:r w:rsidRPr="00F61130">
          <w:rPr>
            <w:noProof/>
            <w:webHidden/>
          </w:rPr>
          <w:fldChar w:fldCharType="separate"/>
        </w:r>
        <w:r w:rsidRPr="00F61130">
          <w:rPr>
            <w:noProof/>
            <w:webHidden/>
          </w:rPr>
          <w:t>29</w:t>
        </w:r>
        <w:r w:rsidRPr="00F61130">
          <w:rPr>
            <w:noProof/>
            <w:webHidden/>
          </w:rPr>
          <w:fldChar w:fldCharType="end"/>
        </w:r>
      </w:hyperlink>
    </w:p>
    <w:p w14:paraId="53592846" w14:textId="535CE77F" w:rsidR="00F61130" w:rsidRPr="00F61130" w:rsidRDefault="00F61130" w:rsidP="00F61130">
      <w:pPr>
        <w:pStyle w:val="TOC4"/>
        <w:tabs>
          <w:tab w:val="left" w:pos="1680"/>
          <w:tab w:val="right" w:leader="dot" w:pos="8771"/>
        </w:tabs>
        <w:spacing w:line="276" w:lineRule="auto"/>
        <w:rPr>
          <w:rFonts w:eastAsiaTheme="minorEastAsia"/>
          <w:noProof/>
        </w:rPr>
      </w:pPr>
      <w:hyperlink w:anchor="_Toc3716050" w:history="1">
        <w:r w:rsidRPr="00F61130">
          <w:rPr>
            <w:rStyle w:val="Hyperlink"/>
            <w:noProof/>
          </w:rPr>
          <w:t>1.2.5.4</w:t>
        </w:r>
        <w:r w:rsidRPr="00F61130">
          <w:rPr>
            <w:rFonts w:eastAsiaTheme="minorEastAsia"/>
            <w:noProof/>
          </w:rPr>
          <w:tab/>
        </w:r>
        <w:r w:rsidRPr="00F61130">
          <w:rPr>
            <w:rStyle w:val="Hyperlink"/>
            <w:noProof/>
          </w:rPr>
          <w:t>Other Models of Hepatic Infection</w:t>
        </w:r>
        <w:r w:rsidRPr="00F61130">
          <w:rPr>
            <w:noProof/>
            <w:webHidden/>
          </w:rPr>
          <w:tab/>
        </w:r>
        <w:r w:rsidRPr="00F61130">
          <w:rPr>
            <w:noProof/>
            <w:webHidden/>
          </w:rPr>
          <w:fldChar w:fldCharType="begin"/>
        </w:r>
        <w:r w:rsidRPr="00F61130">
          <w:rPr>
            <w:noProof/>
            <w:webHidden/>
          </w:rPr>
          <w:instrText xml:space="preserve"> PAGEREF _Toc3716050 \h </w:instrText>
        </w:r>
        <w:r w:rsidRPr="00F61130">
          <w:rPr>
            <w:noProof/>
            <w:webHidden/>
          </w:rPr>
        </w:r>
        <w:r w:rsidRPr="00F61130">
          <w:rPr>
            <w:noProof/>
            <w:webHidden/>
          </w:rPr>
          <w:fldChar w:fldCharType="separate"/>
        </w:r>
        <w:r w:rsidRPr="00F61130">
          <w:rPr>
            <w:noProof/>
            <w:webHidden/>
          </w:rPr>
          <w:t>30</w:t>
        </w:r>
        <w:r w:rsidRPr="00F61130">
          <w:rPr>
            <w:noProof/>
            <w:webHidden/>
          </w:rPr>
          <w:fldChar w:fldCharType="end"/>
        </w:r>
      </w:hyperlink>
    </w:p>
    <w:p w14:paraId="1E6AE2A5" w14:textId="185DF9D1" w:rsidR="00F61130" w:rsidRPr="00F61130" w:rsidRDefault="00F61130" w:rsidP="00F61130">
      <w:pPr>
        <w:pStyle w:val="TOC3"/>
        <w:tabs>
          <w:tab w:val="right" w:leader="dot" w:pos="8771"/>
        </w:tabs>
        <w:spacing w:line="276" w:lineRule="auto"/>
        <w:rPr>
          <w:rFonts w:eastAsiaTheme="minorEastAsia"/>
          <w:noProof/>
        </w:rPr>
      </w:pPr>
      <w:hyperlink w:anchor="_Toc3716051" w:history="1">
        <w:r w:rsidRPr="00F61130">
          <w:rPr>
            <w:rStyle w:val="Hyperlink"/>
            <w:noProof/>
          </w:rPr>
          <w:t>1.2.6 Therapeutics for Visceral Leishmaniasis</w:t>
        </w:r>
        <w:r w:rsidRPr="00F61130">
          <w:rPr>
            <w:noProof/>
            <w:webHidden/>
          </w:rPr>
          <w:tab/>
        </w:r>
        <w:r w:rsidRPr="00F61130">
          <w:rPr>
            <w:noProof/>
            <w:webHidden/>
          </w:rPr>
          <w:fldChar w:fldCharType="begin"/>
        </w:r>
        <w:r w:rsidRPr="00F61130">
          <w:rPr>
            <w:noProof/>
            <w:webHidden/>
          </w:rPr>
          <w:instrText xml:space="preserve"> PAGEREF _Toc3716051 \h </w:instrText>
        </w:r>
        <w:r w:rsidRPr="00F61130">
          <w:rPr>
            <w:noProof/>
            <w:webHidden/>
          </w:rPr>
        </w:r>
        <w:r w:rsidRPr="00F61130">
          <w:rPr>
            <w:noProof/>
            <w:webHidden/>
          </w:rPr>
          <w:fldChar w:fldCharType="separate"/>
        </w:r>
        <w:r w:rsidRPr="00F61130">
          <w:rPr>
            <w:noProof/>
            <w:webHidden/>
          </w:rPr>
          <w:t>31</w:t>
        </w:r>
        <w:r w:rsidRPr="00F61130">
          <w:rPr>
            <w:noProof/>
            <w:webHidden/>
          </w:rPr>
          <w:fldChar w:fldCharType="end"/>
        </w:r>
      </w:hyperlink>
    </w:p>
    <w:p w14:paraId="058585EC" w14:textId="4F8EEF65" w:rsidR="00F61130" w:rsidRPr="00F61130" w:rsidRDefault="00F61130" w:rsidP="00F61130">
      <w:pPr>
        <w:pStyle w:val="TOC4"/>
        <w:tabs>
          <w:tab w:val="left" w:pos="1680"/>
          <w:tab w:val="right" w:leader="dot" w:pos="8771"/>
        </w:tabs>
        <w:spacing w:line="276" w:lineRule="auto"/>
        <w:rPr>
          <w:rFonts w:eastAsiaTheme="minorEastAsia"/>
          <w:noProof/>
        </w:rPr>
      </w:pPr>
      <w:hyperlink w:anchor="_Toc3716052" w:history="1">
        <w:r w:rsidRPr="00F61130">
          <w:rPr>
            <w:rStyle w:val="Hyperlink"/>
            <w:noProof/>
          </w:rPr>
          <w:t>1.2.6.1</w:t>
        </w:r>
        <w:r w:rsidRPr="00F61130">
          <w:rPr>
            <w:rFonts w:eastAsiaTheme="minorEastAsia"/>
            <w:noProof/>
          </w:rPr>
          <w:tab/>
        </w:r>
        <w:r w:rsidRPr="00F61130">
          <w:rPr>
            <w:rStyle w:val="Hyperlink"/>
            <w:noProof/>
          </w:rPr>
          <w:t>Amphotericin B &amp; Liposomal Amphotericin B</w:t>
        </w:r>
        <w:r w:rsidRPr="00F61130">
          <w:rPr>
            <w:noProof/>
            <w:webHidden/>
          </w:rPr>
          <w:tab/>
        </w:r>
        <w:r w:rsidRPr="00F61130">
          <w:rPr>
            <w:noProof/>
            <w:webHidden/>
          </w:rPr>
          <w:fldChar w:fldCharType="begin"/>
        </w:r>
        <w:r w:rsidRPr="00F61130">
          <w:rPr>
            <w:noProof/>
            <w:webHidden/>
          </w:rPr>
          <w:instrText xml:space="preserve"> PAGEREF _Toc3716052 \h </w:instrText>
        </w:r>
        <w:r w:rsidRPr="00F61130">
          <w:rPr>
            <w:noProof/>
            <w:webHidden/>
          </w:rPr>
        </w:r>
        <w:r w:rsidRPr="00F61130">
          <w:rPr>
            <w:noProof/>
            <w:webHidden/>
          </w:rPr>
          <w:fldChar w:fldCharType="separate"/>
        </w:r>
        <w:r w:rsidRPr="00F61130">
          <w:rPr>
            <w:noProof/>
            <w:webHidden/>
          </w:rPr>
          <w:t>31</w:t>
        </w:r>
        <w:r w:rsidRPr="00F61130">
          <w:rPr>
            <w:noProof/>
            <w:webHidden/>
          </w:rPr>
          <w:fldChar w:fldCharType="end"/>
        </w:r>
      </w:hyperlink>
    </w:p>
    <w:p w14:paraId="6E6F6820" w14:textId="6C548F93" w:rsidR="00F61130" w:rsidRPr="00F61130" w:rsidRDefault="00F61130" w:rsidP="00F61130">
      <w:pPr>
        <w:pStyle w:val="TOC4"/>
        <w:tabs>
          <w:tab w:val="left" w:pos="1680"/>
          <w:tab w:val="right" w:leader="dot" w:pos="8771"/>
        </w:tabs>
        <w:spacing w:line="276" w:lineRule="auto"/>
        <w:rPr>
          <w:rFonts w:eastAsiaTheme="minorEastAsia"/>
          <w:noProof/>
        </w:rPr>
      </w:pPr>
      <w:hyperlink w:anchor="_Toc3716053" w:history="1">
        <w:r w:rsidRPr="00F61130">
          <w:rPr>
            <w:rStyle w:val="Hyperlink"/>
            <w:noProof/>
          </w:rPr>
          <w:t>1.2.6.2</w:t>
        </w:r>
        <w:r w:rsidRPr="00F61130">
          <w:rPr>
            <w:rFonts w:eastAsiaTheme="minorEastAsia"/>
            <w:noProof/>
          </w:rPr>
          <w:tab/>
        </w:r>
        <w:r w:rsidRPr="00F61130">
          <w:rPr>
            <w:rStyle w:val="Hyperlink"/>
            <w:noProof/>
          </w:rPr>
          <w:t>Other Treatments</w:t>
        </w:r>
        <w:r w:rsidRPr="00F61130">
          <w:rPr>
            <w:noProof/>
            <w:webHidden/>
          </w:rPr>
          <w:tab/>
        </w:r>
        <w:r w:rsidRPr="00F61130">
          <w:rPr>
            <w:noProof/>
            <w:webHidden/>
          </w:rPr>
          <w:fldChar w:fldCharType="begin"/>
        </w:r>
        <w:r w:rsidRPr="00F61130">
          <w:rPr>
            <w:noProof/>
            <w:webHidden/>
          </w:rPr>
          <w:instrText xml:space="preserve"> PAGEREF _Toc3716053 \h </w:instrText>
        </w:r>
        <w:r w:rsidRPr="00F61130">
          <w:rPr>
            <w:noProof/>
            <w:webHidden/>
          </w:rPr>
        </w:r>
        <w:r w:rsidRPr="00F61130">
          <w:rPr>
            <w:noProof/>
            <w:webHidden/>
          </w:rPr>
          <w:fldChar w:fldCharType="separate"/>
        </w:r>
        <w:r w:rsidRPr="00F61130">
          <w:rPr>
            <w:noProof/>
            <w:webHidden/>
          </w:rPr>
          <w:t>34</w:t>
        </w:r>
        <w:r w:rsidRPr="00F61130">
          <w:rPr>
            <w:noProof/>
            <w:webHidden/>
          </w:rPr>
          <w:fldChar w:fldCharType="end"/>
        </w:r>
      </w:hyperlink>
    </w:p>
    <w:p w14:paraId="42FA9913" w14:textId="52D40C9D" w:rsidR="00F61130" w:rsidRPr="00F61130" w:rsidRDefault="00F61130" w:rsidP="00F61130">
      <w:pPr>
        <w:pStyle w:val="TOC3"/>
        <w:tabs>
          <w:tab w:val="right" w:leader="dot" w:pos="8771"/>
        </w:tabs>
        <w:spacing w:line="276" w:lineRule="auto"/>
        <w:rPr>
          <w:rFonts w:eastAsiaTheme="minorEastAsia"/>
          <w:noProof/>
        </w:rPr>
      </w:pPr>
      <w:hyperlink w:anchor="_Toc3716054" w:history="1">
        <w:r w:rsidRPr="00F61130">
          <w:rPr>
            <w:rStyle w:val="Hyperlink"/>
            <w:noProof/>
          </w:rPr>
          <w:t>1.2.7</w:t>
        </w:r>
        <w:r w:rsidRPr="00F61130">
          <w:rPr>
            <w:rStyle w:val="Hyperlink"/>
            <w:i/>
            <w:noProof/>
          </w:rPr>
          <w:t xml:space="preserve"> In silico</w:t>
        </w:r>
        <w:r w:rsidRPr="00F61130">
          <w:rPr>
            <w:rStyle w:val="Hyperlink"/>
            <w:noProof/>
          </w:rPr>
          <w:t xml:space="preserve"> models of Leishmaniasis</w:t>
        </w:r>
        <w:r w:rsidRPr="00F61130">
          <w:rPr>
            <w:noProof/>
            <w:webHidden/>
          </w:rPr>
          <w:tab/>
        </w:r>
        <w:r w:rsidRPr="00F61130">
          <w:rPr>
            <w:noProof/>
            <w:webHidden/>
          </w:rPr>
          <w:fldChar w:fldCharType="begin"/>
        </w:r>
        <w:r w:rsidRPr="00F61130">
          <w:rPr>
            <w:noProof/>
            <w:webHidden/>
          </w:rPr>
          <w:instrText xml:space="preserve"> PAGEREF _Toc3716054 \h </w:instrText>
        </w:r>
        <w:r w:rsidRPr="00F61130">
          <w:rPr>
            <w:noProof/>
            <w:webHidden/>
          </w:rPr>
        </w:r>
        <w:r w:rsidRPr="00F61130">
          <w:rPr>
            <w:noProof/>
            <w:webHidden/>
          </w:rPr>
          <w:fldChar w:fldCharType="separate"/>
        </w:r>
        <w:r w:rsidRPr="00F61130">
          <w:rPr>
            <w:noProof/>
            <w:webHidden/>
          </w:rPr>
          <w:t>35</w:t>
        </w:r>
        <w:r w:rsidRPr="00F61130">
          <w:rPr>
            <w:noProof/>
            <w:webHidden/>
          </w:rPr>
          <w:fldChar w:fldCharType="end"/>
        </w:r>
      </w:hyperlink>
    </w:p>
    <w:p w14:paraId="22CF34B6" w14:textId="6615F086" w:rsidR="00F61130" w:rsidRPr="00F61130" w:rsidRDefault="00F61130" w:rsidP="00F61130">
      <w:pPr>
        <w:pStyle w:val="TOC2"/>
        <w:spacing w:line="276" w:lineRule="auto"/>
        <w:rPr>
          <w:rFonts w:eastAsiaTheme="minorEastAsia"/>
          <w:noProof/>
        </w:rPr>
      </w:pPr>
      <w:hyperlink w:anchor="_Toc3716055" w:history="1">
        <w:r w:rsidRPr="00F61130">
          <w:rPr>
            <w:rStyle w:val="Hyperlink"/>
            <w:noProof/>
            <w14:scene3d>
              <w14:camera w14:prst="orthographicFront"/>
              <w14:lightRig w14:rig="threePt" w14:dir="t">
                <w14:rot w14:lat="0" w14:lon="0" w14:rev="0"/>
              </w14:lightRig>
            </w14:scene3d>
          </w:rPr>
          <w:t>1.3</w:t>
        </w:r>
        <w:r w:rsidRPr="00F61130">
          <w:rPr>
            <w:rStyle w:val="Hyperlink"/>
            <w:i/>
            <w:noProof/>
          </w:rPr>
          <w:t xml:space="preserve"> In silico </w:t>
        </w:r>
        <w:r w:rsidRPr="00F61130">
          <w:rPr>
            <w:rStyle w:val="Hyperlink"/>
            <w:noProof/>
          </w:rPr>
          <w:t>Modelling of Biological Systems</w:t>
        </w:r>
        <w:r w:rsidRPr="00F61130">
          <w:rPr>
            <w:noProof/>
            <w:webHidden/>
          </w:rPr>
          <w:tab/>
        </w:r>
        <w:r w:rsidRPr="00F61130">
          <w:rPr>
            <w:noProof/>
            <w:webHidden/>
          </w:rPr>
          <w:fldChar w:fldCharType="begin"/>
        </w:r>
        <w:r w:rsidRPr="00F61130">
          <w:rPr>
            <w:noProof/>
            <w:webHidden/>
          </w:rPr>
          <w:instrText xml:space="preserve"> PAGEREF _Toc3716055 \h </w:instrText>
        </w:r>
        <w:r w:rsidRPr="00F61130">
          <w:rPr>
            <w:noProof/>
            <w:webHidden/>
          </w:rPr>
        </w:r>
        <w:r w:rsidRPr="00F61130">
          <w:rPr>
            <w:noProof/>
            <w:webHidden/>
          </w:rPr>
          <w:fldChar w:fldCharType="separate"/>
        </w:r>
        <w:r w:rsidRPr="00F61130">
          <w:rPr>
            <w:noProof/>
            <w:webHidden/>
          </w:rPr>
          <w:t>36</w:t>
        </w:r>
        <w:r w:rsidRPr="00F61130">
          <w:rPr>
            <w:noProof/>
            <w:webHidden/>
          </w:rPr>
          <w:fldChar w:fldCharType="end"/>
        </w:r>
      </w:hyperlink>
    </w:p>
    <w:p w14:paraId="0225F68C" w14:textId="456F87FC" w:rsidR="00F61130" w:rsidRPr="00F61130" w:rsidRDefault="00F61130" w:rsidP="00F61130">
      <w:pPr>
        <w:pStyle w:val="TOC3"/>
        <w:tabs>
          <w:tab w:val="right" w:leader="dot" w:pos="8771"/>
        </w:tabs>
        <w:spacing w:line="276" w:lineRule="auto"/>
        <w:rPr>
          <w:rFonts w:eastAsiaTheme="minorEastAsia"/>
          <w:noProof/>
        </w:rPr>
      </w:pPr>
      <w:hyperlink w:anchor="_Toc3716056" w:history="1">
        <w:r w:rsidRPr="00F61130">
          <w:rPr>
            <w:rStyle w:val="Hyperlink"/>
            <w:noProof/>
          </w:rPr>
          <w:t>1.3.1</w:t>
        </w:r>
        <w:r w:rsidRPr="00F61130">
          <w:rPr>
            <w:rStyle w:val="Hyperlink"/>
            <w:i/>
            <w:noProof/>
          </w:rPr>
          <w:t xml:space="preserve"> In silico</w:t>
        </w:r>
        <w:r w:rsidRPr="00F61130">
          <w:rPr>
            <w:rStyle w:val="Hyperlink"/>
            <w:noProof/>
          </w:rPr>
          <w:t xml:space="preserve"> Modelling Approaches</w:t>
        </w:r>
        <w:r w:rsidRPr="00F61130">
          <w:rPr>
            <w:noProof/>
            <w:webHidden/>
          </w:rPr>
          <w:tab/>
        </w:r>
        <w:r w:rsidRPr="00F61130">
          <w:rPr>
            <w:noProof/>
            <w:webHidden/>
          </w:rPr>
          <w:fldChar w:fldCharType="begin"/>
        </w:r>
        <w:r w:rsidRPr="00F61130">
          <w:rPr>
            <w:noProof/>
            <w:webHidden/>
          </w:rPr>
          <w:instrText xml:space="preserve"> PAGEREF _Toc3716056 \h </w:instrText>
        </w:r>
        <w:r w:rsidRPr="00F61130">
          <w:rPr>
            <w:noProof/>
            <w:webHidden/>
          </w:rPr>
        </w:r>
        <w:r w:rsidRPr="00F61130">
          <w:rPr>
            <w:noProof/>
            <w:webHidden/>
          </w:rPr>
          <w:fldChar w:fldCharType="separate"/>
        </w:r>
        <w:r w:rsidRPr="00F61130">
          <w:rPr>
            <w:noProof/>
            <w:webHidden/>
          </w:rPr>
          <w:t>36</w:t>
        </w:r>
        <w:r w:rsidRPr="00F61130">
          <w:rPr>
            <w:noProof/>
            <w:webHidden/>
          </w:rPr>
          <w:fldChar w:fldCharType="end"/>
        </w:r>
      </w:hyperlink>
    </w:p>
    <w:p w14:paraId="057016D4" w14:textId="14702AFC" w:rsidR="00F61130" w:rsidRPr="00F61130" w:rsidRDefault="00F61130" w:rsidP="00F61130">
      <w:pPr>
        <w:pStyle w:val="TOC4"/>
        <w:tabs>
          <w:tab w:val="left" w:pos="1680"/>
          <w:tab w:val="right" w:leader="dot" w:pos="8771"/>
        </w:tabs>
        <w:spacing w:line="276" w:lineRule="auto"/>
        <w:rPr>
          <w:rFonts w:eastAsiaTheme="minorEastAsia"/>
          <w:noProof/>
        </w:rPr>
      </w:pPr>
      <w:hyperlink w:anchor="_Toc3716057" w:history="1">
        <w:r w:rsidRPr="00F61130">
          <w:rPr>
            <w:rStyle w:val="Hyperlink"/>
            <w:noProof/>
          </w:rPr>
          <w:t>1.3.1.1</w:t>
        </w:r>
        <w:r w:rsidRPr="00F61130">
          <w:rPr>
            <w:rFonts w:eastAsiaTheme="minorEastAsia"/>
            <w:noProof/>
          </w:rPr>
          <w:tab/>
        </w:r>
        <w:r w:rsidRPr="00F61130">
          <w:rPr>
            <w:rStyle w:val="Hyperlink"/>
            <w:noProof/>
          </w:rPr>
          <w:t>Ordinary (ODE) and Partial (PDE) differential equations</w:t>
        </w:r>
        <w:r w:rsidRPr="00F61130">
          <w:rPr>
            <w:noProof/>
            <w:webHidden/>
          </w:rPr>
          <w:tab/>
        </w:r>
        <w:r w:rsidRPr="00F61130">
          <w:rPr>
            <w:noProof/>
            <w:webHidden/>
          </w:rPr>
          <w:fldChar w:fldCharType="begin"/>
        </w:r>
        <w:r w:rsidRPr="00F61130">
          <w:rPr>
            <w:noProof/>
            <w:webHidden/>
          </w:rPr>
          <w:instrText xml:space="preserve"> PAGEREF _Toc3716057 \h </w:instrText>
        </w:r>
        <w:r w:rsidRPr="00F61130">
          <w:rPr>
            <w:noProof/>
            <w:webHidden/>
          </w:rPr>
        </w:r>
        <w:r w:rsidRPr="00F61130">
          <w:rPr>
            <w:noProof/>
            <w:webHidden/>
          </w:rPr>
          <w:fldChar w:fldCharType="separate"/>
        </w:r>
        <w:r w:rsidRPr="00F61130">
          <w:rPr>
            <w:noProof/>
            <w:webHidden/>
          </w:rPr>
          <w:t>36</w:t>
        </w:r>
        <w:r w:rsidRPr="00F61130">
          <w:rPr>
            <w:noProof/>
            <w:webHidden/>
          </w:rPr>
          <w:fldChar w:fldCharType="end"/>
        </w:r>
      </w:hyperlink>
    </w:p>
    <w:p w14:paraId="38287ED0" w14:textId="2BD224D6" w:rsidR="00F61130" w:rsidRPr="00F61130" w:rsidRDefault="00F61130" w:rsidP="00F61130">
      <w:pPr>
        <w:pStyle w:val="TOC4"/>
        <w:tabs>
          <w:tab w:val="left" w:pos="1680"/>
          <w:tab w:val="right" w:leader="dot" w:pos="8771"/>
        </w:tabs>
        <w:spacing w:line="276" w:lineRule="auto"/>
        <w:rPr>
          <w:rFonts w:eastAsiaTheme="minorEastAsia"/>
          <w:noProof/>
        </w:rPr>
      </w:pPr>
      <w:hyperlink w:anchor="_Toc3716058" w:history="1">
        <w:r w:rsidRPr="00F61130">
          <w:rPr>
            <w:rStyle w:val="Hyperlink"/>
            <w:noProof/>
          </w:rPr>
          <w:t>1.3.1.2</w:t>
        </w:r>
        <w:r w:rsidRPr="00F61130">
          <w:rPr>
            <w:rFonts w:eastAsiaTheme="minorEastAsia"/>
            <w:noProof/>
          </w:rPr>
          <w:tab/>
        </w:r>
        <w:r w:rsidRPr="00F61130">
          <w:rPr>
            <w:rStyle w:val="Hyperlink"/>
            <w:noProof/>
          </w:rPr>
          <w:t>Agent-Based Models</w:t>
        </w:r>
        <w:r w:rsidRPr="00F61130">
          <w:rPr>
            <w:noProof/>
            <w:webHidden/>
          </w:rPr>
          <w:tab/>
        </w:r>
        <w:r w:rsidRPr="00F61130">
          <w:rPr>
            <w:noProof/>
            <w:webHidden/>
          </w:rPr>
          <w:fldChar w:fldCharType="begin"/>
        </w:r>
        <w:r w:rsidRPr="00F61130">
          <w:rPr>
            <w:noProof/>
            <w:webHidden/>
          </w:rPr>
          <w:instrText xml:space="preserve"> PAGEREF _Toc3716058 \h </w:instrText>
        </w:r>
        <w:r w:rsidRPr="00F61130">
          <w:rPr>
            <w:noProof/>
            <w:webHidden/>
          </w:rPr>
        </w:r>
        <w:r w:rsidRPr="00F61130">
          <w:rPr>
            <w:noProof/>
            <w:webHidden/>
          </w:rPr>
          <w:fldChar w:fldCharType="separate"/>
        </w:r>
        <w:r w:rsidRPr="00F61130">
          <w:rPr>
            <w:noProof/>
            <w:webHidden/>
          </w:rPr>
          <w:t>39</w:t>
        </w:r>
        <w:r w:rsidRPr="00F61130">
          <w:rPr>
            <w:noProof/>
            <w:webHidden/>
          </w:rPr>
          <w:fldChar w:fldCharType="end"/>
        </w:r>
      </w:hyperlink>
    </w:p>
    <w:p w14:paraId="0495BA16" w14:textId="0A0BF54B" w:rsidR="00F61130" w:rsidRPr="00F61130" w:rsidRDefault="00F61130" w:rsidP="00F61130">
      <w:pPr>
        <w:pStyle w:val="TOC3"/>
        <w:tabs>
          <w:tab w:val="right" w:leader="dot" w:pos="8771"/>
        </w:tabs>
        <w:spacing w:line="276" w:lineRule="auto"/>
        <w:rPr>
          <w:rFonts w:eastAsiaTheme="minorEastAsia"/>
          <w:noProof/>
        </w:rPr>
      </w:pPr>
      <w:hyperlink w:anchor="_Toc3716059" w:history="1">
        <w:r w:rsidRPr="00F61130">
          <w:rPr>
            <w:rStyle w:val="Hyperlink"/>
            <w:noProof/>
          </w:rPr>
          <w:t>1.3.2 CoSMoS: A Framework for Model Development</w:t>
        </w:r>
        <w:r w:rsidRPr="00F61130">
          <w:rPr>
            <w:noProof/>
            <w:webHidden/>
          </w:rPr>
          <w:tab/>
        </w:r>
        <w:r w:rsidRPr="00F61130">
          <w:rPr>
            <w:noProof/>
            <w:webHidden/>
          </w:rPr>
          <w:fldChar w:fldCharType="begin"/>
        </w:r>
        <w:r w:rsidRPr="00F61130">
          <w:rPr>
            <w:noProof/>
            <w:webHidden/>
          </w:rPr>
          <w:instrText xml:space="preserve"> PAGEREF _Toc3716059 \h </w:instrText>
        </w:r>
        <w:r w:rsidRPr="00F61130">
          <w:rPr>
            <w:noProof/>
            <w:webHidden/>
          </w:rPr>
        </w:r>
        <w:r w:rsidRPr="00F61130">
          <w:rPr>
            <w:noProof/>
            <w:webHidden/>
          </w:rPr>
          <w:fldChar w:fldCharType="separate"/>
        </w:r>
        <w:r w:rsidRPr="00F61130">
          <w:rPr>
            <w:noProof/>
            <w:webHidden/>
          </w:rPr>
          <w:t>41</w:t>
        </w:r>
        <w:r w:rsidRPr="00F61130">
          <w:rPr>
            <w:noProof/>
            <w:webHidden/>
          </w:rPr>
          <w:fldChar w:fldCharType="end"/>
        </w:r>
      </w:hyperlink>
    </w:p>
    <w:p w14:paraId="7F10A1F3" w14:textId="0268DBC3" w:rsidR="00F61130" w:rsidRPr="00F61130" w:rsidRDefault="00F61130" w:rsidP="00F61130">
      <w:pPr>
        <w:pStyle w:val="TOC4"/>
        <w:tabs>
          <w:tab w:val="left" w:pos="1680"/>
          <w:tab w:val="right" w:leader="dot" w:pos="8771"/>
        </w:tabs>
        <w:spacing w:line="276" w:lineRule="auto"/>
        <w:rPr>
          <w:rFonts w:eastAsiaTheme="minorEastAsia"/>
          <w:noProof/>
        </w:rPr>
      </w:pPr>
      <w:hyperlink w:anchor="_Toc3716060" w:history="1">
        <w:r w:rsidRPr="00F61130">
          <w:rPr>
            <w:rStyle w:val="Hyperlink"/>
            <w:noProof/>
          </w:rPr>
          <w:t>1.3.2.1</w:t>
        </w:r>
        <w:r w:rsidRPr="00F61130">
          <w:rPr>
            <w:rFonts w:eastAsiaTheme="minorEastAsia"/>
            <w:noProof/>
          </w:rPr>
          <w:tab/>
        </w:r>
        <w:r w:rsidRPr="00F61130">
          <w:rPr>
            <w:rStyle w:val="Hyperlink"/>
            <w:noProof/>
          </w:rPr>
          <w:t>Overview</w:t>
        </w:r>
        <w:r w:rsidRPr="00F61130">
          <w:rPr>
            <w:noProof/>
            <w:webHidden/>
          </w:rPr>
          <w:tab/>
        </w:r>
        <w:r w:rsidRPr="00F61130">
          <w:rPr>
            <w:noProof/>
            <w:webHidden/>
          </w:rPr>
          <w:fldChar w:fldCharType="begin"/>
        </w:r>
        <w:r w:rsidRPr="00F61130">
          <w:rPr>
            <w:noProof/>
            <w:webHidden/>
          </w:rPr>
          <w:instrText xml:space="preserve"> PAGEREF _Toc3716060 \h </w:instrText>
        </w:r>
        <w:r w:rsidRPr="00F61130">
          <w:rPr>
            <w:noProof/>
            <w:webHidden/>
          </w:rPr>
        </w:r>
        <w:r w:rsidRPr="00F61130">
          <w:rPr>
            <w:noProof/>
            <w:webHidden/>
          </w:rPr>
          <w:fldChar w:fldCharType="separate"/>
        </w:r>
        <w:r w:rsidRPr="00F61130">
          <w:rPr>
            <w:noProof/>
            <w:webHidden/>
          </w:rPr>
          <w:t>41</w:t>
        </w:r>
        <w:r w:rsidRPr="00F61130">
          <w:rPr>
            <w:noProof/>
            <w:webHidden/>
          </w:rPr>
          <w:fldChar w:fldCharType="end"/>
        </w:r>
      </w:hyperlink>
    </w:p>
    <w:p w14:paraId="3C21DDD1" w14:textId="66951621" w:rsidR="00F61130" w:rsidRPr="00F61130" w:rsidRDefault="00F61130" w:rsidP="00F61130">
      <w:pPr>
        <w:pStyle w:val="TOC4"/>
        <w:tabs>
          <w:tab w:val="left" w:pos="1680"/>
          <w:tab w:val="right" w:leader="dot" w:pos="8771"/>
        </w:tabs>
        <w:spacing w:line="276" w:lineRule="auto"/>
        <w:rPr>
          <w:rFonts w:eastAsiaTheme="minorEastAsia"/>
          <w:noProof/>
        </w:rPr>
      </w:pPr>
      <w:hyperlink w:anchor="_Toc3716061" w:history="1">
        <w:r w:rsidRPr="00F61130">
          <w:rPr>
            <w:rStyle w:val="Hyperlink"/>
            <w:noProof/>
          </w:rPr>
          <w:t>1.3.2.2</w:t>
        </w:r>
        <w:r w:rsidRPr="00F61130">
          <w:rPr>
            <w:rFonts w:eastAsiaTheme="minorEastAsia"/>
            <w:noProof/>
          </w:rPr>
          <w:tab/>
        </w:r>
        <w:r w:rsidRPr="00F61130">
          <w:rPr>
            <w:rStyle w:val="Hyperlink"/>
            <w:noProof/>
          </w:rPr>
          <w:t>Products</w:t>
        </w:r>
        <w:r w:rsidRPr="00F61130">
          <w:rPr>
            <w:noProof/>
            <w:webHidden/>
          </w:rPr>
          <w:tab/>
        </w:r>
        <w:r w:rsidRPr="00F61130">
          <w:rPr>
            <w:noProof/>
            <w:webHidden/>
          </w:rPr>
          <w:fldChar w:fldCharType="begin"/>
        </w:r>
        <w:r w:rsidRPr="00F61130">
          <w:rPr>
            <w:noProof/>
            <w:webHidden/>
          </w:rPr>
          <w:instrText xml:space="preserve"> PAGEREF _Toc3716061 \h </w:instrText>
        </w:r>
        <w:r w:rsidRPr="00F61130">
          <w:rPr>
            <w:noProof/>
            <w:webHidden/>
          </w:rPr>
        </w:r>
        <w:r w:rsidRPr="00F61130">
          <w:rPr>
            <w:noProof/>
            <w:webHidden/>
          </w:rPr>
          <w:fldChar w:fldCharType="separate"/>
        </w:r>
        <w:r w:rsidRPr="00F61130">
          <w:rPr>
            <w:noProof/>
            <w:webHidden/>
          </w:rPr>
          <w:t>43</w:t>
        </w:r>
        <w:r w:rsidRPr="00F61130">
          <w:rPr>
            <w:noProof/>
            <w:webHidden/>
          </w:rPr>
          <w:fldChar w:fldCharType="end"/>
        </w:r>
      </w:hyperlink>
    </w:p>
    <w:p w14:paraId="7A475C2F" w14:textId="20BCDE5E" w:rsidR="00F61130" w:rsidRPr="00F61130" w:rsidRDefault="00F61130" w:rsidP="00F61130">
      <w:pPr>
        <w:pStyle w:val="TOC3"/>
        <w:tabs>
          <w:tab w:val="right" w:leader="dot" w:pos="8771"/>
        </w:tabs>
        <w:spacing w:line="276" w:lineRule="auto"/>
        <w:rPr>
          <w:rFonts w:eastAsiaTheme="minorEastAsia"/>
          <w:noProof/>
        </w:rPr>
      </w:pPr>
      <w:hyperlink w:anchor="_Toc3716062" w:history="1">
        <w:r w:rsidRPr="00F61130">
          <w:rPr>
            <w:rStyle w:val="Hyperlink"/>
            <w:noProof/>
          </w:rPr>
          <w:t xml:space="preserve">1.3.3 Calibration of </w:t>
        </w:r>
        <w:r w:rsidRPr="00F61130">
          <w:rPr>
            <w:rStyle w:val="Hyperlink"/>
            <w:i/>
            <w:noProof/>
          </w:rPr>
          <w:t>in silico</w:t>
        </w:r>
        <w:r w:rsidRPr="00F61130">
          <w:rPr>
            <w:rStyle w:val="Hyperlink"/>
            <w:noProof/>
          </w:rPr>
          <w:t xml:space="preserve"> Models</w:t>
        </w:r>
        <w:r w:rsidRPr="00F61130">
          <w:rPr>
            <w:noProof/>
            <w:webHidden/>
          </w:rPr>
          <w:tab/>
        </w:r>
        <w:r w:rsidRPr="00F61130">
          <w:rPr>
            <w:noProof/>
            <w:webHidden/>
          </w:rPr>
          <w:fldChar w:fldCharType="begin"/>
        </w:r>
        <w:r w:rsidRPr="00F61130">
          <w:rPr>
            <w:noProof/>
            <w:webHidden/>
          </w:rPr>
          <w:instrText xml:space="preserve"> PAGEREF _Toc3716062 \h </w:instrText>
        </w:r>
        <w:r w:rsidRPr="00F61130">
          <w:rPr>
            <w:noProof/>
            <w:webHidden/>
          </w:rPr>
        </w:r>
        <w:r w:rsidRPr="00F61130">
          <w:rPr>
            <w:noProof/>
            <w:webHidden/>
          </w:rPr>
          <w:fldChar w:fldCharType="separate"/>
        </w:r>
        <w:r w:rsidRPr="00F61130">
          <w:rPr>
            <w:noProof/>
            <w:webHidden/>
          </w:rPr>
          <w:t>45</w:t>
        </w:r>
        <w:r w:rsidRPr="00F61130">
          <w:rPr>
            <w:noProof/>
            <w:webHidden/>
          </w:rPr>
          <w:fldChar w:fldCharType="end"/>
        </w:r>
      </w:hyperlink>
    </w:p>
    <w:p w14:paraId="1EA87F4C" w14:textId="37D71CE8" w:rsidR="00F61130" w:rsidRPr="00F61130" w:rsidRDefault="00F61130" w:rsidP="00F61130">
      <w:pPr>
        <w:pStyle w:val="TOC4"/>
        <w:tabs>
          <w:tab w:val="left" w:pos="1680"/>
          <w:tab w:val="right" w:leader="dot" w:pos="8771"/>
        </w:tabs>
        <w:spacing w:line="276" w:lineRule="auto"/>
        <w:rPr>
          <w:rFonts w:eastAsiaTheme="minorEastAsia"/>
          <w:noProof/>
        </w:rPr>
      </w:pPr>
      <w:hyperlink w:anchor="_Toc3716063" w:history="1">
        <w:r w:rsidRPr="00F61130">
          <w:rPr>
            <w:rStyle w:val="Hyperlink"/>
            <w:noProof/>
          </w:rPr>
          <w:t>1.3.3.1</w:t>
        </w:r>
        <w:r w:rsidRPr="00F61130">
          <w:rPr>
            <w:rFonts w:eastAsiaTheme="minorEastAsia"/>
            <w:noProof/>
          </w:rPr>
          <w:tab/>
        </w:r>
        <w:r w:rsidRPr="00F61130">
          <w:rPr>
            <w:rStyle w:val="Hyperlink"/>
            <w:noProof/>
          </w:rPr>
          <w:t>Frequentist Approach</w:t>
        </w:r>
        <w:r w:rsidRPr="00F61130">
          <w:rPr>
            <w:noProof/>
            <w:webHidden/>
          </w:rPr>
          <w:tab/>
        </w:r>
        <w:r w:rsidRPr="00F61130">
          <w:rPr>
            <w:noProof/>
            <w:webHidden/>
          </w:rPr>
          <w:fldChar w:fldCharType="begin"/>
        </w:r>
        <w:r w:rsidRPr="00F61130">
          <w:rPr>
            <w:noProof/>
            <w:webHidden/>
          </w:rPr>
          <w:instrText xml:space="preserve"> PAGEREF _Toc3716063 \h </w:instrText>
        </w:r>
        <w:r w:rsidRPr="00F61130">
          <w:rPr>
            <w:noProof/>
            <w:webHidden/>
          </w:rPr>
        </w:r>
        <w:r w:rsidRPr="00F61130">
          <w:rPr>
            <w:noProof/>
            <w:webHidden/>
          </w:rPr>
          <w:fldChar w:fldCharType="separate"/>
        </w:r>
        <w:r w:rsidRPr="00F61130">
          <w:rPr>
            <w:noProof/>
            <w:webHidden/>
          </w:rPr>
          <w:t>46</w:t>
        </w:r>
        <w:r w:rsidRPr="00F61130">
          <w:rPr>
            <w:noProof/>
            <w:webHidden/>
          </w:rPr>
          <w:fldChar w:fldCharType="end"/>
        </w:r>
      </w:hyperlink>
    </w:p>
    <w:p w14:paraId="412842C7" w14:textId="1675DF14" w:rsidR="00F61130" w:rsidRPr="00F61130" w:rsidRDefault="00F61130" w:rsidP="00F61130">
      <w:pPr>
        <w:pStyle w:val="TOC4"/>
        <w:tabs>
          <w:tab w:val="left" w:pos="1680"/>
          <w:tab w:val="right" w:leader="dot" w:pos="8771"/>
        </w:tabs>
        <w:spacing w:line="276" w:lineRule="auto"/>
        <w:rPr>
          <w:rFonts w:eastAsiaTheme="minorEastAsia"/>
          <w:noProof/>
        </w:rPr>
      </w:pPr>
      <w:hyperlink w:anchor="_Toc3716064" w:history="1">
        <w:r w:rsidRPr="00F61130">
          <w:rPr>
            <w:rStyle w:val="Hyperlink"/>
            <w:noProof/>
          </w:rPr>
          <w:t>1.3.3.2</w:t>
        </w:r>
        <w:r w:rsidRPr="00F61130">
          <w:rPr>
            <w:rFonts w:eastAsiaTheme="minorEastAsia"/>
            <w:noProof/>
          </w:rPr>
          <w:tab/>
        </w:r>
        <w:r w:rsidRPr="00F61130">
          <w:rPr>
            <w:rStyle w:val="Hyperlink"/>
            <w:noProof/>
          </w:rPr>
          <w:t>Bayesian Approach</w:t>
        </w:r>
        <w:r w:rsidRPr="00F61130">
          <w:rPr>
            <w:noProof/>
            <w:webHidden/>
          </w:rPr>
          <w:tab/>
        </w:r>
        <w:r w:rsidRPr="00F61130">
          <w:rPr>
            <w:noProof/>
            <w:webHidden/>
          </w:rPr>
          <w:fldChar w:fldCharType="begin"/>
        </w:r>
        <w:r w:rsidRPr="00F61130">
          <w:rPr>
            <w:noProof/>
            <w:webHidden/>
          </w:rPr>
          <w:instrText xml:space="preserve"> PAGEREF _Toc3716064 \h </w:instrText>
        </w:r>
        <w:r w:rsidRPr="00F61130">
          <w:rPr>
            <w:noProof/>
            <w:webHidden/>
          </w:rPr>
        </w:r>
        <w:r w:rsidRPr="00F61130">
          <w:rPr>
            <w:noProof/>
            <w:webHidden/>
          </w:rPr>
          <w:fldChar w:fldCharType="separate"/>
        </w:r>
        <w:r w:rsidRPr="00F61130">
          <w:rPr>
            <w:noProof/>
            <w:webHidden/>
          </w:rPr>
          <w:t>46</w:t>
        </w:r>
        <w:r w:rsidRPr="00F61130">
          <w:rPr>
            <w:noProof/>
            <w:webHidden/>
          </w:rPr>
          <w:fldChar w:fldCharType="end"/>
        </w:r>
      </w:hyperlink>
    </w:p>
    <w:p w14:paraId="4096A0AA" w14:textId="4F4F767C" w:rsidR="00F61130" w:rsidRPr="00F61130" w:rsidRDefault="00F61130" w:rsidP="00F61130">
      <w:pPr>
        <w:pStyle w:val="TOC4"/>
        <w:tabs>
          <w:tab w:val="left" w:pos="1680"/>
          <w:tab w:val="right" w:leader="dot" w:pos="8771"/>
        </w:tabs>
        <w:spacing w:line="276" w:lineRule="auto"/>
        <w:rPr>
          <w:rFonts w:eastAsiaTheme="minorEastAsia"/>
          <w:noProof/>
        </w:rPr>
      </w:pPr>
      <w:hyperlink w:anchor="_Toc3716065" w:history="1">
        <w:r w:rsidRPr="00F61130">
          <w:rPr>
            <w:rStyle w:val="Hyperlink"/>
            <w:noProof/>
          </w:rPr>
          <w:t>1.3.3.3</w:t>
        </w:r>
        <w:r w:rsidRPr="00F61130">
          <w:rPr>
            <w:rFonts w:eastAsiaTheme="minorEastAsia"/>
            <w:noProof/>
          </w:rPr>
          <w:tab/>
        </w:r>
        <w:r w:rsidRPr="00F61130">
          <w:rPr>
            <w:rStyle w:val="Hyperlink"/>
            <w:noProof/>
          </w:rPr>
          <w:t>Approximate Bayesian Computation</w:t>
        </w:r>
        <w:r w:rsidRPr="00F61130">
          <w:rPr>
            <w:noProof/>
            <w:webHidden/>
          </w:rPr>
          <w:tab/>
        </w:r>
        <w:r w:rsidRPr="00F61130">
          <w:rPr>
            <w:noProof/>
            <w:webHidden/>
          </w:rPr>
          <w:fldChar w:fldCharType="begin"/>
        </w:r>
        <w:r w:rsidRPr="00F61130">
          <w:rPr>
            <w:noProof/>
            <w:webHidden/>
          </w:rPr>
          <w:instrText xml:space="preserve"> PAGEREF _Toc3716065 \h </w:instrText>
        </w:r>
        <w:r w:rsidRPr="00F61130">
          <w:rPr>
            <w:noProof/>
            <w:webHidden/>
          </w:rPr>
        </w:r>
        <w:r w:rsidRPr="00F61130">
          <w:rPr>
            <w:noProof/>
            <w:webHidden/>
          </w:rPr>
          <w:fldChar w:fldCharType="separate"/>
        </w:r>
        <w:r w:rsidRPr="00F61130">
          <w:rPr>
            <w:noProof/>
            <w:webHidden/>
          </w:rPr>
          <w:t>48</w:t>
        </w:r>
        <w:r w:rsidRPr="00F61130">
          <w:rPr>
            <w:noProof/>
            <w:webHidden/>
          </w:rPr>
          <w:fldChar w:fldCharType="end"/>
        </w:r>
      </w:hyperlink>
    </w:p>
    <w:p w14:paraId="6D9E6176" w14:textId="1B919991" w:rsidR="00F61130" w:rsidRPr="00F61130" w:rsidRDefault="00F61130" w:rsidP="00F61130">
      <w:pPr>
        <w:pStyle w:val="TOC4"/>
        <w:tabs>
          <w:tab w:val="left" w:pos="1680"/>
          <w:tab w:val="right" w:leader="dot" w:pos="8771"/>
        </w:tabs>
        <w:spacing w:line="276" w:lineRule="auto"/>
        <w:rPr>
          <w:rFonts w:eastAsiaTheme="minorEastAsia"/>
          <w:noProof/>
        </w:rPr>
      </w:pPr>
      <w:hyperlink w:anchor="_Toc3716066" w:history="1">
        <w:r w:rsidRPr="00F61130">
          <w:rPr>
            <w:rStyle w:val="Hyperlink"/>
            <w:noProof/>
          </w:rPr>
          <w:t>1.3.3.4</w:t>
        </w:r>
        <w:r w:rsidRPr="00F61130">
          <w:rPr>
            <w:rFonts w:eastAsiaTheme="minorEastAsia"/>
            <w:noProof/>
          </w:rPr>
          <w:tab/>
        </w:r>
        <w:r w:rsidRPr="00F61130">
          <w:rPr>
            <w:rStyle w:val="Hyperlink"/>
            <w:noProof/>
          </w:rPr>
          <w:t>Multi-Objective Approach</w:t>
        </w:r>
        <w:r w:rsidRPr="00F61130">
          <w:rPr>
            <w:noProof/>
            <w:webHidden/>
          </w:rPr>
          <w:tab/>
        </w:r>
        <w:r w:rsidRPr="00F61130">
          <w:rPr>
            <w:noProof/>
            <w:webHidden/>
          </w:rPr>
          <w:fldChar w:fldCharType="begin"/>
        </w:r>
        <w:r w:rsidRPr="00F61130">
          <w:rPr>
            <w:noProof/>
            <w:webHidden/>
          </w:rPr>
          <w:instrText xml:space="preserve"> PAGEREF _Toc3716066 \h </w:instrText>
        </w:r>
        <w:r w:rsidRPr="00F61130">
          <w:rPr>
            <w:noProof/>
            <w:webHidden/>
          </w:rPr>
        </w:r>
        <w:r w:rsidRPr="00F61130">
          <w:rPr>
            <w:noProof/>
            <w:webHidden/>
          </w:rPr>
          <w:fldChar w:fldCharType="separate"/>
        </w:r>
        <w:r w:rsidRPr="00F61130">
          <w:rPr>
            <w:noProof/>
            <w:webHidden/>
          </w:rPr>
          <w:t>50</w:t>
        </w:r>
        <w:r w:rsidRPr="00F61130">
          <w:rPr>
            <w:noProof/>
            <w:webHidden/>
          </w:rPr>
          <w:fldChar w:fldCharType="end"/>
        </w:r>
      </w:hyperlink>
    </w:p>
    <w:p w14:paraId="700DE58C" w14:textId="60819A8F" w:rsidR="00F61130" w:rsidRPr="00F61130" w:rsidRDefault="00F61130" w:rsidP="00F61130">
      <w:pPr>
        <w:pStyle w:val="TOC3"/>
        <w:tabs>
          <w:tab w:val="right" w:leader="dot" w:pos="8771"/>
        </w:tabs>
        <w:spacing w:line="276" w:lineRule="auto"/>
        <w:rPr>
          <w:rFonts w:eastAsiaTheme="minorEastAsia"/>
          <w:noProof/>
        </w:rPr>
      </w:pPr>
      <w:hyperlink w:anchor="_Toc3716067" w:history="1">
        <w:r w:rsidRPr="00F61130">
          <w:rPr>
            <w:rStyle w:val="Hyperlink"/>
            <w:noProof/>
          </w:rPr>
          <w:t>1.3.4 Validation of Mathematical/Computational Models</w:t>
        </w:r>
        <w:r w:rsidRPr="00F61130">
          <w:rPr>
            <w:noProof/>
            <w:webHidden/>
          </w:rPr>
          <w:tab/>
        </w:r>
        <w:r w:rsidRPr="00F61130">
          <w:rPr>
            <w:noProof/>
            <w:webHidden/>
          </w:rPr>
          <w:fldChar w:fldCharType="begin"/>
        </w:r>
        <w:r w:rsidRPr="00F61130">
          <w:rPr>
            <w:noProof/>
            <w:webHidden/>
          </w:rPr>
          <w:instrText xml:space="preserve"> PAGEREF _Toc3716067 \h </w:instrText>
        </w:r>
        <w:r w:rsidRPr="00F61130">
          <w:rPr>
            <w:noProof/>
            <w:webHidden/>
          </w:rPr>
        </w:r>
        <w:r w:rsidRPr="00F61130">
          <w:rPr>
            <w:noProof/>
            <w:webHidden/>
          </w:rPr>
          <w:fldChar w:fldCharType="separate"/>
        </w:r>
        <w:r w:rsidRPr="00F61130">
          <w:rPr>
            <w:noProof/>
            <w:webHidden/>
          </w:rPr>
          <w:t>51</w:t>
        </w:r>
        <w:r w:rsidRPr="00F61130">
          <w:rPr>
            <w:noProof/>
            <w:webHidden/>
          </w:rPr>
          <w:fldChar w:fldCharType="end"/>
        </w:r>
      </w:hyperlink>
    </w:p>
    <w:p w14:paraId="602C2B76" w14:textId="68B67F61" w:rsidR="00F61130" w:rsidRPr="00F61130" w:rsidRDefault="00F61130" w:rsidP="00F61130">
      <w:pPr>
        <w:pStyle w:val="TOC2"/>
        <w:spacing w:line="276" w:lineRule="auto"/>
        <w:rPr>
          <w:rFonts w:eastAsiaTheme="minorEastAsia"/>
          <w:noProof/>
        </w:rPr>
      </w:pPr>
      <w:hyperlink w:anchor="_Toc3716068" w:history="1">
        <w:r w:rsidRPr="00F61130">
          <w:rPr>
            <w:rStyle w:val="Hyperlink"/>
            <w:noProof/>
            <w14:scene3d>
              <w14:camera w14:prst="orthographicFront"/>
              <w14:lightRig w14:rig="threePt" w14:dir="t">
                <w14:rot w14:lat="0" w14:lon="0" w14:rev="0"/>
              </w14:lightRig>
            </w14:scene3d>
          </w:rPr>
          <w:t>1.4</w:t>
        </w:r>
        <w:r w:rsidRPr="00F61130">
          <w:rPr>
            <w:rStyle w:val="Hyperlink"/>
            <w:noProof/>
          </w:rPr>
          <w:t xml:space="preserve"> Thesis Aims</w:t>
        </w:r>
        <w:r w:rsidRPr="00F61130">
          <w:rPr>
            <w:noProof/>
            <w:webHidden/>
          </w:rPr>
          <w:tab/>
        </w:r>
        <w:r w:rsidRPr="00F61130">
          <w:rPr>
            <w:noProof/>
            <w:webHidden/>
          </w:rPr>
          <w:fldChar w:fldCharType="begin"/>
        </w:r>
        <w:r w:rsidRPr="00F61130">
          <w:rPr>
            <w:noProof/>
            <w:webHidden/>
          </w:rPr>
          <w:instrText xml:space="preserve"> PAGEREF _Toc3716068 \h </w:instrText>
        </w:r>
        <w:r w:rsidRPr="00F61130">
          <w:rPr>
            <w:noProof/>
            <w:webHidden/>
          </w:rPr>
        </w:r>
        <w:r w:rsidRPr="00F61130">
          <w:rPr>
            <w:noProof/>
            <w:webHidden/>
          </w:rPr>
          <w:fldChar w:fldCharType="separate"/>
        </w:r>
        <w:r w:rsidRPr="00F61130">
          <w:rPr>
            <w:noProof/>
            <w:webHidden/>
          </w:rPr>
          <w:t>54</w:t>
        </w:r>
        <w:r w:rsidRPr="00F61130">
          <w:rPr>
            <w:noProof/>
            <w:webHidden/>
          </w:rPr>
          <w:fldChar w:fldCharType="end"/>
        </w:r>
      </w:hyperlink>
    </w:p>
    <w:p w14:paraId="198C3499" w14:textId="3B67E06B" w:rsidR="00F61130" w:rsidRPr="00F61130" w:rsidRDefault="00F61130" w:rsidP="00B251C6">
      <w:pPr>
        <w:pStyle w:val="TOC1"/>
        <w:rPr>
          <w:rFonts w:eastAsiaTheme="minorEastAsia"/>
          <w:noProof/>
        </w:rPr>
      </w:pPr>
      <w:hyperlink w:anchor="_Toc3716069" w:history="1">
        <w:r w:rsidRPr="00F61130">
          <w:rPr>
            <w:rStyle w:val="Hyperlink"/>
            <w:noProof/>
          </w:rPr>
          <w:t>Chapter 2 | Materials and Methods</w:t>
        </w:r>
        <w:r w:rsidRPr="00F61130">
          <w:rPr>
            <w:noProof/>
            <w:webHidden/>
          </w:rPr>
          <w:tab/>
        </w:r>
        <w:r w:rsidRPr="00F61130">
          <w:rPr>
            <w:noProof/>
            <w:webHidden/>
          </w:rPr>
          <w:fldChar w:fldCharType="begin"/>
        </w:r>
        <w:r w:rsidRPr="00F61130">
          <w:rPr>
            <w:noProof/>
            <w:webHidden/>
          </w:rPr>
          <w:instrText xml:space="preserve"> PAGEREF _Toc3716069 \h </w:instrText>
        </w:r>
        <w:r w:rsidRPr="00F61130">
          <w:rPr>
            <w:noProof/>
            <w:webHidden/>
          </w:rPr>
        </w:r>
        <w:r w:rsidRPr="00F61130">
          <w:rPr>
            <w:noProof/>
            <w:webHidden/>
          </w:rPr>
          <w:fldChar w:fldCharType="separate"/>
        </w:r>
        <w:r w:rsidRPr="00F61130">
          <w:rPr>
            <w:noProof/>
            <w:webHidden/>
          </w:rPr>
          <w:t>55</w:t>
        </w:r>
        <w:r w:rsidRPr="00F61130">
          <w:rPr>
            <w:noProof/>
            <w:webHidden/>
          </w:rPr>
          <w:fldChar w:fldCharType="end"/>
        </w:r>
      </w:hyperlink>
    </w:p>
    <w:p w14:paraId="32CA862F" w14:textId="310A69D8" w:rsidR="00F61130" w:rsidRPr="00F61130" w:rsidRDefault="00F61130" w:rsidP="00F61130">
      <w:pPr>
        <w:pStyle w:val="TOC2"/>
        <w:spacing w:line="276" w:lineRule="auto"/>
        <w:rPr>
          <w:rFonts w:eastAsiaTheme="minorEastAsia"/>
          <w:noProof/>
        </w:rPr>
      </w:pPr>
      <w:hyperlink w:anchor="_Toc3716070" w:history="1">
        <w:r w:rsidRPr="00F61130">
          <w:rPr>
            <w:rStyle w:val="Hyperlink"/>
            <w:noProof/>
            <w14:scene3d>
              <w14:camera w14:prst="orthographicFront"/>
              <w14:lightRig w14:rig="threePt" w14:dir="t">
                <w14:rot w14:lat="0" w14:lon="0" w14:rev="0"/>
              </w14:lightRig>
            </w14:scene3d>
          </w:rPr>
          <w:t>2.1</w:t>
        </w:r>
        <w:r w:rsidRPr="00F61130">
          <w:rPr>
            <w:rStyle w:val="Hyperlink"/>
            <w:noProof/>
          </w:rPr>
          <w:t xml:space="preserve"> Ethical Statement</w:t>
        </w:r>
        <w:r w:rsidRPr="00F61130">
          <w:rPr>
            <w:noProof/>
            <w:webHidden/>
          </w:rPr>
          <w:tab/>
        </w:r>
        <w:r w:rsidRPr="00F61130">
          <w:rPr>
            <w:noProof/>
            <w:webHidden/>
          </w:rPr>
          <w:fldChar w:fldCharType="begin"/>
        </w:r>
        <w:r w:rsidRPr="00F61130">
          <w:rPr>
            <w:noProof/>
            <w:webHidden/>
          </w:rPr>
          <w:instrText xml:space="preserve"> PAGEREF _Toc3716070 \h </w:instrText>
        </w:r>
        <w:r w:rsidRPr="00F61130">
          <w:rPr>
            <w:noProof/>
            <w:webHidden/>
          </w:rPr>
        </w:r>
        <w:r w:rsidRPr="00F61130">
          <w:rPr>
            <w:noProof/>
            <w:webHidden/>
          </w:rPr>
          <w:fldChar w:fldCharType="separate"/>
        </w:r>
        <w:r w:rsidRPr="00F61130">
          <w:rPr>
            <w:noProof/>
            <w:webHidden/>
          </w:rPr>
          <w:t>56</w:t>
        </w:r>
        <w:r w:rsidRPr="00F61130">
          <w:rPr>
            <w:noProof/>
            <w:webHidden/>
          </w:rPr>
          <w:fldChar w:fldCharType="end"/>
        </w:r>
      </w:hyperlink>
    </w:p>
    <w:p w14:paraId="1E8A802F" w14:textId="38597371" w:rsidR="00F61130" w:rsidRPr="00F61130" w:rsidRDefault="00F61130" w:rsidP="00F61130">
      <w:pPr>
        <w:pStyle w:val="TOC2"/>
        <w:spacing w:line="276" w:lineRule="auto"/>
        <w:rPr>
          <w:rFonts w:eastAsiaTheme="minorEastAsia"/>
          <w:noProof/>
        </w:rPr>
      </w:pPr>
      <w:hyperlink w:anchor="_Toc3716071" w:history="1">
        <w:r w:rsidRPr="00F61130">
          <w:rPr>
            <w:rStyle w:val="Hyperlink"/>
            <w:noProof/>
            <w14:scene3d>
              <w14:camera w14:prst="orthographicFront"/>
              <w14:lightRig w14:rig="threePt" w14:dir="t">
                <w14:rot w14:lat="0" w14:lon="0" w14:rev="0"/>
              </w14:lightRig>
            </w14:scene3d>
          </w:rPr>
          <w:t>2.2</w:t>
        </w:r>
        <w:r w:rsidRPr="00F61130">
          <w:rPr>
            <w:rStyle w:val="Hyperlink"/>
            <w:noProof/>
          </w:rPr>
          <w:t xml:space="preserve"> Mice</w:t>
        </w:r>
        <w:r w:rsidRPr="00F61130">
          <w:rPr>
            <w:noProof/>
            <w:webHidden/>
          </w:rPr>
          <w:tab/>
        </w:r>
        <w:r w:rsidRPr="00F61130">
          <w:rPr>
            <w:noProof/>
            <w:webHidden/>
          </w:rPr>
          <w:fldChar w:fldCharType="begin"/>
        </w:r>
        <w:r w:rsidRPr="00F61130">
          <w:rPr>
            <w:noProof/>
            <w:webHidden/>
          </w:rPr>
          <w:instrText xml:space="preserve"> PAGEREF _Toc3716071 \h </w:instrText>
        </w:r>
        <w:r w:rsidRPr="00F61130">
          <w:rPr>
            <w:noProof/>
            <w:webHidden/>
          </w:rPr>
        </w:r>
        <w:r w:rsidRPr="00F61130">
          <w:rPr>
            <w:noProof/>
            <w:webHidden/>
          </w:rPr>
          <w:fldChar w:fldCharType="separate"/>
        </w:r>
        <w:r w:rsidRPr="00F61130">
          <w:rPr>
            <w:noProof/>
            <w:webHidden/>
          </w:rPr>
          <w:t>56</w:t>
        </w:r>
        <w:r w:rsidRPr="00F61130">
          <w:rPr>
            <w:noProof/>
            <w:webHidden/>
          </w:rPr>
          <w:fldChar w:fldCharType="end"/>
        </w:r>
      </w:hyperlink>
    </w:p>
    <w:p w14:paraId="42644D03" w14:textId="742982A3" w:rsidR="00F61130" w:rsidRPr="00F61130" w:rsidRDefault="00F61130" w:rsidP="00F61130">
      <w:pPr>
        <w:pStyle w:val="TOC2"/>
        <w:spacing w:line="276" w:lineRule="auto"/>
        <w:rPr>
          <w:rFonts w:eastAsiaTheme="minorEastAsia"/>
          <w:noProof/>
        </w:rPr>
      </w:pPr>
      <w:hyperlink w:anchor="_Toc3716072" w:history="1">
        <w:r w:rsidRPr="00F61130">
          <w:rPr>
            <w:rStyle w:val="Hyperlink"/>
            <w:noProof/>
            <w14:scene3d>
              <w14:camera w14:prst="orthographicFront"/>
              <w14:lightRig w14:rig="threePt" w14:dir="t">
                <w14:rot w14:lat="0" w14:lon="0" w14:rev="0"/>
              </w14:lightRig>
            </w14:scene3d>
          </w:rPr>
          <w:t>2.3</w:t>
        </w:r>
        <w:r w:rsidRPr="00F61130">
          <w:rPr>
            <w:rStyle w:val="Hyperlink"/>
            <w:noProof/>
          </w:rPr>
          <w:t xml:space="preserve"> Parasites and Infections</w:t>
        </w:r>
        <w:r w:rsidRPr="00F61130">
          <w:rPr>
            <w:noProof/>
            <w:webHidden/>
          </w:rPr>
          <w:tab/>
        </w:r>
        <w:r w:rsidRPr="00F61130">
          <w:rPr>
            <w:noProof/>
            <w:webHidden/>
          </w:rPr>
          <w:fldChar w:fldCharType="begin"/>
        </w:r>
        <w:r w:rsidRPr="00F61130">
          <w:rPr>
            <w:noProof/>
            <w:webHidden/>
          </w:rPr>
          <w:instrText xml:space="preserve"> PAGEREF _Toc3716072 \h </w:instrText>
        </w:r>
        <w:r w:rsidRPr="00F61130">
          <w:rPr>
            <w:noProof/>
            <w:webHidden/>
          </w:rPr>
        </w:r>
        <w:r w:rsidRPr="00F61130">
          <w:rPr>
            <w:noProof/>
            <w:webHidden/>
          </w:rPr>
          <w:fldChar w:fldCharType="separate"/>
        </w:r>
        <w:r w:rsidRPr="00F61130">
          <w:rPr>
            <w:noProof/>
            <w:webHidden/>
          </w:rPr>
          <w:t>56</w:t>
        </w:r>
        <w:r w:rsidRPr="00F61130">
          <w:rPr>
            <w:noProof/>
            <w:webHidden/>
          </w:rPr>
          <w:fldChar w:fldCharType="end"/>
        </w:r>
      </w:hyperlink>
    </w:p>
    <w:p w14:paraId="1CEB3FF0" w14:textId="5CCDCD1E" w:rsidR="00F61130" w:rsidRPr="00F61130" w:rsidRDefault="00F61130" w:rsidP="00F61130">
      <w:pPr>
        <w:pStyle w:val="TOC2"/>
        <w:spacing w:line="276" w:lineRule="auto"/>
        <w:rPr>
          <w:rFonts w:eastAsiaTheme="minorEastAsia"/>
          <w:noProof/>
        </w:rPr>
      </w:pPr>
      <w:hyperlink w:anchor="_Toc3716073" w:history="1">
        <w:r w:rsidRPr="00F61130">
          <w:rPr>
            <w:rStyle w:val="Hyperlink"/>
            <w:noProof/>
            <w14:scene3d>
              <w14:camera w14:prst="orthographicFront"/>
              <w14:lightRig w14:rig="threePt" w14:dir="t">
                <w14:rot w14:lat="0" w14:lon="0" w14:rev="0"/>
              </w14:lightRig>
            </w14:scene3d>
          </w:rPr>
          <w:t>2.4</w:t>
        </w:r>
        <w:r w:rsidRPr="00F61130">
          <w:rPr>
            <w:rStyle w:val="Hyperlink"/>
            <w:noProof/>
          </w:rPr>
          <w:t xml:space="preserve"> AmBisome</w:t>
        </w:r>
        <w:r w:rsidRPr="00F61130">
          <w:rPr>
            <w:rStyle w:val="Hyperlink"/>
            <w:noProof/>
          </w:rPr>
          <w:sym w:font="Symbol" w:char="F0E2"/>
        </w:r>
        <w:r w:rsidRPr="00F61130">
          <w:rPr>
            <w:rStyle w:val="Hyperlink"/>
            <w:noProof/>
          </w:rPr>
          <w:t xml:space="preserve"> Preparation and Administration</w:t>
        </w:r>
        <w:r w:rsidRPr="00F61130">
          <w:rPr>
            <w:noProof/>
            <w:webHidden/>
          </w:rPr>
          <w:tab/>
        </w:r>
        <w:r w:rsidRPr="00F61130">
          <w:rPr>
            <w:noProof/>
            <w:webHidden/>
          </w:rPr>
          <w:fldChar w:fldCharType="begin"/>
        </w:r>
        <w:r w:rsidRPr="00F61130">
          <w:rPr>
            <w:noProof/>
            <w:webHidden/>
          </w:rPr>
          <w:instrText xml:space="preserve"> PAGEREF _Toc3716073 \h </w:instrText>
        </w:r>
        <w:r w:rsidRPr="00F61130">
          <w:rPr>
            <w:noProof/>
            <w:webHidden/>
          </w:rPr>
        </w:r>
        <w:r w:rsidRPr="00F61130">
          <w:rPr>
            <w:noProof/>
            <w:webHidden/>
          </w:rPr>
          <w:fldChar w:fldCharType="separate"/>
        </w:r>
        <w:r w:rsidRPr="00F61130">
          <w:rPr>
            <w:noProof/>
            <w:webHidden/>
          </w:rPr>
          <w:t>57</w:t>
        </w:r>
        <w:r w:rsidRPr="00F61130">
          <w:rPr>
            <w:noProof/>
            <w:webHidden/>
          </w:rPr>
          <w:fldChar w:fldCharType="end"/>
        </w:r>
      </w:hyperlink>
    </w:p>
    <w:p w14:paraId="0800977C" w14:textId="46C536B1" w:rsidR="00F61130" w:rsidRPr="00F61130" w:rsidRDefault="00F61130" w:rsidP="00F61130">
      <w:pPr>
        <w:pStyle w:val="TOC2"/>
        <w:spacing w:line="276" w:lineRule="auto"/>
        <w:rPr>
          <w:rFonts w:eastAsiaTheme="minorEastAsia"/>
          <w:noProof/>
        </w:rPr>
      </w:pPr>
      <w:hyperlink w:anchor="_Toc3716074" w:history="1">
        <w:r w:rsidRPr="00F61130">
          <w:rPr>
            <w:rStyle w:val="Hyperlink"/>
            <w:noProof/>
            <w14:scene3d>
              <w14:camera w14:prst="orthographicFront"/>
              <w14:lightRig w14:rig="threePt" w14:dir="t">
                <w14:rot w14:lat="0" w14:lon="0" w14:rev="0"/>
              </w14:lightRig>
            </w14:scene3d>
          </w:rPr>
          <w:t>2.5</w:t>
        </w:r>
        <w:r w:rsidRPr="00F61130">
          <w:rPr>
            <w:rStyle w:val="Hyperlink"/>
            <w:noProof/>
          </w:rPr>
          <w:t xml:space="preserve"> Liver Isolation and Preparation</w:t>
        </w:r>
        <w:r w:rsidRPr="00F61130">
          <w:rPr>
            <w:noProof/>
            <w:webHidden/>
          </w:rPr>
          <w:tab/>
        </w:r>
        <w:r w:rsidRPr="00F61130">
          <w:rPr>
            <w:noProof/>
            <w:webHidden/>
          </w:rPr>
          <w:fldChar w:fldCharType="begin"/>
        </w:r>
        <w:r w:rsidRPr="00F61130">
          <w:rPr>
            <w:noProof/>
            <w:webHidden/>
          </w:rPr>
          <w:instrText xml:space="preserve"> PAGEREF _Toc3716074 \h </w:instrText>
        </w:r>
        <w:r w:rsidRPr="00F61130">
          <w:rPr>
            <w:noProof/>
            <w:webHidden/>
          </w:rPr>
        </w:r>
        <w:r w:rsidRPr="00F61130">
          <w:rPr>
            <w:noProof/>
            <w:webHidden/>
          </w:rPr>
          <w:fldChar w:fldCharType="separate"/>
        </w:r>
        <w:r w:rsidRPr="00F61130">
          <w:rPr>
            <w:noProof/>
            <w:webHidden/>
          </w:rPr>
          <w:t>57</w:t>
        </w:r>
        <w:r w:rsidRPr="00F61130">
          <w:rPr>
            <w:noProof/>
            <w:webHidden/>
          </w:rPr>
          <w:fldChar w:fldCharType="end"/>
        </w:r>
      </w:hyperlink>
    </w:p>
    <w:p w14:paraId="19C0137E" w14:textId="43868610" w:rsidR="00F61130" w:rsidRPr="00F61130" w:rsidRDefault="00F61130" w:rsidP="00F61130">
      <w:pPr>
        <w:pStyle w:val="TOC2"/>
        <w:spacing w:line="276" w:lineRule="auto"/>
        <w:rPr>
          <w:rFonts w:eastAsiaTheme="minorEastAsia"/>
          <w:noProof/>
        </w:rPr>
      </w:pPr>
      <w:hyperlink w:anchor="_Toc3716075" w:history="1">
        <w:r w:rsidRPr="00F61130">
          <w:rPr>
            <w:rStyle w:val="Hyperlink"/>
            <w:noProof/>
            <w14:scene3d>
              <w14:camera w14:prst="orthographicFront"/>
              <w14:lightRig w14:rig="threePt" w14:dir="t">
                <w14:rot w14:lat="0" w14:lon="0" w14:rev="0"/>
              </w14:lightRig>
            </w14:scene3d>
          </w:rPr>
          <w:t>2.6</w:t>
        </w:r>
        <w:r w:rsidRPr="00F61130">
          <w:rPr>
            <w:rStyle w:val="Hyperlink"/>
            <w:noProof/>
          </w:rPr>
          <w:t xml:space="preserve"> Blood Isolation and Preparation</w:t>
        </w:r>
        <w:r w:rsidRPr="00F61130">
          <w:rPr>
            <w:noProof/>
            <w:webHidden/>
          </w:rPr>
          <w:tab/>
        </w:r>
        <w:r w:rsidRPr="00F61130">
          <w:rPr>
            <w:noProof/>
            <w:webHidden/>
          </w:rPr>
          <w:fldChar w:fldCharType="begin"/>
        </w:r>
        <w:r w:rsidRPr="00F61130">
          <w:rPr>
            <w:noProof/>
            <w:webHidden/>
          </w:rPr>
          <w:instrText xml:space="preserve"> PAGEREF _Toc3716075 \h </w:instrText>
        </w:r>
        <w:r w:rsidRPr="00F61130">
          <w:rPr>
            <w:noProof/>
            <w:webHidden/>
          </w:rPr>
        </w:r>
        <w:r w:rsidRPr="00F61130">
          <w:rPr>
            <w:noProof/>
            <w:webHidden/>
          </w:rPr>
          <w:fldChar w:fldCharType="separate"/>
        </w:r>
        <w:r w:rsidRPr="00F61130">
          <w:rPr>
            <w:noProof/>
            <w:webHidden/>
          </w:rPr>
          <w:t>60</w:t>
        </w:r>
        <w:r w:rsidRPr="00F61130">
          <w:rPr>
            <w:noProof/>
            <w:webHidden/>
          </w:rPr>
          <w:fldChar w:fldCharType="end"/>
        </w:r>
      </w:hyperlink>
    </w:p>
    <w:p w14:paraId="78B87906" w14:textId="00FEC3B5" w:rsidR="00F61130" w:rsidRPr="00F61130" w:rsidRDefault="00F61130" w:rsidP="00F61130">
      <w:pPr>
        <w:pStyle w:val="TOC2"/>
        <w:spacing w:line="276" w:lineRule="auto"/>
        <w:rPr>
          <w:rFonts w:eastAsiaTheme="minorEastAsia"/>
          <w:noProof/>
        </w:rPr>
      </w:pPr>
      <w:hyperlink w:anchor="_Toc3716076" w:history="1">
        <w:r w:rsidRPr="00F61130">
          <w:rPr>
            <w:rStyle w:val="Hyperlink"/>
            <w:noProof/>
            <w14:scene3d>
              <w14:camera w14:prst="orthographicFront"/>
              <w14:lightRig w14:rig="threePt" w14:dir="t">
                <w14:rot w14:lat="0" w14:lon="0" w14:rev="0"/>
              </w14:lightRig>
            </w14:scene3d>
          </w:rPr>
          <w:t>2.7</w:t>
        </w:r>
        <w:r w:rsidRPr="00F61130">
          <w:rPr>
            <w:rStyle w:val="Hyperlink"/>
            <w:noProof/>
          </w:rPr>
          <w:t xml:space="preserve"> Determining Hepatic Parasite Burden</w:t>
        </w:r>
        <w:r w:rsidRPr="00F61130">
          <w:rPr>
            <w:noProof/>
            <w:webHidden/>
          </w:rPr>
          <w:tab/>
        </w:r>
        <w:r w:rsidRPr="00F61130">
          <w:rPr>
            <w:noProof/>
            <w:webHidden/>
          </w:rPr>
          <w:fldChar w:fldCharType="begin"/>
        </w:r>
        <w:r w:rsidRPr="00F61130">
          <w:rPr>
            <w:noProof/>
            <w:webHidden/>
          </w:rPr>
          <w:instrText xml:space="preserve"> PAGEREF _Toc3716076 \h </w:instrText>
        </w:r>
        <w:r w:rsidRPr="00F61130">
          <w:rPr>
            <w:noProof/>
            <w:webHidden/>
          </w:rPr>
        </w:r>
        <w:r w:rsidRPr="00F61130">
          <w:rPr>
            <w:noProof/>
            <w:webHidden/>
          </w:rPr>
          <w:fldChar w:fldCharType="separate"/>
        </w:r>
        <w:r w:rsidRPr="00F61130">
          <w:rPr>
            <w:noProof/>
            <w:webHidden/>
          </w:rPr>
          <w:t>60</w:t>
        </w:r>
        <w:r w:rsidRPr="00F61130">
          <w:rPr>
            <w:noProof/>
            <w:webHidden/>
          </w:rPr>
          <w:fldChar w:fldCharType="end"/>
        </w:r>
      </w:hyperlink>
    </w:p>
    <w:p w14:paraId="5807DA7B" w14:textId="3E41DB12" w:rsidR="00F61130" w:rsidRPr="00F61130" w:rsidRDefault="00F61130" w:rsidP="00F61130">
      <w:pPr>
        <w:pStyle w:val="TOC3"/>
        <w:tabs>
          <w:tab w:val="right" w:leader="dot" w:pos="8771"/>
        </w:tabs>
        <w:spacing w:line="276" w:lineRule="auto"/>
        <w:rPr>
          <w:rFonts w:eastAsiaTheme="minorEastAsia"/>
          <w:noProof/>
        </w:rPr>
      </w:pPr>
      <w:hyperlink w:anchor="_Toc3716077" w:history="1">
        <w:r w:rsidRPr="00F61130">
          <w:rPr>
            <w:rStyle w:val="Hyperlink"/>
            <w:noProof/>
          </w:rPr>
          <w:t>2.7.1 Converting Hepatic Parasite Burden to Absolute Parasite Numbers</w:t>
        </w:r>
        <w:r w:rsidRPr="00F61130">
          <w:rPr>
            <w:noProof/>
            <w:webHidden/>
          </w:rPr>
          <w:tab/>
        </w:r>
        <w:r w:rsidRPr="00F61130">
          <w:rPr>
            <w:noProof/>
            <w:webHidden/>
          </w:rPr>
          <w:fldChar w:fldCharType="begin"/>
        </w:r>
        <w:r w:rsidRPr="00F61130">
          <w:rPr>
            <w:noProof/>
            <w:webHidden/>
          </w:rPr>
          <w:instrText xml:space="preserve"> PAGEREF _Toc3716077 \h </w:instrText>
        </w:r>
        <w:r w:rsidRPr="00F61130">
          <w:rPr>
            <w:noProof/>
            <w:webHidden/>
          </w:rPr>
        </w:r>
        <w:r w:rsidRPr="00F61130">
          <w:rPr>
            <w:noProof/>
            <w:webHidden/>
          </w:rPr>
          <w:fldChar w:fldCharType="separate"/>
        </w:r>
        <w:r w:rsidRPr="00F61130">
          <w:rPr>
            <w:noProof/>
            <w:webHidden/>
          </w:rPr>
          <w:t>61</w:t>
        </w:r>
        <w:r w:rsidRPr="00F61130">
          <w:rPr>
            <w:noProof/>
            <w:webHidden/>
          </w:rPr>
          <w:fldChar w:fldCharType="end"/>
        </w:r>
      </w:hyperlink>
    </w:p>
    <w:p w14:paraId="405591E7" w14:textId="23BC4C1C" w:rsidR="00F61130" w:rsidRPr="00F61130" w:rsidRDefault="00F61130" w:rsidP="00F61130">
      <w:pPr>
        <w:pStyle w:val="TOC2"/>
        <w:spacing w:line="276" w:lineRule="auto"/>
        <w:rPr>
          <w:rFonts w:eastAsiaTheme="minorEastAsia"/>
          <w:noProof/>
        </w:rPr>
      </w:pPr>
      <w:hyperlink w:anchor="_Toc3716078" w:history="1">
        <w:r w:rsidRPr="00F61130">
          <w:rPr>
            <w:rStyle w:val="Hyperlink"/>
            <w:noProof/>
            <w14:scene3d>
              <w14:camera w14:prst="orthographicFront"/>
              <w14:lightRig w14:rig="threePt" w14:dir="t">
                <w14:rot w14:lat="0" w14:lon="0" w14:rev="0"/>
              </w14:lightRig>
            </w14:scene3d>
          </w:rPr>
          <w:t>2.8</w:t>
        </w:r>
        <w:r w:rsidRPr="00F61130">
          <w:rPr>
            <w:rStyle w:val="Hyperlink"/>
            <w:noProof/>
          </w:rPr>
          <w:t xml:space="preserve"> Cell Staining, Flow Cytometry and Fluorescence activated Cell Sorting</w:t>
        </w:r>
        <w:r w:rsidRPr="00F61130">
          <w:rPr>
            <w:noProof/>
            <w:webHidden/>
          </w:rPr>
          <w:tab/>
        </w:r>
        <w:r w:rsidRPr="00F61130">
          <w:rPr>
            <w:noProof/>
            <w:webHidden/>
          </w:rPr>
          <w:fldChar w:fldCharType="begin"/>
        </w:r>
        <w:r w:rsidRPr="00F61130">
          <w:rPr>
            <w:noProof/>
            <w:webHidden/>
          </w:rPr>
          <w:instrText xml:space="preserve"> PAGEREF _Toc3716078 \h </w:instrText>
        </w:r>
        <w:r w:rsidRPr="00F61130">
          <w:rPr>
            <w:noProof/>
            <w:webHidden/>
          </w:rPr>
        </w:r>
        <w:r w:rsidRPr="00F61130">
          <w:rPr>
            <w:noProof/>
            <w:webHidden/>
          </w:rPr>
          <w:fldChar w:fldCharType="separate"/>
        </w:r>
        <w:r w:rsidRPr="00F61130">
          <w:rPr>
            <w:noProof/>
            <w:webHidden/>
          </w:rPr>
          <w:t>61</w:t>
        </w:r>
        <w:r w:rsidRPr="00F61130">
          <w:rPr>
            <w:noProof/>
            <w:webHidden/>
          </w:rPr>
          <w:fldChar w:fldCharType="end"/>
        </w:r>
      </w:hyperlink>
    </w:p>
    <w:p w14:paraId="2DCB1001" w14:textId="3DEC18EB" w:rsidR="00F61130" w:rsidRPr="00F61130" w:rsidRDefault="00F61130" w:rsidP="00F61130">
      <w:pPr>
        <w:pStyle w:val="TOC2"/>
        <w:spacing w:line="276" w:lineRule="auto"/>
        <w:rPr>
          <w:rFonts w:eastAsiaTheme="minorEastAsia"/>
          <w:noProof/>
        </w:rPr>
      </w:pPr>
      <w:hyperlink w:anchor="_Toc3716079" w:history="1">
        <w:r w:rsidRPr="00F61130">
          <w:rPr>
            <w:rStyle w:val="Hyperlink"/>
            <w:noProof/>
            <w14:scene3d>
              <w14:camera w14:prst="orthographicFront"/>
              <w14:lightRig w14:rig="threePt" w14:dir="t">
                <w14:rot w14:lat="0" w14:lon="0" w14:rev="0"/>
              </w14:lightRig>
            </w14:scene3d>
          </w:rPr>
          <w:t>2.9</w:t>
        </w:r>
        <w:r w:rsidRPr="00F61130">
          <w:rPr>
            <w:rStyle w:val="Hyperlink"/>
            <w:noProof/>
          </w:rPr>
          <w:t xml:space="preserve"> CytoSpin</w:t>
        </w:r>
        <w:r w:rsidRPr="00F61130">
          <w:rPr>
            <w:noProof/>
            <w:webHidden/>
          </w:rPr>
          <w:tab/>
        </w:r>
        <w:r w:rsidRPr="00F61130">
          <w:rPr>
            <w:noProof/>
            <w:webHidden/>
          </w:rPr>
          <w:fldChar w:fldCharType="begin"/>
        </w:r>
        <w:r w:rsidRPr="00F61130">
          <w:rPr>
            <w:noProof/>
            <w:webHidden/>
          </w:rPr>
          <w:instrText xml:space="preserve"> PAGEREF _Toc3716079 \h </w:instrText>
        </w:r>
        <w:r w:rsidRPr="00F61130">
          <w:rPr>
            <w:noProof/>
            <w:webHidden/>
          </w:rPr>
        </w:r>
        <w:r w:rsidRPr="00F61130">
          <w:rPr>
            <w:noProof/>
            <w:webHidden/>
          </w:rPr>
          <w:fldChar w:fldCharType="separate"/>
        </w:r>
        <w:r w:rsidRPr="00F61130">
          <w:rPr>
            <w:noProof/>
            <w:webHidden/>
          </w:rPr>
          <w:t>63</w:t>
        </w:r>
        <w:r w:rsidRPr="00F61130">
          <w:rPr>
            <w:noProof/>
            <w:webHidden/>
          </w:rPr>
          <w:fldChar w:fldCharType="end"/>
        </w:r>
      </w:hyperlink>
    </w:p>
    <w:p w14:paraId="6231BBF8" w14:textId="72A66899" w:rsidR="00F61130" w:rsidRPr="00F61130" w:rsidRDefault="00F61130" w:rsidP="00F61130">
      <w:pPr>
        <w:pStyle w:val="TOC2"/>
        <w:spacing w:line="276" w:lineRule="auto"/>
        <w:rPr>
          <w:rFonts w:eastAsiaTheme="minorEastAsia"/>
          <w:noProof/>
        </w:rPr>
      </w:pPr>
      <w:hyperlink w:anchor="_Toc3716080" w:history="1">
        <w:r w:rsidRPr="00F61130">
          <w:rPr>
            <w:rStyle w:val="Hyperlink"/>
            <w:noProof/>
            <w14:scene3d>
              <w14:camera w14:prst="orthographicFront"/>
              <w14:lightRig w14:rig="threePt" w14:dir="t">
                <w14:rot w14:lat="0" w14:lon="0" w14:rev="0"/>
              </w14:lightRig>
            </w14:scene3d>
          </w:rPr>
          <w:t>2.10</w:t>
        </w:r>
        <w:r w:rsidRPr="00F61130">
          <w:rPr>
            <w:rStyle w:val="Hyperlink"/>
            <w:noProof/>
          </w:rPr>
          <w:t xml:space="preserve"> Mass Spectroscopy Sample Preparation – Comparing Freeze-Thaw &amp; Sonication</w:t>
        </w:r>
        <w:r w:rsidRPr="00F61130">
          <w:rPr>
            <w:noProof/>
            <w:webHidden/>
          </w:rPr>
          <w:tab/>
        </w:r>
        <w:r w:rsidRPr="00F61130">
          <w:rPr>
            <w:noProof/>
            <w:webHidden/>
          </w:rPr>
          <w:fldChar w:fldCharType="begin"/>
        </w:r>
        <w:r w:rsidRPr="00F61130">
          <w:rPr>
            <w:noProof/>
            <w:webHidden/>
          </w:rPr>
          <w:instrText xml:space="preserve"> PAGEREF _Toc3716080 \h </w:instrText>
        </w:r>
        <w:r w:rsidRPr="00F61130">
          <w:rPr>
            <w:noProof/>
            <w:webHidden/>
          </w:rPr>
        </w:r>
        <w:r w:rsidRPr="00F61130">
          <w:rPr>
            <w:noProof/>
            <w:webHidden/>
          </w:rPr>
          <w:fldChar w:fldCharType="separate"/>
        </w:r>
        <w:r w:rsidRPr="00F61130">
          <w:rPr>
            <w:noProof/>
            <w:webHidden/>
          </w:rPr>
          <w:t>64</w:t>
        </w:r>
        <w:r w:rsidRPr="00F61130">
          <w:rPr>
            <w:noProof/>
            <w:webHidden/>
          </w:rPr>
          <w:fldChar w:fldCharType="end"/>
        </w:r>
      </w:hyperlink>
    </w:p>
    <w:p w14:paraId="29050F7B" w14:textId="3F9722A7" w:rsidR="00F61130" w:rsidRPr="00F61130" w:rsidRDefault="00F61130" w:rsidP="00F61130">
      <w:pPr>
        <w:pStyle w:val="TOC2"/>
        <w:spacing w:line="276" w:lineRule="auto"/>
        <w:rPr>
          <w:rFonts w:eastAsiaTheme="minorEastAsia"/>
          <w:noProof/>
        </w:rPr>
      </w:pPr>
      <w:hyperlink w:anchor="_Toc3716081" w:history="1">
        <w:r w:rsidRPr="00F61130">
          <w:rPr>
            <w:rStyle w:val="Hyperlink"/>
            <w:noProof/>
            <w14:scene3d>
              <w14:camera w14:prst="orthographicFront"/>
              <w14:lightRig w14:rig="threePt" w14:dir="t">
                <w14:rot w14:lat="0" w14:lon="0" w14:rev="0"/>
              </w14:lightRig>
            </w14:scene3d>
          </w:rPr>
          <w:t>2.11</w:t>
        </w:r>
        <w:r w:rsidRPr="00F61130">
          <w:rPr>
            <w:rStyle w:val="Hyperlink"/>
            <w:noProof/>
          </w:rPr>
          <w:t xml:space="preserve"> Mass Spectroscopy Sample Preparation - Column Extraction</w:t>
        </w:r>
        <w:r w:rsidRPr="00F61130">
          <w:rPr>
            <w:noProof/>
            <w:webHidden/>
          </w:rPr>
          <w:tab/>
        </w:r>
        <w:r w:rsidRPr="00F61130">
          <w:rPr>
            <w:noProof/>
            <w:webHidden/>
          </w:rPr>
          <w:fldChar w:fldCharType="begin"/>
        </w:r>
        <w:r w:rsidRPr="00F61130">
          <w:rPr>
            <w:noProof/>
            <w:webHidden/>
          </w:rPr>
          <w:instrText xml:space="preserve"> PAGEREF _Toc3716081 \h </w:instrText>
        </w:r>
        <w:r w:rsidRPr="00F61130">
          <w:rPr>
            <w:noProof/>
            <w:webHidden/>
          </w:rPr>
        </w:r>
        <w:r w:rsidRPr="00F61130">
          <w:rPr>
            <w:noProof/>
            <w:webHidden/>
          </w:rPr>
          <w:fldChar w:fldCharType="separate"/>
        </w:r>
        <w:r w:rsidRPr="00F61130">
          <w:rPr>
            <w:noProof/>
            <w:webHidden/>
          </w:rPr>
          <w:t>64</w:t>
        </w:r>
        <w:r w:rsidRPr="00F61130">
          <w:rPr>
            <w:noProof/>
            <w:webHidden/>
          </w:rPr>
          <w:fldChar w:fldCharType="end"/>
        </w:r>
      </w:hyperlink>
    </w:p>
    <w:p w14:paraId="422FBB39" w14:textId="759EADA3" w:rsidR="00F61130" w:rsidRPr="00F61130" w:rsidRDefault="00F61130" w:rsidP="00F61130">
      <w:pPr>
        <w:pStyle w:val="TOC2"/>
        <w:spacing w:line="276" w:lineRule="auto"/>
        <w:rPr>
          <w:rFonts w:eastAsiaTheme="minorEastAsia"/>
          <w:noProof/>
        </w:rPr>
      </w:pPr>
      <w:hyperlink w:anchor="_Toc3716082" w:history="1">
        <w:r w:rsidRPr="00F61130">
          <w:rPr>
            <w:rStyle w:val="Hyperlink"/>
            <w:noProof/>
            <w14:scene3d>
              <w14:camera w14:prst="orthographicFront"/>
              <w14:lightRig w14:rig="threePt" w14:dir="t">
                <w14:rot w14:lat="0" w14:lon="0" w14:rev="0"/>
              </w14:lightRig>
            </w14:scene3d>
          </w:rPr>
          <w:t>2.12</w:t>
        </w:r>
        <w:r w:rsidRPr="00F61130">
          <w:rPr>
            <w:rStyle w:val="Hyperlink"/>
            <w:noProof/>
          </w:rPr>
          <w:t xml:space="preserve"> Mass Spectroscopy Sample Preparation - Column Free Extraction</w:t>
        </w:r>
        <w:r w:rsidRPr="00F61130">
          <w:rPr>
            <w:noProof/>
            <w:webHidden/>
          </w:rPr>
          <w:tab/>
        </w:r>
        <w:r w:rsidRPr="00F61130">
          <w:rPr>
            <w:noProof/>
            <w:webHidden/>
          </w:rPr>
          <w:fldChar w:fldCharType="begin"/>
        </w:r>
        <w:r w:rsidRPr="00F61130">
          <w:rPr>
            <w:noProof/>
            <w:webHidden/>
          </w:rPr>
          <w:instrText xml:space="preserve"> PAGEREF _Toc3716082 \h </w:instrText>
        </w:r>
        <w:r w:rsidRPr="00F61130">
          <w:rPr>
            <w:noProof/>
            <w:webHidden/>
          </w:rPr>
        </w:r>
        <w:r w:rsidRPr="00F61130">
          <w:rPr>
            <w:noProof/>
            <w:webHidden/>
          </w:rPr>
          <w:fldChar w:fldCharType="separate"/>
        </w:r>
        <w:r w:rsidRPr="00F61130">
          <w:rPr>
            <w:noProof/>
            <w:webHidden/>
          </w:rPr>
          <w:t>65</w:t>
        </w:r>
        <w:r w:rsidRPr="00F61130">
          <w:rPr>
            <w:noProof/>
            <w:webHidden/>
          </w:rPr>
          <w:fldChar w:fldCharType="end"/>
        </w:r>
      </w:hyperlink>
    </w:p>
    <w:p w14:paraId="3C2E55DF" w14:textId="198B391A" w:rsidR="00F61130" w:rsidRPr="00F61130" w:rsidRDefault="00F61130" w:rsidP="00F61130">
      <w:pPr>
        <w:pStyle w:val="TOC2"/>
        <w:spacing w:line="276" w:lineRule="auto"/>
        <w:rPr>
          <w:rFonts w:eastAsiaTheme="minorEastAsia"/>
          <w:noProof/>
        </w:rPr>
      </w:pPr>
      <w:hyperlink w:anchor="_Toc3716083" w:history="1">
        <w:r w:rsidRPr="00F61130">
          <w:rPr>
            <w:rStyle w:val="Hyperlink"/>
            <w:noProof/>
            <w14:scene3d>
              <w14:camera w14:prst="orthographicFront"/>
              <w14:lightRig w14:rig="threePt" w14:dir="t">
                <w14:rot w14:lat="0" w14:lon="0" w14:rev="0"/>
              </w14:lightRig>
            </w14:scene3d>
          </w:rPr>
          <w:t>2.13</w:t>
        </w:r>
        <w:r w:rsidRPr="00F61130">
          <w:rPr>
            <w:rStyle w:val="Hyperlink"/>
            <w:noProof/>
          </w:rPr>
          <w:t xml:space="preserve"> Liquid-Chromatography Mass Spectroscopy Sample Analysis</w:t>
        </w:r>
        <w:r w:rsidRPr="00F61130">
          <w:rPr>
            <w:noProof/>
            <w:webHidden/>
          </w:rPr>
          <w:tab/>
        </w:r>
        <w:r w:rsidRPr="00F61130">
          <w:rPr>
            <w:noProof/>
            <w:webHidden/>
          </w:rPr>
          <w:fldChar w:fldCharType="begin"/>
        </w:r>
        <w:r w:rsidRPr="00F61130">
          <w:rPr>
            <w:noProof/>
            <w:webHidden/>
          </w:rPr>
          <w:instrText xml:space="preserve"> PAGEREF _Toc3716083 \h </w:instrText>
        </w:r>
        <w:r w:rsidRPr="00F61130">
          <w:rPr>
            <w:noProof/>
            <w:webHidden/>
          </w:rPr>
        </w:r>
        <w:r w:rsidRPr="00F61130">
          <w:rPr>
            <w:noProof/>
            <w:webHidden/>
          </w:rPr>
          <w:fldChar w:fldCharType="separate"/>
        </w:r>
        <w:r w:rsidRPr="00F61130">
          <w:rPr>
            <w:noProof/>
            <w:webHidden/>
          </w:rPr>
          <w:t>66</w:t>
        </w:r>
        <w:r w:rsidRPr="00F61130">
          <w:rPr>
            <w:noProof/>
            <w:webHidden/>
          </w:rPr>
          <w:fldChar w:fldCharType="end"/>
        </w:r>
      </w:hyperlink>
    </w:p>
    <w:p w14:paraId="58A10F85" w14:textId="46C735EA" w:rsidR="00F61130" w:rsidRPr="00F61130" w:rsidRDefault="00F61130" w:rsidP="00F61130">
      <w:pPr>
        <w:pStyle w:val="TOC2"/>
        <w:spacing w:line="276" w:lineRule="auto"/>
        <w:rPr>
          <w:rFonts w:eastAsiaTheme="minorEastAsia"/>
          <w:noProof/>
        </w:rPr>
      </w:pPr>
      <w:hyperlink w:anchor="_Toc3716084" w:history="1">
        <w:r w:rsidRPr="00F61130">
          <w:rPr>
            <w:rStyle w:val="Hyperlink"/>
            <w:noProof/>
            <w14:scene3d>
              <w14:camera w14:prst="orthographicFront"/>
              <w14:lightRig w14:rig="threePt" w14:dir="t">
                <w14:rot w14:lat="0" w14:lon="0" w14:rev="0"/>
              </w14:lightRig>
            </w14:scene3d>
          </w:rPr>
          <w:t>2.14</w:t>
        </w:r>
        <w:r w:rsidRPr="00F61130">
          <w:rPr>
            <w:rStyle w:val="Hyperlink"/>
            <w:noProof/>
          </w:rPr>
          <w:t xml:space="preserve"> Biological Data Statistical Analysis</w:t>
        </w:r>
        <w:r w:rsidRPr="00F61130">
          <w:rPr>
            <w:noProof/>
            <w:webHidden/>
          </w:rPr>
          <w:tab/>
        </w:r>
        <w:r w:rsidRPr="00F61130">
          <w:rPr>
            <w:noProof/>
            <w:webHidden/>
          </w:rPr>
          <w:fldChar w:fldCharType="begin"/>
        </w:r>
        <w:r w:rsidRPr="00F61130">
          <w:rPr>
            <w:noProof/>
            <w:webHidden/>
          </w:rPr>
          <w:instrText xml:space="preserve"> PAGEREF _Toc3716084 \h </w:instrText>
        </w:r>
        <w:r w:rsidRPr="00F61130">
          <w:rPr>
            <w:noProof/>
            <w:webHidden/>
          </w:rPr>
        </w:r>
        <w:r w:rsidRPr="00F61130">
          <w:rPr>
            <w:noProof/>
            <w:webHidden/>
          </w:rPr>
          <w:fldChar w:fldCharType="separate"/>
        </w:r>
        <w:r w:rsidRPr="00F61130">
          <w:rPr>
            <w:noProof/>
            <w:webHidden/>
          </w:rPr>
          <w:t>67</w:t>
        </w:r>
        <w:r w:rsidRPr="00F61130">
          <w:rPr>
            <w:noProof/>
            <w:webHidden/>
          </w:rPr>
          <w:fldChar w:fldCharType="end"/>
        </w:r>
      </w:hyperlink>
    </w:p>
    <w:p w14:paraId="35DD5468" w14:textId="45B5EE35" w:rsidR="00F61130" w:rsidRPr="00F61130" w:rsidRDefault="00F61130" w:rsidP="00F61130">
      <w:pPr>
        <w:pStyle w:val="TOC2"/>
        <w:spacing w:line="276" w:lineRule="auto"/>
        <w:rPr>
          <w:rFonts w:eastAsiaTheme="minorEastAsia"/>
          <w:noProof/>
        </w:rPr>
      </w:pPr>
      <w:hyperlink w:anchor="_Toc3716085" w:history="1">
        <w:r w:rsidRPr="00F61130">
          <w:rPr>
            <w:rStyle w:val="Hyperlink"/>
            <w:noProof/>
            <w14:scene3d>
              <w14:camera w14:prst="orthographicFront"/>
              <w14:lightRig w14:rig="threePt" w14:dir="t">
                <w14:rot w14:lat="0" w14:lon="0" w14:rev="0"/>
              </w14:lightRig>
            </w14:scene3d>
          </w:rPr>
          <w:t>2.15</w:t>
        </w:r>
        <w:r w:rsidRPr="00F61130">
          <w:rPr>
            <w:rStyle w:val="Hyperlink"/>
            <w:noProof/>
          </w:rPr>
          <w:t xml:space="preserve"> Model Development &amp; Parameterisation</w:t>
        </w:r>
        <w:r w:rsidRPr="00F61130">
          <w:rPr>
            <w:noProof/>
            <w:webHidden/>
          </w:rPr>
          <w:tab/>
        </w:r>
        <w:r w:rsidRPr="00F61130">
          <w:rPr>
            <w:noProof/>
            <w:webHidden/>
          </w:rPr>
          <w:fldChar w:fldCharType="begin"/>
        </w:r>
        <w:r w:rsidRPr="00F61130">
          <w:rPr>
            <w:noProof/>
            <w:webHidden/>
          </w:rPr>
          <w:instrText xml:space="preserve"> PAGEREF _Toc3716085 \h </w:instrText>
        </w:r>
        <w:r w:rsidRPr="00F61130">
          <w:rPr>
            <w:noProof/>
            <w:webHidden/>
          </w:rPr>
        </w:r>
        <w:r w:rsidRPr="00F61130">
          <w:rPr>
            <w:noProof/>
            <w:webHidden/>
          </w:rPr>
          <w:fldChar w:fldCharType="separate"/>
        </w:r>
        <w:r w:rsidRPr="00F61130">
          <w:rPr>
            <w:noProof/>
            <w:webHidden/>
          </w:rPr>
          <w:t>68</w:t>
        </w:r>
        <w:r w:rsidRPr="00F61130">
          <w:rPr>
            <w:noProof/>
            <w:webHidden/>
          </w:rPr>
          <w:fldChar w:fldCharType="end"/>
        </w:r>
      </w:hyperlink>
    </w:p>
    <w:p w14:paraId="06FBF3A0" w14:textId="2376C81D" w:rsidR="00F61130" w:rsidRPr="00F61130" w:rsidRDefault="00F61130" w:rsidP="00F61130">
      <w:pPr>
        <w:pStyle w:val="TOC3"/>
        <w:tabs>
          <w:tab w:val="right" w:leader="dot" w:pos="8771"/>
        </w:tabs>
        <w:spacing w:line="276" w:lineRule="auto"/>
        <w:rPr>
          <w:rFonts w:eastAsiaTheme="minorEastAsia"/>
          <w:noProof/>
        </w:rPr>
      </w:pPr>
      <w:hyperlink w:anchor="_Toc3716086" w:history="1">
        <w:r w:rsidRPr="00F61130">
          <w:rPr>
            <w:rStyle w:val="Hyperlink"/>
            <w:noProof/>
          </w:rPr>
          <w:t>2.15.1 Modelling Development Approach</w:t>
        </w:r>
        <w:r w:rsidRPr="00F61130">
          <w:rPr>
            <w:noProof/>
            <w:webHidden/>
          </w:rPr>
          <w:tab/>
        </w:r>
        <w:r w:rsidRPr="00F61130">
          <w:rPr>
            <w:noProof/>
            <w:webHidden/>
          </w:rPr>
          <w:fldChar w:fldCharType="begin"/>
        </w:r>
        <w:r w:rsidRPr="00F61130">
          <w:rPr>
            <w:noProof/>
            <w:webHidden/>
          </w:rPr>
          <w:instrText xml:space="preserve"> PAGEREF _Toc3716086 \h </w:instrText>
        </w:r>
        <w:r w:rsidRPr="00F61130">
          <w:rPr>
            <w:noProof/>
            <w:webHidden/>
          </w:rPr>
        </w:r>
        <w:r w:rsidRPr="00F61130">
          <w:rPr>
            <w:noProof/>
            <w:webHidden/>
          </w:rPr>
          <w:fldChar w:fldCharType="separate"/>
        </w:r>
        <w:r w:rsidRPr="00F61130">
          <w:rPr>
            <w:noProof/>
            <w:webHidden/>
          </w:rPr>
          <w:t>68</w:t>
        </w:r>
        <w:r w:rsidRPr="00F61130">
          <w:rPr>
            <w:noProof/>
            <w:webHidden/>
          </w:rPr>
          <w:fldChar w:fldCharType="end"/>
        </w:r>
      </w:hyperlink>
    </w:p>
    <w:p w14:paraId="0ABDEC70" w14:textId="3AE8DDA4" w:rsidR="00F61130" w:rsidRPr="00F61130" w:rsidRDefault="00F61130" w:rsidP="00F61130">
      <w:pPr>
        <w:pStyle w:val="TOC3"/>
        <w:tabs>
          <w:tab w:val="right" w:leader="dot" w:pos="8771"/>
        </w:tabs>
        <w:spacing w:line="276" w:lineRule="auto"/>
        <w:rPr>
          <w:rFonts w:eastAsiaTheme="minorEastAsia"/>
          <w:noProof/>
        </w:rPr>
      </w:pPr>
      <w:hyperlink w:anchor="_Toc3716087" w:history="1">
        <w:r w:rsidRPr="00F61130">
          <w:rPr>
            <w:rStyle w:val="Hyperlink"/>
            <w:noProof/>
          </w:rPr>
          <w:t>2.15.2 Research Context</w:t>
        </w:r>
        <w:r w:rsidRPr="00F61130">
          <w:rPr>
            <w:noProof/>
            <w:webHidden/>
          </w:rPr>
          <w:tab/>
        </w:r>
        <w:r w:rsidRPr="00F61130">
          <w:rPr>
            <w:noProof/>
            <w:webHidden/>
          </w:rPr>
          <w:fldChar w:fldCharType="begin"/>
        </w:r>
        <w:r w:rsidRPr="00F61130">
          <w:rPr>
            <w:noProof/>
            <w:webHidden/>
          </w:rPr>
          <w:instrText xml:space="preserve"> PAGEREF _Toc3716087 \h </w:instrText>
        </w:r>
        <w:r w:rsidRPr="00F61130">
          <w:rPr>
            <w:noProof/>
            <w:webHidden/>
          </w:rPr>
        </w:r>
        <w:r w:rsidRPr="00F61130">
          <w:rPr>
            <w:noProof/>
            <w:webHidden/>
          </w:rPr>
          <w:fldChar w:fldCharType="separate"/>
        </w:r>
        <w:r w:rsidRPr="00F61130">
          <w:rPr>
            <w:noProof/>
            <w:webHidden/>
          </w:rPr>
          <w:t>68</w:t>
        </w:r>
        <w:r w:rsidRPr="00F61130">
          <w:rPr>
            <w:noProof/>
            <w:webHidden/>
          </w:rPr>
          <w:fldChar w:fldCharType="end"/>
        </w:r>
      </w:hyperlink>
    </w:p>
    <w:p w14:paraId="332437B7" w14:textId="1372091A" w:rsidR="00F61130" w:rsidRPr="00F61130" w:rsidRDefault="00F61130" w:rsidP="00F61130">
      <w:pPr>
        <w:pStyle w:val="TOC3"/>
        <w:tabs>
          <w:tab w:val="right" w:leader="dot" w:pos="8771"/>
        </w:tabs>
        <w:spacing w:line="276" w:lineRule="auto"/>
        <w:rPr>
          <w:rFonts w:eastAsiaTheme="minorEastAsia"/>
          <w:noProof/>
        </w:rPr>
      </w:pPr>
      <w:hyperlink w:anchor="_Toc3716088" w:history="1">
        <w:r w:rsidRPr="00F61130">
          <w:rPr>
            <w:rStyle w:val="Hyperlink"/>
            <w:noProof/>
          </w:rPr>
          <w:t>2.15.3 Domain Model</w:t>
        </w:r>
        <w:r w:rsidRPr="00F61130">
          <w:rPr>
            <w:noProof/>
            <w:webHidden/>
          </w:rPr>
          <w:tab/>
        </w:r>
        <w:r w:rsidRPr="00F61130">
          <w:rPr>
            <w:noProof/>
            <w:webHidden/>
          </w:rPr>
          <w:fldChar w:fldCharType="begin"/>
        </w:r>
        <w:r w:rsidRPr="00F61130">
          <w:rPr>
            <w:noProof/>
            <w:webHidden/>
          </w:rPr>
          <w:instrText xml:space="preserve"> PAGEREF _Toc3716088 \h </w:instrText>
        </w:r>
        <w:r w:rsidRPr="00F61130">
          <w:rPr>
            <w:noProof/>
            <w:webHidden/>
          </w:rPr>
        </w:r>
        <w:r w:rsidRPr="00F61130">
          <w:rPr>
            <w:noProof/>
            <w:webHidden/>
          </w:rPr>
          <w:fldChar w:fldCharType="separate"/>
        </w:r>
        <w:r w:rsidRPr="00F61130">
          <w:rPr>
            <w:noProof/>
            <w:webHidden/>
          </w:rPr>
          <w:t>69</w:t>
        </w:r>
        <w:r w:rsidRPr="00F61130">
          <w:rPr>
            <w:noProof/>
            <w:webHidden/>
          </w:rPr>
          <w:fldChar w:fldCharType="end"/>
        </w:r>
      </w:hyperlink>
    </w:p>
    <w:p w14:paraId="0F7A35B5" w14:textId="117449BD" w:rsidR="00F61130" w:rsidRPr="00F61130" w:rsidRDefault="00F61130" w:rsidP="00F61130">
      <w:pPr>
        <w:pStyle w:val="TOC3"/>
        <w:tabs>
          <w:tab w:val="right" w:leader="dot" w:pos="8771"/>
        </w:tabs>
        <w:spacing w:line="276" w:lineRule="auto"/>
        <w:rPr>
          <w:rFonts w:eastAsiaTheme="minorEastAsia"/>
          <w:noProof/>
        </w:rPr>
      </w:pPr>
      <w:hyperlink w:anchor="_Toc3716089" w:history="1">
        <w:r w:rsidRPr="00F61130">
          <w:rPr>
            <w:rStyle w:val="Hyperlink"/>
            <w:noProof/>
          </w:rPr>
          <w:t>2.15.4 Platform Model</w:t>
        </w:r>
        <w:r w:rsidRPr="00F61130">
          <w:rPr>
            <w:noProof/>
            <w:webHidden/>
          </w:rPr>
          <w:tab/>
        </w:r>
        <w:r w:rsidRPr="00F61130">
          <w:rPr>
            <w:noProof/>
            <w:webHidden/>
          </w:rPr>
          <w:fldChar w:fldCharType="begin"/>
        </w:r>
        <w:r w:rsidRPr="00F61130">
          <w:rPr>
            <w:noProof/>
            <w:webHidden/>
          </w:rPr>
          <w:instrText xml:space="preserve"> PAGEREF _Toc3716089 \h </w:instrText>
        </w:r>
        <w:r w:rsidRPr="00F61130">
          <w:rPr>
            <w:noProof/>
            <w:webHidden/>
          </w:rPr>
        </w:r>
        <w:r w:rsidRPr="00F61130">
          <w:rPr>
            <w:noProof/>
            <w:webHidden/>
          </w:rPr>
          <w:fldChar w:fldCharType="separate"/>
        </w:r>
        <w:r w:rsidRPr="00F61130">
          <w:rPr>
            <w:noProof/>
            <w:webHidden/>
          </w:rPr>
          <w:t>69</w:t>
        </w:r>
        <w:r w:rsidRPr="00F61130">
          <w:rPr>
            <w:noProof/>
            <w:webHidden/>
          </w:rPr>
          <w:fldChar w:fldCharType="end"/>
        </w:r>
      </w:hyperlink>
    </w:p>
    <w:p w14:paraId="5E6B2C81" w14:textId="1742F60B" w:rsidR="00F61130" w:rsidRPr="00F61130" w:rsidRDefault="00F61130" w:rsidP="00F61130">
      <w:pPr>
        <w:pStyle w:val="TOC3"/>
        <w:tabs>
          <w:tab w:val="right" w:leader="dot" w:pos="8771"/>
        </w:tabs>
        <w:spacing w:line="276" w:lineRule="auto"/>
        <w:rPr>
          <w:rFonts w:eastAsiaTheme="minorEastAsia"/>
          <w:noProof/>
        </w:rPr>
      </w:pPr>
      <w:hyperlink w:anchor="_Toc3716090" w:history="1">
        <w:r w:rsidRPr="00F61130">
          <w:rPr>
            <w:rStyle w:val="Hyperlink"/>
            <w:noProof/>
          </w:rPr>
          <w:t>2.15.5 Simulation Model</w:t>
        </w:r>
        <w:r w:rsidRPr="00F61130">
          <w:rPr>
            <w:noProof/>
            <w:webHidden/>
          </w:rPr>
          <w:tab/>
        </w:r>
        <w:r w:rsidRPr="00F61130">
          <w:rPr>
            <w:noProof/>
            <w:webHidden/>
          </w:rPr>
          <w:fldChar w:fldCharType="begin"/>
        </w:r>
        <w:r w:rsidRPr="00F61130">
          <w:rPr>
            <w:noProof/>
            <w:webHidden/>
          </w:rPr>
          <w:instrText xml:space="preserve"> PAGEREF _Toc3716090 \h </w:instrText>
        </w:r>
        <w:r w:rsidRPr="00F61130">
          <w:rPr>
            <w:noProof/>
            <w:webHidden/>
          </w:rPr>
        </w:r>
        <w:r w:rsidRPr="00F61130">
          <w:rPr>
            <w:noProof/>
            <w:webHidden/>
          </w:rPr>
          <w:fldChar w:fldCharType="separate"/>
        </w:r>
        <w:r w:rsidRPr="00F61130">
          <w:rPr>
            <w:noProof/>
            <w:webHidden/>
          </w:rPr>
          <w:t>69</w:t>
        </w:r>
        <w:r w:rsidRPr="00F61130">
          <w:rPr>
            <w:noProof/>
            <w:webHidden/>
          </w:rPr>
          <w:fldChar w:fldCharType="end"/>
        </w:r>
      </w:hyperlink>
    </w:p>
    <w:p w14:paraId="50974334" w14:textId="4D5AB307" w:rsidR="00F61130" w:rsidRPr="00F61130" w:rsidRDefault="00F61130" w:rsidP="00F61130">
      <w:pPr>
        <w:pStyle w:val="TOC3"/>
        <w:tabs>
          <w:tab w:val="right" w:leader="dot" w:pos="8771"/>
        </w:tabs>
        <w:spacing w:line="276" w:lineRule="auto"/>
        <w:rPr>
          <w:rFonts w:eastAsiaTheme="minorEastAsia"/>
          <w:noProof/>
        </w:rPr>
      </w:pPr>
      <w:hyperlink w:anchor="_Toc3716091" w:history="1">
        <w:r w:rsidRPr="00F61130">
          <w:rPr>
            <w:rStyle w:val="Hyperlink"/>
            <w:noProof/>
          </w:rPr>
          <w:t>2.15.6 Model Calibration</w:t>
        </w:r>
        <w:r w:rsidRPr="00F61130">
          <w:rPr>
            <w:noProof/>
            <w:webHidden/>
          </w:rPr>
          <w:tab/>
        </w:r>
        <w:r w:rsidRPr="00F61130">
          <w:rPr>
            <w:noProof/>
            <w:webHidden/>
          </w:rPr>
          <w:fldChar w:fldCharType="begin"/>
        </w:r>
        <w:r w:rsidRPr="00F61130">
          <w:rPr>
            <w:noProof/>
            <w:webHidden/>
          </w:rPr>
          <w:instrText xml:space="preserve"> PAGEREF _Toc3716091 \h </w:instrText>
        </w:r>
        <w:r w:rsidRPr="00F61130">
          <w:rPr>
            <w:noProof/>
            <w:webHidden/>
          </w:rPr>
        </w:r>
        <w:r w:rsidRPr="00F61130">
          <w:rPr>
            <w:noProof/>
            <w:webHidden/>
          </w:rPr>
          <w:fldChar w:fldCharType="separate"/>
        </w:r>
        <w:r w:rsidRPr="00F61130">
          <w:rPr>
            <w:noProof/>
            <w:webHidden/>
          </w:rPr>
          <w:t>70</w:t>
        </w:r>
        <w:r w:rsidRPr="00F61130">
          <w:rPr>
            <w:noProof/>
            <w:webHidden/>
          </w:rPr>
          <w:fldChar w:fldCharType="end"/>
        </w:r>
      </w:hyperlink>
    </w:p>
    <w:p w14:paraId="55FA02C6" w14:textId="3C98B212" w:rsidR="00F61130" w:rsidRPr="00F61130" w:rsidRDefault="00F61130" w:rsidP="00F61130">
      <w:pPr>
        <w:pStyle w:val="TOC3"/>
        <w:tabs>
          <w:tab w:val="right" w:leader="dot" w:pos="8771"/>
        </w:tabs>
        <w:spacing w:line="276" w:lineRule="auto"/>
        <w:rPr>
          <w:rFonts w:eastAsiaTheme="minorEastAsia"/>
          <w:noProof/>
        </w:rPr>
      </w:pPr>
      <w:hyperlink w:anchor="_Toc3716092" w:history="1">
        <w:r w:rsidRPr="00F61130">
          <w:rPr>
            <w:rStyle w:val="Hyperlink"/>
            <w:noProof/>
          </w:rPr>
          <w:t>2.15.7 Scientific Validation of the Model</w:t>
        </w:r>
        <w:r w:rsidRPr="00F61130">
          <w:rPr>
            <w:noProof/>
            <w:webHidden/>
          </w:rPr>
          <w:tab/>
        </w:r>
        <w:r w:rsidRPr="00F61130">
          <w:rPr>
            <w:noProof/>
            <w:webHidden/>
          </w:rPr>
          <w:fldChar w:fldCharType="begin"/>
        </w:r>
        <w:r w:rsidRPr="00F61130">
          <w:rPr>
            <w:noProof/>
            <w:webHidden/>
          </w:rPr>
          <w:instrText xml:space="preserve"> PAGEREF _Toc3716092 \h </w:instrText>
        </w:r>
        <w:r w:rsidRPr="00F61130">
          <w:rPr>
            <w:noProof/>
            <w:webHidden/>
          </w:rPr>
        </w:r>
        <w:r w:rsidRPr="00F61130">
          <w:rPr>
            <w:noProof/>
            <w:webHidden/>
          </w:rPr>
          <w:fldChar w:fldCharType="separate"/>
        </w:r>
        <w:r w:rsidRPr="00F61130">
          <w:rPr>
            <w:noProof/>
            <w:webHidden/>
          </w:rPr>
          <w:t>73</w:t>
        </w:r>
        <w:r w:rsidRPr="00F61130">
          <w:rPr>
            <w:noProof/>
            <w:webHidden/>
          </w:rPr>
          <w:fldChar w:fldCharType="end"/>
        </w:r>
      </w:hyperlink>
    </w:p>
    <w:p w14:paraId="73493A72" w14:textId="5A6CC934" w:rsidR="00F61130" w:rsidRPr="00F61130" w:rsidRDefault="00F61130" w:rsidP="00F61130">
      <w:pPr>
        <w:pStyle w:val="TOC3"/>
        <w:tabs>
          <w:tab w:val="right" w:leader="dot" w:pos="8771"/>
        </w:tabs>
        <w:spacing w:line="276" w:lineRule="auto"/>
        <w:rPr>
          <w:rFonts w:eastAsiaTheme="minorEastAsia"/>
          <w:noProof/>
        </w:rPr>
      </w:pPr>
      <w:hyperlink w:anchor="_Toc3716093" w:history="1">
        <w:r w:rsidRPr="00F61130">
          <w:rPr>
            <w:rStyle w:val="Hyperlink"/>
            <w:noProof/>
          </w:rPr>
          <w:t>2.15.8 Global Sensitivity Analysis</w:t>
        </w:r>
        <w:r w:rsidRPr="00F61130">
          <w:rPr>
            <w:noProof/>
            <w:webHidden/>
          </w:rPr>
          <w:tab/>
        </w:r>
        <w:r w:rsidRPr="00F61130">
          <w:rPr>
            <w:noProof/>
            <w:webHidden/>
          </w:rPr>
          <w:fldChar w:fldCharType="begin"/>
        </w:r>
        <w:r w:rsidRPr="00F61130">
          <w:rPr>
            <w:noProof/>
            <w:webHidden/>
          </w:rPr>
          <w:instrText xml:space="preserve"> PAGEREF _Toc3716093 \h </w:instrText>
        </w:r>
        <w:r w:rsidRPr="00F61130">
          <w:rPr>
            <w:noProof/>
            <w:webHidden/>
          </w:rPr>
        </w:r>
        <w:r w:rsidRPr="00F61130">
          <w:rPr>
            <w:noProof/>
            <w:webHidden/>
          </w:rPr>
          <w:fldChar w:fldCharType="separate"/>
        </w:r>
        <w:r w:rsidRPr="00F61130">
          <w:rPr>
            <w:noProof/>
            <w:webHidden/>
          </w:rPr>
          <w:t>73</w:t>
        </w:r>
        <w:r w:rsidRPr="00F61130">
          <w:rPr>
            <w:noProof/>
            <w:webHidden/>
          </w:rPr>
          <w:fldChar w:fldCharType="end"/>
        </w:r>
      </w:hyperlink>
    </w:p>
    <w:p w14:paraId="5B54236B" w14:textId="4BD199F2" w:rsidR="00F61130" w:rsidRPr="00F61130" w:rsidRDefault="00F61130" w:rsidP="00B251C6">
      <w:pPr>
        <w:pStyle w:val="TOC1"/>
        <w:rPr>
          <w:rFonts w:eastAsiaTheme="minorEastAsia"/>
          <w:noProof/>
        </w:rPr>
      </w:pPr>
      <w:hyperlink w:anchor="_Toc3716094" w:history="1">
        <w:r w:rsidRPr="00F61130">
          <w:rPr>
            <w:rStyle w:val="Hyperlink"/>
            <w:noProof/>
          </w:rPr>
          <w:t>Chapter 3 | Cellular Distribution of Amphotericin B in the Liver of Mice with Experimental Visceral Leishmaniasis</w:t>
        </w:r>
        <w:r w:rsidRPr="00F61130">
          <w:rPr>
            <w:noProof/>
            <w:webHidden/>
          </w:rPr>
          <w:tab/>
        </w:r>
        <w:r w:rsidRPr="00F61130">
          <w:rPr>
            <w:noProof/>
            <w:webHidden/>
          </w:rPr>
          <w:fldChar w:fldCharType="begin"/>
        </w:r>
        <w:r w:rsidRPr="00F61130">
          <w:rPr>
            <w:noProof/>
            <w:webHidden/>
          </w:rPr>
          <w:instrText xml:space="preserve"> PAGEREF _Toc3716094 \h </w:instrText>
        </w:r>
        <w:r w:rsidRPr="00F61130">
          <w:rPr>
            <w:noProof/>
            <w:webHidden/>
          </w:rPr>
        </w:r>
        <w:r w:rsidRPr="00F61130">
          <w:rPr>
            <w:noProof/>
            <w:webHidden/>
          </w:rPr>
          <w:fldChar w:fldCharType="separate"/>
        </w:r>
        <w:r w:rsidRPr="00F61130">
          <w:rPr>
            <w:noProof/>
            <w:webHidden/>
          </w:rPr>
          <w:t>75</w:t>
        </w:r>
        <w:r w:rsidRPr="00F61130">
          <w:rPr>
            <w:noProof/>
            <w:webHidden/>
          </w:rPr>
          <w:fldChar w:fldCharType="end"/>
        </w:r>
      </w:hyperlink>
    </w:p>
    <w:p w14:paraId="45DFB163" w14:textId="33FA9A98" w:rsidR="00F61130" w:rsidRPr="00F61130" w:rsidRDefault="00F61130" w:rsidP="00F61130">
      <w:pPr>
        <w:pStyle w:val="TOC2"/>
        <w:spacing w:line="276" w:lineRule="auto"/>
        <w:rPr>
          <w:rFonts w:eastAsiaTheme="minorEastAsia"/>
          <w:noProof/>
        </w:rPr>
      </w:pPr>
      <w:hyperlink w:anchor="_Toc3716095" w:history="1">
        <w:r w:rsidRPr="00F61130">
          <w:rPr>
            <w:rStyle w:val="Hyperlink"/>
            <w:noProof/>
            <w14:scene3d>
              <w14:camera w14:prst="orthographicFront"/>
              <w14:lightRig w14:rig="threePt" w14:dir="t">
                <w14:rot w14:lat="0" w14:lon="0" w14:rev="0"/>
              </w14:lightRig>
            </w14:scene3d>
          </w:rPr>
          <w:t>3.1</w:t>
        </w:r>
        <w:r w:rsidRPr="00F61130">
          <w:rPr>
            <w:rStyle w:val="Hyperlink"/>
            <w:noProof/>
          </w:rPr>
          <w:t xml:space="preserve"> Introduction</w:t>
        </w:r>
        <w:r w:rsidRPr="00F61130">
          <w:rPr>
            <w:noProof/>
            <w:webHidden/>
          </w:rPr>
          <w:tab/>
        </w:r>
        <w:r w:rsidRPr="00F61130">
          <w:rPr>
            <w:noProof/>
            <w:webHidden/>
          </w:rPr>
          <w:fldChar w:fldCharType="begin"/>
        </w:r>
        <w:r w:rsidRPr="00F61130">
          <w:rPr>
            <w:noProof/>
            <w:webHidden/>
          </w:rPr>
          <w:instrText xml:space="preserve"> PAGEREF _Toc3716095 \h </w:instrText>
        </w:r>
        <w:r w:rsidRPr="00F61130">
          <w:rPr>
            <w:noProof/>
            <w:webHidden/>
          </w:rPr>
        </w:r>
        <w:r w:rsidRPr="00F61130">
          <w:rPr>
            <w:noProof/>
            <w:webHidden/>
          </w:rPr>
          <w:fldChar w:fldCharType="separate"/>
        </w:r>
        <w:r w:rsidRPr="00F61130">
          <w:rPr>
            <w:noProof/>
            <w:webHidden/>
          </w:rPr>
          <w:t>76</w:t>
        </w:r>
        <w:r w:rsidRPr="00F61130">
          <w:rPr>
            <w:noProof/>
            <w:webHidden/>
          </w:rPr>
          <w:fldChar w:fldCharType="end"/>
        </w:r>
      </w:hyperlink>
    </w:p>
    <w:p w14:paraId="31A503EC" w14:textId="7A89760C" w:rsidR="00F61130" w:rsidRPr="00F61130" w:rsidRDefault="00F61130" w:rsidP="00F61130">
      <w:pPr>
        <w:pStyle w:val="TOC2"/>
        <w:spacing w:line="276" w:lineRule="auto"/>
        <w:rPr>
          <w:rFonts w:eastAsiaTheme="minorEastAsia"/>
          <w:noProof/>
        </w:rPr>
      </w:pPr>
      <w:hyperlink w:anchor="_Toc3716096" w:history="1">
        <w:r w:rsidRPr="00F61130">
          <w:rPr>
            <w:rStyle w:val="Hyperlink"/>
            <w:noProof/>
            <w14:scene3d>
              <w14:camera w14:prst="orthographicFront"/>
              <w14:lightRig w14:rig="threePt" w14:dir="t">
                <w14:rot w14:lat="0" w14:lon="0" w14:rev="0"/>
              </w14:lightRig>
            </w14:scene3d>
          </w:rPr>
          <w:t>3.2</w:t>
        </w:r>
        <w:r w:rsidRPr="00F61130">
          <w:rPr>
            <w:rStyle w:val="Hyperlink"/>
            <w:noProof/>
          </w:rPr>
          <w:t xml:space="preserve"> Aims</w:t>
        </w:r>
        <w:r w:rsidRPr="00F61130">
          <w:rPr>
            <w:noProof/>
            <w:webHidden/>
          </w:rPr>
          <w:tab/>
        </w:r>
        <w:r w:rsidRPr="00F61130">
          <w:rPr>
            <w:noProof/>
            <w:webHidden/>
          </w:rPr>
          <w:fldChar w:fldCharType="begin"/>
        </w:r>
        <w:r w:rsidRPr="00F61130">
          <w:rPr>
            <w:noProof/>
            <w:webHidden/>
          </w:rPr>
          <w:instrText xml:space="preserve"> PAGEREF _Toc3716096 \h </w:instrText>
        </w:r>
        <w:r w:rsidRPr="00F61130">
          <w:rPr>
            <w:noProof/>
            <w:webHidden/>
          </w:rPr>
        </w:r>
        <w:r w:rsidRPr="00F61130">
          <w:rPr>
            <w:noProof/>
            <w:webHidden/>
          </w:rPr>
          <w:fldChar w:fldCharType="separate"/>
        </w:r>
        <w:r w:rsidRPr="00F61130">
          <w:rPr>
            <w:noProof/>
            <w:webHidden/>
          </w:rPr>
          <w:t>77</w:t>
        </w:r>
        <w:r w:rsidRPr="00F61130">
          <w:rPr>
            <w:noProof/>
            <w:webHidden/>
          </w:rPr>
          <w:fldChar w:fldCharType="end"/>
        </w:r>
      </w:hyperlink>
    </w:p>
    <w:p w14:paraId="22945039" w14:textId="5F62D636" w:rsidR="00F61130" w:rsidRPr="00F61130" w:rsidRDefault="00F61130" w:rsidP="00F61130">
      <w:pPr>
        <w:pStyle w:val="TOC2"/>
        <w:spacing w:line="276" w:lineRule="auto"/>
        <w:rPr>
          <w:rFonts w:eastAsiaTheme="minorEastAsia"/>
          <w:noProof/>
        </w:rPr>
      </w:pPr>
      <w:hyperlink w:anchor="_Toc3716097" w:history="1">
        <w:r w:rsidRPr="00F61130">
          <w:rPr>
            <w:rStyle w:val="Hyperlink"/>
            <w:noProof/>
            <w14:scene3d>
              <w14:camera w14:prst="orthographicFront"/>
              <w14:lightRig w14:rig="threePt" w14:dir="t">
                <w14:rot w14:lat="0" w14:lon="0" w14:rev="0"/>
              </w14:lightRig>
            </w14:scene3d>
          </w:rPr>
          <w:t>3.3</w:t>
        </w:r>
        <w:r w:rsidRPr="00F61130">
          <w:rPr>
            <w:rStyle w:val="Hyperlink"/>
            <w:noProof/>
          </w:rPr>
          <w:t xml:space="preserve"> Results</w:t>
        </w:r>
        <w:r w:rsidRPr="00F61130">
          <w:rPr>
            <w:noProof/>
            <w:webHidden/>
          </w:rPr>
          <w:tab/>
        </w:r>
        <w:r w:rsidRPr="00F61130">
          <w:rPr>
            <w:noProof/>
            <w:webHidden/>
          </w:rPr>
          <w:fldChar w:fldCharType="begin"/>
        </w:r>
        <w:r w:rsidRPr="00F61130">
          <w:rPr>
            <w:noProof/>
            <w:webHidden/>
          </w:rPr>
          <w:instrText xml:space="preserve"> PAGEREF _Toc3716097 \h </w:instrText>
        </w:r>
        <w:r w:rsidRPr="00F61130">
          <w:rPr>
            <w:noProof/>
            <w:webHidden/>
          </w:rPr>
        </w:r>
        <w:r w:rsidRPr="00F61130">
          <w:rPr>
            <w:noProof/>
            <w:webHidden/>
          </w:rPr>
          <w:fldChar w:fldCharType="separate"/>
        </w:r>
        <w:r w:rsidRPr="00F61130">
          <w:rPr>
            <w:noProof/>
            <w:webHidden/>
          </w:rPr>
          <w:t>78</w:t>
        </w:r>
        <w:r w:rsidRPr="00F61130">
          <w:rPr>
            <w:noProof/>
            <w:webHidden/>
          </w:rPr>
          <w:fldChar w:fldCharType="end"/>
        </w:r>
      </w:hyperlink>
    </w:p>
    <w:p w14:paraId="2ED66C3B" w14:textId="1614B64A" w:rsidR="00F61130" w:rsidRPr="00F61130" w:rsidRDefault="00F61130" w:rsidP="00F61130">
      <w:pPr>
        <w:pStyle w:val="TOC3"/>
        <w:tabs>
          <w:tab w:val="right" w:leader="dot" w:pos="8771"/>
        </w:tabs>
        <w:spacing w:line="276" w:lineRule="auto"/>
        <w:rPr>
          <w:rFonts w:eastAsiaTheme="minorEastAsia"/>
          <w:noProof/>
        </w:rPr>
      </w:pPr>
      <w:hyperlink w:anchor="_Toc3716098" w:history="1">
        <w:r w:rsidRPr="00F61130">
          <w:rPr>
            <w:rStyle w:val="Hyperlink"/>
            <w:noProof/>
          </w:rPr>
          <w:t>3.3.1 Optimisation of Amphotericin B detection by LC-MS/MS</w:t>
        </w:r>
        <w:r w:rsidRPr="00F61130">
          <w:rPr>
            <w:noProof/>
            <w:webHidden/>
          </w:rPr>
          <w:tab/>
        </w:r>
        <w:r w:rsidRPr="00F61130">
          <w:rPr>
            <w:noProof/>
            <w:webHidden/>
          </w:rPr>
          <w:fldChar w:fldCharType="begin"/>
        </w:r>
        <w:r w:rsidRPr="00F61130">
          <w:rPr>
            <w:noProof/>
            <w:webHidden/>
          </w:rPr>
          <w:instrText xml:space="preserve"> PAGEREF _Toc3716098 \h </w:instrText>
        </w:r>
        <w:r w:rsidRPr="00F61130">
          <w:rPr>
            <w:noProof/>
            <w:webHidden/>
          </w:rPr>
        </w:r>
        <w:r w:rsidRPr="00F61130">
          <w:rPr>
            <w:noProof/>
            <w:webHidden/>
          </w:rPr>
          <w:fldChar w:fldCharType="separate"/>
        </w:r>
        <w:r w:rsidRPr="00F61130">
          <w:rPr>
            <w:noProof/>
            <w:webHidden/>
          </w:rPr>
          <w:t>78</w:t>
        </w:r>
        <w:r w:rsidRPr="00F61130">
          <w:rPr>
            <w:noProof/>
            <w:webHidden/>
          </w:rPr>
          <w:fldChar w:fldCharType="end"/>
        </w:r>
      </w:hyperlink>
    </w:p>
    <w:p w14:paraId="7302DEE2" w14:textId="653964A5" w:rsidR="00F61130" w:rsidRPr="00F61130" w:rsidRDefault="00F61130" w:rsidP="00F61130">
      <w:pPr>
        <w:pStyle w:val="TOC3"/>
        <w:tabs>
          <w:tab w:val="right" w:leader="dot" w:pos="8771"/>
        </w:tabs>
        <w:spacing w:line="276" w:lineRule="auto"/>
        <w:rPr>
          <w:rFonts w:eastAsiaTheme="minorEastAsia"/>
          <w:noProof/>
        </w:rPr>
      </w:pPr>
      <w:hyperlink w:anchor="_Toc3716099" w:history="1">
        <w:r w:rsidRPr="00F61130">
          <w:rPr>
            <w:rStyle w:val="Hyperlink"/>
            <w:noProof/>
          </w:rPr>
          <w:t>3.3.2 Initial characterisation of hepatic Amphotericin B accumulation</w:t>
        </w:r>
        <w:r w:rsidRPr="00F61130">
          <w:rPr>
            <w:noProof/>
            <w:webHidden/>
          </w:rPr>
          <w:tab/>
        </w:r>
        <w:r w:rsidRPr="00F61130">
          <w:rPr>
            <w:noProof/>
            <w:webHidden/>
          </w:rPr>
          <w:fldChar w:fldCharType="begin"/>
        </w:r>
        <w:r w:rsidRPr="00F61130">
          <w:rPr>
            <w:noProof/>
            <w:webHidden/>
          </w:rPr>
          <w:instrText xml:space="preserve"> PAGEREF _Toc3716099 \h </w:instrText>
        </w:r>
        <w:r w:rsidRPr="00F61130">
          <w:rPr>
            <w:noProof/>
            <w:webHidden/>
          </w:rPr>
        </w:r>
        <w:r w:rsidRPr="00F61130">
          <w:rPr>
            <w:noProof/>
            <w:webHidden/>
          </w:rPr>
          <w:fldChar w:fldCharType="separate"/>
        </w:r>
        <w:r w:rsidRPr="00F61130">
          <w:rPr>
            <w:noProof/>
            <w:webHidden/>
          </w:rPr>
          <w:t>84</w:t>
        </w:r>
        <w:r w:rsidRPr="00F61130">
          <w:rPr>
            <w:noProof/>
            <w:webHidden/>
          </w:rPr>
          <w:fldChar w:fldCharType="end"/>
        </w:r>
      </w:hyperlink>
    </w:p>
    <w:p w14:paraId="502D80EE" w14:textId="021EE2F8" w:rsidR="00F61130" w:rsidRPr="00F61130" w:rsidRDefault="00F61130" w:rsidP="00F61130">
      <w:pPr>
        <w:pStyle w:val="TOC3"/>
        <w:tabs>
          <w:tab w:val="right" w:leader="dot" w:pos="8771"/>
        </w:tabs>
        <w:spacing w:line="276" w:lineRule="auto"/>
        <w:rPr>
          <w:rFonts w:eastAsiaTheme="minorEastAsia"/>
          <w:noProof/>
        </w:rPr>
      </w:pPr>
      <w:hyperlink w:anchor="_Toc3716100" w:history="1">
        <w:r w:rsidRPr="00F61130">
          <w:rPr>
            <w:rStyle w:val="Hyperlink"/>
            <w:noProof/>
          </w:rPr>
          <w:t>3.3.3 Kinetics of hepatic Amphotericin B accumulation and distribution</w:t>
        </w:r>
        <w:r w:rsidRPr="00F61130">
          <w:rPr>
            <w:noProof/>
            <w:webHidden/>
          </w:rPr>
          <w:tab/>
        </w:r>
        <w:r w:rsidRPr="00F61130">
          <w:rPr>
            <w:noProof/>
            <w:webHidden/>
          </w:rPr>
          <w:fldChar w:fldCharType="begin"/>
        </w:r>
        <w:r w:rsidRPr="00F61130">
          <w:rPr>
            <w:noProof/>
            <w:webHidden/>
          </w:rPr>
          <w:instrText xml:space="preserve"> PAGEREF _Toc3716100 \h </w:instrText>
        </w:r>
        <w:r w:rsidRPr="00F61130">
          <w:rPr>
            <w:noProof/>
            <w:webHidden/>
          </w:rPr>
        </w:r>
        <w:r w:rsidRPr="00F61130">
          <w:rPr>
            <w:noProof/>
            <w:webHidden/>
          </w:rPr>
          <w:fldChar w:fldCharType="separate"/>
        </w:r>
        <w:r w:rsidRPr="00F61130">
          <w:rPr>
            <w:noProof/>
            <w:webHidden/>
          </w:rPr>
          <w:t>89</w:t>
        </w:r>
        <w:r w:rsidRPr="00F61130">
          <w:rPr>
            <w:noProof/>
            <w:webHidden/>
          </w:rPr>
          <w:fldChar w:fldCharType="end"/>
        </w:r>
      </w:hyperlink>
    </w:p>
    <w:p w14:paraId="7CB81BF9" w14:textId="76A07F4C" w:rsidR="00F61130" w:rsidRPr="00F61130" w:rsidRDefault="00F61130" w:rsidP="00F61130">
      <w:pPr>
        <w:pStyle w:val="TOC2"/>
        <w:spacing w:line="276" w:lineRule="auto"/>
        <w:rPr>
          <w:rFonts w:eastAsiaTheme="minorEastAsia"/>
          <w:noProof/>
        </w:rPr>
      </w:pPr>
      <w:hyperlink w:anchor="_Toc3716101" w:history="1">
        <w:r w:rsidRPr="00F61130">
          <w:rPr>
            <w:rStyle w:val="Hyperlink"/>
            <w:noProof/>
            <w14:scene3d>
              <w14:camera w14:prst="orthographicFront"/>
              <w14:lightRig w14:rig="threePt" w14:dir="t">
                <w14:rot w14:lat="0" w14:lon="0" w14:rev="0"/>
              </w14:lightRig>
            </w14:scene3d>
          </w:rPr>
          <w:t>3.4</w:t>
        </w:r>
        <w:r w:rsidRPr="00F61130">
          <w:rPr>
            <w:rStyle w:val="Hyperlink"/>
            <w:noProof/>
          </w:rPr>
          <w:t xml:space="preserve"> Discussion</w:t>
        </w:r>
        <w:r w:rsidRPr="00F61130">
          <w:rPr>
            <w:noProof/>
            <w:webHidden/>
          </w:rPr>
          <w:tab/>
        </w:r>
        <w:r w:rsidRPr="00F61130">
          <w:rPr>
            <w:noProof/>
            <w:webHidden/>
          </w:rPr>
          <w:fldChar w:fldCharType="begin"/>
        </w:r>
        <w:r w:rsidRPr="00F61130">
          <w:rPr>
            <w:noProof/>
            <w:webHidden/>
          </w:rPr>
          <w:instrText xml:space="preserve"> PAGEREF _Toc3716101 \h </w:instrText>
        </w:r>
        <w:r w:rsidRPr="00F61130">
          <w:rPr>
            <w:noProof/>
            <w:webHidden/>
          </w:rPr>
        </w:r>
        <w:r w:rsidRPr="00F61130">
          <w:rPr>
            <w:noProof/>
            <w:webHidden/>
          </w:rPr>
          <w:fldChar w:fldCharType="separate"/>
        </w:r>
        <w:r w:rsidRPr="00F61130">
          <w:rPr>
            <w:noProof/>
            <w:webHidden/>
          </w:rPr>
          <w:t>96</w:t>
        </w:r>
        <w:r w:rsidRPr="00F61130">
          <w:rPr>
            <w:noProof/>
            <w:webHidden/>
          </w:rPr>
          <w:fldChar w:fldCharType="end"/>
        </w:r>
      </w:hyperlink>
    </w:p>
    <w:p w14:paraId="3E1626C7" w14:textId="75A5DE1D" w:rsidR="00F61130" w:rsidRPr="00F61130" w:rsidRDefault="00F61130" w:rsidP="00B251C6">
      <w:pPr>
        <w:pStyle w:val="TOC1"/>
        <w:rPr>
          <w:rFonts w:eastAsiaTheme="minorEastAsia"/>
          <w:noProof/>
        </w:rPr>
      </w:pPr>
      <w:hyperlink w:anchor="_Toc3716102" w:history="1">
        <w:r w:rsidRPr="00F61130">
          <w:rPr>
            <w:rStyle w:val="Hyperlink"/>
            <w:noProof/>
          </w:rPr>
          <w:t xml:space="preserve">Chapter 4 | Developing a Model of the Hepatic Immune Response to </w:t>
        </w:r>
        <w:r w:rsidRPr="00F61130">
          <w:rPr>
            <w:rStyle w:val="Hyperlink"/>
            <w:i/>
            <w:noProof/>
          </w:rPr>
          <w:t>Leishmania donovani</w:t>
        </w:r>
        <w:r w:rsidRPr="00F61130">
          <w:rPr>
            <w:rStyle w:val="Hyperlink"/>
            <w:noProof/>
          </w:rPr>
          <w:t xml:space="preserve"> Infection</w:t>
        </w:r>
        <w:r w:rsidRPr="00F61130">
          <w:rPr>
            <w:noProof/>
            <w:webHidden/>
          </w:rPr>
          <w:tab/>
        </w:r>
        <w:r w:rsidRPr="00F61130">
          <w:rPr>
            <w:noProof/>
            <w:webHidden/>
          </w:rPr>
          <w:fldChar w:fldCharType="begin"/>
        </w:r>
        <w:r w:rsidRPr="00F61130">
          <w:rPr>
            <w:noProof/>
            <w:webHidden/>
          </w:rPr>
          <w:instrText xml:space="preserve"> PAGEREF _Toc3716102 \h </w:instrText>
        </w:r>
        <w:r w:rsidRPr="00F61130">
          <w:rPr>
            <w:noProof/>
            <w:webHidden/>
          </w:rPr>
        </w:r>
        <w:r w:rsidRPr="00F61130">
          <w:rPr>
            <w:noProof/>
            <w:webHidden/>
          </w:rPr>
          <w:fldChar w:fldCharType="separate"/>
        </w:r>
        <w:r w:rsidRPr="00F61130">
          <w:rPr>
            <w:noProof/>
            <w:webHidden/>
          </w:rPr>
          <w:t>100</w:t>
        </w:r>
        <w:r w:rsidRPr="00F61130">
          <w:rPr>
            <w:noProof/>
            <w:webHidden/>
          </w:rPr>
          <w:fldChar w:fldCharType="end"/>
        </w:r>
      </w:hyperlink>
    </w:p>
    <w:p w14:paraId="72DA7BED" w14:textId="7AE0BC3B" w:rsidR="00F61130" w:rsidRPr="00F61130" w:rsidRDefault="00F61130" w:rsidP="00F61130">
      <w:pPr>
        <w:pStyle w:val="TOC2"/>
        <w:spacing w:line="276" w:lineRule="auto"/>
        <w:rPr>
          <w:rFonts w:eastAsiaTheme="minorEastAsia"/>
          <w:noProof/>
        </w:rPr>
      </w:pPr>
      <w:hyperlink w:anchor="_Toc3716103" w:history="1">
        <w:r w:rsidRPr="00F61130">
          <w:rPr>
            <w:rStyle w:val="Hyperlink"/>
            <w:noProof/>
            <w14:scene3d>
              <w14:camera w14:prst="orthographicFront"/>
              <w14:lightRig w14:rig="threePt" w14:dir="t">
                <w14:rot w14:lat="0" w14:lon="0" w14:rev="0"/>
              </w14:lightRig>
            </w14:scene3d>
          </w:rPr>
          <w:t>4.1</w:t>
        </w:r>
        <w:r w:rsidRPr="00F61130">
          <w:rPr>
            <w:rStyle w:val="Hyperlink"/>
            <w:noProof/>
          </w:rPr>
          <w:t xml:space="preserve"> Introduction</w:t>
        </w:r>
        <w:r w:rsidRPr="00F61130">
          <w:rPr>
            <w:noProof/>
            <w:webHidden/>
          </w:rPr>
          <w:tab/>
        </w:r>
        <w:r w:rsidRPr="00F61130">
          <w:rPr>
            <w:noProof/>
            <w:webHidden/>
          </w:rPr>
          <w:fldChar w:fldCharType="begin"/>
        </w:r>
        <w:r w:rsidRPr="00F61130">
          <w:rPr>
            <w:noProof/>
            <w:webHidden/>
          </w:rPr>
          <w:instrText xml:space="preserve"> PAGEREF _Toc3716103 \h </w:instrText>
        </w:r>
        <w:r w:rsidRPr="00F61130">
          <w:rPr>
            <w:noProof/>
            <w:webHidden/>
          </w:rPr>
        </w:r>
        <w:r w:rsidRPr="00F61130">
          <w:rPr>
            <w:noProof/>
            <w:webHidden/>
          </w:rPr>
          <w:fldChar w:fldCharType="separate"/>
        </w:r>
        <w:r w:rsidRPr="00F61130">
          <w:rPr>
            <w:noProof/>
            <w:webHidden/>
          </w:rPr>
          <w:t>101</w:t>
        </w:r>
        <w:r w:rsidRPr="00F61130">
          <w:rPr>
            <w:noProof/>
            <w:webHidden/>
          </w:rPr>
          <w:fldChar w:fldCharType="end"/>
        </w:r>
      </w:hyperlink>
    </w:p>
    <w:p w14:paraId="42D138EB" w14:textId="5ADBE356" w:rsidR="00F61130" w:rsidRPr="00F61130" w:rsidRDefault="00F61130" w:rsidP="00F61130">
      <w:pPr>
        <w:pStyle w:val="TOC2"/>
        <w:spacing w:line="276" w:lineRule="auto"/>
        <w:rPr>
          <w:rFonts w:eastAsiaTheme="minorEastAsia"/>
          <w:noProof/>
        </w:rPr>
      </w:pPr>
      <w:hyperlink w:anchor="_Toc3716104" w:history="1">
        <w:r w:rsidRPr="00F61130">
          <w:rPr>
            <w:rStyle w:val="Hyperlink"/>
            <w:noProof/>
            <w14:scene3d>
              <w14:camera w14:prst="orthographicFront"/>
              <w14:lightRig w14:rig="threePt" w14:dir="t">
                <w14:rot w14:lat="0" w14:lon="0" w14:rev="0"/>
              </w14:lightRig>
            </w14:scene3d>
          </w:rPr>
          <w:t>4.2</w:t>
        </w:r>
        <w:r w:rsidRPr="00F61130">
          <w:rPr>
            <w:rStyle w:val="Hyperlink"/>
            <w:noProof/>
          </w:rPr>
          <w:t xml:space="preserve"> Aims</w:t>
        </w:r>
        <w:r w:rsidRPr="00F61130">
          <w:rPr>
            <w:noProof/>
            <w:webHidden/>
          </w:rPr>
          <w:tab/>
        </w:r>
        <w:r w:rsidRPr="00F61130">
          <w:rPr>
            <w:noProof/>
            <w:webHidden/>
          </w:rPr>
          <w:fldChar w:fldCharType="begin"/>
        </w:r>
        <w:r w:rsidRPr="00F61130">
          <w:rPr>
            <w:noProof/>
            <w:webHidden/>
          </w:rPr>
          <w:instrText xml:space="preserve"> PAGEREF _Toc3716104 \h </w:instrText>
        </w:r>
        <w:r w:rsidRPr="00F61130">
          <w:rPr>
            <w:noProof/>
            <w:webHidden/>
          </w:rPr>
        </w:r>
        <w:r w:rsidRPr="00F61130">
          <w:rPr>
            <w:noProof/>
            <w:webHidden/>
          </w:rPr>
          <w:fldChar w:fldCharType="separate"/>
        </w:r>
        <w:r w:rsidRPr="00F61130">
          <w:rPr>
            <w:noProof/>
            <w:webHidden/>
          </w:rPr>
          <w:t>103</w:t>
        </w:r>
        <w:r w:rsidRPr="00F61130">
          <w:rPr>
            <w:noProof/>
            <w:webHidden/>
          </w:rPr>
          <w:fldChar w:fldCharType="end"/>
        </w:r>
      </w:hyperlink>
    </w:p>
    <w:p w14:paraId="6F817918" w14:textId="53BBCCDF" w:rsidR="00F61130" w:rsidRPr="00F61130" w:rsidRDefault="00F61130" w:rsidP="00F61130">
      <w:pPr>
        <w:pStyle w:val="TOC2"/>
        <w:spacing w:line="276" w:lineRule="auto"/>
        <w:rPr>
          <w:rFonts w:eastAsiaTheme="minorEastAsia"/>
          <w:noProof/>
        </w:rPr>
      </w:pPr>
      <w:hyperlink w:anchor="_Toc3716105" w:history="1">
        <w:r w:rsidRPr="00F61130">
          <w:rPr>
            <w:rStyle w:val="Hyperlink"/>
            <w:noProof/>
            <w14:scene3d>
              <w14:camera w14:prst="orthographicFront"/>
              <w14:lightRig w14:rig="threePt" w14:dir="t">
                <w14:rot w14:lat="0" w14:lon="0" w14:rev="0"/>
              </w14:lightRig>
            </w14:scene3d>
          </w:rPr>
          <w:t>4.3</w:t>
        </w:r>
        <w:r w:rsidRPr="00F61130">
          <w:rPr>
            <w:rStyle w:val="Hyperlink"/>
            <w:noProof/>
          </w:rPr>
          <w:t xml:space="preserve"> Results</w:t>
        </w:r>
        <w:r w:rsidRPr="00F61130">
          <w:rPr>
            <w:noProof/>
            <w:webHidden/>
          </w:rPr>
          <w:tab/>
        </w:r>
        <w:r w:rsidRPr="00F61130">
          <w:rPr>
            <w:noProof/>
            <w:webHidden/>
          </w:rPr>
          <w:fldChar w:fldCharType="begin"/>
        </w:r>
        <w:r w:rsidRPr="00F61130">
          <w:rPr>
            <w:noProof/>
            <w:webHidden/>
          </w:rPr>
          <w:instrText xml:space="preserve"> PAGEREF _Toc3716105 \h </w:instrText>
        </w:r>
        <w:r w:rsidRPr="00F61130">
          <w:rPr>
            <w:noProof/>
            <w:webHidden/>
          </w:rPr>
        </w:r>
        <w:r w:rsidRPr="00F61130">
          <w:rPr>
            <w:noProof/>
            <w:webHidden/>
          </w:rPr>
          <w:fldChar w:fldCharType="separate"/>
        </w:r>
        <w:r w:rsidRPr="00F61130">
          <w:rPr>
            <w:noProof/>
            <w:webHidden/>
          </w:rPr>
          <w:t>104</w:t>
        </w:r>
        <w:r w:rsidRPr="00F61130">
          <w:rPr>
            <w:noProof/>
            <w:webHidden/>
          </w:rPr>
          <w:fldChar w:fldCharType="end"/>
        </w:r>
      </w:hyperlink>
    </w:p>
    <w:p w14:paraId="550F72DF" w14:textId="739320CD" w:rsidR="00F61130" w:rsidRPr="00F61130" w:rsidRDefault="00F61130" w:rsidP="00F61130">
      <w:pPr>
        <w:pStyle w:val="TOC3"/>
        <w:tabs>
          <w:tab w:val="right" w:leader="dot" w:pos="8771"/>
        </w:tabs>
        <w:spacing w:line="276" w:lineRule="auto"/>
        <w:rPr>
          <w:rFonts w:eastAsiaTheme="minorEastAsia"/>
          <w:noProof/>
        </w:rPr>
      </w:pPr>
      <w:hyperlink w:anchor="_Toc3716106" w:history="1">
        <w:r w:rsidRPr="00F61130">
          <w:rPr>
            <w:rStyle w:val="Hyperlink"/>
            <w:noProof/>
          </w:rPr>
          <w:t>4.3.1 Biological Data Generation</w:t>
        </w:r>
        <w:r w:rsidRPr="00F61130">
          <w:rPr>
            <w:noProof/>
            <w:webHidden/>
          </w:rPr>
          <w:tab/>
        </w:r>
        <w:r w:rsidRPr="00F61130">
          <w:rPr>
            <w:noProof/>
            <w:webHidden/>
          </w:rPr>
          <w:fldChar w:fldCharType="begin"/>
        </w:r>
        <w:r w:rsidRPr="00F61130">
          <w:rPr>
            <w:noProof/>
            <w:webHidden/>
          </w:rPr>
          <w:instrText xml:space="preserve"> PAGEREF _Toc3716106 \h </w:instrText>
        </w:r>
        <w:r w:rsidRPr="00F61130">
          <w:rPr>
            <w:noProof/>
            <w:webHidden/>
          </w:rPr>
        </w:r>
        <w:r w:rsidRPr="00F61130">
          <w:rPr>
            <w:noProof/>
            <w:webHidden/>
          </w:rPr>
          <w:fldChar w:fldCharType="separate"/>
        </w:r>
        <w:r w:rsidRPr="00F61130">
          <w:rPr>
            <w:noProof/>
            <w:webHidden/>
          </w:rPr>
          <w:t>104</w:t>
        </w:r>
        <w:r w:rsidRPr="00F61130">
          <w:rPr>
            <w:noProof/>
            <w:webHidden/>
          </w:rPr>
          <w:fldChar w:fldCharType="end"/>
        </w:r>
      </w:hyperlink>
    </w:p>
    <w:p w14:paraId="4CB6B73E" w14:textId="32A26C02" w:rsidR="00F61130" w:rsidRPr="00F61130" w:rsidRDefault="00F61130" w:rsidP="00F61130">
      <w:pPr>
        <w:pStyle w:val="TOC3"/>
        <w:tabs>
          <w:tab w:val="right" w:leader="dot" w:pos="8771"/>
        </w:tabs>
        <w:spacing w:line="276" w:lineRule="auto"/>
        <w:rPr>
          <w:rFonts w:eastAsiaTheme="minorEastAsia"/>
          <w:noProof/>
        </w:rPr>
      </w:pPr>
      <w:hyperlink w:anchor="_Toc3716107" w:history="1">
        <w:r w:rsidRPr="00F61130">
          <w:rPr>
            <w:rStyle w:val="Hyperlink"/>
            <w:noProof/>
          </w:rPr>
          <w:t xml:space="preserve">4.3.2 Deriving a Domain Model of the hepatic immune response </w:t>
        </w:r>
        <w:r w:rsidRPr="00F61130">
          <w:rPr>
            <w:rStyle w:val="Hyperlink"/>
            <w:i/>
            <w:noProof/>
          </w:rPr>
          <w:t>L. donovani</w:t>
        </w:r>
        <w:r w:rsidRPr="00F61130">
          <w:rPr>
            <w:rStyle w:val="Hyperlink"/>
            <w:noProof/>
          </w:rPr>
          <w:t xml:space="preserve"> infection</w:t>
        </w:r>
        <w:r w:rsidRPr="00F61130">
          <w:rPr>
            <w:noProof/>
            <w:webHidden/>
          </w:rPr>
          <w:tab/>
        </w:r>
        <w:r w:rsidRPr="00F61130">
          <w:rPr>
            <w:noProof/>
            <w:webHidden/>
          </w:rPr>
          <w:fldChar w:fldCharType="begin"/>
        </w:r>
        <w:r w:rsidRPr="00F61130">
          <w:rPr>
            <w:noProof/>
            <w:webHidden/>
          </w:rPr>
          <w:instrText xml:space="preserve"> PAGEREF _Toc3716107 \h </w:instrText>
        </w:r>
        <w:r w:rsidRPr="00F61130">
          <w:rPr>
            <w:noProof/>
            <w:webHidden/>
          </w:rPr>
        </w:r>
        <w:r w:rsidRPr="00F61130">
          <w:rPr>
            <w:noProof/>
            <w:webHidden/>
          </w:rPr>
          <w:fldChar w:fldCharType="separate"/>
        </w:r>
        <w:r w:rsidRPr="00F61130">
          <w:rPr>
            <w:noProof/>
            <w:webHidden/>
          </w:rPr>
          <w:t>107</w:t>
        </w:r>
        <w:r w:rsidRPr="00F61130">
          <w:rPr>
            <w:noProof/>
            <w:webHidden/>
          </w:rPr>
          <w:fldChar w:fldCharType="end"/>
        </w:r>
      </w:hyperlink>
    </w:p>
    <w:p w14:paraId="18A0A463" w14:textId="2243212D" w:rsidR="00F61130" w:rsidRPr="00F61130" w:rsidRDefault="00F61130" w:rsidP="00F61130">
      <w:pPr>
        <w:pStyle w:val="TOC3"/>
        <w:tabs>
          <w:tab w:val="right" w:leader="dot" w:pos="8771"/>
        </w:tabs>
        <w:spacing w:line="276" w:lineRule="auto"/>
        <w:rPr>
          <w:rFonts w:eastAsiaTheme="minorEastAsia"/>
          <w:noProof/>
        </w:rPr>
      </w:pPr>
      <w:hyperlink w:anchor="_Toc3716108" w:history="1">
        <w:r w:rsidRPr="00F61130">
          <w:rPr>
            <w:rStyle w:val="Hyperlink"/>
            <w:noProof/>
          </w:rPr>
          <w:t xml:space="preserve">4.3.3 Developing a platform model of the hepatic immune response to </w:t>
        </w:r>
        <w:r w:rsidRPr="00F61130">
          <w:rPr>
            <w:rStyle w:val="Hyperlink"/>
            <w:i/>
            <w:noProof/>
          </w:rPr>
          <w:t>L. donovani</w:t>
        </w:r>
        <w:r w:rsidRPr="00F61130">
          <w:rPr>
            <w:rStyle w:val="Hyperlink"/>
            <w:noProof/>
          </w:rPr>
          <w:t xml:space="preserve"> infection</w:t>
        </w:r>
        <w:r w:rsidRPr="00F61130">
          <w:rPr>
            <w:noProof/>
            <w:webHidden/>
          </w:rPr>
          <w:tab/>
        </w:r>
        <w:r w:rsidRPr="00F61130">
          <w:rPr>
            <w:noProof/>
            <w:webHidden/>
          </w:rPr>
          <w:fldChar w:fldCharType="begin"/>
        </w:r>
        <w:r w:rsidRPr="00F61130">
          <w:rPr>
            <w:noProof/>
            <w:webHidden/>
          </w:rPr>
          <w:instrText xml:space="preserve"> PAGEREF _Toc3716108 \h </w:instrText>
        </w:r>
        <w:r w:rsidRPr="00F61130">
          <w:rPr>
            <w:noProof/>
            <w:webHidden/>
          </w:rPr>
        </w:r>
        <w:r w:rsidRPr="00F61130">
          <w:rPr>
            <w:noProof/>
            <w:webHidden/>
          </w:rPr>
          <w:fldChar w:fldCharType="separate"/>
        </w:r>
        <w:r w:rsidRPr="00F61130">
          <w:rPr>
            <w:noProof/>
            <w:webHidden/>
          </w:rPr>
          <w:t>126</w:t>
        </w:r>
        <w:r w:rsidRPr="00F61130">
          <w:rPr>
            <w:noProof/>
            <w:webHidden/>
          </w:rPr>
          <w:fldChar w:fldCharType="end"/>
        </w:r>
      </w:hyperlink>
    </w:p>
    <w:p w14:paraId="65CF1BCA" w14:textId="6D0DF88A" w:rsidR="00F61130" w:rsidRPr="00F61130" w:rsidRDefault="00F61130" w:rsidP="00F61130">
      <w:pPr>
        <w:pStyle w:val="TOC3"/>
        <w:tabs>
          <w:tab w:val="right" w:leader="dot" w:pos="8771"/>
        </w:tabs>
        <w:spacing w:line="276" w:lineRule="auto"/>
        <w:rPr>
          <w:rFonts w:eastAsiaTheme="minorEastAsia"/>
          <w:noProof/>
        </w:rPr>
      </w:pPr>
      <w:hyperlink w:anchor="_Toc3716109" w:history="1">
        <w:r w:rsidRPr="00F61130">
          <w:rPr>
            <w:rStyle w:val="Hyperlink"/>
            <w:noProof/>
          </w:rPr>
          <w:t xml:space="preserve">4.3.4 Implementing a Simulation Model of the hepatic immune response to infection with </w:t>
        </w:r>
        <w:r w:rsidRPr="00F61130">
          <w:rPr>
            <w:rStyle w:val="Hyperlink"/>
            <w:i/>
            <w:noProof/>
          </w:rPr>
          <w:t>L. donovani</w:t>
        </w:r>
        <w:r w:rsidRPr="00F61130">
          <w:rPr>
            <w:noProof/>
            <w:webHidden/>
          </w:rPr>
          <w:tab/>
        </w:r>
        <w:r w:rsidRPr="00F61130">
          <w:rPr>
            <w:noProof/>
            <w:webHidden/>
          </w:rPr>
          <w:fldChar w:fldCharType="begin"/>
        </w:r>
        <w:r w:rsidRPr="00F61130">
          <w:rPr>
            <w:noProof/>
            <w:webHidden/>
          </w:rPr>
          <w:instrText xml:space="preserve"> PAGEREF _Toc3716109 \h </w:instrText>
        </w:r>
        <w:r w:rsidRPr="00F61130">
          <w:rPr>
            <w:noProof/>
            <w:webHidden/>
          </w:rPr>
        </w:r>
        <w:r w:rsidRPr="00F61130">
          <w:rPr>
            <w:noProof/>
            <w:webHidden/>
          </w:rPr>
          <w:fldChar w:fldCharType="separate"/>
        </w:r>
        <w:r w:rsidRPr="00F61130">
          <w:rPr>
            <w:noProof/>
            <w:webHidden/>
          </w:rPr>
          <w:t>133</w:t>
        </w:r>
        <w:r w:rsidRPr="00F61130">
          <w:rPr>
            <w:noProof/>
            <w:webHidden/>
          </w:rPr>
          <w:fldChar w:fldCharType="end"/>
        </w:r>
      </w:hyperlink>
    </w:p>
    <w:p w14:paraId="556A0C91" w14:textId="6E002593" w:rsidR="00F61130" w:rsidRPr="00F61130" w:rsidRDefault="00F61130" w:rsidP="00F61130">
      <w:pPr>
        <w:pStyle w:val="TOC3"/>
        <w:tabs>
          <w:tab w:val="right" w:leader="dot" w:pos="8771"/>
        </w:tabs>
        <w:spacing w:line="276" w:lineRule="auto"/>
        <w:rPr>
          <w:rFonts w:eastAsiaTheme="minorEastAsia"/>
          <w:noProof/>
        </w:rPr>
      </w:pPr>
      <w:hyperlink w:anchor="_Toc3716110" w:history="1">
        <w:r w:rsidRPr="00F61130">
          <w:rPr>
            <w:rStyle w:val="Hyperlink"/>
            <w:noProof/>
          </w:rPr>
          <w:t>4.3.5 Statistical Validation of the Simulation Model</w:t>
        </w:r>
        <w:r w:rsidRPr="00F61130">
          <w:rPr>
            <w:noProof/>
            <w:webHidden/>
          </w:rPr>
          <w:tab/>
        </w:r>
        <w:r w:rsidRPr="00F61130">
          <w:rPr>
            <w:noProof/>
            <w:webHidden/>
          </w:rPr>
          <w:fldChar w:fldCharType="begin"/>
        </w:r>
        <w:r w:rsidRPr="00F61130">
          <w:rPr>
            <w:noProof/>
            <w:webHidden/>
          </w:rPr>
          <w:instrText xml:space="preserve"> PAGEREF _Toc3716110 \h </w:instrText>
        </w:r>
        <w:r w:rsidRPr="00F61130">
          <w:rPr>
            <w:noProof/>
            <w:webHidden/>
          </w:rPr>
        </w:r>
        <w:r w:rsidRPr="00F61130">
          <w:rPr>
            <w:noProof/>
            <w:webHidden/>
          </w:rPr>
          <w:fldChar w:fldCharType="separate"/>
        </w:r>
        <w:r w:rsidRPr="00F61130">
          <w:rPr>
            <w:noProof/>
            <w:webHidden/>
          </w:rPr>
          <w:t>142</w:t>
        </w:r>
        <w:r w:rsidRPr="00F61130">
          <w:rPr>
            <w:noProof/>
            <w:webHidden/>
          </w:rPr>
          <w:fldChar w:fldCharType="end"/>
        </w:r>
      </w:hyperlink>
    </w:p>
    <w:p w14:paraId="6070FE00" w14:textId="3A6A7144" w:rsidR="00F61130" w:rsidRPr="00F61130" w:rsidRDefault="00F61130" w:rsidP="00F61130">
      <w:pPr>
        <w:pStyle w:val="TOC2"/>
        <w:spacing w:line="276" w:lineRule="auto"/>
        <w:rPr>
          <w:rFonts w:eastAsiaTheme="minorEastAsia"/>
          <w:noProof/>
        </w:rPr>
      </w:pPr>
      <w:hyperlink w:anchor="_Toc3716111" w:history="1">
        <w:r w:rsidRPr="00F61130">
          <w:rPr>
            <w:rStyle w:val="Hyperlink"/>
            <w:noProof/>
            <w14:scene3d>
              <w14:camera w14:prst="orthographicFront"/>
              <w14:lightRig w14:rig="threePt" w14:dir="t">
                <w14:rot w14:lat="0" w14:lon="0" w14:rev="0"/>
              </w14:lightRig>
            </w14:scene3d>
          </w:rPr>
          <w:t>4.4</w:t>
        </w:r>
        <w:r w:rsidRPr="00F61130">
          <w:rPr>
            <w:rStyle w:val="Hyperlink"/>
            <w:noProof/>
          </w:rPr>
          <w:t xml:space="preserve"> Discussion</w:t>
        </w:r>
        <w:r w:rsidRPr="00F61130">
          <w:rPr>
            <w:noProof/>
            <w:webHidden/>
          </w:rPr>
          <w:tab/>
        </w:r>
        <w:r w:rsidRPr="00F61130">
          <w:rPr>
            <w:noProof/>
            <w:webHidden/>
          </w:rPr>
          <w:fldChar w:fldCharType="begin"/>
        </w:r>
        <w:r w:rsidRPr="00F61130">
          <w:rPr>
            <w:noProof/>
            <w:webHidden/>
          </w:rPr>
          <w:instrText xml:space="preserve"> PAGEREF _Toc3716111 \h </w:instrText>
        </w:r>
        <w:r w:rsidRPr="00F61130">
          <w:rPr>
            <w:noProof/>
            <w:webHidden/>
          </w:rPr>
        </w:r>
        <w:r w:rsidRPr="00F61130">
          <w:rPr>
            <w:noProof/>
            <w:webHidden/>
          </w:rPr>
          <w:fldChar w:fldCharType="separate"/>
        </w:r>
        <w:r w:rsidRPr="00F61130">
          <w:rPr>
            <w:noProof/>
            <w:webHidden/>
          </w:rPr>
          <w:t>143</w:t>
        </w:r>
        <w:r w:rsidRPr="00F61130">
          <w:rPr>
            <w:noProof/>
            <w:webHidden/>
          </w:rPr>
          <w:fldChar w:fldCharType="end"/>
        </w:r>
      </w:hyperlink>
    </w:p>
    <w:p w14:paraId="69CD3258" w14:textId="1F132BA5" w:rsidR="00F61130" w:rsidRPr="00F61130" w:rsidRDefault="00F61130" w:rsidP="00B251C6">
      <w:pPr>
        <w:pStyle w:val="TOC1"/>
        <w:rPr>
          <w:rFonts w:eastAsiaTheme="minorEastAsia"/>
          <w:noProof/>
        </w:rPr>
      </w:pPr>
      <w:hyperlink w:anchor="_Toc3716112" w:history="1">
        <w:r w:rsidRPr="00F61130">
          <w:rPr>
            <w:rStyle w:val="Hyperlink"/>
            <w:noProof/>
          </w:rPr>
          <w:t>Chapter 5 | Investigating the influence of immunological processes on the pharmacokinetics/pharmacodynamics of Amphotericin B</w:t>
        </w:r>
        <w:r w:rsidRPr="00F61130">
          <w:rPr>
            <w:noProof/>
            <w:webHidden/>
          </w:rPr>
          <w:tab/>
        </w:r>
        <w:r w:rsidRPr="00F61130">
          <w:rPr>
            <w:noProof/>
            <w:webHidden/>
          </w:rPr>
          <w:fldChar w:fldCharType="begin"/>
        </w:r>
        <w:r w:rsidRPr="00F61130">
          <w:rPr>
            <w:noProof/>
            <w:webHidden/>
          </w:rPr>
          <w:instrText xml:space="preserve"> PAGEREF _Toc3716112 \h </w:instrText>
        </w:r>
        <w:r w:rsidRPr="00F61130">
          <w:rPr>
            <w:noProof/>
            <w:webHidden/>
          </w:rPr>
        </w:r>
        <w:r w:rsidRPr="00F61130">
          <w:rPr>
            <w:noProof/>
            <w:webHidden/>
          </w:rPr>
          <w:fldChar w:fldCharType="separate"/>
        </w:r>
        <w:r w:rsidRPr="00F61130">
          <w:rPr>
            <w:noProof/>
            <w:webHidden/>
          </w:rPr>
          <w:t>147</w:t>
        </w:r>
        <w:r w:rsidRPr="00F61130">
          <w:rPr>
            <w:noProof/>
            <w:webHidden/>
          </w:rPr>
          <w:fldChar w:fldCharType="end"/>
        </w:r>
      </w:hyperlink>
    </w:p>
    <w:p w14:paraId="00114CD7" w14:textId="2BA5E8E4" w:rsidR="00F61130" w:rsidRPr="00F61130" w:rsidRDefault="00F61130" w:rsidP="00F61130">
      <w:pPr>
        <w:pStyle w:val="TOC2"/>
        <w:spacing w:line="276" w:lineRule="auto"/>
        <w:rPr>
          <w:rFonts w:eastAsiaTheme="minorEastAsia"/>
          <w:noProof/>
        </w:rPr>
      </w:pPr>
      <w:hyperlink w:anchor="_Toc3716113" w:history="1">
        <w:r w:rsidRPr="00F61130">
          <w:rPr>
            <w:rStyle w:val="Hyperlink"/>
            <w:noProof/>
            <w14:scene3d>
              <w14:camera w14:prst="orthographicFront"/>
              <w14:lightRig w14:rig="threePt" w14:dir="t">
                <w14:rot w14:lat="0" w14:lon="0" w14:rev="0"/>
              </w14:lightRig>
            </w14:scene3d>
          </w:rPr>
          <w:t>5.1</w:t>
        </w:r>
        <w:r w:rsidRPr="00F61130">
          <w:rPr>
            <w:rStyle w:val="Hyperlink"/>
            <w:noProof/>
          </w:rPr>
          <w:t xml:space="preserve"> Introduction</w:t>
        </w:r>
        <w:r w:rsidRPr="00F61130">
          <w:rPr>
            <w:noProof/>
            <w:webHidden/>
          </w:rPr>
          <w:tab/>
        </w:r>
        <w:r w:rsidRPr="00F61130">
          <w:rPr>
            <w:noProof/>
            <w:webHidden/>
          </w:rPr>
          <w:fldChar w:fldCharType="begin"/>
        </w:r>
        <w:r w:rsidRPr="00F61130">
          <w:rPr>
            <w:noProof/>
            <w:webHidden/>
          </w:rPr>
          <w:instrText xml:space="preserve"> PAGEREF _Toc3716113 \h </w:instrText>
        </w:r>
        <w:r w:rsidRPr="00F61130">
          <w:rPr>
            <w:noProof/>
            <w:webHidden/>
          </w:rPr>
        </w:r>
        <w:r w:rsidRPr="00F61130">
          <w:rPr>
            <w:noProof/>
            <w:webHidden/>
          </w:rPr>
          <w:fldChar w:fldCharType="separate"/>
        </w:r>
        <w:r w:rsidRPr="00F61130">
          <w:rPr>
            <w:noProof/>
            <w:webHidden/>
          </w:rPr>
          <w:t>148</w:t>
        </w:r>
        <w:r w:rsidRPr="00F61130">
          <w:rPr>
            <w:noProof/>
            <w:webHidden/>
          </w:rPr>
          <w:fldChar w:fldCharType="end"/>
        </w:r>
      </w:hyperlink>
    </w:p>
    <w:p w14:paraId="32BD72AD" w14:textId="4FC2A944" w:rsidR="00F61130" w:rsidRPr="00F61130" w:rsidRDefault="00F61130" w:rsidP="00F61130">
      <w:pPr>
        <w:pStyle w:val="TOC2"/>
        <w:spacing w:line="276" w:lineRule="auto"/>
        <w:rPr>
          <w:rFonts w:eastAsiaTheme="minorEastAsia"/>
          <w:noProof/>
        </w:rPr>
      </w:pPr>
      <w:hyperlink w:anchor="_Toc3716114" w:history="1">
        <w:r w:rsidRPr="00F61130">
          <w:rPr>
            <w:rStyle w:val="Hyperlink"/>
            <w:noProof/>
            <w:lang w:eastAsia="en-GB"/>
            <w14:scene3d>
              <w14:camera w14:prst="orthographicFront"/>
              <w14:lightRig w14:rig="threePt" w14:dir="t">
                <w14:rot w14:lat="0" w14:lon="0" w14:rev="0"/>
              </w14:lightRig>
            </w14:scene3d>
          </w:rPr>
          <w:t>5.2</w:t>
        </w:r>
        <w:r w:rsidRPr="00F61130">
          <w:rPr>
            <w:rStyle w:val="Hyperlink"/>
            <w:noProof/>
            <w:shd w:val="clear" w:color="auto" w:fill="FFFFFF"/>
            <w:lang w:eastAsia="en-GB"/>
          </w:rPr>
          <w:t xml:space="preserve"> Aims</w:t>
        </w:r>
        <w:r w:rsidRPr="00F61130">
          <w:rPr>
            <w:noProof/>
            <w:webHidden/>
          </w:rPr>
          <w:tab/>
        </w:r>
        <w:r w:rsidRPr="00F61130">
          <w:rPr>
            <w:noProof/>
            <w:webHidden/>
          </w:rPr>
          <w:fldChar w:fldCharType="begin"/>
        </w:r>
        <w:r w:rsidRPr="00F61130">
          <w:rPr>
            <w:noProof/>
            <w:webHidden/>
          </w:rPr>
          <w:instrText xml:space="preserve"> PAGEREF _Toc3716114 \h </w:instrText>
        </w:r>
        <w:r w:rsidRPr="00F61130">
          <w:rPr>
            <w:noProof/>
            <w:webHidden/>
          </w:rPr>
        </w:r>
        <w:r w:rsidRPr="00F61130">
          <w:rPr>
            <w:noProof/>
            <w:webHidden/>
          </w:rPr>
          <w:fldChar w:fldCharType="separate"/>
        </w:r>
        <w:r w:rsidRPr="00F61130">
          <w:rPr>
            <w:noProof/>
            <w:webHidden/>
          </w:rPr>
          <w:t>148</w:t>
        </w:r>
        <w:r w:rsidRPr="00F61130">
          <w:rPr>
            <w:noProof/>
            <w:webHidden/>
          </w:rPr>
          <w:fldChar w:fldCharType="end"/>
        </w:r>
      </w:hyperlink>
    </w:p>
    <w:p w14:paraId="28E534E3" w14:textId="4CE84A09" w:rsidR="00F61130" w:rsidRPr="00F61130" w:rsidRDefault="00F61130" w:rsidP="00F61130">
      <w:pPr>
        <w:pStyle w:val="TOC2"/>
        <w:spacing w:line="276" w:lineRule="auto"/>
        <w:rPr>
          <w:rFonts w:eastAsiaTheme="minorEastAsia"/>
          <w:noProof/>
        </w:rPr>
      </w:pPr>
      <w:hyperlink w:anchor="_Toc3716115" w:history="1">
        <w:r w:rsidRPr="00F61130">
          <w:rPr>
            <w:rStyle w:val="Hyperlink"/>
            <w:noProof/>
            <w14:scene3d>
              <w14:camera w14:prst="orthographicFront"/>
              <w14:lightRig w14:rig="threePt" w14:dir="t">
                <w14:rot w14:lat="0" w14:lon="0" w14:rev="0"/>
              </w14:lightRig>
            </w14:scene3d>
          </w:rPr>
          <w:t>5.3</w:t>
        </w:r>
        <w:r w:rsidRPr="00F61130">
          <w:rPr>
            <w:rStyle w:val="Hyperlink"/>
            <w:noProof/>
          </w:rPr>
          <w:t xml:space="preserve"> Results</w:t>
        </w:r>
        <w:r w:rsidRPr="00F61130">
          <w:rPr>
            <w:noProof/>
            <w:webHidden/>
          </w:rPr>
          <w:tab/>
        </w:r>
        <w:r w:rsidRPr="00F61130">
          <w:rPr>
            <w:noProof/>
            <w:webHidden/>
          </w:rPr>
          <w:fldChar w:fldCharType="begin"/>
        </w:r>
        <w:r w:rsidRPr="00F61130">
          <w:rPr>
            <w:noProof/>
            <w:webHidden/>
          </w:rPr>
          <w:instrText xml:space="preserve"> PAGEREF _Toc3716115 \h </w:instrText>
        </w:r>
        <w:r w:rsidRPr="00F61130">
          <w:rPr>
            <w:noProof/>
            <w:webHidden/>
          </w:rPr>
        </w:r>
        <w:r w:rsidRPr="00F61130">
          <w:rPr>
            <w:noProof/>
            <w:webHidden/>
          </w:rPr>
          <w:fldChar w:fldCharType="separate"/>
        </w:r>
        <w:r w:rsidRPr="00F61130">
          <w:rPr>
            <w:noProof/>
            <w:webHidden/>
          </w:rPr>
          <w:t>149</w:t>
        </w:r>
        <w:r w:rsidRPr="00F61130">
          <w:rPr>
            <w:noProof/>
            <w:webHidden/>
          </w:rPr>
          <w:fldChar w:fldCharType="end"/>
        </w:r>
      </w:hyperlink>
    </w:p>
    <w:p w14:paraId="7C2AA800" w14:textId="243C88E9" w:rsidR="00F61130" w:rsidRPr="00F61130" w:rsidRDefault="00F61130" w:rsidP="00F61130">
      <w:pPr>
        <w:pStyle w:val="TOC3"/>
        <w:tabs>
          <w:tab w:val="right" w:leader="dot" w:pos="8771"/>
        </w:tabs>
        <w:spacing w:line="276" w:lineRule="auto"/>
        <w:rPr>
          <w:rFonts w:eastAsiaTheme="minorEastAsia"/>
          <w:noProof/>
        </w:rPr>
      </w:pPr>
      <w:hyperlink w:anchor="_Toc3716116" w:history="1">
        <w:r w:rsidRPr="00F61130">
          <w:rPr>
            <w:rStyle w:val="Hyperlink"/>
            <w:noProof/>
          </w:rPr>
          <w:t>5.3.1 Updating the proposed model</w:t>
        </w:r>
        <w:r w:rsidRPr="00F61130">
          <w:rPr>
            <w:noProof/>
            <w:webHidden/>
          </w:rPr>
          <w:tab/>
        </w:r>
        <w:r w:rsidRPr="00F61130">
          <w:rPr>
            <w:noProof/>
            <w:webHidden/>
          </w:rPr>
          <w:fldChar w:fldCharType="begin"/>
        </w:r>
        <w:r w:rsidRPr="00F61130">
          <w:rPr>
            <w:noProof/>
            <w:webHidden/>
          </w:rPr>
          <w:instrText xml:space="preserve"> PAGEREF _Toc3716116 \h </w:instrText>
        </w:r>
        <w:r w:rsidRPr="00F61130">
          <w:rPr>
            <w:noProof/>
            <w:webHidden/>
          </w:rPr>
        </w:r>
        <w:r w:rsidRPr="00F61130">
          <w:rPr>
            <w:noProof/>
            <w:webHidden/>
          </w:rPr>
          <w:fldChar w:fldCharType="separate"/>
        </w:r>
        <w:r w:rsidRPr="00F61130">
          <w:rPr>
            <w:noProof/>
            <w:webHidden/>
          </w:rPr>
          <w:t>149</w:t>
        </w:r>
        <w:r w:rsidRPr="00F61130">
          <w:rPr>
            <w:noProof/>
            <w:webHidden/>
          </w:rPr>
          <w:fldChar w:fldCharType="end"/>
        </w:r>
      </w:hyperlink>
    </w:p>
    <w:p w14:paraId="0B7C0968" w14:textId="2D4430F2" w:rsidR="00F61130" w:rsidRPr="00F61130" w:rsidRDefault="00F61130" w:rsidP="00F61130">
      <w:pPr>
        <w:pStyle w:val="TOC3"/>
        <w:tabs>
          <w:tab w:val="right" w:leader="dot" w:pos="8771"/>
        </w:tabs>
        <w:spacing w:line="276" w:lineRule="auto"/>
        <w:rPr>
          <w:rFonts w:eastAsiaTheme="minorEastAsia"/>
          <w:noProof/>
        </w:rPr>
      </w:pPr>
      <w:hyperlink w:anchor="_Toc3716117" w:history="1">
        <w:r w:rsidRPr="00F61130">
          <w:rPr>
            <w:rStyle w:val="Hyperlink"/>
            <w:noProof/>
          </w:rPr>
          <w:t xml:space="preserve">5.3.2 Developing a mathematical model describing both the immune response to </w:t>
        </w:r>
        <w:r w:rsidRPr="00F61130">
          <w:rPr>
            <w:rStyle w:val="Hyperlink"/>
            <w:i/>
            <w:noProof/>
          </w:rPr>
          <w:t>L. donovani</w:t>
        </w:r>
        <w:r w:rsidRPr="00F61130">
          <w:rPr>
            <w:rStyle w:val="Hyperlink"/>
            <w:noProof/>
          </w:rPr>
          <w:t xml:space="preserve"> infection and the pharmacokinetics/dynamics of Amphotericin B</w:t>
        </w:r>
        <w:r w:rsidRPr="00F61130">
          <w:rPr>
            <w:noProof/>
            <w:webHidden/>
          </w:rPr>
          <w:tab/>
        </w:r>
        <w:r w:rsidRPr="00F61130">
          <w:rPr>
            <w:noProof/>
            <w:webHidden/>
          </w:rPr>
          <w:fldChar w:fldCharType="begin"/>
        </w:r>
        <w:r w:rsidRPr="00F61130">
          <w:rPr>
            <w:noProof/>
            <w:webHidden/>
          </w:rPr>
          <w:instrText xml:space="preserve"> PAGEREF _Toc3716117 \h </w:instrText>
        </w:r>
        <w:r w:rsidRPr="00F61130">
          <w:rPr>
            <w:noProof/>
            <w:webHidden/>
          </w:rPr>
        </w:r>
        <w:r w:rsidRPr="00F61130">
          <w:rPr>
            <w:noProof/>
            <w:webHidden/>
          </w:rPr>
          <w:fldChar w:fldCharType="separate"/>
        </w:r>
        <w:r w:rsidRPr="00F61130">
          <w:rPr>
            <w:noProof/>
            <w:webHidden/>
          </w:rPr>
          <w:t>159</w:t>
        </w:r>
        <w:r w:rsidRPr="00F61130">
          <w:rPr>
            <w:noProof/>
            <w:webHidden/>
          </w:rPr>
          <w:fldChar w:fldCharType="end"/>
        </w:r>
      </w:hyperlink>
    </w:p>
    <w:p w14:paraId="30818292" w14:textId="772983B7" w:rsidR="00F61130" w:rsidRPr="00F61130" w:rsidRDefault="00F61130" w:rsidP="00F61130">
      <w:pPr>
        <w:pStyle w:val="TOC2"/>
        <w:spacing w:line="276" w:lineRule="auto"/>
        <w:rPr>
          <w:rFonts w:eastAsiaTheme="minorEastAsia"/>
          <w:noProof/>
        </w:rPr>
      </w:pPr>
      <w:hyperlink w:anchor="_Toc3716118" w:history="1">
        <w:r w:rsidRPr="00F61130">
          <w:rPr>
            <w:rStyle w:val="Hyperlink"/>
            <w:noProof/>
            <w14:scene3d>
              <w14:camera w14:prst="orthographicFront"/>
              <w14:lightRig w14:rig="threePt" w14:dir="t">
                <w14:rot w14:lat="0" w14:lon="0" w14:rev="0"/>
              </w14:lightRig>
            </w14:scene3d>
          </w:rPr>
          <w:t>5.4</w:t>
        </w:r>
        <w:r w:rsidRPr="00F61130">
          <w:rPr>
            <w:rStyle w:val="Hyperlink"/>
            <w:noProof/>
          </w:rPr>
          <w:t xml:space="preserve"> Discussion</w:t>
        </w:r>
        <w:r w:rsidRPr="00F61130">
          <w:rPr>
            <w:noProof/>
            <w:webHidden/>
          </w:rPr>
          <w:tab/>
        </w:r>
        <w:r w:rsidRPr="00F61130">
          <w:rPr>
            <w:noProof/>
            <w:webHidden/>
          </w:rPr>
          <w:fldChar w:fldCharType="begin"/>
        </w:r>
        <w:r w:rsidRPr="00F61130">
          <w:rPr>
            <w:noProof/>
            <w:webHidden/>
          </w:rPr>
          <w:instrText xml:space="preserve"> PAGEREF _Toc3716118 \h </w:instrText>
        </w:r>
        <w:r w:rsidRPr="00F61130">
          <w:rPr>
            <w:noProof/>
            <w:webHidden/>
          </w:rPr>
        </w:r>
        <w:r w:rsidRPr="00F61130">
          <w:rPr>
            <w:noProof/>
            <w:webHidden/>
          </w:rPr>
          <w:fldChar w:fldCharType="separate"/>
        </w:r>
        <w:r w:rsidRPr="00F61130">
          <w:rPr>
            <w:noProof/>
            <w:webHidden/>
          </w:rPr>
          <w:t>172</w:t>
        </w:r>
        <w:r w:rsidRPr="00F61130">
          <w:rPr>
            <w:noProof/>
            <w:webHidden/>
          </w:rPr>
          <w:fldChar w:fldCharType="end"/>
        </w:r>
      </w:hyperlink>
    </w:p>
    <w:p w14:paraId="737ADFD2" w14:textId="69A0742A" w:rsidR="00F61130" w:rsidRPr="00F61130" w:rsidRDefault="00F61130" w:rsidP="00B251C6">
      <w:pPr>
        <w:pStyle w:val="TOC1"/>
        <w:rPr>
          <w:rFonts w:eastAsiaTheme="minorEastAsia"/>
          <w:noProof/>
        </w:rPr>
      </w:pPr>
      <w:hyperlink w:anchor="_Toc3716119" w:history="1">
        <w:r w:rsidRPr="00F61130">
          <w:rPr>
            <w:rStyle w:val="Hyperlink"/>
            <w:noProof/>
          </w:rPr>
          <w:t>Chapter 6 | Concluding Discussion</w:t>
        </w:r>
        <w:r w:rsidRPr="00F61130">
          <w:rPr>
            <w:noProof/>
            <w:webHidden/>
          </w:rPr>
          <w:tab/>
        </w:r>
        <w:r w:rsidRPr="00F61130">
          <w:rPr>
            <w:noProof/>
            <w:webHidden/>
          </w:rPr>
          <w:fldChar w:fldCharType="begin"/>
        </w:r>
        <w:r w:rsidRPr="00F61130">
          <w:rPr>
            <w:noProof/>
            <w:webHidden/>
          </w:rPr>
          <w:instrText xml:space="preserve"> PAGEREF _Toc3716119 \h </w:instrText>
        </w:r>
        <w:r w:rsidRPr="00F61130">
          <w:rPr>
            <w:noProof/>
            <w:webHidden/>
          </w:rPr>
        </w:r>
        <w:r w:rsidRPr="00F61130">
          <w:rPr>
            <w:noProof/>
            <w:webHidden/>
          </w:rPr>
          <w:fldChar w:fldCharType="separate"/>
        </w:r>
        <w:r w:rsidRPr="00F61130">
          <w:rPr>
            <w:noProof/>
            <w:webHidden/>
          </w:rPr>
          <w:t>176</w:t>
        </w:r>
        <w:r w:rsidRPr="00F61130">
          <w:rPr>
            <w:noProof/>
            <w:webHidden/>
          </w:rPr>
          <w:fldChar w:fldCharType="end"/>
        </w:r>
      </w:hyperlink>
    </w:p>
    <w:p w14:paraId="4BE971C0" w14:textId="3ED933ED" w:rsidR="00F61130" w:rsidRPr="00F61130" w:rsidRDefault="00F61130" w:rsidP="00F61130">
      <w:pPr>
        <w:pStyle w:val="TOC2"/>
        <w:spacing w:line="276" w:lineRule="auto"/>
        <w:rPr>
          <w:rFonts w:eastAsiaTheme="minorEastAsia"/>
          <w:noProof/>
        </w:rPr>
      </w:pPr>
      <w:hyperlink w:anchor="_Toc3716120" w:history="1">
        <w:r w:rsidRPr="00F61130">
          <w:rPr>
            <w:rStyle w:val="Hyperlink"/>
            <w:noProof/>
            <w14:scene3d>
              <w14:camera w14:prst="orthographicFront"/>
              <w14:lightRig w14:rig="threePt" w14:dir="t">
                <w14:rot w14:lat="0" w14:lon="0" w14:rev="0"/>
              </w14:lightRig>
            </w14:scene3d>
          </w:rPr>
          <w:t>6.1</w:t>
        </w:r>
        <w:r w:rsidRPr="00F61130">
          <w:rPr>
            <w:rStyle w:val="Hyperlink"/>
            <w:noProof/>
          </w:rPr>
          <w:t xml:space="preserve"> The Sub-Tissue Level Distribution of Amphotericin B in the Liver Post-Treatment During EVL</w:t>
        </w:r>
        <w:r w:rsidRPr="00F61130">
          <w:rPr>
            <w:noProof/>
            <w:webHidden/>
          </w:rPr>
          <w:tab/>
        </w:r>
        <w:r w:rsidRPr="00F61130">
          <w:rPr>
            <w:noProof/>
            <w:webHidden/>
          </w:rPr>
          <w:fldChar w:fldCharType="begin"/>
        </w:r>
        <w:r w:rsidRPr="00F61130">
          <w:rPr>
            <w:noProof/>
            <w:webHidden/>
          </w:rPr>
          <w:instrText xml:space="preserve"> PAGEREF _Toc3716120 \h </w:instrText>
        </w:r>
        <w:r w:rsidRPr="00F61130">
          <w:rPr>
            <w:noProof/>
            <w:webHidden/>
          </w:rPr>
        </w:r>
        <w:r w:rsidRPr="00F61130">
          <w:rPr>
            <w:noProof/>
            <w:webHidden/>
          </w:rPr>
          <w:fldChar w:fldCharType="separate"/>
        </w:r>
        <w:r w:rsidRPr="00F61130">
          <w:rPr>
            <w:noProof/>
            <w:webHidden/>
          </w:rPr>
          <w:t>176</w:t>
        </w:r>
        <w:r w:rsidRPr="00F61130">
          <w:rPr>
            <w:noProof/>
            <w:webHidden/>
          </w:rPr>
          <w:fldChar w:fldCharType="end"/>
        </w:r>
      </w:hyperlink>
    </w:p>
    <w:p w14:paraId="55BDB355" w14:textId="6B89A84B" w:rsidR="00F61130" w:rsidRPr="00F61130" w:rsidRDefault="00F61130" w:rsidP="00F61130">
      <w:pPr>
        <w:pStyle w:val="TOC2"/>
        <w:spacing w:line="276" w:lineRule="auto"/>
        <w:rPr>
          <w:rFonts w:eastAsiaTheme="minorEastAsia"/>
          <w:noProof/>
        </w:rPr>
      </w:pPr>
      <w:hyperlink w:anchor="_Toc3716121" w:history="1">
        <w:r w:rsidRPr="00F61130">
          <w:rPr>
            <w:rStyle w:val="Hyperlink"/>
            <w:noProof/>
            <w14:scene3d>
              <w14:camera w14:prst="orthographicFront"/>
              <w14:lightRig w14:rig="threePt" w14:dir="t">
                <w14:rot w14:lat="0" w14:lon="0" w14:rev="0"/>
              </w14:lightRig>
            </w14:scene3d>
          </w:rPr>
          <w:t>6.2</w:t>
        </w:r>
        <w:r w:rsidRPr="00F61130">
          <w:rPr>
            <w:rStyle w:val="Hyperlink"/>
            <w:noProof/>
          </w:rPr>
          <w:t xml:space="preserve"> Immune system processes that influence drug accumulation during EVL</w:t>
        </w:r>
        <w:r w:rsidRPr="00F61130">
          <w:rPr>
            <w:noProof/>
            <w:webHidden/>
          </w:rPr>
          <w:tab/>
        </w:r>
        <w:r w:rsidRPr="00F61130">
          <w:rPr>
            <w:noProof/>
            <w:webHidden/>
          </w:rPr>
          <w:fldChar w:fldCharType="begin"/>
        </w:r>
        <w:r w:rsidRPr="00F61130">
          <w:rPr>
            <w:noProof/>
            <w:webHidden/>
          </w:rPr>
          <w:instrText xml:space="preserve"> PAGEREF _Toc3716121 \h </w:instrText>
        </w:r>
        <w:r w:rsidRPr="00F61130">
          <w:rPr>
            <w:noProof/>
            <w:webHidden/>
          </w:rPr>
        </w:r>
        <w:r w:rsidRPr="00F61130">
          <w:rPr>
            <w:noProof/>
            <w:webHidden/>
          </w:rPr>
          <w:fldChar w:fldCharType="separate"/>
        </w:r>
        <w:r w:rsidRPr="00F61130">
          <w:rPr>
            <w:noProof/>
            <w:webHidden/>
          </w:rPr>
          <w:t>179</w:t>
        </w:r>
        <w:r w:rsidRPr="00F61130">
          <w:rPr>
            <w:noProof/>
            <w:webHidden/>
          </w:rPr>
          <w:fldChar w:fldCharType="end"/>
        </w:r>
      </w:hyperlink>
    </w:p>
    <w:p w14:paraId="6995A2E3" w14:textId="73900486" w:rsidR="00F61130" w:rsidRPr="00F61130" w:rsidRDefault="00F61130" w:rsidP="00F61130">
      <w:pPr>
        <w:pStyle w:val="TOC2"/>
        <w:spacing w:line="276" w:lineRule="auto"/>
        <w:rPr>
          <w:rFonts w:eastAsiaTheme="minorEastAsia"/>
          <w:noProof/>
        </w:rPr>
      </w:pPr>
      <w:hyperlink w:anchor="_Toc3716122" w:history="1">
        <w:r w:rsidRPr="00F61130">
          <w:rPr>
            <w:rStyle w:val="Hyperlink"/>
            <w:noProof/>
            <w14:scene3d>
              <w14:camera w14:prst="orthographicFront"/>
              <w14:lightRig w14:rig="threePt" w14:dir="t">
                <w14:rot w14:lat="0" w14:lon="0" w14:rev="0"/>
              </w14:lightRig>
            </w14:scene3d>
          </w:rPr>
          <w:t>6.3</w:t>
        </w:r>
        <w:r w:rsidRPr="00F61130">
          <w:rPr>
            <w:rStyle w:val="Hyperlink"/>
            <w:noProof/>
          </w:rPr>
          <w:t xml:space="preserve"> Future Work</w:t>
        </w:r>
        <w:r w:rsidRPr="00F61130">
          <w:rPr>
            <w:noProof/>
            <w:webHidden/>
          </w:rPr>
          <w:tab/>
        </w:r>
        <w:r w:rsidRPr="00F61130">
          <w:rPr>
            <w:noProof/>
            <w:webHidden/>
          </w:rPr>
          <w:fldChar w:fldCharType="begin"/>
        </w:r>
        <w:r w:rsidRPr="00F61130">
          <w:rPr>
            <w:noProof/>
            <w:webHidden/>
          </w:rPr>
          <w:instrText xml:space="preserve"> PAGEREF _Toc3716122 \h </w:instrText>
        </w:r>
        <w:r w:rsidRPr="00F61130">
          <w:rPr>
            <w:noProof/>
            <w:webHidden/>
          </w:rPr>
        </w:r>
        <w:r w:rsidRPr="00F61130">
          <w:rPr>
            <w:noProof/>
            <w:webHidden/>
          </w:rPr>
          <w:fldChar w:fldCharType="separate"/>
        </w:r>
        <w:r w:rsidRPr="00F61130">
          <w:rPr>
            <w:noProof/>
            <w:webHidden/>
          </w:rPr>
          <w:t>184</w:t>
        </w:r>
        <w:r w:rsidRPr="00F61130">
          <w:rPr>
            <w:noProof/>
            <w:webHidden/>
          </w:rPr>
          <w:fldChar w:fldCharType="end"/>
        </w:r>
      </w:hyperlink>
    </w:p>
    <w:p w14:paraId="2C96C498" w14:textId="6A68B577" w:rsidR="00F61130" w:rsidRPr="00F61130" w:rsidRDefault="00F61130" w:rsidP="00B251C6">
      <w:pPr>
        <w:pStyle w:val="TOC1"/>
        <w:rPr>
          <w:rFonts w:eastAsiaTheme="minorEastAsia"/>
          <w:noProof/>
        </w:rPr>
      </w:pPr>
      <w:hyperlink w:anchor="_Toc3716123" w:history="1">
        <w:r w:rsidRPr="00F61130">
          <w:rPr>
            <w:rStyle w:val="Hyperlink"/>
            <w:noProof/>
          </w:rPr>
          <w:t>Chapter 7 Appendix</w:t>
        </w:r>
        <w:r w:rsidRPr="00F61130">
          <w:rPr>
            <w:noProof/>
            <w:webHidden/>
          </w:rPr>
          <w:tab/>
        </w:r>
        <w:r w:rsidRPr="00F61130">
          <w:rPr>
            <w:noProof/>
            <w:webHidden/>
          </w:rPr>
          <w:fldChar w:fldCharType="begin"/>
        </w:r>
        <w:r w:rsidRPr="00F61130">
          <w:rPr>
            <w:noProof/>
            <w:webHidden/>
          </w:rPr>
          <w:instrText xml:space="preserve"> PAGEREF _Toc3716123 \h </w:instrText>
        </w:r>
        <w:r w:rsidRPr="00F61130">
          <w:rPr>
            <w:noProof/>
            <w:webHidden/>
          </w:rPr>
        </w:r>
        <w:r w:rsidRPr="00F61130">
          <w:rPr>
            <w:noProof/>
            <w:webHidden/>
          </w:rPr>
          <w:fldChar w:fldCharType="separate"/>
        </w:r>
        <w:r w:rsidRPr="00F61130">
          <w:rPr>
            <w:noProof/>
            <w:webHidden/>
          </w:rPr>
          <w:t>186</w:t>
        </w:r>
        <w:r w:rsidRPr="00F61130">
          <w:rPr>
            <w:noProof/>
            <w:webHidden/>
          </w:rPr>
          <w:fldChar w:fldCharType="end"/>
        </w:r>
      </w:hyperlink>
    </w:p>
    <w:p w14:paraId="2F00C4CD" w14:textId="69D21F84" w:rsidR="00F61130" w:rsidRPr="00F61130" w:rsidRDefault="00F61130" w:rsidP="00F61130">
      <w:pPr>
        <w:pStyle w:val="TOC2"/>
        <w:spacing w:line="276" w:lineRule="auto"/>
        <w:rPr>
          <w:rFonts w:eastAsiaTheme="minorEastAsia"/>
          <w:noProof/>
        </w:rPr>
      </w:pPr>
      <w:hyperlink w:anchor="_Toc3716124" w:history="1">
        <w:r w:rsidRPr="00F61130">
          <w:rPr>
            <w:rStyle w:val="Hyperlink"/>
            <w:noProof/>
            <w14:scene3d>
              <w14:camera w14:prst="orthographicFront"/>
              <w14:lightRig w14:rig="threePt" w14:dir="t">
                <w14:rot w14:lat="0" w14:lon="0" w14:rev="0"/>
              </w14:lightRig>
            </w14:scene3d>
          </w:rPr>
          <w:t>7.1</w:t>
        </w:r>
        <w:r w:rsidRPr="00F61130">
          <w:rPr>
            <w:rStyle w:val="Hyperlink"/>
            <w:noProof/>
          </w:rPr>
          <w:t xml:space="preserve"> Antibodies utilised for flow cytometry and fluorescence activated cell sorting</w:t>
        </w:r>
        <w:r w:rsidRPr="00F61130">
          <w:rPr>
            <w:noProof/>
            <w:webHidden/>
          </w:rPr>
          <w:tab/>
        </w:r>
        <w:r w:rsidRPr="00F61130">
          <w:rPr>
            <w:noProof/>
            <w:webHidden/>
          </w:rPr>
          <w:fldChar w:fldCharType="begin"/>
        </w:r>
        <w:r w:rsidRPr="00F61130">
          <w:rPr>
            <w:noProof/>
            <w:webHidden/>
          </w:rPr>
          <w:instrText xml:space="preserve"> PAGEREF _Toc3716124 \h </w:instrText>
        </w:r>
        <w:r w:rsidRPr="00F61130">
          <w:rPr>
            <w:noProof/>
            <w:webHidden/>
          </w:rPr>
        </w:r>
        <w:r w:rsidRPr="00F61130">
          <w:rPr>
            <w:noProof/>
            <w:webHidden/>
          </w:rPr>
          <w:fldChar w:fldCharType="separate"/>
        </w:r>
        <w:r w:rsidRPr="00F61130">
          <w:rPr>
            <w:noProof/>
            <w:webHidden/>
          </w:rPr>
          <w:t>187</w:t>
        </w:r>
        <w:r w:rsidRPr="00F61130">
          <w:rPr>
            <w:noProof/>
            <w:webHidden/>
          </w:rPr>
          <w:fldChar w:fldCharType="end"/>
        </w:r>
      </w:hyperlink>
    </w:p>
    <w:p w14:paraId="4B8AAE2F" w14:textId="2A639C65" w:rsidR="00F61130" w:rsidRPr="00F61130" w:rsidRDefault="00F61130" w:rsidP="00F61130">
      <w:pPr>
        <w:pStyle w:val="TOC2"/>
        <w:spacing w:line="276" w:lineRule="auto"/>
        <w:rPr>
          <w:rFonts w:eastAsiaTheme="minorEastAsia"/>
          <w:noProof/>
        </w:rPr>
      </w:pPr>
      <w:hyperlink w:anchor="_Toc3716125" w:history="1">
        <w:r w:rsidRPr="00F61130">
          <w:rPr>
            <w:rStyle w:val="Hyperlink"/>
            <w:noProof/>
            <w14:scene3d>
              <w14:camera w14:prst="orthographicFront"/>
              <w14:lightRig w14:rig="threePt" w14:dir="t">
                <w14:rot w14:lat="0" w14:lon="0" w14:rev="0"/>
              </w14:lightRig>
            </w14:scene3d>
          </w:rPr>
          <w:t>7.2</w:t>
        </w:r>
        <w:r w:rsidRPr="00F61130">
          <w:rPr>
            <w:rStyle w:val="Hyperlink"/>
            <w:noProof/>
          </w:rPr>
          <w:t xml:space="preserve"> Assessing the purity of leukocyte and parenchymal fractions post-digestion</w:t>
        </w:r>
        <w:r w:rsidRPr="00F61130">
          <w:rPr>
            <w:noProof/>
            <w:webHidden/>
          </w:rPr>
          <w:tab/>
        </w:r>
        <w:r w:rsidRPr="00F61130">
          <w:rPr>
            <w:noProof/>
            <w:webHidden/>
          </w:rPr>
          <w:fldChar w:fldCharType="begin"/>
        </w:r>
        <w:r w:rsidRPr="00F61130">
          <w:rPr>
            <w:noProof/>
            <w:webHidden/>
          </w:rPr>
          <w:instrText xml:space="preserve"> PAGEREF _Toc3716125 \h </w:instrText>
        </w:r>
        <w:r w:rsidRPr="00F61130">
          <w:rPr>
            <w:noProof/>
            <w:webHidden/>
          </w:rPr>
        </w:r>
        <w:r w:rsidRPr="00F61130">
          <w:rPr>
            <w:noProof/>
            <w:webHidden/>
          </w:rPr>
          <w:fldChar w:fldCharType="separate"/>
        </w:r>
        <w:r w:rsidRPr="00F61130">
          <w:rPr>
            <w:noProof/>
            <w:webHidden/>
          </w:rPr>
          <w:t>188</w:t>
        </w:r>
        <w:r w:rsidRPr="00F61130">
          <w:rPr>
            <w:noProof/>
            <w:webHidden/>
          </w:rPr>
          <w:fldChar w:fldCharType="end"/>
        </w:r>
      </w:hyperlink>
    </w:p>
    <w:p w14:paraId="22492661" w14:textId="51C4BEB3" w:rsidR="00F61130" w:rsidRPr="00F61130" w:rsidRDefault="00F61130" w:rsidP="00F61130">
      <w:pPr>
        <w:pStyle w:val="TOC2"/>
        <w:spacing w:line="276" w:lineRule="auto"/>
        <w:rPr>
          <w:rFonts w:eastAsiaTheme="minorEastAsia"/>
          <w:noProof/>
        </w:rPr>
      </w:pPr>
      <w:hyperlink w:anchor="_Toc3716126" w:history="1">
        <w:r w:rsidRPr="00F61130">
          <w:rPr>
            <w:rStyle w:val="Hyperlink"/>
            <w:noProof/>
            <w14:scene3d>
              <w14:camera w14:prst="orthographicFront"/>
              <w14:lightRig w14:rig="threePt" w14:dir="t">
                <w14:rot w14:lat="0" w14:lon="0" w14:rev="0"/>
              </w14:lightRig>
            </w14:scene3d>
          </w:rPr>
          <w:t>7.3</w:t>
        </w:r>
        <w:r w:rsidRPr="00F61130">
          <w:rPr>
            <w:rStyle w:val="Hyperlink"/>
            <w:noProof/>
          </w:rPr>
          <w:t xml:space="preserve"> Supplementary Biological Data for Chapter 4</w:t>
        </w:r>
        <w:r w:rsidRPr="00F61130">
          <w:rPr>
            <w:noProof/>
            <w:webHidden/>
          </w:rPr>
          <w:tab/>
        </w:r>
        <w:r w:rsidRPr="00F61130">
          <w:rPr>
            <w:noProof/>
            <w:webHidden/>
          </w:rPr>
          <w:fldChar w:fldCharType="begin"/>
        </w:r>
        <w:r w:rsidRPr="00F61130">
          <w:rPr>
            <w:noProof/>
            <w:webHidden/>
          </w:rPr>
          <w:instrText xml:space="preserve"> PAGEREF _Toc3716126 \h </w:instrText>
        </w:r>
        <w:r w:rsidRPr="00F61130">
          <w:rPr>
            <w:noProof/>
            <w:webHidden/>
          </w:rPr>
        </w:r>
        <w:r w:rsidRPr="00F61130">
          <w:rPr>
            <w:noProof/>
            <w:webHidden/>
          </w:rPr>
          <w:fldChar w:fldCharType="separate"/>
        </w:r>
        <w:r w:rsidRPr="00F61130">
          <w:rPr>
            <w:noProof/>
            <w:webHidden/>
          </w:rPr>
          <w:t>189</w:t>
        </w:r>
        <w:r w:rsidRPr="00F61130">
          <w:rPr>
            <w:noProof/>
            <w:webHidden/>
          </w:rPr>
          <w:fldChar w:fldCharType="end"/>
        </w:r>
      </w:hyperlink>
    </w:p>
    <w:p w14:paraId="6B5220E4" w14:textId="11D90095" w:rsidR="00F61130" w:rsidRPr="00F61130" w:rsidRDefault="00F61130" w:rsidP="00F61130">
      <w:pPr>
        <w:pStyle w:val="TOC2"/>
        <w:spacing w:line="276" w:lineRule="auto"/>
        <w:rPr>
          <w:rFonts w:eastAsiaTheme="minorEastAsia"/>
          <w:noProof/>
        </w:rPr>
      </w:pPr>
      <w:hyperlink w:anchor="_Toc3716127" w:history="1">
        <w:r w:rsidRPr="00F61130">
          <w:rPr>
            <w:rStyle w:val="Hyperlink"/>
            <w:noProof/>
            <w14:scene3d>
              <w14:camera w14:prst="orthographicFront"/>
              <w14:lightRig w14:rig="threePt" w14:dir="t">
                <w14:rot w14:lat="0" w14:lon="0" w14:rev="0"/>
              </w14:lightRig>
            </w14:scene3d>
          </w:rPr>
          <w:t>7.4</w:t>
        </w:r>
        <w:r w:rsidRPr="00F61130">
          <w:rPr>
            <w:rStyle w:val="Hyperlink"/>
            <w:noProof/>
          </w:rPr>
          <w:t xml:space="preserve"> Supplementary Information for the development of a mathematical model describing the hepatic immune response</w:t>
        </w:r>
        <w:r w:rsidRPr="00F61130">
          <w:rPr>
            <w:noProof/>
            <w:webHidden/>
          </w:rPr>
          <w:tab/>
        </w:r>
        <w:r w:rsidRPr="00F61130">
          <w:rPr>
            <w:noProof/>
            <w:webHidden/>
          </w:rPr>
          <w:fldChar w:fldCharType="begin"/>
        </w:r>
        <w:r w:rsidRPr="00F61130">
          <w:rPr>
            <w:noProof/>
            <w:webHidden/>
          </w:rPr>
          <w:instrText xml:space="preserve"> PAGEREF _Toc3716127 \h </w:instrText>
        </w:r>
        <w:r w:rsidRPr="00F61130">
          <w:rPr>
            <w:noProof/>
            <w:webHidden/>
          </w:rPr>
        </w:r>
        <w:r w:rsidRPr="00F61130">
          <w:rPr>
            <w:noProof/>
            <w:webHidden/>
          </w:rPr>
          <w:fldChar w:fldCharType="separate"/>
        </w:r>
        <w:r w:rsidRPr="00F61130">
          <w:rPr>
            <w:noProof/>
            <w:webHidden/>
          </w:rPr>
          <w:t>195</w:t>
        </w:r>
        <w:r w:rsidRPr="00F61130">
          <w:rPr>
            <w:noProof/>
            <w:webHidden/>
          </w:rPr>
          <w:fldChar w:fldCharType="end"/>
        </w:r>
      </w:hyperlink>
    </w:p>
    <w:p w14:paraId="48C4B9DF" w14:textId="63738987" w:rsidR="00F61130" w:rsidRPr="00F61130" w:rsidRDefault="00F61130" w:rsidP="00F61130">
      <w:pPr>
        <w:pStyle w:val="TOC2"/>
        <w:spacing w:line="276" w:lineRule="auto"/>
        <w:rPr>
          <w:rFonts w:eastAsiaTheme="minorEastAsia"/>
          <w:noProof/>
        </w:rPr>
      </w:pPr>
      <w:hyperlink w:anchor="_Toc3716128" w:history="1">
        <w:r w:rsidRPr="00F61130">
          <w:rPr>
            <w:rStyle w:val="Hyperlink"/>
            <w:noProof/>
            <w14:scene3d>
              <w14:camera w14:prst="orthographicFront"/>
              <w14:lightRig w14:rig="threePt" w14:dir="t">
                <w14:rot w14:lat="0" w14:lon="0" w14:rev="0"/>
              </w14:lightRig>
            </w14:scene3d>
          </w:rPr>
          <w:t>7.5</w:t>
        </w:r>
        <w:r w:rsidRPr="00F61130">
          <w:rPr>
            <w:rStyle w:val="Hyperlink"/>
            <w:noProof/>
          </w:rPr>
          <w:t xml:space="preserve"> Supplementary Information for Calibration using the </w:t>
        </w:r>
        <w:r w:rsidRPr="00F61130">
          <w:rPr>
            <w:rStyle w:val="Hyperlink"/>
            <w:i/>
            <w:noProof/>
          </w:rPr>
          <w:t>ABC_sequential</w:t>
        </w:r>
        <w:r w:rsidRPr="00F61130">
          <w:rPr>
            <w:rStyle w:val="Hyperlink"/>
            <w:noProof/>
          </w:rPr>
          <w:t xml:space="preserve"> function</w:t>
        </w:r>
        <w:r w:rsidRPr="00F61130">
          <w:rPr>
            <w:noProof/>
            <w:webHidden/>
          </w:rPr>
          <w:tab/>
        </w:r>
        <w:r w:rsidRPr="00F61130">
          <w:rPr>
            <w:noProof/>
            <w:webHidden/>
          </w:rPr>
          <w:fldChar w:fldCharType="begin"/>
        </w:r>
        <w:r w:rsidRPr="00F61130">
          <w:rPr>
            <w:noProof/>
            <w:webHidden/>
          </w:rPr>
          <w:instrText xml:space="preserve"> PAGEREF _Toc3716128 \h </w:instrText>
        </w:r>
        <w:r w:rsidRPr="00F61130">
          <w:rPr>
            <w:noProof/>
            <w:webHidden/>
          </w:rPr>
        </w:r>
        <w:r w:rsidRPr="00F61130">
          <w:rPr>
            <w:noProof/>
            <w:webHidden/>
          </w:rPr>
          <w:fldChar w:fldCharType="separate"/>
        </w:r>
        <w:r w:rsidRPr="00F61130">
          <w:rPr>
            <w:noProof/>
            <w:webHidden/>
          </w:rPr>
          <w:t>206</w:t>
        </w:r>
        <w:r w:rsidRPr="00F61130">
          <w:rPr>
            <w:noProof/>
            <w:webHidden/>
          </w:rPr>
          <w:fldChar w:fldCharType="end"/>
        </w:r>
      </w:hyperlink>
    </w:p>
    <w:p w14:paraId="3E1B8158" w14:textId="7CB80EB6" w:rsidR="00F61130" w:rsidRPr="00F61130" w:rsidRDefault="00F61130" w:rsidP="00F61130">
      <w:pPr>
        <w:pStyle w:val="TOC2"/>
        <w:spacing w:line="276" w:lineRule="auto"/>
        <w:rPr>
          <w:rFonts w:eastAsiaTheme="minorEastAsia"/>
          <w:noProof/>
        </w:rPr>
      </w:pPr>
      <w:hyperlink w:anchor="_Toc3716129" w:history="1">
        <w:r w:rsidRPr="00F61130">
          <w:rPr>
            <w:rStyle w:val="Hyperlink"/>
            <w:noProof/>
            <w14:scene3d>
              <w14:camera w14:prst="orthographicFront"/>
              <w14:lightRig w14:rig="threePt" w14:dir="t">
                <w14:rot w14:lat="0" w14:lon="0" w14:rev="0"/>
              </w14:lightRig>
            </w14:scene3d>
          </w:rPr>
          <w:t>7.6</w:t>
        </w:r>
        <w:r w:rsidRPr="00F61130">
          <w:rPr>
            <w:rStyle w:val="Hyperlink"/>
            <w:noProof/>
          </w:rPr>
          <w:t xml:space="preserve"> Extending global sensitivity analysis from Figure 5.7 to all entities</w:t>
        </w:r>
        <w:r w:rsidRPr="00F61130">
          <w:rPr>
            <w:noProof/>
            <w:webHidden/>
          </w:rPr>
          <w:tab/>
        </w:r>
        <w:r w:rsidRPr="00F61130">
          <w:rPr>
            <w:noProof/>
            <w:webHidden/>
          </w:rPr>
          <w:fldChar w:fldCharType="begin"/>
        </w:r>
        <w:r w:rsidRPr="00F61130">
          <w:rPr>
            <w:noProof/>
            <w:webHidden/>
          </w:rPr>
          <w:instrText xml:space="preserve"> PAGEREF _Toc3716129 \h </w:instrText>
        </w:r>
        <w:r w:rsidRPr="00F61130">
          <w:rPr>
            <w:noProof/>
            <w:webHidden/>
          </w:rPr>
        </w:r>
        <w:r w:rsidRPr="00F61130">
          <w:rPr>
            <w:noProof/>
            <w:webHidden/>
          </w:rPr>
          <w:fldChar w:fldCharType="separate"/>
        </w:r>
        <w:r w:rsidRPr="00F61130">
          <w:rPr>
            <w:noProof/>
            <w:webHidden/>
          </w:rPr>
          <w:t>207</w:t>
        </w:r>
        <w:r w:rsidRPr="00F61130">
          <w:rPr>
            <w:noProof/>
            <w:webHidden/>
          </w:rPr>
          <w:fldChar w:fldCharType="end"/>
        </w:r>
      </w:hyperlink>
    </w:p>
    <w:p w14:paraId="403DE4EF" w14:textId="347601D9" w:rsidR="00F61130" w:rsidRPr="00F61130" w:rsidRDefault="00F61130" w:rsidP="00F61130">
      <w:pPr>
        <w:pStyle w:val="TOC2"/>
        <w:spacing w:line="276" w:lineRule="auto"/>
        <w:rPr>
          <w:rFonts w:eastAsiaTheme="minorEastAsia"/>
          <w:noProof/>
        </w:rPr>
      </w:pPr>
      <w:hyperlink w:anchor="_Toc3716130" w:history="1">
        <w:r w:rsidRPr="00F61130">
          <w:rPr>
            <w:rStyle w:val="Hyperlink"/>
            <w:noProof/>
            <w14:scene3d>
              <w14:camera w14:prst="orthographicFront"/>
              <w14:lightRig w14:rig="threePt" w14:dir="t">
                <w14:rot w14:lat="0" w14:lon="0" w14:rev="0"/>
              </w14:lightRig>
            </w14:scene3d>
          </w:rPr>
          <w:t>7.7</w:t>
        </w:r>
        <w:r w:rsidRPr="00F61130">
          <w:rPr>
            <w:rStyle w:val="Hyperlink"/>
            <w:noProof/>
          </w:rPr>
          <w:t xml:space="preserve"> Supplementary Information for the development of a mathematical model describing the sub-tissue distribution of Amphotericin B</w:t>
        </w:r>
        <w:r w:rsidRPr="00F61130">
          <w:rPr>
            <w:noProof/>
            <w:webHidden/>
          </w:rPr>
          <w:tab/>
        </w:r>
        <w:r w:rsidRPr="00F61130">
          <w:rPr>
            <w:noProof/>
            <w:webHidden/>
          </w:rPr>
          <w:fldChar w:fldCharType="begin"/>
        </w:r>
        <w:r w:rsidRPr="00F61130">
          <w:rPr>
            <w:noProof/>
            <w:webHidden/>
          </w:rPr>
          <w:instrText xml:space="preserve"> PAGEREF _Toc3716130 \h </w:instrText>
        </w:r>
        <w:r w:rsidRPr="00F61130">
          <w:rPr>
            <w:noProof/>
            <w:webHidden/>
          </w:rPr>
        </w:r>
        <w:r w:rsidRPr="00F61130">
          <w:rPr>
            <w:noProof/>
            <w:webHidden/>
          </w:rPr>
          <w:fldChar w:fldCharType="separate"/>
        </w:r>
        <w:r w:rsidRPr="00F61130">
          <w:rPr>
            <w:noProof/>
            <w:webHidden/>
          </w:rPr>
          <w:t>208</w:t>
        </w:r>
        <w:r w:rsidRPr="00F61130">
          <w:rPr>
            <w:noProof/>
            <w:webHidden/>
          </w:rPr>
          <w:fldChar w:fldCharType="end"/>
        </w:r>
      </w:hyperlink>
    </w:p>
    <w:p w14:paraId="2184881B" w14:textId="41C64C04" w:rsidR="00F61130" w:rsidRPr="00F61130" w:rsidRDefault="00F61130" w:rsidP="00B251C6">
      <w:pPr>
        <w:pStyle w:val="TOC1"/>
        <w:rPr>
          <w:rFonts w:eastAsiaTheme="minorEastAsia"/>
          <w:noProof/>
        </w:rPr>
      </w:pPr>
      <w:hyperlink w:anchor="_Toc3716131" w:history="1">
        <w:r w:rsidRPr="00F61130">
          <w:rPr>
            <w:rStyle w:val="Hyperlink"/>
            <w:noProof/>
          </w:rPr>
          <w:t>Abbreviations</w:t>
        </w:r>
        <w:r w:rsidRPr="00F61130">
          <w:rPr>
            <w:noProof/>
            <w:webHidden/>
          </w:rPr>
          <w:tab/>
        </w:r>
        <w:r w:rsidRPr="00F61130">
          <w:rPr>
            <w:noProof/>
            <w:webHidden/>
          </w:rPr>
          <w:fldChar w:fldCharType="begin"/>
        </w:r>
        <w:r w:rsidRPr="00F61130">
          <w:rPr>
            <w:noProof/>
            <w:webHidden/>
          </w:rPr>
          <w:instrText xml:space="preserve"> PAGEREF _Toc3716131 \h </w:instrText>
        </w:r>
        <w:r w:rsidRPr="00F61130">
          <w:rPr>
            <w:noProof/>
            <w:webHidden/>
          </w:rPr>
        </w:r>
        <w:r w:rsidRPr="00F61130">
          <w:rPr>
            <w:noProof/>
            <w:webHidden/>
          </w:rPr>
          <w:fldChar w:fldCharType="separate"/>
        </w:r>
        <w:r w:rsidRPr="00F61130">
          <w:rPr>
            <w:noProof/>
            <w:webHidden/>
          </w:rPr>
          <w:t>211</w:t>
        </w:r>
        <w:r w:rsidRPr="00F61130">
          <w:rPr>
            <w:noProof/>
            <w:webHidden/>
          </w:rPr>
          <w:fldChar w:fldCharType="end"/>
        </w:r>
      </w:hyperlink>
    </w:p>
    <w:p w14:paraId="74664122" w14:textId="2A92FC2C" w:rsidR="00F61130" w:rsidRDefault="00F61130" w:rsidP="00B251C6">
      <w:pPr>
        <w:pStyle w:val="TOC1"/>
        <w:rPr>
          <w:rFonts w:asciiTheme="minorHAnsi" w:eastAsiaTheme="minorEastAsia" w:hAnsiTheme="minorHAnsi" w:cstheme="minorBidi"/>
          <w:noProof/>
        </w:rPr>
      </w:pPr>
      <w:hyperlink w:anchor="_Toc3716132" w:history="1">
        <w:r w:rsidRPr="00F61130">
          <w:rPr>
            <w:rStyle w:val="Hyperlink"/>
            <w:noProof/>
          </w:rPr>
          <w:t>Bibliography</w:t>
        </w:r>
        <w:r w:rsidRPr="00F61130">
          <w:rPr>
            <w:noProof/>
            <w:webHidden/>
          </w:rPr>
          <w:tab/>
        </w:r>
        <w:r w:rsidRPr="00F61130">
          <w:rPr>
            <w:noProof/>
            <w:webHidden/>
          </w:rPr>
          <w:fldChar w:fldCharType="begin"/>
        </w:r>
        <w:r w:rsidRPr="00F61130">
          <w:rPr>
            <w:noProof/>
            <w:webHidden/>
          </w:rPr>
          <w:instrText xml:space="preserve"> PAGEREF _Toc3716132 \h </w:instrText>
        </w:r>
        <w:r w:rsidRPr="00F61130">
          <w:rPr>
            <w:noProof/>
            <w:webHidden/>
          </w:rPr>
        </w:r>
        <w:r w:rsidRPr="00F61130">
          <w:rPr>
            <w:noProof/>
            <w:webHidden/>
          </w:rPr>
          <w:fldChar w:fldCharType="separate"/>
        </w:r>
        <w:r w:rsidRPr="00F61130">
          <w:rPr>
            <w:noProof/>
            <w:webHidden/>
          </w:rPr>
          <w:t>213</w:t>
        </w:r>
        <w:r w:rsidRPr="00F61130">
          <w:rPr>
            <w:noProof/>
            <w:webHidden/>
          </w:rPr>
          <w:fldChar w:fldCharType="end"/>
        </w:r>
      </w:hyperlink>
    </w:p>
    <w:p w14:paraId="1BABD568" w14:textId="0C5C4881" w:rsidR="00E743CA" w:rsidRPr="00F44DE2" w:rsidRDefault="00713C98" w:rsidP="00F61130">
      <w:pPr>
        <w:snapToGrid w:val="0"/>
        <w:spacing w:line="276" w:lineRule="auto"/>
        <w:rPr>
          <w:b/>
        </w:rPr>
        <w:sectPr w:rsidR="00E743CA" w:rsidRPr="00F44DE2" w:rsidSect="00F61130">
          <w:footerReference w:type="even" r:id="rId8"/>
          <w:footerReference w:type="default" r:id="rId9"/>
          <w:pgSz w:w="11900" w:h="16840"/>
          <w:pgMar w:top="1134" w:right="851" w:bottom="1134" w:left="2268" w:header="709" w:footer="709" w:gutter="0"/>
          <w:pgNumType w:start="1"/>
          <w:cols w:space="708"/>
          <w:titlePg/>
          <w:docGrid w:linePitch="360"/>
        </w:sectPr>
      </w:pPr>
      <w:r w:rsidRPr="00F44DE2">
        <w:rPr>
          <w:b/>
        </w:rPr>
        <w:fldChar w:fldCharType="end"/>
      </w:r>
    </w:p>
    <w:p w14:paraId="12B85FF3" w14:textId="77777777" w:rsidR="009F079F" w:rsidRPr="008B3AD6" w:rsidRDefault="009F079F" w:rsidP="009F079F">
      <w:pPr>
        <w:pStyle w:val="Heading1"/>
        <w:numPr>
          <w:ilvl w:val="0"/>
          <w:numId w:val="0"/>
        </w:numPr>
        <w:rPr>
          <w:szCs w:val="48"/>
        </w:rPr>
      </w:pPr>
      <w:bookmarkStart w:id="4" w:name="_Toc3716034"/>
      <w:r w:rsidRPr="008B3AD6">
        <w:rPr>
          <w:szCs w:val="48"/>
        </w:rPr>
        <w:lastRenderedPageBreak/>
        <w:t>List of Tables</w:t>
      </w:r>
      <w:bookmarkEnd w:id="4"/>
    </w:p>
    <w:p w14:paraId="4645A207" w14:textId="42231E80" w:rsidR="009F079F" w:rsidRPr="00D40D5C" w:rsidRDefault="009F079F" w:rsidP="009F079F">
      <w:pPr>
        <w:pStyle w:val="TableofFigures"/>
        <w:tabs>
          <w:tab w:val="right" w:leader="dot" w:pos="8771"/>
        </w:tabs>
        <w:snapToGrid w:val="0"/>
        <w:spacing w:before="60" w:afterLines="60" w:after="144" w:line="240" w:lineRule="auto"/>
        <w:rPr>
          <w:rFonts w:asciiTheme="minorHAnsi" w:eastAsiaTheme="minorEastAsia" w:hAnsiTheme="minorHAnsi" w:cstheme="minorBidi"/>
          <w:noProof/>
        </w:rPr>
      </w:pPr>
      <w:r w:rsidRPr="00D40D5C">
        <w:fldChar w:fldCharType="begin"/>
      </w:r>
      <w:r w:rsidRPr="00D40D5C">
        <w:instrText xml:space="preserve"> TOC \h \z \c "Table" </w:instrText>
      </w:r>
      <w:r w:rsidRPr="00D40D5C">
        <w:fldChar w:fldCharType="separate"/>
      </w:r>
      <w:hyperlink r:id="rId10" w:anchor="_Toc536814202" w:history="1">
        <w:r w:rsidRPr="00B23FF8">
          <w:rPr>
            <w:rStyle w:val="Hyperlink"/>
            <w:noProof/>
          </w:rPr>
          <w:t>Table 4.1 – T cell parameter values derived from kinetics.</w:t>
        </w:r>
        <w:r w:rsidRPr="00D40D5C">
          <w:rPr>
            <w:noProof/>
            <w:webHidden/>
          </w:rPr>
          <w:tab/>
        </w:r>
        <w:r w:rsidRPr="00B23FF8">
          <w:rPr>
            <w:noProof/>
            <w:webHidden/>
          </w:rPr>
          <w:fldChar w:fldCharType="begin"/>
        </w:r>
        <w:r w:rsidRPr="00D40D5C">
          <w:rPr>
            <w:noProof/>
            <w:webHidden/>
          </w:rPr>
          <w:instrText xml:space="preserve"> PAGEREF _Toc536814202 \h </w:instrText>
        </w:r>
        <w:r w:rsidRPr="00B23FF8">
          <w:rPr>
            <w:noProof/>
            <w:webHidden/>
          </w:rPr>
        </w:r>
        <w:r w:rsidRPr="00B23FF8">
          <w:rPr>
            <w:noProof/>
            <w:webHidden/>
          </w:rPr>
          <w:fldChar w:fldCharType="separate"/>
        </w:r>
        <w:r w:rsidR="00B251C6">
          <w:rPr>
            <w:noProof/>
            <w:webHidden/>
          </w:rPr>
          <w:t>135</w:t>
        </w:r>
        <w:r w:rsidRPr="00B23FF8">
          <w:rPr>
            <w:noProof/>
            <w:webHidden/>
          </w:rPr>
          <w:fldChar w:fldCharType="end"/>
        </w:r>
      </w:hyperlink>
    </w:p>
    <w:p w14:paraId="7865BB95" w14:textId="5EE23941" w:rsidR="009F079F" w:rsidRPr="00D40D5C" w:rsidRDefault="009F079F" w:rsidP="009F079F">
      <w:pPr>
        <w:pStyle w:val="TableofFigures"/>
        <w:tabs>
          <w:tab w:val="right" w:leader="dot" w:pos="8771"/>
        </w:tabs>
        <w:snapToGrid w:val="0"/>
        <w:spacing w:before="60" w:afterLines="60" w:after="144" w:line="240" w:lineRule="auto"/>
        <w:rPr>
          <w:rFonts w:asciiTheme="minorHAnsi" w:eastAsiaTheme="minorEastAsia" w:hAnsiTheme="minorHAnsi" w:cstheme="minorBidi"/>
          <w:noProof/>
        </w:rPr>
      </w:pPr>
      <w:hyperlink r:id="rId11" w:anchor="_Toc536814203" w:history="1">
        <w:r w:rsidRPr="00B23FF8">
          <w:rPr>
            <w:rStyle w:val="Hyperlink"/>
            <w:noProof/>
          </w:rPr>
          <w:t xml:space="preserve">Table 4.2 - Initial </w:t>
        </w:r>
        <w:r w:rsidRPr="00B23FF8">
          <w:rPr>
            <w:rStyle w:val="Hyperlink"/>
            <w:i/>
            <w:noProof/>
          </w:rPr>
          <w:t xml:space="preserve">Leishmania donovani </w:t>
        </w:r>
        <w:r w:rsidRPr="00B23FF8">
          <w:rPr>
            <w:rStyle w:val="Hyperlink"/>
            <w:noProof/>
          </w:rPr>
          <w:t>value derived from kinetics.</w:t>
        </w:r>
        <w:r w:rsidRPr="009D2202">
          <w:rPr>
            <w:noProof/>
            <w:webHidden/>
          </w:rPr>
          <w:tab/>
        </w:r>
        <w:r w:rsidRPr="00B23FF8">
          <w:rPr>
            <w:noProof/>
            <w:webHidden/>
          </w:rPr>
          <w:fldChar w:fldCharType="begin"/>
        </w:r>
        <w:r w:rsidRPr="00D40D5C">
          <w:rPr>
            <w:noProof/>
            <w:webHidden/>
          </w:rPr>
          <w:instrText xml:space="preserve"> PAGEREF _Toc536814203 \h </w:instrText>
        </w:r>
        <w:r w:rsidRPr="00B23FF8">
          <w:rPr>
            <w:noProof/>
            <w:webHidden/>
          </w:rPr>
        </w:r>
        <w:r w:rsidRPr="00B23FF8">
          <w:rPr>
            <w:noProof/>
            <w:webHidden/>
          </w:rPr>
          <w:fldChar w:fldCharType="separate"/>
        </w:r>
        <w:r w:rsidR="00B251C6">
          <w:rPr>
            <w:noProof/>
            <w:webHidden/>
          </w:rPr>
          <w:t>138</w:t>
        </w:r>
        <w:r w:rsidRPr="00B23FF8">
          <w:rPr>
            <w:noProof/>
            <w:webHidden/>
          </w:rPr>
          <w:fldChar w:fldCharType="end"/>
        </w:r>
      </w:hyperlink>
    </w:p>
    <w:p w14:paraId="71DA498C" w14:textId="3F6D801B" w:rsidR="009F079F" w:rsidRPr="00B23FF8" w:rsidRDefault="009F079F" w:rsidP="009F079F">
      <w:pPr>
        <w:pStyle w:val="TableofFigures"/>
        <w:tabs>
          <w:tab w:val="right" w:leader="dot" w:pos="8771"/>
        </w:tabs>
        <w:snapToGrid w:val="0"/>
        <w:spacing w:before="60" w:afterLines="60" w:after="144" w:line="240" w:lineRule="auto"/>
        <w:rPr>
          <w:noProof/>
          <w:color w:val="0563C1" w:themeColor="hyperlink"/>
          <w:u w:val="single"/>
        </w:rPr>
      </w:pPr>
      <w:hyperlink r:id="rId12" w:anchor="_Toc536814204" w:history="1">
        <w:r w:rsidRPr="00B23FF8">
          <w:rPr>
            <w:rStyle w:val="Hyperlink"/>
            <w:noProof/>
          </w:rPr>
          <w:t>Table 4.3 - Final Parameter Values derived for the final model.</w:t>
        </w:r>
        <w:r w:rsidRPr="009D2202">
          <w:rPr>
            <w:noProof/>
            <w:webHidden/>
          </w:rPr>
          <w:tab/>
        </w:r>
        <w:r w:rsidRPr="00B23FF8">
          <w:rPr>
            <w:noProof/>
            <w:webHidden/>
          </w:rPr>
          <w:fldChar w:fldCharType="begin"/>
        </w:r>
        <w:r w:rsidRPr="00D40D5C">
          <w:rPr>
            <w:noProof/>
            <w:webHidden/>
          </w:rPr>
          <w:instrText xml:space="preserve"> PAGEREF _Toc536814204 \h </w:instrText>
        </w:r>
        <w:r w:rsidRPr="00B23FF8">
          <w:rPr>
            <w:noProof/>
            <w:webHidden/>
          </w:rPr>
        </w:r>
        <w:r w:rsidRPr="00B23FF8">
          <w:rPr>
            <w:noProof/>
            <w:webHidden/>
          </w:rPr>
          <w:fldChar w:fldCharType="separate"/>
        </w:r>
        <w:r w:rsidR="00B251C6">
          <w:rPr>
            <w:noProof/>
            <w:webHidden/>
          </w:rPr>
          <w:t>140</w:t>
        </w:r>
        <w:r w:rsidRPr="00B23FF8">
          <w:rPr>
            <w:noProof/>
            <w:webHidden/>
          </w:rPr>
          <w:fldChar w:fldCharType="end"/>
        </w:r>
      </w:hyperlink>
    </w:p>
    <w:p w14:paraId="5E447AF7" w14:textId="5D90FDF3" w:rsidR="009F079F" w:rsidRPr="00D40D5C" w:rsidRDefault="009F079F" w:rsidP="009F079F">
      <w:pPr>
        <w:pStyle w:val="TableofFigures"/>
        <w:tabs>
          <w:tab w:val="right" w:leader="dot" w:pos="8771"/>
        </w:tabs>
        <w:snapToGrid w:val="0"/>
        <w:spacing w:before="60" w:afterLines="60" w:after="144" w:line="240" w:lineRule="auto"/>
        <w:rPr>
          <w:rFonts w:asciiTheme="minorHAnsi" w:eastAsiaTheme="minorEastAsia" w:hAnsiTheme="minorHAnsi" w:cstheme="minorBidi"/>
          <w:noProof/>
        </w:rPr>
      </w:pPr>
      <w:hyperlink r:id="rId13" w:anchor="_Toc536814205" w:history="1">
        <w:r w:rsidRPr="00B23FF8">
          <w:rPr>
            <w:rStyle w:val="Hyperlink"/>
            <w:noProof/>
          </w:rPr>
          <w:t>Table 5.1 – Selected Parameter Values for the Naïve System.</w:t>
        </w:r>
        <w:r w:rsidRPr="009D2202">
          <w:rPr>
            <w:noProof/>
            <w:webHidden/>
          </w:rPr>
          <w:tab/>
        </w:r>
        <w:r w:rsidRPr="00B23FF8">
          <w:rPr>
            <w:noProof/>
            <w:webHidden/>
          </w:rPr>
          <w:fldChar w:fldCharType="begin"/>
        </w:r>
        <w:r w:rsidRPr="00D40D5C">
          <w:rPr>
            <w:noProof/>
            <w:webHidden/>
          </w:rPr>
          <w:instrText xml:space="preserve"> PAGEREF _Toc536814205 \h </w:instrText>
        </w:r>
        <w:r w:rsidRPr="00B23FF8">
          <w:rPr>
            <w:noProof/>
            <w:webHidden/>
          </w:rPr>
        </w:r>
        <w:r w:rsidRPr="00B23FF8">
          <w:rPr>
            <w:noProof/>
            <w:webHidden/>
          </w:rPr>
          <w:fldChar w:fldCharType="separate"/>
        </w:r>
        <w:r w:rsidR="00B251C6">
          <w:rPr>
            <w:noProof/>
            <w:webHidden/>
          </w:rPr>
          <w:t>152</w:t>
        </w:r>
        <w:r w:rsidRPr="00B23FF8">
          <w:rPr>
            <w:noProof/>
            <w:webHidden/>
          </w:rPr>
          <w:fldChar w:fldCharType="end"/>
        </w:r>
      </w:hyperlink>
    </w:p>
    <w:p w14:paraId="042E405B" w14:textId="75E19D0F" w:rsidR="009F079F" w:rsidRPr="00D40D5C" w:rsidRDefault="009F079F" w:rsidP="009F079F">
      <w:pPr>
        <w:pStyle w:val="TableofFigures"/>
        <w:tabs>
          <w:tab w:val="right" w:leader="dot" w:pos="8771"/>
        </w:tabs>
        <w:snapToGrid w:val="0"/>
        <w:spacing w:before="60" w:afterLines="60" w:after="144" w:line="240" w:lineRule="auto"/>
        <w:rPr>
          <w:rFonts w:asciiTheme="minorHAnsi" w:eastAsiaTheme="minorEastAsia" w:hAnsiTheme="minorHAnsi" w:cstheme="minorBidi"/>
          <w:noProof/>
        </w:rPr>
      </w:pPr>
      <w:hyperlink r:id="rId14" w:anchor="_Toc536814206" w:history="1">
        <w:r w:rsidRPr="00B23FF8">
          <w:rPr>
            <w:rStyle w:val="Hyperlink"/>
            <w:noProof/>
          </w:rPr>
          <w:t>Table 5.2 - Final Parameter Values derived for the new model.</w:t>
        </w:r>
        <w:r w:rsidRPr="009D2202">
          <w:rPr>
            <w:noProof/>
            <w:webHidden/>
          </w:rPr>
          <w:tab/>
        </w:r>
        <w:r w:rsidRPr="00B23FF8">
          <w:rPr>
            <w:noProof/>
            <w:webHidden/>
          </w:rPr>
          <w:fldChar w:fldCharType="begin"/>
        </w:r>
        <w:r w:rsidRPr="00D40D5C">
          <w:rPr>
            <w:noProof/>
            <w:webHidden/>
          </w:rPr>
          <w:instrText xml:space="preserve"> PAGEREF _Toc536814206 \h </w:instrText>
        </w:r>
        <w:r w:rsidRPr="00B23FF8">
          <w:rPr>
            <w:noProof/>
            <w:webHidden/>
          </w:rPr>
        </w:r>
        <w:r w:rsidRPr="00B23FF8">
          <w:rPr>
            <w:noProof/>
            <w:webHidden/>
          </w:rPr>
          <w:fldChar w:fldCharType="separate"/>
        </w:r>
        <w:r w:rsidR="00B251C6">
          <w:rPr>
            <w:noProof/>
            <w:webHidden/>
          </w:rPr>
          <w:t>156</w:t>
        </w:r>
        <w:r w:rsidRPr="00B23FF8">
          <w:rPr>
            <w:noProof/>
            <w:webHidden/>
          </w:rPr>
          <w:fldChar w:fldCharType="end"/>
        </w:r>
      </w:hyperlink>
    </w:p>
    <w:p w14:paraId="7D67A8BD" w14:textId="0736AA24" w:rsidR="009F079F" w:rsidRPr="00D40D5C" w:rsidRDefault="009F079F" w:rsidP="009F079F">
      <w:pPr>
        <w:pStyle w:val="TableofFigures"/>
        <w:tabs>
          <w:tab w:val="right" w:leader="dot" w:pos="8771"/>
        </w:tabs>
        <w:snapToGrid w:val="0"/>
        <w:spacing w:before="60" w:afterLines="60" w:after="144" w:line="240" w:lineRule="auto"/>
        <w:rPr>
          <w:rFonts w:asciiTheme="minorHAnsi" w:eastAsiaTheme="minorEastAsia" w:hAnsiTheme="minorHAnsi" w:cstheme="minorBidi"/>
          <w:noProof/>
        </w:rPr>
      </w:pPr>
      <w:hyperlink r:id="rId15" w:anchor="_Toc536814207" w:history="1">
        <w:r w:rsidRPr="00B23FF8">
          <w:rPr>
            <w:rStyle w:val="Hyperlink"/>
            <w:noProof/>
          </w:rPr>
          <w:t>Table 7.1 - Antibodies used to evaluate surface marker expression by either flow cytometry analysis or fluorescence activated cell sorting.</w:t>
        </w:r>
        <w:r w:rsidRPr="009D2202">
          <w:rPr>
            <w:noProof/>
            <w:webHidden/>
          </w:rPr>
          <w:tab/>
        </w:r>
        <w:r w:rsidRPr="00B23FF8">
          <w:rPr>
            <w:noProof/>
            <w:webHidden/>
          </w:rPr>
          <w:fldChar w:fldCharType="begin"/>
        </w:r>
        <w:r w:rsidRPr="00D40D5C">
          <w:rPr>
            <w:noProof/>
            <w:webHidden/>
          </w:rPr>
          <w:instrText xml:space="preserve"> PAGEREF _Toc536814207 \h </w:instrText>
        </w:r>
        <w:r w:rsidRPr="00B23FF8">
          <w:rPr>
            <w:noProof/>
            <w:webHidden/>
          </w:rPr>
        </w:r>
        <w:r w:rsidRPr="00B23FF8">
          <w:rPr>
            <w:noProof/>
            <w:webHidden/>
          </w:rPr>
          <w:fldChar w:fldCharType="separate"/>
        </w:r>
        <w:r w:rsidR="00B251C6">
          <w:rPr>
            <w:noProof/>
            <w:webHidden/>
          </w:rPr>
          <w:t>186</w:t>
        </w:r>
        <w:r w:rsidRPr="00B23FF8">
          <w:rPr>
            <w:noProof/>
            <w:webHidden/>
          </w:rPr>
          <w:fldChar w:fldCharType="end"/>
        </w:r>
      </w:hyperlink>
    </w:p>
    <w:p w14:paraId="0CC15805" w14:textId="3D7AFC6C" w:rsidR="009F079F" w:rsidRPr="00D40D5C" w:rsidRDefault="009F079F" w:rsidP="009F079F">
      <w:pPr>
        <w:pStyle w:val="TableofFigures"/>
        <w:tabs>
          <w:tab w:val="right" w:leader="dot" w:pos="8771"/>
        </w:tabs>
        <w:snapToGrid w:val="0"/>
        <w:spacing w:before="60" w:afterLines="60" w:after="144" w:line="240" w:lineRule="auto"/>
        <w:rPr>
          <w:rFonts w:asciiTheme="minorHAnsi" w:eastAsiaTheme="minorEastAsia" w:hAnsiTheme="minorHAnsi" w:cstheme="minorBidi"/>
          <w:noProof/>
        </w:rPr>
      </w:pPr>
      <w:hyperlink w:anchor="_Toc536814208" w:history="1">
        <w:r w:rsidRPr="00B23FF8">
          <w:rPr>
            <w:rStyle w:val="Hyperlink"/>
            <w:noProof/>
          </w:rPr>
          <w:t>Table 7.2 – Domain, Platform and Simulation models implemented during the CoSMoS process for the baseline immune response mathematical model.</w:t>
        </w:r>
        <w:r w:rsidRPr="009D2202">
          <w:rPr>
            <w:noProof/>
            <w:webHidden/>
          </w:rPr>
          <w:tab/>
        </w:r>
        <w:r w:rsidRPr="00B23FF8">
          <w:rPr>
            <w:noProof/>
            <w:webHidden/>
          </w:rPr>
          <w:fldChar w:fldCharType="begin"/>
        </w:r>
        <w:r w:rsidRPr="00D40D5C">
          <w:rPr>
            <w:noProof/>
            <w:webHidden/>
          </w:rPr>
          <w:instrText xml:space="preserve"> PAGEREF _Toc536814208 \h </w:instrText>
        </w:r>
        <w:r w:rsidRPr="00B23FF8">
          <w:rPr>
            <w:noProof/>
            <w:webHidden/>
          </w:rPr>
        </w:r>
        <w:r w:rsidRPr="00B23FF8">
          <w:rPr>
            <w:noProof/>
            <w:webHidden/>
          </w:rPr>
          <w:fldChar w:fldCharType="separate"/>
        </w:r>
        <w:r w:rsidR="00B251C6">
          <w:rPr>
            <w:noProof/>
            <w:webHidden/>
          </w:rPr>
          <w:t>204</w:t>
        </w:r>
        <w:r w:rsidRPr="00B23FF8">
          <w:rPr>
            <w:noProof/>
            <w:webHidden/>
          </w:rPr>
          <w:fldChar w:fldCharType="end"/>
        </w:r>
      </w:hyperlink>
    </w:p>
    <w:p w14:paraId="705A66F2" w14:textId="1C847CF1" w:rsidR="009F079F" w:rsidRPr="00D40D5C" w:rsidRDefault="009F079F" w:rsidP="009F079F">
      <w:pPr>
        <w:pStyle w:val="TableofFigures"/>
        <w:tabs>
          <w:tab w:val="right" w:leader="dot" w:pos="8771"/>
        </w:tabs>
        <w:snapToGrid w:val="0"/>
        <w:spacing w:before="60" w:afterLines="60" w:after="144" w:line="240" w:lineRule="auto"/>
        <w:rPr>
          <w:rFonts w:asciiTheme="minorHAnsi" w:eastAsiaTheme="minorEastAsia" w:hAnsiTheme="minorHAnsi" w:cstheme="minorBidi"/>
          <w:noProof/>
        </w:rPr>
      </w:pPr>
      <w:hyperlink w:anchor="_Toc536814209" w:history="1">
        <w:r w:rsidRPr="00B23FF8">
          <w:rPr>
            <w:rStyle w:val="Hyperlink"/>
            <w:noProof/>
          </w:rPr>
          <w:t xml:space="preserve">Table 7.3 - Information supplied to the </w:t>
        </w:r>
        <w:r w:rsidRPr="00B23FF8">
          <w:rPr>
            <w:rStyle w:val="Hyperlink"/>
            <w:i/>
            <w:noProof/>
          </w:rPr>
          <w:t>ABC_sequential</w:t>
        </w:r>
        <w:r w:rsidRPr="00B23FF8">
          <w:rPr>
            <w:rStyle w:val="Hyperlink"/>
            <w:noProof/>
          </w:rPr>
          <w:t xml:space="preserve"> function for calibration</w:t>
        </w:r>
        <w:r w:rsidRPr="009D2202">
          <w:rPr>
            <w:noProof/>
            <w:webHidden/>
          </w:rPr>
          <w:tab/>
        </w:r>
        <w:r w:rsidRPr="00B23FF8">
          <w:rPr>
            <w:noProof/>
            <w:webHidden/>
          </w:rPr>
          <w:fldChar w:fldCharType="begin"/>
        </w:r>
        <w:r w:rsidRPr="00D40D5C">
          <w:rPr>
            <w:noProof/>
            <w:webHidden/>
          </w:rPr>
          <w:instrText xml:space="preserve"> PAGEREF _Toc536814209 \h </w:instrText>
        </w:r>
        <w:r w:rsidRPr="00B23FF8">
          <w:rPr>
            <w:noProof/>
            <w:webHidden/>
          </w:rPr>
        </w:r>
        <w:r w:rsidRPr="00B23FF8">
          <w:rPr>
            <w:noProof/>
            <w:webHidden/>
          </w:rPr>
          <w:fldChar w:fldCharType="separate"/>
        </w:r>
        <w:r w:rsidR="00B251C6">
          <w:rPr>
            <w:noProof/>
            <w:webHidden/>
          </w:rPr>
          <w:t>205</w:t>
        </w:r>
        <w:r w:rsidRPr="00B23FF8">
          <w:rPr>
            <w:noProof/>
            <w:webHidden/>
          </w:rPr>
          <w:fldChar w:fldCharType="end"/>
        </w:r>
      </w:hyperlink>
    </w:p>
    <w:p w14:paraId="572C356B" w14:textId="15B3CF1E" w:rsidR="009F079F" w:rsidRPr="00D40D5C" w:rsidRDefault="009F079F" w:rsidP="009F079F">
      <w:pPr>
        <w:pStyle w:val="TableofFigures"/>
        <w:tabs>
          <w:tab w:val="right" w:leader="dot" w:pos="8771"/>
        </w:tabs>
        <w:snapToGrid w:val="0"/>
        <w:spacing w:before="60" w:afterLines="60" w:after="144" w:line="240" w:lineRule="auto"/>
        <w:rPr>
          <w:rFonts w:asciiTheme="minorHAnsi" w:eastAsiaTheme="minorEastAsia" w:hAnsiTheme="minorHAnsi" w:cstheme="minorBidi"/>
          <w:noProof/>
        </w:rPr>
      </w:pPr>
      <w:hyperlink w:anchor="_Toc536814210" w:history="1">
        <w:r w:rsidRPr="00B23FF8">
          <w:rPr>
            <w:rStyle w:val="Hyperlink"/>
            <w:noProof/>
          </w:rPr>
          <w:t>Table 7.4 - Domain, Platform and Simulation models implemented during the CoSMoS process for the pharmacological mathematical model.</w:t>
        </w:r>
        <w:r w:rsidRPr="009D2202">
          <w:rPr>
            <w:noProof/>
            <w:webHidden/>
          </w:rPr>
          <w:tab/>
        </w:r>
        <w:r w:rsidRPr="00B23FF8">
          <w:rPr>
            <w:noProof/>
            <w:webHidden/>
          </w:rPr>
          <w:fldChar w:fldCharType="begin"/>
        </w:r>
        <w:r w:rsidRPr="00D40D5C">
          <w:rPr>
            <w:noProof/>
            <w:webHidden/>
          </w:rPr>
          <w:instrText xml:space="preserve"> PAGEREF _Toc536814210 \h </w:instrText>
        </w:r>
        <w:r w:rsidRPr="00B23FF8">
          <w:rPr>
            <w:noProof/>
            <w:webHidden/>
          </w:rPr>
        </w:r>
        <w:r w:rsidRPr="00B23FF8">
          <w:rPr>
            <w:noProof/>
            <w:webHidden/>
          </w:rPr>
          <w:fldChar w:fldCharType="separate"/>
        </w:r>
        <w:r w:rsidR="00B251C6">
          <w:rPr>
            <w:noProof/>
            <w:webHidden/>
          </w:rPr>
          <w:t>209</w:t>
        </w:r>
        <w:r w:rsidRPr="00B23FF8">
          <w:rPr>
            <w:noProof/>
            <w:webHidden/>
          </w:rPr>
          <w:fldChar w:fldCharType="end"/>
        </w:r>
      </w:hyperlink>
    </w:p>
    <w:p w14:paraId="560A2C1A" w14:textId="77777777" w:rsidR="009F079F" w:rsidRPr="00D40D5C" w:rsidRDefault="009F079F" w:rsidP="009F079F">
      <w:pPr>
        <w:snapToGrid w:val="0"/>
        <w:spacing w:before="60" w:afterLines="60" w:after="144" w:line="240" w:lineRule="auto"/>
      </w:pPr>
      <w:r w:rsidRPr="00D40D5C">
        <w:fldChar w:fldCharType="end"/>
      </w:r>
    </w:p>
    <w:p w14:paraId="0EE67A89" w14:textId="086DDCBF" w:rsidR="009F079F" w:rsidRDefault="009F079F" w:rsidP="00D52156">
      <w:pPr>
        <w:pStyle w:val="Heading1"/>
        <w:numPr>
          <w:ilvl w:val="0"/>
          <w:numId w:val="0"/>
        </w:numPr>
        <w:spacing w:line="276" w:lineRule="auto"/>
      </w:pPr>
    </w:p>
    <w:p w14:paraId="79BA515E" w14:textId="77777777" w:rsidR="009F079F" w:rsidRPr="009F079F" w:rsidRDefault="009F079F" w:rsidP="009F079F">
      <w:pPr>
        <w:sectPr w:rsidR="009F079F" w:rsidRPr="009F079F" w:rsidSect="00F61130">
          <w:footerReference w:type="default" r:id="rId16"/>
          <w:pgSz w:w="11900" w:h="16840"/>
          <w:pgMar w:top="1134" w:right="851" w:bottom="1134" w:left="2268" w:header="709" w:footer="709" w:gutter="0"/>
          <w:cols w:space="708"/>
          <w:docGrid w:linePitch="360"/>
        </w:sectPr>
      </w:pPr>
    </w:p>
    <w:p w14:paraId="52319005" w14:textId="50D1779C" w:rsidR="00D52156" w:rsidRPr="002A2BD2" w:rsidRDefault="00E96C8F" w:rsidP="00D52156">
      <w:pPr>
        <w:pStyle w:val="Heading1"/>
        <w:numPr>
          <w:ilvl w:val="0"/>
          <w:numId w:val="0"/>
        </w:numPr>
        <w:spacing w:line="276" w:lineRule="auto"/>
      </w:pPr>
      <w:bookmarkStart w:id="5" w:name="_Toc3716035"/>
      <w:r w:rsidRPr="008B3AD6">
        <w:lastRenderedPageBreak/>
        <w:t>List of Figures</w:t>
      </w:r>
      <w:bookmarkEnd w:id="5"/>
    </w:p>
    <w:p w14:paraId="0A6B91DD" w14:textId="3881E8A7" w:rsidR="00D362A7" w:rsidRPr="00D362A7" w:rsidRDefault="00D52156" w:rsidP="00B23FF8">
      <w:pPr>
        <w:pStyle w:val="TableofFigures"/>
        <w:tabs>
          <w:tab w:val="right" w:leader="dot" w:pos="8771"/>
        </w:tabs>
        <w:snapToGrid w:val="0"/>
        <w:spacing w:beforeLines="60" w:before="144" w:afterLines="60" w:after="144" w:line="240" w:lineRule="auto"/>
        <w:rPr>
          <w:rFonts w:asciiTheme="minorHAnsi" w:eastAsiaTheme="minorEastAsia" w:hAnsiTheme="minorHAnsi" w:cstheme="minorBidi"/>
          <w:noProof/>
        </w:rPr>
      </w:pPr>
      <w:r w:rsidRPr="00D362A7">
        <w:fldChar w:fldCharType="begin"/>
      </w:r>
      <w:r w:rsidRPr="00D362A7">
        <w:instrText xml:space="preserve"> TOC \c "Figure" </w:instrText>
      </w:r>
      <w:r w:rsidRPr="00D362A7">
        <w:fldChar w:fldCharType="separate"/>
      </w:r>
      <w:r w:rsidR="00D362A7" w:rsidRPr="00B23FF8">
        <w:rPr>
          <w:noProof/>
        </w:rPr>
        <w:t>Figure 1.1 - Visceral Leishmaniasis Cases Worldwide</w:t>
      </w:r>
      <w:r w:rsidR="00D362A7" w:rsidRPr="00D362A7">
        <w:rPr>
          <w:noProof/>
        </w:rPr>
        <w:t>.</w:t>
      </w:r>
      <w:r w:rsidR="00D362A7" w:rsidRPr="00D362A7">
        <w:rPr>
          <w:noProof/>
        </w:rPr>
        <w:tab/>
      </w:r>
      <w:r w:rsidR="00D362A7" w:rsidRPr="008471BE">
        <w:rPr>
          <w:noProof/>
        </w:rPr>
        <w:fldChar w:fldCharType="begin"/>
      </w:r>
      <w:r w:rsidR="00D362A7" w:rsidRPr="00D362A7">
        <w:rPr>
          <w:noProof/>
        </w:rPr>
        <w:instrText xml:space="preserve"> PAGEREF _Toc536814120 \h </w:instrText>
      </w:r>
      <w:r w:rsidR="00D362A7" w:rsidRPr="008471BE">
        <w:rPr>
          <w:noProof/>
        </w:rPr>
      </w:r>
      <w:r w:rsidR="00D362A7" w:rsidRPr="008471BE">
        <w:rPr>
          <w:noProof/>
        </w:rPr>
        <w:fldChar w:fldCharType="separate"/>
      </w:r>
      <w:r w:rsidR="00B251C6">
        <w:rPr>
          <w:noProof/>
        </w:rPr>
        <w:t>18</w:t>
      </w:r>
      <w:r w:rsidR="00D362A7" w:rsidRPr="008471BE">
        <w:rPr>
          <w:noProof/>
        </w:rPr>
        <w:fldChar w:fldCharType="end"/>
      </w:r>
    </w:p>
    <w:p w14:paraId="5BC78DD2" w14:textId="72EBB19B" w:rsidR="00D362A7" w:rsidRPr="00D362A7" w:rsidRDefault="00D362A7" w:rsidP="00B23FF8">
      <w:pPr>
        <w:pStyle w:val="TableofFigures"/>
        <w:tabs>
          <w:tab w:val="right" w:leader="dot" w:pos="8771"/>
        </w:tabs>
        <w:snapToGrid w:val="0"/>
        <w:spacing w:beforeLines="60" w:before="144" w:afterLines="60" w:after="144" w:line="240" w:lineRule="auto"/>
        <w:rPr>
          <w:rFonts w:asciiTheme="minorHAnsi" w:eastAsiaTheme="minorEastAsia" w:hAnsiTheme="minorHAnsi" w:cstheme="minorBidi"/>
          <w:noProof/>
        </w:rPr>
      </w:pPr>
      <w:r w:rsidRPr="00B23FF8">
        <w:rPr>
          <w:noProof/>
        </w:rPr>
        <w:t>Figure 1.2 - Transmissio</w:t>
      </w:r>
      <w:bookmarkStart w:id="6" w:name="_GoBack"/>
      <w:bookmarkEnd w:id="6"/>
      <w:r w:rsidRPr="00B23FF8">
        <w:rPr>
          <w:noProof/>
        </w:rPr>
        <w:t xml:space="preserve">n and Life Cycle of </w:t>
      </w:r>
      <w:r w:rsidRPr="00B23FF8">
        <w:rPr>
          <w:i/>
          <w:noProof/>
        </w:rPr>
        <w:t>Leishmania</w:t>
      </w:r>
      <w:r w:rsidRPr="00B23FF8">
        <w:rPr>
          <w:noProof/>
        </w:rPr>
        <w:t xml:space="preserve"> spp.</w:t>
      </w:r>
      <w:r w:rsidRPr="00D362A7">
        <w:rPr>
          <w:noProof/>
        </w:rPr>
        <w:tab/>
      </w:r>
      <w:r w:rsidRPr="008471BE">
        <w:rPr>
          <w:noProof/>
        </w:rPr>
        <w:fldChar w:fldCharType="begin"/>
      </w:r>
      <w:r w:rsidRPr="00D362A7">
        <w:rPr>
          <w:noProof/>
        </w:rPr>
        <w:instrText xml:space="preserve"> PAGEREF _Toc536814121 \h </w:instrText>
      </w:r>
      <w:r w:rsidRPr="008471BE">
        <w:rPr>
          <w:noProof/>
        </w:rPr>
      </w:r>
      <w:r w:rsidRPr="008471BE">
        <w:rPr>
          <w:noProof/>
        </w:rPr>
        <w:fldChar w:fldCharType="separate"/>
      </w:r>
      <w:r w:rsidR="00B251C6">
        <w:rPr>
          <w:noProof/>
        </w:rPr>
        <w:t>20</w:t>
      </w:r>
      <w:r w:rsidRPr="008471BE">
        <w:rPr>
          <w:noProof/>
        </w:rPr>
        <w:fldChar w:fldCharType="end"/>
      </w:r>
    </w:p>
    <w:p w14:paraId="11989685" w14:textId="22AF0934" w:rsidR="00D362A7" w:rsidRPr="00D362A7" w:rsidRDefault="00D362A7" w:rsidP="00B23FF8">
      <w:pPr>
        <w:pStyle w:val="TableofFigures"/>
        <w:tabs>
          <w:tab w:val="right" w:leader="dot" w:pos="8771"/>
        </w:tabs>
        <w:snapToGrid w:val="0"/>
        <w:spacing w:beforeLines="60" w:before="144" w:afterLines="60" w:after="144" w:line="240" w:lineRule="auto"/>
        <w:rPr>
          <w:rFonts w:asciiTheme="minorHAnsi" w:eastAsiaTheme="minorEastAsia" w:hAnsiTheme="minorHAnsi" w:cstheme="minorBidi"/>
          <w:noProof/>
        </w:rPr>
      </w:pPr>
      <w:r w:rsidRPr="00B23FF8">
        <w:rPr>
          <w:noProof/>
        </w:rPr>
        <w:t>Figure 1.3 - Hepatic Granuloma Formation during Experimental Visceral Leishmaniasis.</w:t>
      </w:r>
      <w:r w:rsidRPr="00D362A7">
        <w:rPr>
          <w:noProof/>
        </w:rPr>
        <w:tab/>
      </w:r>
      <w:r w:rsidRPr="008471BE">
        <w:rPr>
          <w:noProof/>
        </w:rPr>
        <w:fldChar w:fldCharType="begin"/>
      </w:r>
      <w:r w:rsidRPr="00D362A7">
        <w:rPr>
          <w:noProof/>
        </w:rPr>
        <w:instrText xml:space="preserve"> PAGEREF _Toc536814122 \h </w:instrText>
      </w:r>
      <w:r w:rsidRPr="008471BE">
        <w:rPr>
          <w:noProof/>
        </w:rPr>
      </w:r>
      <w:r w:rsidRPr="008471BE">
        <w:rPr>
          <w:noProof/>
        </w:rPr>
        <w:fldChar w:fldCharType="separate"/>
      </w:r>
      <w:r w:rsidR="00B251C6">
        <w:rPr>
          <w:noProof/>
        </w:rPr>
        <w:t>29</w:t>
      </w:r>
      <w:r w:rsidRPr="008471BE">
        <w:rPr>
          <w:noProof/>
        </w:rPr>
        <w:fldChar w:fldCharType="end"/>
      </w:r>
    </w:p>
    <w:p w14:paraId="25D32F01" w14:textId="29705205" w:rsidR="00D362A7" w:rsidRPr="00D362A7" w:rsidRDefault="00D362A7" w:rsidP="00B23FF8">
      <w:pPr>
        <w:pStyle w:val="TableofFigures"/>
        <w:tabs>
          <w:tab w:val="right" w:leader="dot" w:pos="8771"/>
        </w:tabs>
        <w:snapToGrid w:val="0"/>
        <w:spacing w:beforeLines="60" w:before="144" w:afterLines="60" w:after="144" w:line="240" w:lineRule="auto"/>
        <w:rPr>
          <w:rFonts w:asciiTheme="minorHAnsi" w:eastAsiaTheme="minorEastAsia" w:hAnsiTheme="minorHAnsi" w:cstheme="minorBidi"/>
          <w:noProof/>
        </w:rPr>
      </w:pPr>
      <w:r w:rsidRPr="00B23FF8">
        <w:rPr>
          <w:noProof/>
        </w:rPr>
        <w:t>Figure 1.4 - Two proposed Amphotericin B interactions with ergosterol containing membranes.</w:t>
      </w:r>
      <w:r w:rsidRPr="00D362A7">
        <w:rPr>
          <w:noProof/>
        </w:rPr>
        <w:tab/>
      </w:r>
      <w:r w:rsidRPr="008471BE">
        <w:rPr>
          <w:noProof/>
        </w:rPr>
        <w:fldChar w:fldCharType="begin"/>
      </w:r>
      <w:r w:rsidRPr="00D362A7">
        <w:rPr>
          <w:noProof/>
        </w:rPr>
        <w:instrText xml:space="preserve"> PAGEREF _Toc536814123 \h </w:instrText>
      </w:r>
      <w:r w:rsidRPr="008471BE">
        <w:rPr>
          <w:noProof/>
        </w:rPr>
      </w:r>
      <w:r w:rsidRPr="008471BE">
        <w:rPr>
          <w:noProof/>
        </w:rPr>
        <w:fldChar w:fldCharType="separate"/>
      </w:r>
      <w:r w:rsidR="00B251C6">
        <w:rPr>
          <w:noProof/>
        </w:rPr>
        <w:t>30</w:t>
      </w:r>
      <w:r w:rsidRPr="008471BE">
        <w:rPr>
          <w:noProof/>
        </w:rPr>
        <w:fldChar w:fldCharType="end"/>
      </w:r>
    </w:p>
    <w:p w14:paraId="31BF062A" w14:textId="13CF8083" w:rsidR="00D362A7" w:rsidRPr="00D362A7" w:rsidRDefault="00D362A7" w:rsidP="00B23FF8">
      <w:pPr>
        <w:pStyle w:val="TableofFigures"/>
        <w:tabs>
          <w:tab w:val="right" w:leader="dot" w:pos="8771"/>
        </w:tabs>
        <w:snapToGrid w:val="0"/>
        <w:spacing w:beforeLines="60" w:before="144" w:afterLines="60" w:after="144" w:line="240" w:lineRule="auto"/>
        <w:rPr>
          <w:rFonts w:asciiTheme="minorHAnsi" w:eastAsiaTheme="minorEastAsia" w:hAnsiTheme="minorHAnsi" w:cstheme="minorBidi"/>
          <w:noProof/>
        </w:rPr>
      </w:pPr>
      <w:r w:rsidRPr="00B23FF8">
        <w:rPr>
          <w:noProof/>
        </w:rPr>
        <w:t>Figure 1.5 - Schematic representing steps for High Performance Liquid Chromatography and Triple Quadrupole Mass Spectrometry.</w:t>
      </w:r>
      <w:r w:rsidRPr="00D362A7">
        <w:rPr>
          <w:noProof/>
        </w:rPr>
        <w:tab/>
      </w:r>
      <w:r w:rsidRPr="008471BE">
        <w:rPr>
          <w:noProof/>
        </w:rPr>
        <w:fldChar w:fldCharType="begin"/>
      </w:r>
      <w:r w:rsidRPr="00D362A7">
        <w:rPr>
          <w:noProof/>
        </w:rPr>
        <w:instrText xml:space="preserve"> PAGEREF _Toc536814124 \h </w:instrText>
      </w:r>
      <w:r w:rsidRPr="008471BE">
        <w:rPr>
          <w:noProof/>
        </w:rPr>
      </w:r>
      <w:r w:rsidRPr="008471BE">
        <w:rPr>
          <w:noProof/>
        </w:rPr>
        <w:fldChar w:fldCharType="separate"/>
      </w:r>
      <w:r w:rsidR="00B251C6">
        <w:rPr>
          <w:noProof/>
        </w:rPr>
        <w:t>33</w:t>
      </w:r>
      <w:r w:rsidRPr="008471BE">
        <w:rPr>
          <w:noProof/>
        </w:rPr>
        <w:fldChar w:fldCharType="end"/>
      </w:r>
    </w:p>
    <w:p w14:paraId="085C5A12" w14:textId="04F9BAC5" w:rsidR="00D362A7" w:rsidRPr="00D362A7" w:rsidRDefault="00D362A7" w:rsidP="00B23FF8">
      <w:pPr>
        <w:pStyle w:val="TableofFigures"/>
        <w:tabs>
          <w:tab w:val="right" w:leader="dot" w:pos="8771"/>
        </w:tabs>
        <w:snapToGrid w:val="0"/>
        <w:spacing w:beforeLines="60" w:before="144" w:afterLines="60" w:after="144" w:line="240" w:lineRule="auto"/>
        <w:rPr>
          <w:rFonts w:asciiTheme="minorHAnsi" w:eastAsiaTheme="minorEastAsia" w:hAnsiTheme="minorHAnsi" w:cstheme="minorBidi"/>
          <w:noProof/>
        </w:rPr>
      </w:pPr>
      <w:r w:rsidRPr="00B23FF8">
        <w:rPr>
          <w:noProof/>
        </w:rPr>
        <w:t>Figure 1.6 - Capturing Spatial features &amp; Population Heterogeneity in Different Models.</w:t>
      </w:r>
      <w:r w:rsidRPr="00D362A7">
        <w:rPr>
          <w:noProof/>
        </w:rPr>
        <w:tab/>
      </w:r>
      <w:r w:rsidRPr="008471BE">
        <w:rPr>
          <w:noProof/>
        </w:rPr>
        <w:fldChar w:fldCharType="begin"/>
      </w:r>
      <w:r w:rsidRPr="00D362A7">
        <w:rPr>
          <w:noProof/>
        </w:rPr>
        <w:instrText xml:space="preserve"> PAGEREF _Toc536814125 \h </w:instrText>
      </w:r>
      <w:r w:rsidRPr="008471BE">
        <w:rPr>
          <w:noProof/>
        </w:rPr>
      </w:r>
      <w:r w:rsidRPr="008471BE">
        <w:rPr>
          <w:noProof/>
        </w:rPr>
        <w:fldChar w:fldCharType="separate"/>
      </w:r>
      <w:r w:rsidR="00B251C6">
        <w:rPr>
          <w:noProof/>
        </w:rPr>
        <w:t>40</w:t>
      </w:r>
      <w:r w:rsidRPr="008471BE">
        <w:rPr>
          <w:noProof/>
        </w:rPr>
        <w:fldChar w:fldCharType="end"/>
      </w:r>
    </w:p>
    <w:p w14:paraId="59F80BBA" w14:textId="4A5A1581" w:rsidR="00D362A7" w:rsidRPr="00D362A7" w:rsidRDefault="00D362A7" w:rsidP="00B23FF8">
      <w:pPr>
        <w:pStyle w:val="TableofFigures"/>
        <w:tabs>
          <w:tab w:val="right" w:leader="dot" w:pos="8771"/>
        </w:tabs>
        <w:snapToGrid w:val="0"/>
        <w:spacing w:beforeLines="60" w:before="144" w:afterLines="60" w:after="144" w:line="240" w:lineRule="auto"/>
        <w:rPr>
          <w:rFonts w:asciiTheme="minorHAnsi" w:eastAsiaTheme="minorEastAsia" w:hAnsiTheme="minorHAnsi" w:cstheme="minorBidi"/>
          <w:noProof/>
        </w:rPr>
      </w:pPr>
      <w:r w:rsidRPr="00B23FF8">
        <w:rPr>
          <w:noProof/>
        </w:rPr>
        <w:t>Figure 1.7 - Schematic Representation of the CoSMoS Process.</w:t>
      </w:r>
      <w:r w:rsidRPr="00D362A7">
        <w:rPr>
          <w:noProof/>
        </w:rPr>
        <w:tab/>
      </w:r>
      <w:r w:rsidRPr="008471BE">
        <w:rPr>
          <w:noProof/>
        </w:rPr>
        <w:fldChar w:fldCharType="begin"/>
      </w:r>
      <w:r w:rsidRPr="00D362A7">
        <w:rPr>
          <w:noProof/>
        </w:rPr>
        <w:instrText xml:space="preserve"> PAGEREF _Toc536814126 \h </w:instrText>
      </w:r>
      <w:r w:rsidRPr="008471BE">
        <w:rPr>
          <w:noProof/>
        </w:rPr>
      </w:r>
      <w:r w:rsidRPr="008471BE">
        <w:rPr>
          <w:noProof/>
        </w:rPr>
        <w:fldChar w:fldCharType="separate"/>
      </w:r>
      <w:r w:rsidR="00B251C6">
        <w:rPr>
          <w:noProof/>
        </w:rPr>
        <w:t>41</w:t>
      </w:r>
      <w:r w:rsidRPr="008471BE">
        <w:rPr>
          <w:noProof/>
        </w:rPr>
        <w:fldChar w:fldCharType="end"/>
      </w:r>
    </w:p>
    <w:p w14:paraId="1BE6B856" w14:textId="4A0A7C83" w:rsidR="00D362A7" w:rsidRPr="00D362A7" w:rsidRDefault="00D362A7" w:rsidP="00B23FF8">
      <w:pPr>
        <w:pStyle w:val="TableofFigures"/>
        <w:tabs>
          <w:tab w:val="right" w:leader="dot" w:pos="8771"/>
        </w:tabs>
        <w:snapToGrid w:val="0"/>
        <w:spacing w:beforeLines="60" w:before="144" w:afterLines="60" w:after="144" w:line="240" w:lineRule="auto"/>
        <w:rPr>
          <w:rFonts w:asciiTheme="minorHAnsi" w:eastAsiaTheme="minorEastAsia" w:hAnsiTheme="minorHAnsi" w:cstheme="minorBidi"/>
          <w:noProof/>
        </w:rPr>
      </w:pPr>
      <w:r w:rsidRPr="00B23FF8">
        <w:rPr>
          <w:noProof/>
        </w:rPr>
        <w:t>Figure 1.8 - Example of a UML-like Activity Diagram.</w:t>
      </w:r>
      <w:r w:rsidRPr="00D362A7">
        <w:rPr>
          <w:noProof/>
        </w:rPr>
        <w:tab/>
      </w:r>
      <w:r w:rsidRPr="008471BE">
        <w:rPr>
          <w:noProof/>
        </w:rPr>
        <w:fldChar w:fldCharType="begin"/>
      </w:r>
      <w:r w:rsidRPr="00D362A7">
        <w:rPr>
          <w:noProof/>
        </w:rPr>
        <w:instrText xml:space="preserve"> PAGEREF _Toc536814127 \h </w:instrText>
      </w:r>
      <w:r w:rsidRPr="008471BE">
        <w:rPr>
          <w:noProof/>
        </w:rPr>
      </w:r>
      <w:r w:rsidRPr="008471BE">
        <w:rPr>
          <w:noProof/>
        </w:rPr>
        <w:fldChar w:fldCharType="separate"/>
      </w:r>
      <w:r w:rsidR="00B251C6">
        <w:rPr>
          <w:noProof/>
        </w:rPr>
        <w:t>43</w:t>
      </w:r>
      <w:r w:rsidRPr="008471BE">
        <w:rPr>
          <w:noProof/>
        </w:rPr>
        <w:fldChar w:fldCharType="end"/>
      </w:r>
    </w:p>
    <w:p w14:paraId="7D3A85F1" w14:textId="2A3E6C4B" w:rsidR="00D362A7" w:rsidRPr="00D362A7" w:rsidRDefault="00D362A7" w:rsidP="00B23FF8">
      <w:pPr>
        <w:pStyle w:val="TableofFigures"/>
        <w:tabs>
          <w:tab w:val="right" w:leader="dot" w:pos="8771"/>
        </w:tabs>
        <w:snapToGrid w:val="0"/>
        <w:spacing w:beforeLines="60" w:before="144" w:afterLines="60" w:after="144" w:line="240" w:lineRule="auto"/>
        <w:rPr>
          <w:rFonts w:asciiTheme="minorHAnsi" w:eastAsiaTheme="minorEastAsia" w:hAnsiTheme="minorHAnsi" w:cstheme="minorBidi"/>
          <w:noProof/>
        </w:rPr>
      </w:pPr>
      <w:r w:rsidRPr="00B23FF8">
        <w:rPr>
          <w:noProof/>
        </w:rPr>
        <w:t xml:space="preserve">Figure 1.9 - Example of a UML-like State Diagram. </w:t>
      </w:r>
      <w:r w:rsidRPr="00D362A7">
        <w:rPr>
          <w:noProof/>
        </w:rPr>
        <w:tab/>
      </w:r>
      <w:r w:rsidRPr="008471BE">
        <w:rPr>
          <w:noProof/>
        </w:rPr>
        <w:fldChar w:fldCharType="begin"/>
      </w:r>
      <w:r w:rsidRPr="00D362A7">
        <w:rPr>
          <w:noProof/>
        </w:rPr>
        <w:instrText xml:space="preserve"> PAGEREF _Toc536814128 \h </w:instrText>
      </w:r>
      <w:r w:rsidRPr="008471BE">
        <w:rPr>
          <w:noProof/>
        </w:rPr>
      </w:r>
      <w:r w:rsidRPr="008471BE">
        <w:rPr>
          <w:noProof/>
        </w:rPr>
        <w:fldChar w:fldCharType="separate"/>
      </w:r>
      <w:r w:rsidR="00B251C6">
        <w:rPr>
          <w:noProof/>
        </w:rPr>
        <w:t>44</w:t>
      </w:r>
      <w:r w:rsidRPr="008471BE">
        <w:rPr>
          <w:noProof/>
        </w:rPr>
        <w:fldChar w:fldCharType="end"/>
      </w:r>
    </w:p>
    <w:p w14:paraId="4931726D" w14:textId="570B31ED" w:rsidR="00D362A7" w:rsidRPr="00D362A7" w:rsidRDefault="00D362A7" w:rsidP="00B23FF8">
      <w:pPr>
        <w:pStyle w:val="TableofFigures"/>
        <w:tabs>
          <w:tab w:val="right" w:leader="dot" w:pos="8771"/>
        </w:tabs>
        <w:snapToGrid w:val="0"/>
        <w:spacing w:beforeLines="60" w:before="144" w:afterLines="60" w:after="144" w:line="240" w:lineRule="auto"/>
        <w:rPr>
          <w:rFonts w:asciiTheme="minorHAnsi" w:eastAsiaTheme="minorEastAsia" w:hAnsiTheme="minorHAnsi" w:cstheme="minorBidi"/>
          <w:noProof/>
        </w:rPr>
      </w:pPr>
      <w:r w:rsidRPr="00B23FF8">
        <w:rPr>
          <w:noProof/>
        </w:rPr>
        <w:t>Figure 1.10 - Summary of the Frequentist, Bayesian and Approximate Bayesian approaches to model calibration.</w:t>
      </w:r>
      <w:r w:rsidRPr="00D362A7">
        <w:rPr>
          <w:noProof/>
        </w:rPr>
        <w:tab/>
      </w:r>
      <w:r w:rsidRPr="008471BE">
        <w:rPr>
          <w:noProof/>
        </w:rPr>
        <w:fldChar w:fldCharType="begin"/>
      </w:r>
      <w:r w:rsidRPr="00D362A7">
        <w:rPr>
          <w:noProof/>
        </w:rPr>
        <w:instrText xml:space="preserve"> PAGEREF _Toc536814129 \h </w:instrText>
      </w:r>
      <w:r w:rsidRPr="008471BE">
        <w:rPr>
          <w:noProof/>
        </w:rPr>
      </w:r>
      <w:r w:rsidRPr="008471BE">
        <w:rPr>
          <w:noProof/>
        </w:rPr>
        <w:fldChar w:fldCharType="separate"/>
      </w:r>
      <w:r w:rsidR="00B251C6">
        <w:rPr>
          <w:noProof/>
        </w:rPr>
        <w:t>48</w:t>
      </w:r>
      <w:r w:rsidRPr="008471BE">
        <w:rPr>
          <w:noProof/>
        </w:rPr>
        <w:fldChar w:fldCharType="end"/>
      </w:r>
    </w:p>
    <w:p w14:paraId="08FF8D74" w14:textId="56E5640F" w:rsidR="00D362A7" w:rsidRPr="00D362A7" w:rsidRDefault="00D362A7" w:rsidP="00B23FF8">
      <w:pPr>
        <w:pStyle w:val="TableofFigures"/>
        <w:tabs>
          <w:tab w:val="right" w:leader="dot" w:pos="8771"/>
        </w:tabs>
        <w:snapToGrid w:val="0"/>
        <w:spacing w:beforeLines="60" w:before="144" w:afterLines="60" w:after="144" w:line="240" w:lineRule="auto"/>
        <w:rPr>
          <w:rFonts w:asciiTheme="minorHAnsi" w:eastAsiaTheme="minorEastAsia" w:hAnsiTheme="minorHAnsi" w:cstheme="minorBidi"/>
          <w:noProof/>
        </w:rPr>
      </w:pPr>
      <w:r w:rsidRPr="00B23FF8">
        <w:rPr>
          <w:noProof/>
        </w:rPr>
        <w:t>Figure 1.11 - Non-dominated Solutions from Multi-Objective Calibration.</w:t>
      </w:r>
      <w:r w:rsidRPr="00D362A7">
        <w:rPr>
          <w:noProof/>
        </w:rPr>
        <w:tab/>
      </w:r>
      <w:r w:rsidRPr="008471BE">
        <w:rPr>
          <w:noProof/>
        </w:rPr>
        <w:fldChar w:fldCharType="begin"/>
      </w:r>
      <w:r w:rsidRPr="00D362A7">
        <w:rPr>
          <w:noProof/>
        </w:rPr>
        <w:instrText xml:space="preserve"> PAGEREF _Toc536814130 \h </w:instrText>
      </w:r>
      <w:r w:rsidRPr="008471BE">
        <w:rPr>
          <w:noProof/>
        </w:rPr>
      </w:r>
      <w:r w:rsidRPr="008471BE">
        <w:rPr>
          <w:noProof/>
        </w:rPr>
        <w:fldChar w:fldCharType="separate"/>
      </w:r>
      <w:r w:rsidR="00B251C6">
        <w:rPr>
          <w:noProof/>
        </w:rPr>
        <w:t>50</w:t>
      </w:r>
      <w:r w:rsidRPr="008471BE">
        <w:rPr>
          <w:noProof/>
        </w:rPr>
        <w:fldChar w:fldCharType="end"/>
      </w:r>
    </w:p>
    <w:p w14:paraId="4EE2440D" w14:textId="629A8F1E" w:rsidR="00D362A7" w:rsidRPr="00D362A7" w:rsidRDefault="00D362A7" w:rsidP="00B23FF8">
      <w:pPr>
        <w:pStyle w:val="TableofFigures"/>
        <w:tabs>
          <w:tab w:val="right" w:leader="dot" w:pos="8771"/>
        </w:tabs>
        <w:snapToGrid w:val="0"/>
        <w:spacing w:beforeLines="60" w:before="144" w:afterLines="60" w:after="144" w:line="240" w:lineRule="auto"/>
        <w:rPr>
          <w:rFonts w:asciiTheme="minorHAnsi" w:eastAsiaTheme="minorEastAsia" w:hAnsiTheme="minorHAnsi" w:cstheme="minorBidi"/>
          <w:noProof/>
        </w:rPr>
      </w:pPr>
      <w:r w:rsidRPr="00B23FF8">
        <w:rPr>
          <w:noProof/>
        </w:rPr>
        <w:t>Figure 3.1 - Chromatogram of Amphotericin B and Clopidogrel.</w:t>
      </w:r>
      <w:r w:rsidRPr="00D362A7">
        <w:rPr>
          <w:noProof/>
        </w:rPr>
        <w:tab/>
      </w:r>
      <w:r w:rsidRPr="008471BE">
        <w:rPr>
          <w:noProof/>
        </w:rPr>
        <w:fldChar w:fldCharType="begin"/>
      </w:r>
      <w:r w:rsidRPr="00D362A7">
        <w:rPr>
          <w:noProof/>
        </w:rPr>
        <w:instrText xml:space="preserve"> PAGEREF _Toc536814131 \h </w:instrText>
      </w:r>
      <w:r w:rsidRPr="008471BE">
        <w:rPr>
          <w:noProof/>
        </w:rPr>
      </w:r>
      <w:r w:rsidRPr="008471BE">
        <w:rPr>
          <w:noProof/>
        </w:rPr>
        <w:fldChar w:fldCharType="separate"/>
      </w:r>
      <w:r w:rsidR="00B251C6">
        <w:rPr>
          <w:noProof/>
        </w:rPr>
        <w:t>77</w:t>
      </w:r>
      <w:r w:rsidRPr="008471BE">
        <w:rPr>
          <w:noProof/>
        </w:rPr>
        <w:fldChar w:fldCharType="end"/>
      </w:r>
    </w:p>
    <w:p w14:paraId="5959874E" w14:textId="3BFD5D20" w:rsidR="00D362A7" w:rsidRPr="00D362A7" w:rsidRDefault="00D362A7" w:rsidP="00B23FF8">
      <w:pPr>
        <w:pStyle w:val="TableofFigures"/>
        <w:tabs>
          <w:tab w:val="right" w:leader="dot" w:pos="8771"/>
        </w:tabs>
        <w:snapToGrid w:val="0"/>
        <w:spacing w:beforeLines="60" w:before="144" w:afterLines="60" w:after="144" w:line="240" w:lineRule="auto"/>
        <w:rPr>
          <w:rFonts w:asciiTheme="minorHAnsi" w:eastAsiaTheme="minorEastAsia" w:hAnsiTheme="minorHAnsi" w:cstheme="minorBidi"/>
          <w:noProof/>
        </w:rPr>
      </w:pPr>
      <w:r w:rsidRPr="00B23FF8">
        <w:rPr>
          <w:noProof/>
        </w:rPr>
        <w:t>Figure 3.2 - Standard Curve for Amphotericin B LC-MS.</w:t>
      </w:r>
      <w:r w:rsidRPr="00D362A7">
        <w:rPr>
          <w:noProof/>
        </w:rPr>
        <w:tab/>
      </w:r>
      <w:r w:rsidRPr="008471BE">
        <w:rPr>
          <w:noProof/>
        </w:rPr>
        <w:fldChar w:fldCharType="begin"/>
      </w:r>
      <w:r w:rsidRPr="00D362A7">
        <w:rPr>
          <w:noProof/>
        </w:rPr>
        <w:instrText xml:space="preserve"> PAGEREF _Toc536814132 \h </w:instrText>
      </w:r>
      <w:r w:rsidRPr="008471BE">
        <w:rPr>
          <w:noProof/>
        </w:rPr>
      </w:r>
      <w:r w:rsidRPr="008471BE">
        <w:rPr>
          <w:noProof/>
        </w:rPr>
        <w:fldChar w:fldCharType="separate"/>
      </w:r>
      <w:r w:rsidR="00B251C6">
        <w:rPr>
          <w:noProof/>
        </w:rPr>
        <w:t>78</w:t>
      </w:r>
      <w:r w:rsidRPr="008471BE">
        <w:rPr>
          <w:noProof/>
        </w:rPr>
        <w:fldChar w:fldCharType="end"/>
      </w:r>
    </w:p>
    <w:p w14:paraId="5AA89A58" w14:textId="18A56807" w:rsidR="00D362A7" w:rsidRPr="00D362A7" w:rsidRDefault="00D362A7" w:rsidP="00B23FF8">
      <w:pPr>
        <w:pStyle w:val="TableofFigures"/>
        <w:tabs>
          <w:tab w:val="right" w:leader="dot" w:pos="8771"/>
        </w:tabs>
        <w:snapToGrid w:val="0"/>
        <w:spacing w:beforeLines="60" w:before="144" w:afterLines="60" w:after="144" w:line="240" w:lineRule="auto"/>
        <w:rPr>
          <w:rFonts w:asciiTheme="minorHAnsi" w:eastAsiaTheme="minorEastAsia" w:hAnsiTheme="minorHAnsi" w:cstheme="minorBidi"/>
          <w:noProof/>
        </w:rPr>
      </w:pPr>
      <w:r w:rsidRPr="00B23FF8">
        <w:rPr>
          <w:noProof/>
        </w:rPr>
        <w:t>Figure 3.3 - LC-MS Analysis of Leukocytes and Parenchyma for Amphotericin B Detection.</w:t>
      </w:r>
      <w:r w:rsidRPr="00D362A7">
        <w:rPr>
          <w:noProof/>
        </w:rPr>
        <w:tab/>
      </w:r>
      <w:r w:rsidRPr="008471BE">
        <w:rPr>
          <w:noProof/>
        </w:rPr>
        <w:fldChar w:fldCharType="begin"/>
      </w:r>
      <w:r w:rsidRPr="00D362A7">
        <w:rPr>
          <w:noProof/>
        </w:rPr>
        <w:instrText xml:space="preserve"> PAGEREF _Toc536814133 \h </w:instrText>
      </w:r>
      <w:r w:rsidRPr="008471BE">
        <w:rPr>
          <w:noProof/>
        </w:rPr>
      </w:r>
      <w:r w:rsidRPr="008471BE">
        <w:rPr>
          <w:noProof/>
        </w:rPr>
        <w:fldChar w:fldCharType="separate"/>
      </w:r>
      <w:r w:rsidR="00B251C6">
        <w:rPr>
          <w:noProof/>
        </w:rPr>
        <w:t>79</w:t>
      </w:r>
      <w:r w:rsidRPr="008471BE">
        <w:rPr>
          <w:noProof/>
        </w:rPr>
        <w:fldChar w:fldCharType="end"/>
      </w:r>
    </w:p>
    <w:p w14:paraId="11360819" w14:textId="0A80817E" w:rsidR="00D362A7" w:rsidRPr="00D362A7" w:rsidRDefault="00D362A7" w:rsidP="00B23FF8">
      <w:pPr>
        <w:pStyle w:val="TableofFigures"/>
        <w:tabs>
          <w:tab w:val="right" w:leader="dot" w:pos="8771"/>
        </w:tabs>
        <w:snapToGrid w:val="0"/>
        <w:spacing w:beforeLines="60" w:before="144" w:afterLines="60" w:after="144" w:line="240" w:lineRule="auto"/>
        <w:rPr>
          <w:rFonts w:asciiTheme="minorHAnsi" w:eastAsiaTheme="minorEastAsia" w:hAnsiTheme="minorHAnsi" w:cstheme="minorBidi"/>
          <w:noProof/>
        </w:rPr>
      </w:pPr>
      <w:r w:rsidRPr="00B23FF8">
        <w:rPr>
          <w:noProof/>
        </w:rPr>
        <w:t>Figure 3.4 - Quantification of Lysis Efficiency for Liver-derived Cells.</w:t>
      </w:r>
      <w:r w:rsidRPr="00D362A7">
        <w:rPr>
          <w:noProof/>
        </w:rPr>
        <w:tab/>
      </w:r>
      <w:r w:rsidRPr="008471BE">
        <w:rPr>
          <w:noProof/>
        </w:rPr>
        <w:fldChar w:fldCharType="begin"/>
      </w:r>
      <w:r w:rsidRPr="00D362A7">
        <w:rPr>
          <w:noProof/>
        </w:rPr>
        <w:instrText xml:space="preserve"> PAGEREF _Toc536814134 \h </w:instrText>
      </w:r>
      <w:r w:rsidRPr="008471BE">
        <w:rPr>
          <w:noProof/>
        </w:rPr>
      </w:r>
      <w:r w:rsidRPr="008471BE">
        <w:rPr>
          <w:noProof/>
        </w:rPr>
        <w:fldChar w:fldCharType="separate"/>
      </w:r>
      <w:r w:rsidR="00B251C6">
        <w:rPr>
          <w:noProof/>
        </w:rPr>
        <w:t>80</w:t>
      </w:r>
      <w:r w:rsidRPr="008471BE">
        <w:rPr>
          <w:noProof/>
        </w:rPr>
        <w:fldChar w:fldCharType="end"/>
      </w:r>
    </w:p>
    <w:p w14:paraId="60E170A9" w14:textId="047C1FA8" w:rsidR="00D362A7" w:rsidRPr="00D362A7" w:rsidRDefault="00D362A7" w:rsidP="00B23FF8">
      <w:pPr>
        <w:pStyle w:val="TableofFigures"/>
        <w:tabs>
          <w:tab w:val="right" w:leader="dot" w:pos="8771"/>
        </w:tabs>
        <w:snapToGrid w:val="0"/>
        <w:spacing w:beforeLines="60" w:before="144" w:afterLines="60" w:after="144" w:line="240" w:lineRule="auto"/>
        <w:rPr>
          <w:rFonts w:asciiTheme="minorHAnsi" w:eastAsiaTheme="minorEastAsia" w:hAnsiTheme="minorHAnsi" w:cstheme="minorBidi"/>
          <w:noProof/>
        </w:rPr>
      </w:pPr>
      <w:r w:rsidRPr="00B23FF8">
        <w:rPr>
          <w:noProof/>
        </w:rPr>
        <w:t>Figure 3.5 - Quantification of Cell Number Detection Limit.</w:t>
      </w:r>
      <w:r w:rsidRPr="00D362A7">
        <w:rPr>
          <w:noProof/>
        </w:rPr>
        <w:tab/>
      </w:r>
      <w:r w:rsidRPr="008471BE">
        <w:rPr>
          <w:noProof/>
        </w:rPr>
        <w:fldChar w:fldCharType="begin"/>
      </w:r>
      <w:r w:rsidRPr="00D362A7">
        <w:rPr>
          <w:noProof/>
        </w:rPr>
        <w:instrText xml:space="preserve"> PAGEREF _Toc536814135 \h </w:instrText>
      </w:r>
      <w:r w:rsidRPr="008471BE">
        <w:rPr>
          <w:noProof/>
        </w:rPr>
      </w:r>
      <w:r w:rsidRPr="008471BE">
        <w:rPr>
          <w:noProof/>
        </w:rPr>
        <w:fldChar w:fldCharType="separate"/>
      </w:r>
      <w:r w:rsidR="00B251C6">
        <w:rPr>
          <w:noProof/>
        </w:rPr>
        <w:t>81</w:t>
      </w:r>
      <w:r w:rsidRPr="008471BE">
        <w:rPr>
          <w:noProof/>
        </w:rPr>
        <w:fldChar w:fldCharType="end"/>
      </w:r>
    </w:p>
    <w:p w14:paraId="43ABEB78" w14:textId="606304EE" w:rsidR="00D362A7" w:rsidRPr="00D362A7" w:rsidRDefault="00D362A7" w:rsidP="00B23FF8">
      <w:pPr>
        <w:pStyle w:val="TableofFigures"/>
        <w:tabs>
          <w:tab w:val="right" w:leader="dot" w:pos="8771"/>
        </w:tabs>
        <w:snapToGrid w:val="0"/>
        <w:spacing w:beforeLines="60" w:before="144" w:afterLines="60" w:after="144" w:line="240" w:lineRule="auto"/>
        <w:rPr>
          <w:rFonts w:asciiTheme="minorHAnsi" w:eastAsiaTheme="minorEastAsia" w:hAnsiTheme="minorHAnsi" w:cstheme="minorBidi"/>
          <w:noProof/>
        </w:rPr>
      </w:pPr>
      <w:r w:rsidRPr="00B23FF8">
        <w:rPr>
          <w:noProof/>
        </w:rPr>
        <w:t>Figure 3.6 - Determination of Cellular Amphotericin B Extraction Efficiency</w:t>
      </w:r>
      <w:r w:rsidRPr="00D362A7">
        <w:rPr>
          <w:noProof/>
        </w:rPr>
        <w:t>.</w:t>
      </w:r>
      <w:r w:rsidRPr="008471BE">
        <w:rPr>
          <w:noProof/>
        </w:rPr>
        <w:tab/>
      </w:r>
      <w:r w:rsidRPr="008471BE">
        <w:rPr>
          <w:noProof/>
        </w:rPr>
        <w:fldChar w:fldCharType="begin"/>
      </w:r>
      <w:r w:rsidRPr="00D362A7">
        <w:rPr>
          <w:noProof/>
        </w:rPr>
        <w:instrText xml:space="preserve"> PAGEREF _Toc536814136 \h </w:instrText>
      </w:r>
      <w:r w:rsidRPr="008471BE">
        <w:rPr>
          <w:noProof/>
        </w:rPr>
      </w:r>
      <w:r w:rsidRPr="008471BE">
        <w:rPr>
          <w:noProof/>
        </w:rPr>
        <w:fldChar w:fldCharType="separate"/>
      </w:r>
      <w:r w:rsidR="00B251C6">
        <w:rPr>
          <w:noProof/>
        </w:rPr>
        <w:t>82</w:t>
      </w:r>
      <w:r w:rsidRPr="008471BE">
        <w:rPr>
          <w:noProof/>
        </w:rPr>
        <w:fldChar w:fldCharType="end"/>
      </w:r>
    </w:p>
    <w:p w14:paraId="35753FE6" w14:textId="77E1FB84" w:rsidR="00D362A7" w:rsidRPr="00D362A7" w:rsidRDefault="00D362A7" w:rsidP="00B23FF8">
      <w:pPr>
        <w:pStyle w:val="TableofFigures"/>
        <w:tabs>
          <w:tab w:val="right" w:leader="dot" w:pos="8771"/>
        </w:tabs>
        <w:snapToGrid w:val="0"/>
        <w:spacing w:beforeLines="60" w:before="144" w:afterLines="60" w:after="144" w:line="240" w:lineRule="auto"/>
        <w:rPr>
          <w:rFonts w:asciiTheme="minorHAnsi" w:eastAsiaTheme="minorEastAsia" w:hAnsiTheme="minorHAnsi" w:cstheme="minorBidi"/>
          <w:noProof/>
        </w:rPr>
      </w:pPr>
      <w:r w:rsidRPr="00B23FF8">
        <w:rPr>
          <w:noProof/>
        </w:rPr>
        <w:t>Figure 3.7 - Parenchymal Cell Abundance and Viability Post-Purification.</w:t>
      </w:r>
      <w:r w:rsidRPr="00D362A7">
        <w:rPr>
          <w:noProof/>
        </w:rPr>
        <w:tab/>
      </w:r>
      <w:r w:rsidRPr="008471BE">
        <w:rPr>
          <w:noProof/>
        </w:rPr>
        <w:fldChar w:fldCharType="begin"/>
      </w:r>
      <w:r w:rsidRPr="00D362A7">
        <w:rPr>
          <w:noProof/>
        </w:rPr>
        <w:instrText xml:space="preserve"> PAGEREF _Toc536814137 \h </w:instrText>
      </w:r>
      <w:r w:rsidRPr="008471BE">
        <w:rPr>
          <w:noProof/>
        </w:rPr>
      </w:r>
      <w:r w:rsidRPr="008471BE">
        <w:rPr>
          <w:noProof/>
        </w:rPr>
        <w:fldChar w:fldCharType="separate"/>
      </w:r>
      <w:r w:rsidR="00B251C6">
        <w:rPr>
          <w:noProof/>
        </w:rPr>
        <w:t>83</w:t>
      </w:r>
      <w:r w:rsidRPr="008471BE">
        <w:rPr>
          <w:noProof/>
        </w:rPr>
        <w:fldChar w:fldCharType="end"/>
      </w:r>
    </w:p>
    <w:p w14:paraId="6E212435" w14:textId="0BC5352F" w:rsidR="00D362A7" w:rsidRPr="00D362A7" w:rsidRDefault="00D362A7" w:rsidP="00B23FF8">
      <w:pPr>
        <w:pStyle w:val="TableofFigures"/>
        <w:tabs>
          <w:tab w:val="right" w:leader="dot" w:pos="8771"/>
        </w:tabs>
        <w:snapToGrid w:val="0"/>
        <w:spacing w:beforeLines="60" w:before="144" w:afterLines="60" w:after="144" w:line="240" w:lineRule="auto"/>
        <w:rPr>
          <w:rFonts w:asciiTheme="minorHAnsi" w:eastAsiaTheme="minorEastAsia" w:hAnsiTheme="minorHAnsi" w:cstheme="minorBidi"/>
          <w:noProof/>
        </w:rPr>
      </w:pPr>
      <w:r w:rsidRPr="00B23FF8">
        <w:rPr>
          <w:noProof/>
        </w:rPr>
        <w:t>Figure 3.8 - Initial Gating Strategy to identify subsets of hepatic leukocytes.</w:t>
      </w:r>
      <w:r w:rsidRPr="00D362A7">
        <w:rPr>
          <w:noProof/>
        </w:rPr>
        <w:tab/>
      </w:r>
      <w:r w:rsidRPr="008471BE">
        <w:rPr>
          <w:noProof/>
        </w:rPr>
        <w:fldChar w:fldCharType="begin"/>
      </w:r>
      <w:r w:rsidRPr="00D362A7">
        <w:rPr>
          <w:noProof/>
        </w:rPr>
        <w:instrText xml:space="preserve"> PAGEREF _Toc536814138 \h </w:instrText>
      </w:r>
      <w:r w:rsidRPr="008471BE">
        <w:rPr>
          <w:noProof/>
        </w:rPr>
      </w:r>
      <w:r w:rsidRPr="008471BE">
        <w:rPr>
          <w:noProof/>
        </w:rPr>
        <w:fldChar w:fldCharType="separate"/>
      </w:r>
      <w:r w:rsidR="00B251C6">
        <w:rPr>
          <w:noProof/>
        </w:rPr>
        <w:t>84</w:t>
      </w:r>
      <w:r w:rsidRPr="008471BE">
        <w:rPr>
          <w:noProof/>
        </w:rPr>
        <w:fldChar w:fldCharType="end"/>
      </w:r>
    </w:p>
    <w:p w14:paraId="0876F44D" w14:textId="40543793" w:rsidR="00D362A7" w:rsidRPr="00D362A7" w:rsidRDefault="00D362A7" w:rsidP="00B23FF8">
      <w:pPr>
        <w:pStyle w:val="TableofFigures"/>
        <w:tabs>
          <w:tab w:val="right" w:leader="dot" w:pos="8771"/>
        </w:tabs>
        <w:snapToGrid w:val="0"/>
        <w:spacing w:beforeLines="60" w:before="144" w:afterLines="60" w:after="144" w:line="240" w:lineRule="auto"/>
        <w:rPr>
          <w:rFonts w:asciiTheme="minorHAnsi" w:eastAsiaTheme="minorEastAsia" w:hAnsiTheme="minorHAnsi" w:cstheme="minorBidi"/>
          <w:noProof/>
        </w:rPr>
      </w:pPr>
      <w:r w:rsidRPr="00B23FF8">
        <w:rPr>
          <w:noProof/>
        </w:rPr>
        <w:t>Figure 3.9 - Initial LC-MS Analysis of Liver and Hepatic Leukocytes.</w:t>
      </w:r>
      <w:r w:rsidRPr="00D362A7">
        <w:rPr>
          <w:noProof/>
        </w:rPr>
        <w:tab/>
      </w:r>
      <w:r w:rsidRPr="008471BE">
        <w:rPr>
          <w:noProof/>
        </w:rPr>
        <w:fldChar w:fldCharType="begin"/>
      </w:r>
      <w:r w:rsidRPr="00D362A7">
        <w:rPr>
          <w:noProof/>
        </w:rPr>
        <w:instrText xml:space="preserve"> PAGEREF _Toc536814139 \h </w:instrText>
      </w:r>
      <w:r w:rsidRPr="008471BE">
        <w:rPr>
          <w:noProof/>
        </w:rPr>
      </w:r>
      <w:r w:rsidRPr="008471BE">
        <w:rPr>
          <w:noProof/>
        </w:rPr>
        <w:fldChar w:fldCharType="separate"/>
      </w:r>
      <w:r w:rsidR="00B251C6">
        <w:rPr>
          <w:noProof/>
        </w:rPr>
        <w:t>86</w:t>
      </w:r>
      <w:r w:rsidRPr="008471BE">
        <w:rPr>
          <w:noProof/>
        </w:rPr>
        <w:fldChar w:fldCharType="end"/>
      </w:r>
    </w:p>
    <w:p w14:paraId="5686E8F1" w14:textId="5E184EB7" w:rsidR="00D362A7" w:rsidRPr="00D362A7" w:rsidRDefault="00D362A7" w:rsidP="00B23FF8">
      <w:pPr>
        <w:pStyle w:val="TableofFigures"/>
        <w:tabs>
          <w:tab w:val="right" w:leader="dot" w:pos="8771"/>
        </w:tabs>
        <w:snapToGrid w:val="0"/>
        <w:spacing w:beforeLines="60" w:before="144" w:afterLines="60" w:after="144" w:line="240" w:lineRule="auto"/>
        <w:rPr>
          <w:rFonts w:asciiTheme="minorHAnsi" w:eastAsiaTheme="minorEastAsia" w:hAnsiTheme="minorHAnsi" w:cstheme="minorBidi"/>
          <w:noProof/>
        </w:rPr>
      </w:pPr>
      <w:r w:rsidRPr="00B23FF8">
        <w:rPr>
          <w:noProof/>
        </w:rPr>
        <w:t xml:space="preserve">Figure 3.10 - Uptake of Amphotericin B by myeloid and lymphoid cells in AmBisome-treated </w:t>
      </w:r>
      <w:r w:rsidRPr="00B23FF8">
        <w:rPr>
          <w:i/>
          <w:noProof/>
        </w:rPr>
        <w:t>L. donovani</w:t>
      </w:r>
      <w:r w:rsidRPr="00B23FF8">
        <w:rPr>
          <w:noProof/>
        </w:rPr>
        <w:t xml:space="preserve">-infected mice. </w:t>
      </w:r>
      <w:r w:rsidRPr="00D362A7">
        <w:rPr>
          <w:noProof/>
        </w:rPr>
        <w:t xml:space="preserve"> </w:t>
      </w:r>
      <w:r w:rsidRPr="008471BE">
        <w:rPr>
          <w:noProof/>
        </w:rPr>
        <w:tab/>
      </w:r>
      <w:r w:rsidRPr="008471BE">
        <w:rPr>
          <w:noProof/>
        </w:rPr>
        <w:fldChar w:fldCharType="begin"/>
      </w:r>
      <w:r w:rsidRPr="00D362A7">
        <w:rPr>
          <w:noProof/>
        </w:rPr>
        <w:instrText xml:space="preserve"> PAGEREF _Toc536814140 \h </w:instrText>
      </w:r>
      <w:r w:rsidRPr="008471BE">
        <w:rPr>
          <w:noProof/>
        </w:rPr>
      </w:r>
      <w:r w:rsidRPr="008471BE">
        <w:rPr>
          <w:noProof/>
        </w:rPr>
        <w:fldChar w:fldCharType="separate"/>
      </w:r>
      <w:r w:rsidR="00B251C6">
        <w:rPr>
          <w:noProof/>
        </w:rPr>
        <w:t>87</w:t>
      </w:r>
      <w:r w:rsidRPr="008471BE">
        <w:rPr>
          <w:noProof/>
        </w:rPr>
        <w:fldChar w:fldCharType="end"/>
      </w:r>
    </w:p>
    <w:p w14:paraId="10A33D85" w14:textId="7C8C90A0" w:rsidR="00D362A7" w:rsidRPr="00D362A7" w:rsidRDefault="00D362A7" w:rsidP="00B23FF8">
      <w:pPr>
        <w:pStyle w:val="TableofFigures"/>
        <w:tabs>
          <w:tab w:val="right" w:leader="dot" w:pos="8771"/>
        </w:tabs>
        <w:snapToGrid w:val="0"/>
        <w:spacing w:beforeLines="60" w:before="144" w:afterLines="60" w:after="144" w:line="240" w:lineRule="auto"/>
        <w:rPr>
          <w:rFonts w:asciiTheme="minorHAnsi" w:eastAsiaTheme="minorEastAsia" w:hAnsiTheme="minorHAnsi" w:cstheme="minorBidi"/>
          <w:noProof/>
        </w:rPr>
      </w:pPr>
      <w:r w:rsidRPr="00B23FF8">
        <w:rPr>
          <w:noProof/>
        </w:rPr>
        <w:t>Figure 3.11 – Updated Gating Strategy to identify subsets of hepatic leukocytes and validation of Fluorescence Activated Cell Sorting.</w:t>
      </w:r>
      <w:r w:rsidRPr="00D362A7">
        <w:rPr>
          <w:noProof/>
        </w:rPr>
        <w:tab/>
      </w:r>
      <w:r w:rsidRPr="008471BE">
        <w:rPr>
          <w:noProof/>
        </w:rPr>
        <w:fldChar w:fldCharType="begin"/>
      </w:r>
      <w:r w:rsidRPr="00D362A7">
        <w:rPr>
          <w:noProof/>
        </w:rPr>
        <w:instrText xml:space="preserve"> PAGEREF _Toc536814141 \h </w:instrText>
      </w:r>
      <w:r w:rsidRPr="008471BE">
        <w:rPr>
          <w:noProof/>
        </w:rPr>
      </w:r>
      <w:r w:rsidRPr="008471BE">
        <w:rPr>
          <w:noProof/>
        </w:rPr>
        <w:fldChar w:fldCharType="separate"/>
      </w:r>
      <w:r w:rsidR="00B251C6">
        <w:rPr>
          <w:noProof/>
        </w:rPr>
        <w:t>89</w:t>
      </w:r>
      <w:r w:rsidRPr="008471BE">
        <w:rPr>
          <w:noProof/>
        </w:rPr>
        <w:fldChar w:fldCharType="end"/>
      </w:r>
    </w:p>
    <w:p w14:paraId="617BD43B" w14:textId="721B2F3F" w:rsidR="00D362A7" w:rsidRPr="00D362A7" w:rsidRDefault="00D362A7" w:rsidP="00B23FF8">
      <w:pPr>
        <w:pStyle w:val="TableofFigures"/>
        <w:tabs>
          <w:tab w:val="right" w:leader="dot" w:pos="8771"/>
        </w:tabs>
        <w:snapToGrid w:val="0"/>
        <w:spacing w:beforeLines="60" w:before="144" w:afterLines="60" w:after="144" w:line="240" w:lineRule="auto"/>
        <w:rPr>
          <w:rFonts w:asciiTheme="minorHAnsi" w:eastAsiaTheme="minorEastAsia" w:hAnsiTheme="minorHAnsi" w:cstheme="minorBidi"/>
          <w:noProof/>
        </w:rPr>
      </w:pPr>
      <w:r w:rsidRPr="00B23FF8">
        <w:rPr>
          <w:noProof/>
        </w:rPr>
        <w:t>Figure 3.12 – Liver accumulation of Amphotericin B and its effect on hepatic parasite post-treatment.</w:t>
      </w:r>
      <w:r w:rsidRPr="00D362A7">
        <w:rPr>
          <w:noProof/>
        </w:rPr>
        <w:tab/>
      </w:r>
      <w:r w:rsidRPr="008471BE">
        <w:rPr>
          <w:noProof/>
        </w:rPr>
        <w:fldChar w:fldCharType="begin"/>
      </w:r>
      <w:r w:rsidRPr="00D362A7">
        <w:rPr>
          <w:noProof/>
        </w:rPr>
        <w:instrText xml:space="preserve"> PAGEREF _Toc536814142 \h </w:instrText>
      </w:r>
      <w:r w:rsidRPr="008471BE">
        <w:rPr>
          <w:noProof/>
        </w:rPr>
      </w:r>
      <w:r w:rsidRPr="008471BE">
        <w:rPr>
          <w:noProof/>
        </w:rPr>
        <w:fldChar w:fldCharType="separate"/>
      </w:r>
      <w:r w:rsidR="00B251C6">
        <w:rPr>
          <w:noProof/>
        </w:rPr>
        <w:t>91</w:t>
      </w:r>
      <w:r w:rsidRPr="008471BE">
        <w:rPr>
          <w:noProof/>
        </w:rPr>
        <w:fldChar w:fldCharType="end"/>
      </w:r>
    </w:p>
    <w:p w14:paraId="6689CF1F" w14:textId="006A1F25" w:rsidR="00D362A7" w:rsidRPr="00D362A7" w:rsidRDefault="00D362A7" w:rsidP="00B23FF8">
      <w:pPr>
        <w:pStyle w:val="TableofFigures"/>
        <w:tabs>
          <w:tab w:val="right" w:leader="dot" w:pos="8771"/>
        </w:tabs>
        <w:snapToGrid w:val="0"/>
        <w:spacing w:beforeLines="60" w:before="144" w:afterLines="60" w:after="144" w:line="240" w:lineRule="auto"/>
        <w:rPr>
          <w:rFonts w:asciiTheme="minorHAnsi" w:eastAsiaTheme="minorEastAsia" w:hAnsiTheme="minorHAnsi" w:cstheme="minorBidi"/>
          <w:noProof/>
        </w:rPr>
      </w:pPr>
      <w:r w:rsidRPr="00B23FF8">
        <w:rPr>
          <w:noProof/>
        </w:rPr>
        <w:t>Figure 3.13 – Leukocyte accumulation of Amphotericin B post-treatment.</w:t>
      </w:r>
      <w:r w:rsidRPr="00D362A7">
        <w:rPr>
          <w:noProof/>
        </w:rPr>
        <w:t>.</w:t>
      </w:r>
      <w:r w:rsidRPr="008471BE">
        <w:rPr>
          <w:noProof/>
        </w:rPr>
        <w:tab/>
      </w:r>
      <w:r w:rsidRPr="008471BE">
        <w:rPr>
          <w:noProof/>
        </w:rPr>
        <w:fldChar w:fldCharType="begin"/>
      </w:r>
      <w:r w:rsidRPr="00D362A7">
        <w:rPr>
          <w:noProof/>
        </w:rPr>
        <w:instrText xml:space="preserve"> PAGEREF _Toc536814143 \h </w:instrText>
      </w:r>
      <w:r w:rsidRPr="008471BE">
        <w:rPr>
          <w:noProof/>
        </w:rPr>
      </w:r>
      <w:r w:rsidRPr="008471BE">
        <w:rPr>
          <w:noProof/>
        </w:rPr>
        <w:fldChar w:fldCharType="separate"/>
      </w:r>
      <w:r w:rsidR="00B251C6">
        <w:rPr>
          <w:noProof/>
        </w:rPr>
        <w:t>91</w:t>
      </w:r>
      <w:r w:rsidRPr="008471BE">
        <w:rPr>
          <w:noProof/>
        </w:rPr>
        <w:fldChar w:fldCharType="end"/>
      </w:r>
    </w:p>
    <w:p w14:paraId="4FDBC37C" w14:textId="72A18CE5" w:rsidR="00D362A7" w:rsidRPr="00D362A7" w:rsidRDefault="00D362A7" w:rsidP="00B23FF8">
      <w:pPr>
        <w:pStyle w:val="TableofFigures"/>
        <w:tabs>
          <w:tab w:val="right" w:leader="dot" w:pos="8771"/>
        </w:tabs>
        <w:snapToGrid w:val="0"/>
        <w:spacing w:beforeLines="60" w:before="144" w:afterLines="60" w:after="144" w:line="240" w:lineRule="auto"/>
        <w:rPr>
          <w:rFonts w:asciiTheme="minorHAnsi" w:eastAsiaTheme="minorEastAsia" w:hAnsiTheme="minorHAnsi" w:cstheme="minorBidi"/>
          <w:noProof/>
        </w:rPr>
      </w:pPr>
      <w:r w:rsidRPr="00B23FF8">
        <w:rPr>
          <w:noProof/>
        </w:rPr>
        <w:t>Figure 3.14 – Quantification of Temporal Population Kinetics and Population Pharmacokinetics post-treatment of Hepatic Leukocyte Subsets.</w:t>
      </w:r>
      <w:r w:rsidRPr="00D362A7">
        <w:rPr>
          <w:noProof/>
        </w:rPr>
        <w:tab/>
      </w:r>
      <w:r w:rsidRPr="008471BE">
        <w:rPr>
          <w:noProof/>
        </w:rPr>
        <w:fldChar w:fldCharType="begin"/>
      </w:r>
      <w:r w:rsidRPr="00D362A7">
        <w:rPr>
          <w:noProof/>
        </w:rPr>
        <w:instrText xml:space="preserve"> PAGEREF _Toc536814144 \h </w:instrText>
      </w:r>
      <w:r w:rsidRPr="008471BE">
        <w:rPr>
          <w:noProof/>
        </w:rPr>
      </w:r>
      <w:r w:rsidRPr="008471BE">
        <w:rPr>
          <w:noProof/>
        </w:rPr>
        <w:fldChar w:fldCharType="separate"/>
      </w:r>
      <w:r w:rsidR="00B251C6">
        <w:rPr>
          <w:noProof/>
        </w:rPr>
        <w:t>94</w:t>
      </w:r>
      <w:r w:rsidRPr="008471BE">
        <w:rPr>
          <w:noProof/>
        </w:rPr>
        <w:fldChar w:fldCharType="end"/>
      </w:r>
    </w:p>
    <w:p w14:paraId="3CE7431D" w14:textId="3A69E7B4" w:rsidR="00D362A7" w:rsidRPr="00D362A7" w:rsidRDefault="00D362A7" w:rsidP="00B23FF8">
      <w:pPr>
        <w:pStyle w:val="TableofFigures"/>
        <w:tabs>
          <w:tab w:val="right" w:leader="dot" w:pos="8771"/>
        </w:tabs>
        <w:snapToGrid w:val="0"/>
        <w:spacing w:beforeLines="60" w:before="144" w:afterLines="60" w:after="144" w:line="240" w:lineRule="auto"/>
        <w:rPr>
          <w:rFonts w:asciiTheme="minorHAnsi" w:eastAsiaTheme="minorEastAsia" w:hAnsiTheme="minorHAnsi" w:cstheme="minorBidi"/>
          <w:noProof/>
        </w:rPr>
      </w:pPr>
      <w:r w:rsidRPr="00B23FF8">
        <w:rPr>
          <w:noProof/>
        </w:rPr>
        <w:t xml:space="preserve">Figure 4.1 - Diagrammatic representation of </w:t>
      </w:r>
      <w:r w:rsidRPr="00B23FF8">
        <w:rPr>
          <w:i/>
          <w:noProof/>
        </w:rPr>
        <w:t xml:space="preserve">in silico </w:t>
      </w:r>
      <w:r w:rsidRPr="00B23FF8">
        <w:rPr>
          <w:noProof/>
        </w:rPr>
        <w:t>model development using the CoSMoS process.</w:t>
      </w:r>
      <w:r w:rsidRPr="00D362A7">
        <w:rPr>
          <w:noProof/>
        </w:rPr>
        <w:tab/>
      </w:r>
      <w:r w:rsidRPr="008471BE">
        <w:rPr>
          <w:noProof/>
        </w:rPr>
        <w:fldChar w:fldCharType="begin"/>
      </w:r>
      <w:r w:rsidRPr="00D362A7">
        <w:rPr>
          <w:noProof/>
        </w:rPr>
        <w:instrText xml:space="preserve"> PAGEREF _Toc536814145 \h </w:instrText>
      </w:r>
      <w:r w:rsidRPr="008471BE">
        <w:rPr>
          <w:noProof/>
        </w:rPr>
      </w:r>
      <w:r w:rsidRPr="008471BE">
        <w:rPr>
          <w:noProof/>
        </w:rPr>
        <w:fldChar w:fldCharType="separate"/>
      </w:r>
      <w:r w:rsidR="00B251C6">
        <w:rPr>
          <w:noProof/>
        </w:rPr>
        <w:t>101</w:t>
      </w:r>
      <w:r w:rsidRPr="008471BE">
        <w:rPr>
          <w:noProof/>
        </w:rPr>
        <w:fldChar w:fldCharType="end"/>
      </w:r>
    </w:p>
    <w:p w14:paraId="0F068BED" w14:textId="44CAAF0D" w:rsidR="00D362A7" w:rsidRPr="00D362A7" w:rsidRDefault="00D362A7" w:rsidP="00B23FF8">
      <w:pPr>
        <w:pStyle w:val="TableofFigures"/>
        <w:tabs>
          <w:tab w:val="right" w:leader="dot" w:pos="8771"/>
        </w:tabs>
        <w:snapToGrid w:val="0"/>
        <w:spacing w:beforeLines="60" w:before="144" w:afterLines="60" w:after="144" w:line="240" w:lineRule="auto"/>
        <w:rPr>
          <w:rFonts w:asciiTheme="minorHAnsi" w:eastAsiaTheme="minorEastAsia" w:hAnsiTheme="minorHAnsi" w:cstheme="minorBidi"/>
          <w:noProof/>
        </w:rPr>
      </w:pPr>
      <w:r w:rsidRPr="00B23FF8">
        <w:rPr>
          <w:noProof/>
        </w:rPr>
        <w:lastRenderedPageBreak/>
        <w:t>Figure 4.2 - Gating strategy for flow cytometry to characterise leukocyte subsets.</w:t>
      </w:r>
      <w:r w:rsidRPr="00D362A7">
        <w:rPr>
          <w:noProof/>
        </w:rPr>
        <w:tab/>
      </w:r>
      <w:r w:rsidRPr="008471BE">
        <w:rPr>
          <w:noProof/>
        </w:rPr>
        <w:fldChar w:fldCharType="begin"/>
      </w:r>
      <w:r w:rsidRPr="00D362A7">
        <w:rPr>
          <w:noProof/>
        </w:rPr>
        <w:instrText xml:space="preserve"> PAGEREF _Toc536814146 \h </w:instrText>
      </w:r>
      <w:r w:rsidRPr="008471BE">
        <w:rPr>
          <w:noProof/>
        </w:rPr>
      </w:r>
      <w:r w:rsidRPr="008471BE">
        <w:rPr>
          <w:noProof/>
        </w:rPr>
        <w:fldChar w:fldCharType="separate"/>
      </w:r>
      <w:r w:rsidR="00B251C6">
        <w:rPr>
          <w:noProof/>
        </w:rPr>
        <w:t>103</w:t>
      </w:r>
      <w:r w:rsidRPr="008471BE">
        <w:rPr>
          <w:noProof/>
        </w:rPr>
        <w:fldChar w:fldCharType="end"/>
      </w:r>
    </w:p>
    <w:p w14:paraId="0932B527" w14:textId="5660A8AB" w:rsidR="00D362A7" w:rsidRPr="00D362A7" w:rsidRDefault="00D362A7" w:rsidP="00B23FF8">
      <w:pPr>
        <w:pStyle w:val="TableofFigures"/>
        <w:tabs>
          <w:tab w:val="right" w:leader="dot" w:pos="8771"/>
        </w:tabs>
        <w:snapToGrid w:val="0"/>
        <w:spacing w:beforeLines="60" w:before="144" w:afterLines="60" w:after="144" w:line="240" w:lineRule="auto"/>
        <w:rPr>
          <w:rFonts w:asciiTheme="minorHAnsi" w:eastAsiaTheme="minorEastAsia" w:hAnsiTheme="minorHAnsi" w:cstheme="minorBidi"/>
          <w:noProof/>
        </w:rPr>
      </w:pPr>
      <w:r w:rsidRPr="00B23FF8">
        <w:rPr>
          <w:noProof/>
        </w:rPr>
        <w:t xml:space="preserve">Figure 4.3 - Abundance of Lymphoid and Myeloid Cells during Hepatic infection with </w:t>
      </w:r>
      <w:r w:rsidRPr="00B23FF8">
        <w:rPr>
          <w:i/>
          <w:noProof/>
        </w:rPr>
        <w:t>L. donovani</w:t>
      </w:r>
      <w:r w:rsidRPr="00D362A7">
        <w:rPr>
          <w:noProof/>
        </w:rPr>
        <w:t>.</w:t>
      </w:r>
      <w:r w:rsidRPr="008471BE">
        <w:rPr>
          <w:noProof/>
        </w:rPr>
        <w:tab/>
      </w:r>
      <w:r w:rsidRPr="008471BE">
        <w:rPr>
          <w:noProof/>
        </w:rPr>
        <w:fldChar w:fldCharType="begin"/>
      </w:r>
      <w:r w:rsidRPr="00D362A7">
        <w:rPr>
          <w:noProof/>
        </w:rPr>
        <w:instrText xml:space="preserve"> PAGEREF _Toc536814147 \h </w:instrText>
      </w:r>
      <w:r w:rsidRPr="008471BE">
        <w:rPr>
          <w:noProof/>
        </w:rPr>
      </w:r>
      <w:r w:rsidRPr="008471BE">
        <w:rPr>
          <w:noProof/>
        </w:rPr>
        <w:fldChar w:fldCharType="separate"/>
      </w:r>
      <w:r w:rsidR="00B251C6">
        <w:rPr>
          <w:noProof/>
        </w:rPr>
        <w:t>104</w:t>
      </w:r>
      <w:r w:rsidRPr="008471BE">
        <w:rPr>
          <w:noProof/>
        </w:rPr>
        <w:fldChar w:fldCharType="end"/>
      </w:r>
    </w:p>
    <w:p w14:paraId="795C5987" w14:textId="35D0D7BC" w:rsidR="00D362A7" w:rsidRPr="00D362A7" w:rsidRDefault="00D362A7" w:rsidP="00B23FF8">
      <w:pPr>
        <w:pStyle w:val="TableofFigures"/>
        <w:tabs>
          <w:tab w:val="right" w:leader="dot" w:pos="8771"/>
        </w:tabs>
        <w:snapToGrid w:val="0"/>
        <w:spacing w:beforeLines="60" w:before="144" w:afterLines="60" w:after="144" w:line="240" w:lineRule="auto"/>
        <w:rPr>
          <w:rFonts w:asciiTheme="minorHAnsi" w:eastAsiaTheme="minorEastAsia" w:hAnsiTheme="minorHAnsi" w:cstheme="minorBidi"/>
          <w:noProof/>
        </w:rPr>
      </w:pPr>
      <w:r w:rsidRPr="00B23FF8">
        <w:rPr>
          <w:noProof/>
        </w:rPr>
        <w:t xml:space="preserve">Figure 4.4 - Abundance of Leukocyte Subsets during Hepatic infection with </w:t>
      </w:r>
      <w:r w:rsidRPr="00B23FF8">
        <w:rPr>
          <w:i/>
          <w:noProof/>
        </w:rPr>
        <w:t>L. donovani</w:t>
      </w:r>
      <w:r w:rsidRPr="00B23FF8">
        <w:rPr>
          <w:noProof/>
        </w:rPr>
        <w:t>.</w:t>
      </w:r>
      <w:r w:rsidRPr="00D362A7">
        <w:rPr>
          <w:noProof/>
        </w:rPr>
        <w:tab/>
      </w:r>
      <w:r w:rsidRPr="008471BE">
        <w:rPr>
          <w:noProof/>
        </w:rPr>
        <w:fldChar w:fldCharType="begin"/>
      </w:r>
      <w:r w:rsidRPr="00D362A7">
        <w:rPr>
          <w:noProof/>
        </w:rPr>
        <w:instrText xml:space="preserve"> PAGEREF _Toc536814148 \h </w:instrText>
      </w:r>
      <w:r w:rsidRPr="008471BE">
        <w:rPr>
          <w:noProof/>
        </w:rPr>
      </w:r>
      <w:r w:rsidRPr="008471BE">
        <w:rPr>
          <w:noProof/>
        </w:rPr>
        <w:fldChar w:fldCharType="separate"/>
      </w:r>
      <w:r w:rsidR="00B251C6">
        <w:rPr>
          <w:noProof/>
        </w:rPr>
        <w:t>105</w:t>
      </w:r>
      <w:r w:rsidRPr="008471BE">
        <w:rPr>
          <w:noProof/>
        </w:rPr>
        <w:fldChar w:fldCharType="end"/>
      </w:r>
    </w:p>
    <w:p w14:paraId="66E3915E" w14:textId="6946253D" w:rsidR="00D362A7" w:rsidRPr="00D362A7" w:rsidRDefault="00D362A7" w:rsidP="00B23FF8">
      <w:pPr>
        <w:pStyle w:val="TableofFigures"/>
        <w:tabs>
          <w:tab w:val="right" w:leader="dot" w:pos="8771"/>
        </w:tabs>
        <w:snapToGrid w:val="0"/>
        <w:spacing w:beforeLines="60" w:before="144" w:afterLines="60" w:after="144" w:line="240" w:lineRule="auto"/>
        <w:rPr>
          <w:rFonts w:asciiTheme="minorHAnsi" w:eastAsiaTheme="minorEastAsia" w:hAnsiTheme="minorHAnsi" w:cstheme="minorBidi"/>
          <w:noProof/>
        </w:rPr>
      </w:pPr>
      <w:r w:rsidRPr="00B23FF8">
        <w:rPr>
          <w:noProof/>
        </w:rPr>
        <w:t xml:space="preserve">Figure 4.5 - Abundance of </w:t>
      </w:r>
      <w:r w:rsidRPr="00B23FF8">
        <w:rPr>
          <w:i/>
          <w:noProof/>
        </w:rPr>
        <w:t>Leishmania donovani</w:t>
      </w:r>
      <w:r w:rsidRPr="00B23FF8">
        <w:rPr>
          <w:noProof/>
        </w:rPr>
        <w:t xml:space="preserve"> during Hepatic infection with </w:t>
      </w:r>
      <w:r w:rsidRPr="00B23FF8">
        <w:rPr>
          <w:i/>
          <w:noProof/>
        </w:rPr>
        <w:t>L. donovani</w:t>
      </w:r>
      <w:r w:rsidRPr="00B23FF8">
        <w:rPr>
          <w:noProof/>
        </w:rPr>
        <w:t>.</w:t>
      </w:r>
      <w:r w:rsidRPr="00D362A7">
        <w:rPr>
          <w:noProof/>
        </w:rPr>
        <w:tab/>
      </w:r>
      <w:r w:rsidRPr="008471BE">
        <w:rPr>
          <w:noProof/>
        </w:rPr>
        <w:fldChar w:fldCharType="begin"/>
      </w:r>
      <w:r w:rsidRPr="00D362A7">
        <w:rPr>
          <w:noProof/>
        </w:rPr>
        <w:instrText xml:space="preserve"> PAGEREF _Toc536814149 \h </w:instrText>
      </w:r>
      <w:r w:rsidRPr="008471BE">
        <w:rPr>
          <w:noProof/>
        </w:rPr>
      </w:r>
      <w:r w:rsidRPr="008471BE">
        <w:rPr>
          <w:noProof/>
        </w:rPr>
        <w:fldChar w:fldCharType="separate"/>
      </w:r>
      <w:r w:rsidR="00B251C6">
        <w:rPr>
          <w:noProof/>
        </w:rPr>
        <w:t>106</w:t>
      </w:r>
      <w:r w:rsidRPr="008471BE">
        <w:rPr>
          <w:noProof/>
        </w:rPr>
        <w:fldChar w:fldCharType="end"/>
      </w:r>
    </w:p>
    <w:p w14:paraId="434CB0C5" w14:textId="4366F60F" w:rsidR="00D362A7" w:rsidRPr="00D362A7" w:rsidRDefault="00D362A7" w:rsidP="00B23FF8">
      <w:pPr>
        <w:pStyle w:val="TableofFigures"/>
        <w:tabs>
          <w:tab w:val="right" w:leader="dot" w:pos="8771"/>
        </w:tabs>
        <w:snapToGrid w:val="0"/>
        <w:spacing w:beforeLines="60" w:before="144" w:afterLines="60" w:after="144" w:line="240" w:lineRule="auto"/>
        <w:rPr>
          <w:rFonts w:asciiTheme="minorHAnsi" w:eastAsiaTheme="minorEastAsia" w:hAnsiTheme="minorHAnsi" w:cstheme="minorBidi"/>
          <w:noProof/>
        </w:rPr>
      </w:pPr>
      <w:r w:rsidRPr="00B23FF8">
        <w:rPr>
          <w:noProof/>
        </w:rPr>
        <w:t xml:space="preserve">Figure 4.6 - Expected behaviours diagram for the murine liver during infection with </w:t>
      </w:r>
      <w:r w:rsidRPr="00B23FF8">
        <w:rPr>
          <w:i/>
          <w:noProof/>
        </w:rPr>
        <w:t>L. donovani</w:t>
      </w:r>
      <w:r w:rsidRPr="00B23FF8">
        <w:rPr>
          <w:noProof/>
        </w:rPr>
        <w:t>.</w:t>
      </w:r>
      <w:r w:rsidRPr="00D362A7">
        <w:rPr>
          <w:noProof/>
        </w:rPr>
        <w:tab/>
      </w:r>
      <w:r w:rsidRPr="008471BE">
        <w:rPr>
          <w:noProof/>
        </w:rPr>
        <w:fldChar w:fldCharType="begin"/>
      </w:r>
      <w:r w:rsidRPr="00D362A7">
        <w:rPr>
          <w:noProof/>
        </w:rPr>
        <w:instrText xml:space="preserve"> PAGEREF _Toc536814150 \h </w:instrText>
      </w:r>
      <w:r w:rsidRPr="008471BE">
        <w:rPr>
          <w:noProof/>
        </w:rPr>
      </w:r>
      <w:r w:rsidRPr="008471BE">
        <w:rPr>
          <w:noProof/>
        </w:rPr>
        <w:fldChar w:fldCharType="separate"/>
      </w:r>
      <w:r w:rsidR="00B251C6">
        <w:rPr>
          <w:noProof/>
        </w:rPr>
        <w:t>108</w:t>
      </w:r>
      <w:r w:rsidRPr="008471BE">
        <w:rPr>
          <w:noProof/>
        </w:rPr>
        <w:fldChar w:fldCharType="end"/>
      </w:r>
    </w:p>
    <w:p w14:paraId="70264570" w14:textId="25E1CD84" w:rsidR="00D362A7" w:rsidRPr="00D362A7" w:rsidRDefault="00D362A7" w:rsidP="00B23FF8">
      <w:pPr>
        <w:pStyle w:val="TableofFigures"/>
        <w:tabs>
          <w:tab w:val="right" w:leader="dot" w:pos="8771"/>
        </w:tabs>
        <w:snapToGrid w:val="0"/>
        <w:spacing w:beforeLines="60" w:before="144" w:afterLines="60" w:after="144" w:line="240" w:lineRule="auto"/>
        <w:rPr>
          <w:rFonts w:asciiTheme="minorHAnsi" w:eastAsiaTheme="minorEastAsia" w:hAnsiTheme="minorHAnsi" w:cstheme="minorBidi"/>
          <w:noProof/>
        </w:rPr>
      </w:pPr>
      <w:r w:rsidRPr="00B23FF8">
        <w:rPr>
          <w:noProof/>
        </w:rPr>
        <w:t xml:space="preserve">Figure 4.7 - Domain model activity diagram describing the behaviours of a T cell during hepatic infection with </w:t>
      </w:r>
      <w:r w:rsidRPr="00B23FF8">
        <w:rPr>
          <w:i/>
          <w:noProof/>
        </w:rPr>
        <w:t>L. donovani</w:t>
      </w:r>
      <w:r w:rsidRPr="00B23FF8">
        <w:rPr>
          <w:noProof/>
        </w:rPr>
        <w:t>.</w:t>
      </w:r>
      <w:r w:rsidRPr="00D362A7">
        <w:rPr>
          <w:noProof/>
        </w:rPr>
        <w:tab/>
      </w:r>
      <w:r w:rsidRPr="00D362A7">
        <w:rPr>
          <w:noProof/>
        </w:rPr>
        <w:fldChar w:fldCharType="begin"/>
      </w:r>
      <w:r w:rsidRPr="00D362A7">
        <w:rPr>
          <w:noProof/>
        </w:rPr>
        <w:instrText xml:space="preserve"> PAGEREF _Toc536814151 \h </w:instrText>
      </w:r>
      <w:r w:rsidRPr="00D362A7">
        <w:rPr>
          <w:noProof/>
        </w:rPr>
      </w:r>
      <w:r w:rsidRPr="00D362A7">
        <w:rPr>
          <w:noProof/>
        </w:rPr>
        <w:fldChar w:fldCharType="separate"/>
      </w:r>
      <w:r w:rsidR="00B251C6">
        <w:rPr>
          <w:noProof/>
        </w:rPr>
        <w:t>112</w:t>
      </w:r>
      <w:r w:rsidRPr="00D362A7">
        <w:rPr>
          <w:noProof/>
        </w:rPr>
        <w:fldChar w:fldCharType="end"/>
      </w:r>
    </w:p>
    <w:p w14:paraId="0742CBA8" w14:textId="2F4D406F" w:rsidR="00D362A7" w:rsidRPr="00D362A7" w:rsidRDefault="00D362A7" w:rsidP="00B23FF8">
      <w:pPr>
        <w:pStyle w:val="TableofFigures"/>
        <w:tabs>
          <w:tab w:val="right" w:leader="dot" w:pos="8771"/>
        </w:tabs>
        <w:snapToGrid w:val="0"/>
        <w:spacing w:beforeLines="60" w:before="144" w:afterLines="60" w:after="144" w:line="240" w:lineRule="auto"/>
        <w:rPr>
          <w:rFonts w:asciiTheme="minorHAnsi" w:eastAsiaTheme="minorEastAsia" w:hAnsiTheme="minorHAnsi" w:cstheme="minorBidi"/>
          <w:noProof/>
        </w:rPr>
      </w:pPr>
      <w:r w:rsidRPr="00B23FF8">
        <w:rPr>
          <w:noProof/>
        </w:rPr>
        <w:t xml:space="preserve">Figure 4.8 - Domain model state diagram of a T cell during hepatic infection with </w:t>
      </w:r>
      <w:r w:rsidRPr="00B23FF8">
        <w:rPr>
          <w:i/>
          <w:noProof/>
        </w:rPr>
        <w:t>L. donovani</w:t>
      </w:r>
      <w:r w:rsidRPr="00B23FF8">
        <w:rPr>
          <w:noProof/>
        </w:rPr>
        <w:t>.</w:t>
      </w:r>
      <w:r w:rsidRPr="00D362A7">
        <w:rPr>
          <w:noProof/>
        </w:rPr>
        <w:tab/>
      </w:r>
      <w:r w:rsidRPr="00D362A7">
        <w:rPr>
          <w:noProof/>
        </w:rPr>
        <w:fldChar w:fldCharType="begin"/>
      </w:r>
      <w:r w:rsidRPr="00D362A7">
        <w:rPr>
          <w:noProof/>
        </w:rPr>
        <w:instrText xml:space="preserve"> PAGEREF _Toc536814152 \h </w:instrText>
      </w:r>
      <w:r w:rsidRPr="00D362A7">
        <w:rPr>
          <w:noProof/>
        </w:rPr>
      </w:r>
      <w:r w:rsidRPr="00D362A7">
        <w:rPr>
          <w:noProof/>
        </w:rPr>
        <w:fldChar w:fldCharType="separate"/>
      </w:r>
      <w:r w:rsidR="00B251C6">
        <w:rPr>
          <w:noProof/>
        </w:rPr>
        <w:t>113</w:t>
      </w:r>
      <w:r w:rsidRPr="00D362A7">
        <w:rPr>
          <w:noProof/>
        </w:rPr>
        <w:fldChar w:fldCharType="end"/>
      </w:r>
    </w:p>
    <w:p w14:paraId="288BAA26" w14:textId="3F609CB8" w:rsidR="00D362A7" w:rsidRPr="00D362A7" w:rsidRDefault="00D362A7" w:rsidP="00B23FF8">
      <w:pPr>
        <w:pStyle w:val="TableofFigures"/>
        <w:tabs>
          <w:tab w:val="right" w:leader="dot" w:pos="8771"/>
        </w:tabs>
        <w:snapToGrid w:val="0"/>
        <w:spacing w:beforeLines="60" w:before="144" w:afterLines="60" w:after="144" w:line="240" w:lineRule="auto"/>
        <w:rPr>
          <w:rFonts w:asciiTheme="minorHAnsi" w:eastAsiaTheme="minorEastAsia" w:hAnsiTheme="minorHAnsi" w:cstheme="minorBidi"/>
          <w:noProof/>
        </w:rPr>
      </w:pPr>
      <w:r w:rsidRPr="00B23FF8">
        <w:rPr>
          <w:noProof/>
        </w:rPr>
        <w:t xml:space="preserve">Figure 4.9 - Domain model activity diagram describing the behaviours of a myeloid cell during hepatic infection with </w:t>
      </w:r>
      <w:r w:rsidRPr="00B23FF8">
        <w:rPr>
          <w:i/>
          <w:noProof/>
        </w:rPr>
        <w:t>L. donovani</w:t>
      </w:r>
      <w:r w:rsidRPr="00B23FF8">
        <w:rPr>
          <w:noProof/>
        </w:rPr>
        <w:t>.</w:t>
      </w:r>
      <w:r w:rsidRPr="00D362A7">
        <w:rPr>
          <w:noProof/>
        </w:rPr>
        <w:tab/>
      </w:r>
      <w:r w:rsidRPr="00D362A7">
        <w:rPr>
          <w:noProof/>
        </w:rPr>
        <w:fldChar w:fldCharType="begin"/>
      </w:r>
      <w:r w:rsidRPr="00D362A7">
        <w:rPr>
          <w:noProof/>
        </w:rPr>
        <w:instrText xml:space="preserve"> PAGEREF _Toc536814153 \h </w:instrText>
      </w:r>
      <w:r w:rsidRPr="00D362A7">
        <w:rPr>
          <w:noProof/>
        </w:rPr>
      </w:r>
      <w:r w:rsidRPr="00D362A7">
        <w:rPr>
          <w:noProof/>
        </w:rPr>
        <w:fldChar w:fldCharType="separate"/>
      </w:r>
      <w:r w:rsidR="00B251C6">
        <w:rPr>
          <w:noProof/>
        </w:rPr>
        <w:t>116</w:t>
      </w:r>
      <w:r w:rsidRPr="00D362A7">
        <w:rPr>
          <w:noProof/>
        </w:rPr>
        <w:fldChar w:fldCharType="end"/>
      </w:r>
    </w:p>
    <w:p w14:paraId="110B3D8A" w14:textId="6F94C965" w:rsidR="00D362A7" w:rsidRPr="00D362A7" w:rsidRDefault="00D362A7" w:rsidP="00B23FF8">
      <w:pPr>
        <w:pStyle w:val="TableofFigures"/>
        <w:tabs>
          <w:tab w:val="right" w:leader="dot" w:pos="8771"/>
        </w:tabs>
        <w:snapToGrid w:val="0"/>
        <w:spacing w:beforeLines="60" w:before="144" w:afterLines="60" w:after="144" w:line="240" w:lineRule="auto"/>
        <w:rPr>
          <w:rFonts w:asciiTheme="minorHAnsi" w:eastAsiaTheme="minorEastAsia" w:hAnsiTheme="minorHAnsi" w:cstheme="minorBidi"/>
          <w:noProof/>
        </w:rPr>
      </w:pPr>
      <w:r w:rsidRPr="00B23FF8">
        <w:rPr>
          <w:noProof/>
        </w:rPr>
        <w:t xml:space="preserve">Figure 4.10 - Domain model state diagram of a myeloid cell during hepatic infection with </w:t>
      </w:r>
      <w:r w:rsidRPr="00B23FF8">
        <w:rPr>
          <w:i/>
          <w:noProof/>
        </w:rPr>
        <w:t>L. donovani</w:t>
      </w:r>
      <w:r w:rsidRPr="00B23FF8">
        <w:rPr>
          <w:noProof/>
        </w:rPr>
        <w:t>.</w:t>
      </w:r>
      <w:r w:rsidRPr="00D362A7">
        <w:rPr>
          <w:noProof/>
        </w:rPr>
        <w:tab/>
      </w:r>
      <w:r w:rsidRPr="00D362A7">
        <w:rPr>
          <w:noProof/>
        </w:rPr>
        <w:fldChar w:fldCharType="begin"/>
      </w:r>
      <w:r w:rsidRPr="00D362A7">
        <w:rPr>
          <w:noProof/>
        </w:rPr>
        <w:instrText xml:space="preserve"> PAGEREF _Toc536814154 \h </w:instrText>
      </w:r>
      <w:r w:rsidRPr="00D362A7">
        <w:rPr>
          <w:noProof/>
        </w:rPr>
      </w:r>
      <w:r w:rsidRPr="00D362A7">
        <w:rPr>
          <w:noProof/>
        </w:rPr>
        <w:fldChar w:fldCharType="separate"/>
      </w:r>
      <w:r w:rsidR="00B251C6">
        <w:rPr>
          <w:noProof/>
        </w:rPr>
        <w:t>117</w:t>
      </w:r>
      <w:r w:rsidRPr="00D362A7">
        <w:rPr>
          <w:noProof/>
        </w:rPr>
        <w:fldChar w:fldCharType="end"/>
      </w:r>
    </w:p>
    <w:p w14:paraId="7744806A" w14:textId="0AD2E327" w:rsidR="00D362A7" w:rsidRPr="00D362A7" w:rsidRDefault="00D362A7" w:rsidP="00B23FF8">
      <w:pPr>
        <w:pStyle w:val="TableofFigures"/>
        <w:tabs>
          <w:tab w:val="right" w:leader="dot" w:pos="8771"/>
        </w:tabs>
        <w:snapToGrid w:val="0"/>
        <w:spacing w:beforeLines="60" w:before="144" w:afterLines="60" w:after="144" w:line="240" w:lineRule="auto"/>
        <w:rPr>
          <w:rFonts w:asciiTheme="minorHAnsi" w:eastAsiaTheme="minorEastAsia" w:hAnsiTheme="minorHAnsi" w:cstheme="minorBidi"/>
          <w:noProof/>
        </w:rPr>
      </w:pPr>
      <w:r w:rsidRPr="00B23FF8">
        <w:rPr>
          <w:noProof/>
        </w:rPr>
        <w:t xml:space="preserve">Figure 4.11- Domain model activity diagram describing the behaviours of an invariant natural killer T (iNKT) cell during hepatic infection with </w:t>
      </w:r>
      <w:r w:rsidRPr="00B23FF8">
        <w:rPr>
          <w:i/>
          <w:noProof/>
        </w:rPr>
        <w:t>L. donovani</w:t>
      </w:r>
      <w:r w:rsidRPr="00B23FF8">
        <w:rPr>
          <w:noProof/>
        </w:rPr>
        <w:t>.</w:t>
      </w:r>
      <w:r w:rsidRPr="00D362A7">
        <w:rPr>
          <w:noProof/>
        </w:rPr>
        <w:tab/>
      </w:r>
      <w:r w:rsidRPr="00D362A7">
        <w:rPr>
          <w:noProof/>
        </w:rPr>
        <w:fldChar w:fldCharType="begin"/>
      </w:r>
      <w:r w:rsidRPr="00D362A7">
        <w:rPr>
          <w:noProof/>
        </w:rPr>
        <w:instrText xml:space="preserve"> PAGEREF _Toc536814155 \h </w:instrText>
      </w:r>
      <w:r w:rsidRPr="00D362A7">
        <w:rPr>
          <w:noProof/>
        </w:rPr>
      </w:r>
      <w:r w:rsidRPr="00D362A7">
        <w:rPr>
          <w:noProof/>
        </w:rPr>
        <w:fldChar w:fldCharType="separate"/>
      </w:r>
      <w:r w:rsidR="00B251C6">
        <w:rPr>
          <w:noProof/>
        </w:rPr>
        <w:t>118</w:t>
      </w:r>
      <w:r w:rsidRPr="00D362A7">
        <w:rPr>
          <w:noProof/>
        </w:rPr>
        <w:fldChar w:fldCharType="end"/>
      </w:r>
    </w:p>
    <w:p w14:paraId="19FF65EF" w14:textId="3E75F3B6" w:rsidR="00D362A7" w:rsidRPr="00D362A7" w:rsidRDefault="00D362A7" w:rsidP="00B23FF8">
      <w:pPr>
        <w:pStyle w:val="TableofFigures"/>
        <w:tabs>
          <w:tab w:val="right" w:leader="dot" w:pos="8771"/>
        </w:tabs>
        <w:snapToGrid w:val="0"/>
        <w:spacing w:beforeLines="60" w:before="144" w:afterLines="60" w:after="144" w:line="240" w:lineRule="auto"/>
        <w:rPr>
          <w:rFonts w:asciiTheme="minorHAnsi" w:eastAsiaTheme="minorEastAsia" w:hAnsiTheme="minorHAnsi" w:cstheme="minorBidi"/>
          <w:noProof/>
        </w:rPr>
      </w:pPr>
      <w:r w:rsidRPr="00B23FF8">
        <w:rPr>
          <w:noProof/>
        </w:rPr>
        <w:t xml:space="preserve">Figure 4.12 - Domain model state diagram of an iNKT cell during hepatic infection with </w:t>
      </w:r>
      <w:r w:rsidRPr="00B23FF8">
        <w:rPr>
          <w:i/>
          <w:noProof/>
        </w:rPr>
        <w:t>L. donovani</w:t>
      </w:r>
      <w:r w:rsidRPr="00B23FF8">
        <w:rPr>
          <w:noProof/>
        </w:rPr>
        <w:t>.</w:t>
      </w:r>
      <w:r w:rsidRPr="00D362A7">
        <w:rPr>
          <w:noProof/>
        </w:rPr>
        <w:tab/>
      </w:r>
      <w:r w:rsidRPr="00D362A7">
        <w:rPr>
          <w:noProof/>
        </w:rPr>
        <w:fldChar w:fldCharType="begin"/>
      </w:r>
      <w:r w:rsidRPr="00D362A7">
        <w:rPr>
          <w:noProof/>
        </w:rPr>
        <w:instrText xml:space="preserve"> PAGEREF _Toc536814156 \h </w:instrText>
      </w:r>
      <w:r w:rsidRPr="00D362A7">
        <w:rPr>
          <w:noProof/>
        </w:rPr>
      </w:r>
      <w:r w:rsidRPr="00D362A7">
        <w:rPr>
          <w:noProof/>
        </w:rPr>
        <w:fldChar w:fldCharType="separate"/>
      </w:r>
      <w:r w:rsidR="00B251C6">
        <w:rPr>
          <w:noProof/>
        </w:rPr>
        <w:t>118</w:t>
      </w:r>
      <w:r w:rsidRPr="00D362A7">
        <w:rPr>
          <w:noProof/>
        </w:rPr>
        <w:fldChar w:fldCharType="end"/>
      </w:r>
    </w:p>
    <w:p w14:paraId="75F64C60" w14:textId="57A40AB8" w:rsidR="00D362A7" w:rsidRPr="00D362A7" w:rsidRDefault="00D362A7" w:rsidP="00B23FF8">
      <w:pPr>
        <w:pStyle w:val="TableofFigures"/>
        <w:tabs>
          <w:tab w:val="right" w:leader="dot" w:pos="8771"/>
        </w:tabs>
        <w:snapToGrid w:val="0"/>
        <w:spacing w:beforeLines="60" w:before="144" w:afterLines="60" w:after="144" w:line="240" w:lineRule="auto"/>
        <w:rPr>
          <w:rFonts w:asciiTheme="minorHAnsi" w:eastAsiaTheme="minorEastAsia" w:hAnsiTheme="minorHAnsi" w:cstheme="minorBidi"/>
          <w:noProof/>
        </w:rPr>
      </w:pPr>
      <w:r w:rsidRPr="00B23FF8">
        <w:rPr>
          <w:noProof/>
        </w:rPr>
        <w:t>Figure 4.13 -</w:t>
      </w:r>
      <w:r w:rsidRPr="00D362A7">
        <w:rPr>
          <w:noProof/>
        </w:rPr>
        <w:t xml:space="preserve"> </w:t>
      </w:r>
      <w:r w:rsidRPr="00B23FF8">
        <w:rPr>
          <w:noProof/>
        </w:rPr>
        <w:t xml:space="preserve">Domain activity diagram describing the behaviours of </w:t>
      </w:r>
      <w:r w:rsidRPr="00B23FF8">
        <w:rPr>
          <w:i/>
          <w:noProof/>
        </w:rPr>
        <w:t>Leishmania donovani</w:t>
      </w:r>
      <w:r w:rsidRPr="00B23FF8">
        <w:rPr>
          <w:noProof/>
        </w:rPr>
        <w:t xml:space="preserve"> during hepatic infection with </w:t>
      </w:r>
      <w:r w:rsidRPr="00B23FF8">
        <w:rPr>
          <w:i/>
          <w:noProof/>
        </w:rPr>
        <w:t>L. donovani</w:t>
      </w:r>
      <w:r w:rsidRPr="00B23FF8">
        <w:rPr>
          <w:noProof/>
        </w:rPr>
        <w:t>.</w:t>
      </w:r>
      <w:r w:rsidRPr="00D362A7">
        <w:rPr>
          <w:noProof/>
        </w:rPr>
        <w:tab/>
      </w:r>
      <w:r w:rsidRPr="00D362A7">
        <w:rPr>
          <w:noProof/>
        </w:rPr>
        <w:fldChar w:fldCharType="begin"/>
      </w:r>
      <w:r w:rsidRPr="00D362A7">
        <w:rPr>
          <w:noProof/>
        </w:rPr>
        <w:instrText xml:space="preserve"> PAGEREF _Toc536814157 \h </w:instrText>
      </w:r>
      <w:r w:rsidRPr="00D362A7">
        <w:rPr>
          <w:noProof/>
        </w:rPr>
      </w:r>
      <w:r w:rsidRPr="00D362A7">
        <w:rPr>
          <w:noProof/>
        </w:rPr>
        <w:fldChar w:fldCharType="separate"/>
      </w:r>
      <w:r w:rsidR="00B251C6">
        <w:rPr>
          <w:noProof/>
        </w:rPr>
        <w:t>121</w:t>
      </w:r>
      <w:r w:rsidRPr="00D362A7">
        <w:rPr>
          <w:noProof/>
        </w:rPr>
        <w:fldChar w:fldCharType="end"/>
      </w:r>
    </w:p>
    <w:p w14:paraId="04DCF4D1" w14:textId="5DB816F4" w:rsidR="00D362A7" w:rsidRPr="00D362A7" w:rsidRDefault="00D362A7" w:rsidP="00B23FF8">
      <w:pPr>
        <w:pStyle w:val="TableofFigures"/>
        <w:tabs>
          <w:tab w:val="right" w:leader="dot" w:pos="8771"/>
        </w:tabs>
        <w:snapToGrid w:val="0"/>
        <w:spacing w:beforeLines="60" w:before="144" w:afterLines="60" w:after="144" w:line="240" w:lineRule="auto"/>
        <w:rPr>
          <w:rFonts w:asciiTheme="minorHAnsi" w:eastAsiaTheme="minorEastAsia" w:hAnsiTheme="minorHAnsi" w:cstheme="minorBidi"/>
          <w:noProof/>
        </w:rPr>
      </w:pPr>
      <w:r w:rsidRPr="00B23FF8">
        <w:rPr>
          <w:noProof/>
        </w:rPr>
        <w:t xml:space="preserve">Figure 4.14 - Domain model state diagram of </w:t>
      </w:r>
      <w:r w:rsidRPr="00B23FF8">
        <w:rPr>
          <w:i/>
          <w:noProof/>
        </w:rPr>
        <w:t>Leishmania donovani</w:t>
      </w:r>
      <w:r w:rsidRPr="00B23FF8">
        <w:rPr>
          <w:noProof/>
        </w:rPr>
        <w:t xml:space="preserve"> during hepatic infection with </w:t>
      </w:r>
      <w:r w:rsidRPr="00B23FF8">
        <w:rPr>
          <w:i/>
          <w:noProof/>
        </w:rPr>
        <w:t>L. donovani</w:t>
      </w:r>
      <w:r w:rsidRPr="00B23FF8">
        <w:rPr>
          <w:noProof/>
        </w:rPr>
        <w:t>.</w:t>
      </w:r>
      <w:r w:rsidRPr="00D362A7">
        <w:rPr>
          <w:noProof/>
        </w:rPr>
        <w:tab/>
      </w:r>
      <w:r w:rsidRPr="00D362A7">
        <w:rPr>
          <w:noProof/>
        </w:rPr>
        <w:fldChar w:fldCharType="begin"/>
      </w:r>
      <w:r w:rsidRPr="00D362A7">
        <w:rPr>
          <w:noProof/>
        </w:rPr>
        <w:instrText xml:space="preserve"> PAGEREF _Toc536814158 \h </w:instrText>
      </w:r>
      <w:r w:rsidRPr="00D362A7">
        <w:rPr>
          <w:noProof/>
        </w:rPr>
      </w:r>
      <w:r w:rsidRPr="00D362A7">
        <w:rPr>
          <w:noProof/>
        </w:rPr>
        <w:fldChar w:fldCharType="separate"/>
      </w:r>
      <w:r w:rsidR="00B251C6">
        <w:rPr>
          <w:noProof/>
        </w:rPr>
        <w:t>122</w:t>
      </w:r>
      <w:r w:rsidRPr="00D362A7">
        <w:rPr>
          <w:noProof/>
        </w:rPr>
        <w:fldChar w:fldCharType="end"/>
      </w:r>
    </w:p>
    <w:p w14:paraId="2BA8A5CE" w14:textId="3E89AF53" w:rsidR="00D362A7" w:rsidRPr="00D362A7" w:rsidRDefault="00D362A7" w:rsidP="00B23FF8">
      <w:pPr>
        <w:pStyle w:val="TableofFigures"/>
        <w:tabs>
          <w:tab w:val="right" w:leader="dot" w:pos="8771"/>
        </w:tabs>
        <w:snapToGrid w:val="0"/>
        <w:spacing w:beforeLines="60" w:before="144" w:afterLines="60" w:after="144" w:line="240" w:lineRule="auto"/>
        <w:rPr>
          <w:rFonts w:asciiTheme="minorHAnsi" w:eastAsiaTheme="minorEastAsia" w:hAnsiTheme="minorHAnsi" w:cstheme="minorBidi"/>
          <w:noProof/>
        </w:rPr>
      </w:pPr>
      <w:r w:rsidRPr="00B23FF8">
        <w:rPr>
          <w:noProof/>
        </w:rPr>
        <w:t xml:space="preserve">Figure 4.15 - Domain activity diagram describing the behaviours of a Kupffer cell (KC) during hepatic infection with </w:t>
      </w:r>
      <w:r w:rsidRPr="00B23FF8">
        <w:rPr>
          <w:i/>
          <w:noProof/>
        </w:rPr>
        <w:t>L. donovani</w:t>
      </w:r>
      <w:r w:rsidRPr="00B23FF8">
        <w:rPr>
          <w:noProof/>
        </w:rPr>
        <w:t>.</w:t>
      </w:r>
      <w:r w:rsidRPr="00D362A7">
        <w:rPr>
          <w:noProof/>
        </w:rPr>
        <w:tab/>
      </w:r>
      <w:r w:rsidRPr="00D362A7">
        <w:rPr>
          <w:noProof/>
        </w:rPr>
        <w:fldChar w:fldCharType="begin"/>
      </w:r>
      <w:r w:rsidRPr="00D362A7">
        <w:rPr>
          <w:noProof/>
        </w:rPr>
        <w:instrText xml:space="preserve"> PAGEREF _Toc536814159 \h </w:instrText>
      </w:r>
      <w:r w:rsidRPr="00D362A7">
        <w:rPr>
          <w:noProof/>
        </w:rPr>
      </w:r>
      <w:r w:rsidRPr="00D362A7">
        <w:rPr>
          <w:noProof/>
        </w:rPr>
        <w:fldChar w:fldCharType="separate"/>
      </w:r>
      <w:r w:rsidR="00B251C6">
        <w:rPr>
          <w:noProof/>
        </w:rPr>
        <w:t>124</w:t>
      </w:r>
      <w:r w:rsidRPr="00D362A7">
        <w:rPr>
          <w:noProof/>
        </w:rPr>
        <w:fldChar w:fldCharType="end"/>
      </w:r>
    </w:p>
    <w:p w14:paraId="7FEDAC4B" w14:textId="0352674C" w:rsidR="00D362A7" w:rsidRPr="00D362A7" w:rsidRDefault="00D362A7" w:rsidP="00B23FF8">
      <w:pPr>
        <w:pStyle w:val="TableofFigures"/>
        <w:tabs>
          <w:tab w:val="right" w:leader="dot" w:pos="8771"/>
        </w:tabs>
        <w:snapToGrid w:val="0"/>
        <w:spacing w:beforeLines="60" w:before="144" w:afterLines="60" w:after="144" w:line="240" w:lineRule="auto"/>
        <w:rPr>
          <w:rFonts w:asciiTheme="minorHAnsi" w:eastAsiaTheme="minorEastAsia" w:hAnsiTheme="minorHAnsi" w:cstheme="minorBidi"/>
          <w:noProof/>
        </w:rPr>
      </w:pPr>
      <w:r w:rsidRPr="00B23FF8">
        <w:rPr>
          <w:noProof/>
        </w:rPr>
        <w:t xml:space="preserve">Figure 4.16 - Domain model state diagram of a Kupffer cell during hepatic infection with </w:t>
      </w:r>
      <w:r w:rsidRPr="00B23FF8">
        <w:rPr>
          <w:i/>
          <w:noProof/>
        </w:rPr>
        <w:t>L. donovani</w:t>
      </w:r>
      <w:r w:rsidRPr="00B23FF8">
        <w:rPr>
          <w:noProof/>
        </w:rPr>
        <w:t>.</w:t>
      </w:r>
      <w:r w:rsidRPr="00D362A7">
        <w:rPr>
          <w:noProof/>
        </w:rPr>
        <w:tab/>
      </w:r>
      <w:r w:rsidRPr="00D362A7">
        <w:rPr>
          <w:noProof/>
        </w:rPr>
        <w:fldChar w:fldCharType="begin"/>
      </w:r>
      <w:r w:rsidRPr="00D362A7">
        <w:rPr>
          <w:noProof/>
        </w:rPr>
        <w:instrText xml:space="preserve"> PAGEREF _Toc536814160 \h </w:instrText>
      </w:r>
      <w:r w:rsidRPr="00D362A7">
        <w:rPr>
          <w:noProof/>
        </w:rPr>
      </w:r>
      <w:r w:rsidRPr="00D362A7">
        <w:rPr>
          <w:noProof/>
        </w:rPr>
        <w:fldChar w:fldCharType="separate"/>
      </w:r>
      <w:r w:rsidR="00B251C6">
        <w:rPr>
          <w:noProof/>
        </w:rPr>
        <w:t>125</w:t>
      </w:r>
      <w:r w:rsidRPr="00D362A7">
        <w:rPr>
          <w:noProof/>
        </w:rPr>
        <w:fldChar w:fldCharType="end"/>
      </w:r>
    </w:p>
    <w:p w14:paraId="5BF7BEFE" w14:textId="513794D2" w:rsidR="00D362A7" w:rsidRPr="00D362A7" w:rsidRDefault="00D362A7" w:rsidP="00B23FF8">
      <w:pPr>
        <w:pStyle w:val="TableofFigures"/>
        <w:tabs>
          <w:tab w:val="right" w:leader="dot" w:pos="8771"/>
        </w:tabs>
        <w:snapToGrid w:val="0"/>
        <w:spacing w:beforeLines="60" w:before="144" w:afterLines="60" w:after="144" w:line="240" w:lineRule="auto"/>
        <w:rPr>
          <w:rFonts w:asciiTheme="minorHAnsi" w:eastAsiaTheme="minorEastAsia" w:hAnsiTheme="minorHAnsi" w:cstheme="minorBidi"/>
          <w:noProof/>
        </w:rPr>
      </w:pPr>
      <w:r w:rsidRPr="00B23FF8">
        <w:rPr>
          <w:noProof/>
        </w:rPr>
        <w:t xml:space="preserve">Figure 4.17 – Platform model activity diagram of a T cell during hepatic infection with </w:t>
      </w:r>
      <w:r w:rsidRPr="00B23FF8">
        <w:rPr>
          <w:i/>
          <w:noProof/>
        </w:rPr>
        <w:t>L. donovani</w:t>
      </w:r>
      <w:r w:rsidRPr="00B23FF8">
        <w:rPr>
          <w:noProof/>
        </w:rPr>
        <w:t>.</w:t>
      </w:r>
      <w:r w:rsidRPr="00D362A7">
        <w:rPr>
          <w:noProof/>
        </w:rPr>
        <w:tab/>
      </w:r>
      <w:r w:rsidRPr="00D362A7">
        <w:rPr>
          <w:noProof/>
        </w:rPr>
        <w:fldChar w:fldCharType="begin"/>
      </w:r>
      <w:r w:rsidRPr="00D362A7">
        <w:rPr>
          <w:noProof/>
        </w:rPr>
        <w:instrText xml:space="preserve"> PAGEREF _Toc536814161 \h </w:instrText>
      </w:r>
      <w:r w:rsidRPr="00D362A7">
        <w:rPr>
          <w:noProof/>
        </w:rPr>
      </w:r>
      <w:r w:rsidRPr="00D362A7">
        <w:rPr>
          <w:noProof/>
        </w:rPr>
        <w:fldChar w:fldCharType="separate"/>
      </w:r>
      <w:r w:rsidR="00B251C6">
        <w:rPr>
          <w:noProof/>
        </w:rPr>
        <w:t>127</w:t>
      </w:r>
      <w:r w:rsidRPr="00D362A7">
        <w:rPr>
          <w:noProof/>
        </w:rPr>
        <w:fldChar w:fldCharType="end"/>
      </w:r>
    </w:p>
    <w:p w14:paraId="4A66F8F4" w14:textId="4888F6C7" w:rsidR="00D362A7" w:rsidRPr="00D362A7" w:rsidRDefault="00D362A7" w:rsidP="00B23FF8">
      <w:pPr>
        <w:pStyle w:val="TableofFigures"/>
        <w:tabs>
          <w:tab w:val="right" w:leader="dot" w:pos="8771"/>
        </w:tabs>
        <w:snapToGrid w:val="0"/>
        <w:spacing w:beforeLines="60" w:before="144" w:afterLines="60" w:after="144" w:line="240" w:lineRule="auto"/>
        <w:rPr>
          <w:rFonts w:asciiTheme="minorHAnsi" w:eastAsiaTheme="minorEastAsia" w:hAnsiTheme="minorHAnsi" w:cstheme="minorBidi"/>
          <w:noProof/>
        </w:rPr>
      </w:pPr>
      <w:r w:rsidRPr="00B23FF8">
        <w:rPr>
          <w:noProof/>
        </w:rPr>
        <w:t xml:space="preserve">Figure 4.18 - Platform model state diagram of a T cell during hepatic infection with </w:t>
      </w:r>
      <w:r w:rsidRPr="00B23FF8">
        <w:rPr>
          <w:i/>
          <w:noProof/>
        </w:rPr>
        <w:t>L. donovani</w:t>
      </w:r>
      <w:r w:rsidRPr="00B23FF8">
        <w:rPr>
          <w:noProof/>
        </w:rPr>
        <w:t>.</w:t>
      </w:r>
      <w:r w:rsidRPr="00D362A7">
        <w:rPr>
          <w:noProof/>
        </w:rPr>
        <w:tab/>
      </w:r>
      <w:r w:rsidRPr="00D362A7">
        <w:rPr>
          <w:noProof/>
        </w:rPr>
        <w:fldChar w:fldCharType="begin"/>
      </w:r>
      <w:r w:rsidRPr="00D362A7">
        <w:rPr>
          <w:noProof/>
        </w:rPr>
        <w:instrText xml:space="preserve"> PAGEREF _Toc536814162 \h </w:instrText>
      </w:r>
      <w:r w:rsidRPr="00D362A7">
        <w:rPr>
          <w:noProof/>
        </w:rPr>
      </w:r>
      <w:r w:rsidRPr="00D362A7">
        <w:rPr>
          <w:noProof/>
        </w:rPr>
        <w:fldChar w:fldCharType="separate"/>
      </w:r>
      <w:r w:rsidR="00B251C6">
        <w:rPr>
          <w:noProof/>
        </w:rPr>
        <w:t>127</w:t>
      </w:r>
      <w:r w:rsidRPr="00D362A7">
        <w:rPr>
          <w:noProof/>
        </w:rPr>
        <w:fldChar w:fldCharType="end"/>
      </w:r>
    </w:p>
    <w:p w14:paraId="6B698AF2" w14:textId="67D787D4" w:rsidR="00D362A7" w:rsidRPr="00D362A7" w:rsidRDefault="00D362A7" w:rsidP="00B23FF8">
      <w:pPr>
        <w:pStyle w:val="TableofFigures"/>
        <w:tabs>
          <w:tab w:val="right" w:leader="dot" w:pos="8771"/>
        </w:tabs>
        <w:snapToGrid w:val="0"/>
        <w:spacing w:beforeLines="60" w:before="144" w:afterLines="60" w:after="144" w:line="240" w:lineRule="auto"/>
        <w:rPr>
          <w:rFonts w:asciiTheme="minorHAnsi" w:eastAsiaTheme="minorEastAsia" w:hAnsiTheme="minorHAnsi" w:cstheme="minorBidi"/>
          <w:noProof/>
        </w:rPr>
      </w:pPr>
      <w:r w:rsidRPr="00B23FF8">
        <w:rPr>
          <w:noProof/>
        </w:rPr>
        <w:t xml:space="preserve">Figure 4.19 - Platform model activity diagram of a myeloid cell during hepatic infection with </w:t>
      </w:r>
      <w:r w:rsidRPr="00B23FF8">
        <w:rPr>
          <w:i/>
          <w:noProof/>
        </w:rPr>
        <w:t>L. donovani</w:t>
      </w:r>
      <w:r w:rsidRPr="00B23FF8">
        <w:rPr>
          <w:noProof/>
        </w:rPr>
        <w:t>.</w:t>
      </w:r>
      <w:r w:rsidRPr="00D362A7">
        <w:rPr>
          <w:noProof/>
        </w:rPr>
        <w:tab/>
      </w:r>
      <w:r w:rsidRPr="00D362A7">
        <w:rPr>
          <w:noProof/>
        </w:rPr>
        <w:fldChar w:fldCharType="begin"/>
      </w:r>
      <w:r w:rsidRPr="00D362A7">
        <w:rPr>
          <w:noProof/>
        </w:rPr>
        <w:instrText xml:space="preserve"> PAGEREF _Toc536814163 \h </w:instrText>
      </w:r>
      <w:r w:rsidRPr="00D362A7">
        <w:rPr>
          <w:noProof/>
        </w:rPr>
      </w:r>
      <w:r w:rsidRPr="00D362A7">
        <w:rPr>
          <w:noProof/>
        </w:rPr>
        <w:fldChar w:fldCharType="separate"/>
      </w:r>
      <w:r w:rsidR="00B251C6">
        <w:rPr>
          <w:noProof/>
        </w:rPr>
        <w:t>128</w:t>
      </w:r>
      <w:r w:rsidRPr="00D362A7">
        <w:rPr>
          <w:noProof/>
        </w:rPr>
        <w:fldChar w:fldCharType="end"/>
      </w:r>
    </w:p>
    <w:p w14:paraId="4B044BBE" w14:textId="7A36A2AB" w:rsidR="00D362A7" w:rsidRPr="00D362A7" w:rsidRDefault="00D362A7" w:rsidP="00B23FF8">
      <w:pPr>
        <w:pStyle w:val="TableofFigures"/>
        <w:tabs>
          <w:tab w:val="right" w:leader="dot" w:pos="8771"/>
        </w:tabs>
        <w:snapToGrid w:val="0"/>
        <w:spacing w:beforeLines="60" w:before="144" w:afterLines="60" w:after="144" w:line="240" w:lineRule="auto"/>
        <w:rPr>
          <w:rFonts w:asciiTheme="minorHAnsi" w:eastAsiaTheme="minorEastAsia" w:hAnsiTheme="minorHAnsi" w:cstheme="minorBidi"/>
          <w:noProof/>
        </w:rPr>
      </w:pPr>
      <w:r w:rsidRPr="00B23FF8">
        <w:rPr>
          <w:noProof/>
        </w:rPr>
        <w:t xml:space="preserve">Figure 4.20- Platform model state diagram of a myeloid cell during hepatic infection with </w:t>
      </w:r>
      <w:r w:rsidRPr="00B23FF8">
        <w:rPr>
          <w:i/>
          <w:noProof/>
        </w:rPr>
        <w:t>L. donovani</w:t>
      </w:r>
      <w:r w:rsidRPr="00B23FF8">
        <w:rPr>
          <w:noProof/>
        </w:rPr>
        <w:t>.</w:t>
      </w:r>
      <w:r w:rsidRPr="00D362A7">
        <w:rPr>
          <w:noProof/>
        </w:rPr>
        <w:tab/>
      </w:r>
      <w:r w:rsidRPr="00D362A7">
        <w:rPr>
          <w:noProof/>
        </w:rPr>
        <w:fldChar w:fldCharType="begin"/>
      </w:r>
      <w:r w:rsidRPr="00D362A7">
        <w:rPr>
          <w:noProof/>
        </w:rPr>
        <w:instrText xml:space="preserve"> PAGEREF _Toc536814164 \h </w:instrText>
      </w:r>
      <w:r w:rsidRPr="00D362A7">
        <w:rPr>
          <w:noProof/>
        </w:rPr>
      </w:r>
      <w:r w:rsidRPr="00D362A7">
        <w:rPr>
          <w:noProof/>
        </w:rPr>
        <w:fldChar w:fldCharType="separate"/>
      </w:r>
      <w:r w:rsidR="00B251C6">
        <w:rPr>
          <w:noProof/>
        </w:rPr>
        <w:t>129</w:t>
      </w:r>
      <w:r w:rsidRPr="00D362A7">
        <w:rPr>
          <w:noProof/>
        </w:rPr>
        <w:fldChar w:fldCharType="end"/>
      </w:r>
    </w:p>
    <w:p w14:paraId="7EDA8C2A" w14:textId="58C01D98" w:rsidR="00D362A7" w:rsidRPr="00D362A7" w:rsidRDefault="00D362A7" w:rsidP="00B23FF8">
      <w:pPr>
        <w:pStyle w:val="TableofFigures"/>
        <w:tabs>
          <w:tab w:val="right" w:leader="dot" w:pos="8771"/>
        </w:tabs>
        <w:snapToGrid w:val="0"/>
        <w:spacing w:beforeLines="60" w:before="144" w:afterLines="60" w:after="144" w:line="240" w:lineRule="auto"/>
        <w:rPr>
          <w:rFonts w:asciiTheme="minorHAnsi" w:eastAsiaTheme="minorEastAsia" w:hAnsiTheme="minorHAnsi" w:cstheme="minorBidi"/>
          <w:noProof/>
        </w:rPr>
      </w:pPr>
      <w:r w:rsidRPr="00B23FF8">
        <w:rPr>
          <w:noProof/>
        </w:rPr>
        <w:t xml:space="preserve">Figure 4.21 - Platform model activity diagram of </w:t>
      </w:r>
      <w:r w:rsidRPr="00B23FF8">
        <w:rPr>
          <w:i/>
          <w:noProof/>
        </w:rPr>
        <w:t>Leishmania donovani</w:t>
      </w:r>
      <w:r w:rsidRPr="00B23FF8">
        <w:rPr>
          <w:noProof/>
        </w:rPr>
        <w:t xml:space="preserve"> during hepatic infection.</w:t>
      </w:r>
      <w:r w:rsidRPr="00D362A7">
        <w:rPr>
          <w:noProof/>
        </w:rPr>
        <w:tab/>
      </w:r>
      <w:r w:rsidRPr="00D362A7">
        <w:rPr>
          <w:noProof/>
        </w:rPr>
        <w:fldChar w:fldCharType="begin"/>
      </w:r>
      <w:r w:rsidRPr="00D362A7">
        <w:rPr>
          <w:noProof/>
        </w:rPr>
        <w:instrText xml:space="preserve"> PAGEREF _Toc536814165 \h </w:instrText>
      </w:r>
      <w:r w:rsidRPr="00D362A7">
        <w:rPr>
          <w:noProof/>
        </w:rPr>
      </w:r>
      <w:r w:rsidRPr="00D362A7">
        <w:rPr>
          <w:noProof/>
        </w:rPr>
        <w:fldChar w:fldCharType="separate"/>
      </w:r>
      <w:r w:rsidR="00B251C6">
        <w:rPr>
          <w:noProof/>
        </w:rPr>
        <w:t>130</w:t>
      </w:r>
      <w:r w:rsidRPr="00D362A7">
        <w:rPr>
          <w:noProof/>
        </w:rPr>
        <w:fldChar w:fldCharType="end"/>
      </w:r>
    </w:p>
    <w:p w14:paraId="214026CA" w14:textId="6C1745BA" w:rsidR="00D362A7" w:rsidRPr="00D362A7" w:rsidRDefault="00D362A7" w:rsidP="00B23FF8">
      <w:pPr>
        <w:pStyle w:val="TableofFigures"/>
        <w:tabs>
          <w:tab w:val="right" w:leader="dot" w:pos="8771"/>
        </w:tabs>
        <w:snapToGrid w:val="0"/>
        <w:spacing w:beforeLines="60" w:before="144" w:afterLines="60" w:after="144" w:line="240" w:lineRule="auto"/>
        <w:rPr>
          <w:rFonts w:asciiTheme="minorHAnsi" w:eastAsiaTheme="minorEastAsia" w:hAnsiTheme="minorHAnsi" w:cstheme="minorBidi"/>
          <w:noProof/>
        </w:rPr>
      </w:pPr>
      <w:r w:rsidRPr="00B23FF8">
        <w:rPr>
          <w:noProof/>
        </w:rPr>
        <w:t xml:space="preserve">Figure 4.22 - Platform model state diagram of a </w:t>
      </w:r>
      <w:r w:rsidRPr="00B23FF8">
        <w:rPr>
          <w:i/>
          <w:noProof/>
        </w:rPr>
        <w:t>Leishmania donovani</w:t>
      </w:r>
      <w:r w:rsidRPr="00B23FF8">
        <w:rPr>
          <w:noProof/>
        </w:rPr>
        <w:t xml:space="preserve"> during infection in the liver.</w:t>
      </w:r>
      <w:r w:rsidRPr="00D362A7">
        <w:rPr>
          <w:noProof/>
        </w:rPr>
        <w:tab/>
      </w:r>
      <w:r w:rsidRPr="00D362A7">
        <w:rPr>
          <w:noProof/>
        </w:rPr>
        <w:fldChar w:fldCharType="begin"/>
      </w:r>
      <w:r w:rsidRPr="00D362A7">
        <w:rPr>
          <w:noProof/>
        </w:rPr>
        <w:instrText xml:space="preserve"> PAGEREF _Toc536814166 \h </w:instrText>
      </w:r>
      <w:r w:rsidRPr="00D362A7">
        <w:rPr>
          <w:noProof/>
        </w:rPr>
      </w:r>
      <w:r w:rsidRPr="00D362A7">
        <w:rPr>
          <w:noProof/>
        </w:rPr>
        <w:fldChar w:fldCharType="separate"/>
      </w:r>
      <w:r w:rsidR="00B251C6">
        <w:rPr>
          <w:noProof/>
        </w:rPr>
        <w:t>131</w:t>
      </w:r>
      <w:r w:rsidRPr="00D362A7">
        <w:rPr>
          <w:noProof/>
        </w:rPr>
        <w:fldChar w:fldCharType="end"/>
      </w:r>
    </w:p>
    <w:p w14:paraId="351CCCDB" w14:textId="0D34BD11" w:rsidR="00D362A7" w:rsidRPr="00D362A7" w:rsidRDefault="00D362A7" w:rsidP="00B23FF8">
      <w:pPr>
        <w:pStyle w:val="TableofFigures"/>
        <w:tabs>
          <w:tab w:val="right" w:leader="dot" w:pos="8771"/>
        </w:tabs>
        <w:snapToGrid w:val="0"/>
        <w:spacing w:beforeLines="60" w:before="144" w:afterLines="60" w:after="144" w:line="240" w:lineRule="auto"/>
        <w:rPr>
          <w:rFonts w:asciiTheme="minorHAnsi" w:eastAsiaTheme="minorEastAsia" w:hAnsiTheme="minorHAnsi" w:cstheme="minorBidi"/>
          <w:noProof/>
        </w:rPr>
      </w:pPr>
      <w:r w:rsidRPr="00B23FF8">
        <w:rPr>
          <w:noProof/>
        </w:rPr>
        <w:lastRenderedPageBreak/>
        <w:t xml:space="preserve">Figure 4.23 - Full Simulation Model of the hepatic immune response to infection with </w:t>
      </w:r>
      <w:r w:rsidRPr="00B23FF8">
        <w:rPr>
          <w:i/>
          <w:noProof/>
        </w:rPr>
        <w:t>L. donovani</w:t>
      </w:r>
      <w:r w:rsidRPr="00B23FF8">
        <w:rPr>
          <w:noProof/>
        </w:rPr>
        <w:t>.</w:t>
      </w:r>
      <w:r w:rsidRPr="00D362A7">
        <w:rPr>
          <w:noProof/>
        </w:rPr>
        <w:tab/>
      </w:r>
      <w:r w:rsidRPr="00D362A7">
        <w:rPr>
          <w:noProof/>
        </w:rPr>
        <w:fldChar w:fldCharType="begin"/>
      </w:r>
      <w:r w:rsidRPr="00D362A7">
        <w:rPr>
          <w:noProof/>
        </w:rPr>
        <w:instrText xml:space="preserve"> PAGEREF _Toc536814167 \h </w:instrText>
      </w:r>
      <w:r w:rsidRPr="00D362A7">
        <w:rPr>
          <w:noProof/>
        </w:rPr>
      </w:r>
      <w:r w:rsidRPr="00D362A7">
        <w:rPr>
          <w:noProof/>
        </w:rPr>
        <w:fldChar w:fldCharType="separate"/>
      </w:r>
      <w:r w:rsidR="00B251C6">
        <w:rPr>
          <w:noProof/>
        </w:rPr>
        <w:t>132</w:t>
      </w:r>
      <w:r w:rsidRPr="00D362A7">
        <w:rPr>
          <w:noProof/>
        </w:rPr>
        <w:fldChar w:fldCharType="end"/>
      </w:r>
    </w:p>
    <w:p w14:paraId="2CEBAD40" w14:textId="0659A50E" w:rsidR="00D362A7" w:rsidRPr="00D362A7" w:rsidRDefault="00D362A7" w:rsidP="00B23FF8">
      <w:pPr>
        <w:pStyle w:val="TableofFigures"/>
        <w:tabs>
          <w:tab w:val="right" w:leader="dot" w:pos="8771"/>
        </w:tabs>
        <w:snapToGrid w:val="0"/>
        <w:spacing w:beforeLines="60" w:before="144" w:afterLines="60" w:after="144" w:line="240" w:lineRule="auto"/>
        <w:rPr>
          <w:rFonts w:asciiTheme="minorHAnsi" w:eastAsiaTheme="minorEastAsia" w:hAnsiTheme="minorHAnsi" w:cstheme="minorBidi"/>
          <w:noProof/>
        </w:rPr>
      </w:pPr>
      <w:r w:rsidRPr="00B23FF8">
        <w:rPr>
          <w:noProof/>
        </w:rPr>
        <w:t>Figure 4.24 - Simplified simulation model of T cell and myeloid cell populations.</w:t>
      </w:r>
      <w:r w:rsidRPr="00D362A7">
        <w:rPr>
          <w:noProof/>
        </w:rPr>
        <w:tab/>
      </w:r>
      <w:r w:rsidRPr="00D362A7">
        <w:rPr>
          <w:noProof/>
        </w:rPr>
        <w:fldChar w:fldCharType="begin"/>
      </w:r>
      <w:r w:rsidRPr="00D362A7">
        <w:rPr>
          <w:noProof/>
        </w:rPr>
        <w:instrText xml:space="preserve"> PAGEREF _Toc536814168 \h </w:instrText>
      </w:r>
      <w:r w:rsidRPr="00D362A7">
        <w:rPr>
          <w:noProof/>
        </w:rPr>
      </w:r>
      <w:r w:rsidRPr="00D362A7">
        <w:rPr>
          <w:noProof/>
        </w:rPr>
        <w:fldChar w:fldCharType="separate"/>
      </w:r>
      <w:r w:rsidR="00B251C6">
        <w:rPr>
          <w:noProof/>
        </w:rPr>
        <w:t>134</w:t>
      </w:r>
      <w:r w:rsidRPr="00D362A7">
        <w:rPr>
          <w:noProof/>
        </w:rPr>
        <w:fldChar w:fldCharType="end"/>
      </w:r>
    </w:p>
    <w:p w14:paraId="686232DC" w14:textId="69D859A5" w:rsidR="00D362A7" w:rsidRPr="00D362A7" w:rsidRDefault="00D362A7" w:rsidP="00B23FF8">
      <w:pPr>
        <w:pStyle w:val="TableofFigures"/>
        <w:tabs>
          <w:tab w:val="right" w:leader="dot" w:pos="8771"/>
        </w:tabs>
        <w:snapToGrid w:val="0"/>
        <w:spacing w:beforeLines="60" w:before="144" w:afterLines="60" w:after="144" w:line="240" w:lineRule="auto"/>
        <w:rPr>
          <w:rFonts w:asciiTheme="minorHAnsi" w:eastAsiaTheme="minorEastAsia" w:hAnsiTheme="minorHAnsi" w:cstheme="minorBidi"/>
          <w:noProof/>
        </w:rPr>
      </w:pPr>
      <w:r w:rsidRPr="00B23FF8">
        <w:rPr>
          <w:noProof/>
        </w:rPr>
        <w:t>Figure 4.25 – Calibrating parameters describing T cell and myeloid cell population kinetics.</w:t>
      </w:r>
      <w:r w:rsidRPr="00D362A7">
        <w:rPr>
          <w:noProof/>
        </w:rPr>
        <w:tab/>
      </w:r>
      <w:r w:rsidRPr="00D362A7">
        <w:rPr>
          <w:noProof/>
        </w:rPr>
        <w:fldChar w:fldCharType="begin"/>
      </w:r>
      <w:r w:rsidRPr="00D362A7">
        <w:rPr>
          <w:noProof/>
        </w:rPr>
        <w:instrText xml:space="preserve"> PAGEREF _Toc536814169 \h </w:instrText>
      </w:r>
      <w:r w:rsidRPr="00D362A7">
        <w:rPr>
          <w:noProof/>
        </w:rPr>
      </w:r>
      <w:r w:rsidRPr="00D362A7">
        <w:rPr>
          <w:noProof/>
        </w:rPr>
        <w:fldChar w:fldCharType="separate"/>
      </w:r>
      <w:r w:rsidR="00B251C6">
        <w:rPr>
          <w:noProof/>
        </w:rPr>
        <w:t>135</w:t>
      </w:r>
      <w:r w:rsidRPr="00D362A7">
        <w:rPr>
          <w:noProof/>
        </w:rPr>
        <w:fldChar w:fldCharType="end"/>
      </w:r>
    </w:p>
    <w:p w14:paraId="1A460E1F" w14:textId="48BA20DE" w:rsidR="00D362A7" w:rsidRPr="00D362A7" w:rsidRDefault="00D362A7" w:rsidP="00B23FF8">
      <w:pPr>
        <w:pStyle w:val="TableofFigures"/>
        <w:tabs>
          <w:tab w:val="right" w:leader="dot" w:pos="8771"/>
        </w:tabs>
        <w:snapToGrid w:val="0"/>
        <w:spacing w:beforeLines="60" w:before="144" w:afterLines="60" w:after="144" w:line="240" w:lineRule="auto"/>
        <w:rPr>
          <w:rFonts w:asciiTheme="minorHAnsi" w:eastAsiaTheme="minorEastAsia" w:hAnsiTheme="minorHAnsi" w:cstheme="minorBidi"/>
          <w:noProof/>
        </w:rPr>
      </w:pPr>
      <w:r w:rsidRPr="00B23FF8">
        <w:rPr>
          <w:noProof/>
        </w:rPr>
        <w:t xml:space="preserve">Figure 4.26 - Simplified simulation model of T cell, myeloid cell and </w:t>
      </w:r>
      <w:r w:rsidRPr="00B23FF8">
        <w:rPr>
          <w:i/>
          <w:noProof/>
        </w:rPr>
        <w:t>L. donovani</w:t>
      </w:r>
      <w:r w:rsidRPr="00B23FF8">
        <w:rPr>
          <w:noProof/>
        </w:rPr>
        <w:t xml:space="preserve"> populations.</w:t>
      </w:r>
      <w:r w:rsidRPr="00D362A7">
        <w:rPr>
          <w:noProof/>
        </w:rPr>
        <w:tab/>
      </w:r>
      <w:r w:rsidRPr="00D362A7">
        <w:rPr>
          <w:noProof/>
        </w:rPr>
        <w:fldChar w:fldCharType="begin"/>
      </w:r>
      <w:r w:rsidRPr="00D362A7">
        <w:rPr>
          <w:noProof/>
        </w:rPr>
        <w:instrText xml:space="preserve"> PAGEREF _Toc536814170 \h </w:instrText>
      </w:r>
      <w:r w:rsidRPr="00D362A7">
        <w:rPr>
          <w:noProof/>
        </w:rPr>
      </w:r>
      <w:r w:rsidRPr="00D362A7">
        <w:rPr>
          <w:noProof/>
        </w:rPr>
        <w:fldChar w:fldCharType="separate"/>
      </w:r>
      <w:r w:rsidR="00B251C6">
        <w:rPr>
          <w:noProof/>
        </w:rPr>
        <w:t>136</w:t>
      </w:r>
      <w:r w:rsidRPr="00D362A7">
        <w:rPr>
          <w:noProof/>
        </w:rPr>
        <w:fldChar w:fldCharType="end"/>
      </w:r>
    </w:p>
    <w:p w14:paraId="0C9879D5" w14:textId="39E352E1" w:rsidR="00D362A7" w:rsidRPr="00D362A7" w:rsidRDefault="00D362A7" w:rsidP="00B23FF8">
      <w:pPr>
        <w:pStyle w:val="TableofFigures"/>
        <w:tabs>
          <w:tab w:val="right" w:leader="dot" w:pos="8771"/>
        </w:tabs>
        <w:snapToGrid w:val="0"/>
        <w:spacing w:beforeLines="60" w:before="144" w:afterLines="60" w:after="144" w:line="240" w:lineRule="auto"/>
        <w:rPr>
          <w:rFonts w:asciiTheme="minorHAnsi" w:eastAsiaTheme="minorEastAsia" w:hAnsiTheme="minorHAnsi" w:cstheme="minorBidi"/>
          <w:noProof/>
        </w:rPr>
      </w:pPr>
      <w:r w:rsidRPr="00B23FF8">
        <w:rPr>
          <w:noProof/>
        </w:rPr>
        <w:t xml:space="preserve">Figure 4.27 - Fitting </w:t>
      </w:r>
      <w:r w:rsidRPr="00B23FF8">
        <w:rPr>
          <w:i/>
          <w:noProof/>
        </w:rPr>
        <w:t xml:space="preserve">Leishmania donovani </w:t>
      </w:r>
      <w:r w:rsidRPr="00B23FF8">
        <w:rPr>
          <w:noProof/>
        </w:rPr>
        <w:t>kinetics.</w:t>
      </w:r>
      <w:r w:rsidRPr="00D362A7">
        <w:rPr>
          <w:noProof/>
        </w:rPr>
        <w:tab/>
      </w:r>
      <w:r w:rsidRPr="00D362A7">
        <w:rPr>
          <w:noProof/>
        </w:rPr>
        <w:fldChar w:fldCharType="begin"/>
      </w:r>
      <w:r w:rsidRPr="00D362A7">
        <w:rPr>
          <w:noProof/>
        </w:rPr>
        <w:instrText xml:space="preserve"> PAGEREF _Toc536814171 \h </w:instrText>
      </w:r>
      <w:r w:rsidRPr="00D362A7">
        <w:rPr>
          <w:noProof/>
        </w:rPr>
      </w:r>
      <w:r w:rsidRPr="00D362A7">
        <w:rPr>
          <w:noProof/>
        </w:rPr>
        <w:fldChar w:fldCharType="separate"/>
      </w:r>
      <w:r w:rsidR="00B251C6">
        <w:rPr>
          <w:noProof/>
        </w:rPr>
        <w:t>137</w:t>
      </w:r>
      <w:r w:rsidRPr="00D362A7">
        <w:rPr>
          <w:noProof/>
        </w:rPr>
        <w:fldChar w:fldCharType="end"/>
      </w:r>
    </w:p>
    <w:p w14:paraId="50868731" w14:textId="5AFA9E87" w:rsidR="00D362A7" w:rsidRPr="00D362A7" w:rsidRDefault="00D362A7" w:rsidP="00B23FF8">
      <w:pPr>
        <w:pStyle w:val="TableofFigures"/>
        <w:tabs>
          <w:tab w:val="right" w:leader="dot" w:pos="8771"/>
        </w:tabs>
        <w:snapToGrid w:val="0"/>
        <w:spacing w:beforeLines="60" w:before="144" w:afterLines="60" w:after="144" w:line="240" w:lineRule="auto"/>
        <w:rPr>
          <w:rFonts w:asciiTheme="minorHAnsi" w:eastAsiaTheme="minorEastAsia" w:hAnsiTheme="minorHAnsi" w:cstheme="minorBidi"/>
          <w:noProof/>
        </w:rPr>
      </w:pPr>
      <w:r w:rsidRPr="00B23FF8">
        <w:rPr>
          <w:noProof/>
        </w:rPr>
        <w:t xml:space="preserve">Figure 4.28 - Fitting of myeloid cells and </w:t>
      </w:r>
      <w:r w:rsidRPr="00B23FF8">
        <w:rPr>
          <w:i/>
          <w:noProof/>
        </w:rPr>
        <w:t>Leishmania donovani</w:t>
      </w:r>
      <w:r w:rsidRPr="00B23FF8">
        <w:rPr>
          <w:noProof/>
        </w:rPr>
        <w:t xml:space="preserve"> kinetics with parasitic behaviours.</w:t>
      </w:r>
      <w:r w:rsidRPr="00D362A7">
        <w:rPr>
          <w:noProof/>
        </w:rPr>
        <w:tab/>
      </w:r>
      <w:r w:rsidRPr="00D362A7">
        <w:rPr>
          <w:noProof/>
        </w:rPr>
        <w:fldChar w:fldCharType="begin"/>
      </w:r>
      <w:r w:rsidRPr="00D362A7">
        <w:rPr>
          <w:noProof/>
        </w:rPr>
        <w:instrText xml:space="preserve"> PAGEREF _Toc536814172 \h </w:instrText>
      </w:r>
      <w:r w:rsidRPr="00D362A7">
        <w:rPr>
          <w:noProof/>
        </w:rPr>
      </w:r>
      <w:r w:rsidRPr="00D362A7">
        <w:rPr>
          <w:noProof/>
        </w:rPr>
        <w:fldChar w:fldCharType="separate"/>
      </w:r>
      <w:r w:rsidR="00B251C6">
        <w:rPr>
          <w:noProof/>
        </w:rPr>
        <w:t>138</w:t>
      </w:r>
      <w:r w:rsidRPr="00D362A7">
        <w:rPr>
          <w:noProof/>
        </w:rPr>
        <w:fldChar w:fldCharType="end"/>
      </w:r>
    </w:p>
    <w:p w14:paraId="53FD4016" w14:textId="3B0C2E6F" w:rsidR="00D362A7" w:rsidRPr="00D362A7" w:rsidRDefault="00D362A7" w:rsidP="00B23FF8">
      <w:pPr>
        <w:pStyle w:val="TableofFigures"/>
        <w:tabs>
          <w:tab w:val="right" w:leader="dot" w:pos="8771"/>
        </w:tabs>
        <w:snapToGrid w:val="0"/>
        <w:spacing w:beforeLines="60" w:before="144" w:afterLines="60" w:after="144" w:line="240" w:lineRule="auto"/>
        <w:rPr>
          <w:rFonts w:asciiTheme="minorHAnsi" w:eastAsiaTheme="minorEastAsia" w:hAnsiTheme="minorHAnsi" w:cstheme="minorBidi"/>
          <w:noProof/>
        </w:rPr>
      </w:pPr>
      <w:r w:rsidRPr="00B23FF8">
        <w:rPr>
          <w:noProof/>
        </w:rPr>
        <w:t xml:space="preserve">Figure 4.29 – Best fits of myeloid cells and </w:t>
      </w:r>
      <w:r w:rsidRPr="00B23FF8">
        <w:rPr>
          <w:i/>
          <w:noProof/>
        </w:rPr>
        <w:t>Leishmania donovani</w:t>
      </w:r>
      <w:r w:rsidRPr="00B23FF8">
        <w:rPr>
          <w:noProof/>
        </w:rPr>
        <w:t xml:space="preserve"> kinetics with parasitic behaviours.</w:t>
      </w:r>
      <w:r w:rsidRPr="00D362A7">
        <w:rPr>
          <w:noProof/>
        </w:rPr>
        <w:tab/>
      </w:r>
      <w:r w:rsidRPr="00D362A7">
        <w:rPr>
          <w:noProof/>
        </w:rPr>
        <w:fldChar w:fldCharType="begin"/>
      </w:r>
      <w:r w:rsidRPr="00D362A7">
        <w:rPr>
          <w:noProof/>
        </w:rPr>
        <w:instrText xml:space="preserve"> PAGEREF _Toc536814173 \h </w:instrText>
      </w:r>
      <w:r w:rsidRPr="00D362A7">
        <w:rPr>
          <w:noProof/>
        </w:rPr>
      </w:r>
      <w:r w:rsidRPr="00D362A7">
        <w:rPr>
          <w:noProof/>
        </w:rPr>
        <w:fldChar w:fldCharType="separate"/>
      </w:r>
      <w:r w:rsidR="00B251C6">
        <w:rPr>
          <w:noProof/>
        </w:rPr>
        <w:t>139</w:t>
      </w:r>
      <w:r w:rsidRPr="00D362A7">
        <w:rPr>
          <w:noProof/>
        </w:rPr>
        <w:fldChar w:fldCharType="end"/>
      </w:r>
    </w:p>
    <w:p w14:paraId="35906B4D" w14:textId="7DEE9282" w:rsidR="00D362A7" w:rsidRPr="00D362A7" w:rsidRDefault="00D362A7" w:rsidP="00B23FF8">
      <w:pPr>
        <w:pStyle w:val="TableofFigures"/>
        <w:tabs>
          <w:tab w:val="right" w:leader="dot" w:pos="8771"/>
        </w:tabs>
        <w:snapToGrid w:val="0"/>
        <w:spacing w:beforeLines="60" w:before="144" w:afterLines="60" w:after="144" w:line="240" w:lineRule="auto"/>
        <w:rPr>
          <w:rFonts w:asciiTheme="minorHAnsi" w:eastAsiaTheme="minorEastAsia" w:hAnsiTheme="minorHAnsi" w:cstheme="minorBidi"/>
          <w:noProof/>
        </w:rPr>
      </w:pPr>
      <w:r w:rsidRPr="00B23FF8">
        <w:rPr>
          <w:noProof/>
        </w:rPr>
        <w:t>Figure 4.30 - Statistical validation of model output.</w:t>
      </w:r>
      <w:r w:rsidRPr="00D362A7">
        <w:rPr>
          <w:noProof/>
        </w:rPr>
        <w:tab/>
      </w:r>
      <w:r w:rsidRPr="00D362A7">
        <w:rPr>
          <w:noProof/>
        </w:rPr>
        <w:fldChar w:fldCharType="begin"/>
      </w:r>
      <w:r w:rsidRPr="00D362A7">
        <w:rPr>
          <w:noProof/>
        </w:rPr>
        <w:instrText xml:space="preserve"> PAGEREF _Toc536814174 \h </w:instrText>
      </w:r>
      <w:r w:rsidRPr="00D362A7">
        <w:rPr>
          <w:noProof/>
        </w:rPr>
      </w:r>
      <w:r w:rsidRPr="00D362A7">
        <w:rPr>
          <w:noProof/>
        </w:rPr>
        <w:fldChar w:fldCharType="separate"/>
      </w:r>
      <w:r w:rsidR="00B251C6">
        <w:rPr>
          <w:noProof/>
        </w:rPr>
        <w:t>141</w:t>
      </w:r>
      <w:r w:rsidRPr="00D362A7">
        <w:rPr>
          <w:noProof/>
        </w:rPr>
        <w:fldChar w:fldCharType="end"/>
      </w:r>
    </w:p>
    <w:p w14:paraId="0071449D" w14:textId="395D7217" w:rsidR="00D362A7" w:rsidRPr="00D362A7" w:rsidRDefault="00D362A7" w:rsidP="00B23FF8">
      <w:pPr>
        <w:pStyle w:val="TableofFigures"/>
        <w:tabs>
          <w:tab w:val="right" w:leader="dot" w:pos="8771"/>
        </w:tabs>
        <w:snapToGrid w:val="0"/>
        <w:spacing w:beforeLines="60" w:before="144" w:afterLines="60" w:after="144" w:line="240" w:lineRule="auto"/>
        <w:rPr>
          <w:rFonts w:asciiTheme="minorHAnsi" w:eastAsiaTheme="minorEastAsia" w:hAnsiTheme="minorHAnsi" w:cstheme="minorBidi"/>
          <w:noProof/>
        </w:rPr>
      </w:pPr>
      <w:r w:rsidRPr="00B23FF8">
        <w:rPr>
          <w:noProof/>
        </w:rPr>
        <w:t>Figure 5.1 - Updated platform model of all modelled entities.</w:t>
      </w:r>
      <w:r w:rsidRPr="00D362A7">
        <w:rPr>
          <w:noProof/>
        </w:rPr>
        <w:tab/>
      </w:r>
      <w:r w:rsidRPr="00D362A7">
        <w:rPr>
          <w:noProof/>
        </w:rPr>
        <w:fldChar w:fldCharType="begin"/>
      </w:r>
      <w:r w:rsidRPr="00D362A7">
        <w:rPr>
          <w:noProof/>
        </w:rPr>
        <w:instrText xml:space="preserve"> PAGEREF _Toc536814175 \h </w:instrText>
      </w:r>
      <w:r w:rsidRPr="00D362A7">
        <w:rPr>
          <w:noProof/>
        </w:rPr>
      </w:r>
      <w:r w:rsidRPr="00D362A7">
        <w:rPr>
          <w:noProof/>
        </w:rPr>
        <w:fldChar w:fldCharType="separate"/>
      </w:r>
      <w:r w:rsidR="00B251C6">
        <w:rPr>
          <w:noProof/>
        </w:rPr>
        <w:t>149</w:t>
      </w:r>
      <w:r w:rsidRPr="00D362A7">
        <w:rPr>
          <w:noProof/>
        </w:rPr>
        <w:fldChar w:fldCharType="end"/>
      </w:r>
    </w:p>
    <w:p w14:paraId="1461F422" w14:textId="6E552A6A" w:rsidR="00D362A7" w:rsidRPr="00D362A7" w:rsidRDefault="00D362A7" w:rsidP="00B23FF8">
      <w:pPr>
        <w:pStyle w:val="TableofFigures"/>
        <w:tabs>
          <w:tab w:val="right" w:leader="dot" w:pos="8771"/>
        </w:tabs>
        <w:snapToGrid w:val="0"/>
        <w:spacing w:beforeLines="60" w:before="144" w:afterLines="60" w:after="144" w:line="240" w:lineRule="auto"/>
        <w:rPr>
          <w:rFonts w:asciiTheme="minorHAnsi" w:eastAsiaTheme="minorEastAsia" w:hAnsiTheme="minorHAnsi" w:cstheme="minorBidi"/>
          <w:noProof/>
        </w:rPr>
      </w:pPr>
      <w:r w:rsidRPr="00B23FF8">
        <w:rPr>
          <w:noProof/>
        </w:rPr>
        <w:t>Figure 5.2 – Diagrammatic representation and equations denoting processes for updated immune response model.</w:t>
      </w:r>
      <w:r w:rsidRPr="00D362A7">
        <w:rPr>
          <w:noProof/>
        </w:rPr>
        <w:tab/>
      </w:r>
      <w:r w:rsidRPr="00D362A7">
        <w:rPr>
          <w:noProof/>
        </w:rPr>
        <w:fldChar w:fldCharType="begin"/>
      </w:r>
      <w:r w:rsidRPr="00D362A7">
        <w:rPr>
          <w:noProof/>
        </w:rPr>
        <w:instrText xml:space="preserve"> PAGEREF _Toc536814176 \h </w:instrText>
      </w:r>
      <w:r w:rsidRPr="00D362A7">
        <w:rPr>
          <w:noProof/>
        </w:rPr>
      </w:r>
      <w:r w:rsidRPr="00D362A7">
        <w:rPr>
          <w:noProof/>
        </w:rPr>
        <w:fldChar w:fldCharType="separate"/>
      </w:r>
      <w:r w:rsidR="00B251C6">
        <w:rPr>
          <w:noProof/>
        </w:rPr>
        <w:t>150</w:t>
      </w:r>
      <w:r w:rsidRPr="00D362A7">
        <w:rPr>
          <w:noProof/>
        </w:rPr>
        <w:fldChar w:fldCharType="end"/>
      </w:r>
    </w:p>
    <w:p w14:paraId="0CDF7F91" w14:textId="13829DC5" w:rsidR="00D362A7" w:rsidRPr="00D362A7" w:rsidRDefault="00D362A7" w:rsidP="00B23FF8">
      <w:pPr>
        <w:pStyle w:val="TableofFigures"/>
        <w:tabs>
          <w:tab w:val="right" w:leader="dot" w:pos="8771"/>
        </w:tabs>
        <w:snapToGrid w:val="0"/>
        <w:spacing w:beforeLines="60" w:before="144" w:afterLines="60" w:after="144" w:line="240" w:lineRule="auto"/>
        <w:rPr>
          <w:rFonts w:asciiTheme="minorHAnsi" w:eastAsiaTheme="minorEastAsia" w:hAnsiTheme="minorHAnsi" w:cstheme="minorBidi"/>
          <w:noProof/>
        </w:rPr>
      </w:pPr>
      <w:r w:rsidRPr="00B23FF8">
        <w:rPr>
          <w:noProof/>
        </w:rPr>
        <w:t>Figure 5.3 - Fitting of T cell and myeloid cells in a naïve system.</w:t>
      </w:r>
      <w:r w:rsidRPr="00D362A7">
        <w:rPr>
          <w:noProof/>
        </w:rPr>
        <w:tab/>
      </w:r>
      <w:r w:rsidRPr="00D362A7">
        <w:rPr>
          <w:noProof/>
        </w:rPr>
        <w:fldChar w:fldCharType="begin"/>
      </w:r>
      <w:r w:rsidRPr="00D362A7">
        <w:rPr>
          <w:noProof/>
        </w:rPr>
        <w:instrText xml:space="preserve"> PAGEREF _Toc536814177 \h </w:instrText>
      </w:r>
      <w:r w:rsidRPr="00D362A7">
        <w:rPr>
          <w:noProof/>
        </w:rPr>
      </w:r>
      <w:r w:rsidRPr="00D362A7">
        <w:rPr>
          <w:noProof/>
        </w:rPr>
        <w:fldChar w:fldCharType="separate"/>
      </w:r>
      <w:r w:rsidR="00B251C6">
        <w:rPr>
          <w:noProof/>
        </w:rPr>
        <w:t>151</w:t>
      </w:r>
      <w:r w:rsidRPr="00D362A7">
        <w:rPr>
          <w:noProof/>
        </w:rPr>
        <w:fldChar w:fldCharType="end"/>
      </w:r>
    </w:p>
    <w:p w14:paraId="752D9A07" w14:textId="1FDB96F9" w:rsidR="00D362A7" w:rsidRPr="00D362A7" w:rsidRDefault="00D362A7" w:rsidP="00B23FF8">
      <w:pPr>
        <w:pStyle w:val="TableofFigures"/>
        <w:tabs>
          <w:tab w:val="right" w:leader="dot" w:pos="8771"/>
        </w:tabs>
        <w:snapToGrid w:val="0"/>
        <w:spacing w:beforeLines="60" w:before="144" w:afterLines="60" w:after="144" w:line="240" w:lineRule="auto"/>
        <w:rPr>
          <w:rFonts w:asciiTheme="minorHAnsi" w:eastAsiaTheme="minorEastAsia" w:hAnsiTheme="minorHAnsi" w:cstheme="minorBidi"/>
          <w:noProof/>
        </w:rPr>
      </w:pPr>
      <w:r w:rsidRPr="00B23FF8">
        <w:rPr>
          <w:noProof/>
        </w:rPr>
        <w:t>Figure 5.4 – RMSE Scores from the calibration of the newly developed model.</w:t>
      </w:r>
      <w:r w:rsidRPr="00D362A7">
        <w:rPr>
          <w:noProof/>
        </w:rPr>
        <w:tab/>
      </w:r>
      <w:r w:rsidRPr="00D362A7">
        <w:rPr>
          <w:noProof/>
        </w:rPr>
        <w:fldChar w:fldCharType="begin"/>
      </w:r>
      <w:r w:rsidRPr="00D362A7">
        <w:rPr>
          <w:noProof/>
        </w:rPr>
        <w:instrText xml:space="preserve"> PAGEREF _Toc536814178 \h </w:instrText>
      </w:r>
      <w:r w:rsidRPr="00D362A7">
        <w:rPr>
          <w:noProof/>
        </w:rPr>
      </w:r>
      <w:r w:rsidRPr="00D362A7">
        <w:rPr>
          <w:noProof/>
        </w:rPr>
        <w:fldChar w:fldCharType="separate"/>
      </w:r>
      <w:r w:rsidR="00B251C6">
        <w:rPr>
          <w:noProof/>
        </w:rPr>
        <w:t>153</w:t>
      </w:r>
      <w:r w:rsidRPr="00D362A7">
        <w:rPr>
          <w:noProof/>
        </w:rPr>
        <w:fldChar w:fldCharType="end"/>
      </w:r>
    </w:p>
    <w:p w14:paraId="717AF783" w14:textId="76364580" w:rsidR="00D362A7" w:rsidRPr="00D362A7" w:rsidRDefault="00D362A7" w:rsidP="00B23FF8">
      <w:pPr>
        <w:pStyle w:val="TableofFigures"/>
        <w:tabs>
          <w:tab w:val="right" w:leader="dot" w:pos="8771"/>
        </w:tabs>
        <w:snapToGrid w:val="0"/>
        <w:spacing w:beforeLines="60" w:before="144" w:afterLines="60" w:after="144" w:line="240" w:lineRule="auto"/>
        <w:rPr>
          <w:rFonts w:asciiTheme="minorHAnsi" w:eastAsiaTheme="minorEastAsia" w:hAnsiTheme="minorHAnsi" w:cstheme="minorBidi"/>
          <w:noProof/>
        </w:rPr>
      </w:pPr>
      <w:r w:rsidRPr="00B23FF8">
        <w:rPr>
          <w:noProof/>
        </w:rPr>
        <w:t xml:space="preserve">Figure 5.5 - Fitting of T cell, myeloid cells and </w:t>
      </w:r>
      <w:r w:rsidRPr="00B23FF8">
        <w:rPr>
          <w:i/>
          <w:noProof/>
        </w:rPr>
        <w:t>Leishmania donovani</w:t>
      </w:r>
      <w:r w:rsidRPr="00B23FF8">
        <w:rPr>
          <w:noProof/>
        </w:rPr>
        <w:t xml:space="preserve"> kinetics to new model.</w:t>
      </w:r>
      <w:r w:rsidRPr="00D362A7">
        <w:rPr>
          <w:noProof/>
        </w:rPr>
        <w:tab/>
      </w:r>
      <w:r w:rsidRPr="00D362A7">
        <w:rPr>
          <w:noProof/>
        </w:rPr>
        <w:fldChar w:fldCharType="begin"/>
      </w:r>
      <w:r w:rsidRPr="00D362A7">
        <w:rPr>
          <w:noProof/>
        </w:rPr>
        <w:instrText xml:space="preserve"> PAGEREF _Toc536814179 \h </w:instrText>
      </w:r>
      <w:r w:rsidRPr="00D362A7">
        <w:rPr>
          <w:noProof/>
        </w:rPr>
      </w:r>
      <w:r w:rsidRPr="00D362A7">
        <w:rPr>
          <w:noProof/>
        </w:rPr>
        <w:fldChar w:fldCharType="separate"/>
      </w:r>
      <w:r w:rsidR="00B251C6">
        <w:rPr>
          <w:noProof/>
        </w:rPr>
        <w:t>154</w:t>
      </w:r>
      <w:r w:rsidRPr="00D362A7">
        <w:rPr>
          <w:noProof/>
        </w:rPr>
        <w:fldChar w:fldCharType="end"/>
      </w:r>
    </w:p>
    <w:p w14:paraId="157653A7" w14:textId="15C1762D" w:rsidR="00D362A7" w:rsidRPr="00D362A7" w:rsidRDefault="00D362A7" w:rsidP="00B23FF8">
      <w:pPr>
        <w:pStyle w:val="TableofFigures"/>
        <w:tabs>
          <w:tab w:val="right" w:leader="dot" w:pos="8771"/>
        </w:tabs>
        <w:snapToGrid w:val="0"/>
        <w:spacing w:beforeLines="60" w:before="144" w:afterLines="60" w:after="144" w:line="240" w:lineRule="auto"/>
        <w:rPr>
          <w:rFonts w:asciiTheme="minorHAnsi" w:eastAsiaTheme="minorEastAsia" w:hAnsiTheme="minorHAnsi" w:cstheme="minorBidi"/>
          <w:noProof/>
        </w:rPr>
      </w:pPr>
      <w:r w:rsidRPr="00B23FF8">
        <w:rPr>
          <w:noProof/>
        </w:rPr>
        <w:t xml:space="preserve">Figure 5.6 - Best fits of T cells, myeloid cells and </w:t>
      </w:r>
      <w:r w:rsidRPr="00B23FF8">
        <w:rPr>
          <w:i/>
          <w:noProof/>
        </w:rPr>
        <w:t>Leishmania donovani</w:t>
      </w:r>
      <w:r w:rsidRPr="00B23FF8">
        <w:rPr>
          <w:noProof/>
        </w:rPr>
        <w:t xml:space="preserve"> kinetics for new model.</w:t>
      </w:r>
      <w:r w:rsidRPr="00D362A7">
        <w:rPr>
          <w:noProof/>
        </w:rPr>
        <w:tab/>
      </w:r>
      <w:r w:rsidRPr="00D362A7">
        <w:rPr>
          <w:noProof/>
        </w:rPr>
        <w:fldChar w:fldCharType="begin"/>
      </w:r>
      <w:r w:rsidRPr="00D362A7">
        <w:rPr>
          <w:noProof/>
        </w:rPr>
        <w:instrText xml:space="preserve"> PAGEREF _Toc536814180 \h </w:instrText>
      </w:r>
      <w:r w:rsidRPr="00D362A7">
        <w:rPr>
          <w:noProof/>
        </w:rPr>
      </w:r>
      <w:r w:rsidRPr="00D362A7">
        <w:rPr>
          <w:noProof/>
        </w:rPr>
        <w:fldChar w:fldCharType="separate"/>
      </w:r>
      <w:r w:rsidR="00B251C6">
        <w:rPr>
          <w:noProof/>
        </w:rPr>
        <w:t>155</w:t>
      </w:r>
      <w:r w:rsidRPr="00D362A7">
        <w:rPr>
          <w:noProof/>
        </w:rPr>
        <w:fldChar w:fldCharType="end"/>
      </w:r>
    </w:p>
    <w:p w14:paraId="7773F944" w14:textId="4A281F3E" w:rsidR="00D362A7" w:rsidRPr="00D362A7" w:rsidRDefault="00D362A7" w:rsidP="00B23FF8">
      <w:pPr>
        <w:pStyle w:val="TableofFigures"/>
        <w:tabs>
          <w:tab w:val="right" w:leader="dot" w:pos="8771"/>
        </w:tabs>
        <w:snapToGrid w:val="0"/>
        <w:spacing w:beforeLines="60" w:before="144" w:afterLines="60" w:after="144" w:line="240" w:lineRule="auto"/>
        <w:rPr>
          <w:rFonts w:asciiTheme="minorHAnsi" w:eastAsiaTheme="minorEastAsia" w:hAnsiTheme="minorHAnsi" w:cstheme="minorBidi"/>
          <w:noProof/>
        </w:rPr>
      </w:pPr>
      <w:r w:rsidRPr="00B23FF8">
        <w:rPr>
          <w:noProof/>
        </w:rPr>
        <w:t xml:space="preserve">Figure 5.7 - Global sensitivity analysis of parameter influence on Intracellular </w:t>
      </w:r>
      <w:r w:rsidRPr="00B23FF8">
        <w:rPr>
          <w:i/>
          <w:noProof/>
        </w:rPr>
        <w:t>L. donovani</w:t>
      </w:r>
      <w:r w:rsidRPr="00B23FF8">
        <w:rPr>
          <w:noProof/>
        </w:rPr>
        <w:t xml:space="preserve"> levels.</w:t>
      </w:r>
      <w:r w:rsidRPr="00D362A7">
        <w:rPr>
          <w:noProof/>
        </w:rPr>
        <w:tab/>
      </w:r>
      <w:r w:rsidRPr="00D362A7">
        <w:rPr>
          <w:noProof/>
        </w:rPr>
        <w:fldChar w:fldCharType="begin"/>
      </w:r>
      <w:r w:rsidRPr="00D362A7">
        <w:rPr>
          <w:noProof/>
        </w:rPr>
        <w:instrText xml:space="preserve"> PAGEREF _Toc536814181 \h </w:instrText>
      </w:r>
      <w:r w:rsidRPr="00D362A7">
        <w:rPr>
          <w:noProof/>
        </w:rPr>
      </w:r>
      <w:r w:rsidRPr="00D362A7">
        <w:rPr>
          <w:noProof/>
        </w:rPr>
        <w:fldChar w:fldCharType="separate"/>
      </w:r>
      <w:r w:rsidR="00B251C6">
        <w:rPr>
          <w:noProof/>
        </w:rPr>
        <w:t>157</w:t>
      </w:r>
      <w:r w:rsidRPr="00D362A7">
        <w:rPr>
          <w:noProof/>
        </w:rPr>
        <w:fldChar w:fldCharType="end"/>
      </w:r>
    </w:p>
    <w:p w14:paraId="372EB079" w14:textId="34FB0B4B" w:rsidR="00D362A7" w:rsidRPr="00D362A7" w:rsidRDefault="00D362A7" w:rsidP="00B23FF8">
      <w:pPr>
        <w:pStyle w:val="TableofFigures"/>
        <w:tabs>
          <w:tab w:val="right" w:leader="dot" w:pos="8771"/>
        </w:tabs>
        <w:snapToGrid w:val="0"/>
        <w:spacing w:beforeLines="60" w:before="144" w:afterLines="60" w:after="144" w:line="240" w:lineRule="auto"/>
        <w:rPr>
          <w:rFonts w:asciiTheme="minorHAnsi" w:eastAsiaTheme="minorEastAsia" w:hAnsiTheme="minorHAnsi" w:cstheme="minorBidi"/>
          <w:noProof/>
        </w:rPr>
      </w:pPr>
      <w:r w:rsidRPr="00B23FF8">
        <w:rPr>
          <w:noProof/>
        </w:rPr>
        <w:t>Figure 5.8 - Statistical validation of new model output.</w:t>
      </w:r>
      <w:r w:rsidRPr="00D362A7">
        <w:rPr>
          <w:noProof/>
        </w:rPr>
        <w:tab/>
      </w:r>
      <w:r w:rsidRPr="00D362A7">
        <w:rPr>
          <w:noProof/>
        </w:rPr>
        <w:fldChar w:fldCharType="begin"/>
      </w:r>
      <w:r w:rsidRPr="00D362A7">
        <w:rPr>
          <w:noProof/>
        </w:rPr>
        <w:instrText xml:space="preserve"> PAGEREF _Toc536814182 \h </w:instrText>
      </w:r>
      <w:r w:rsidRPr="00D362A7">
        <w:rPr>
          <w:noProof/>
        </w:rPr>
      </w:r>
      <w:r w:rsidRPr="00D362A7">
        <w:rPr>
          <w:noProof/>
        </w:rPr>
        <w:fldChar w:fldCharType="separate"/>
      </w:r>
      <w:r w:rsidR="00B251C6">
        <w:rPr>
          <w:noProof/>
        </w:rPr>
        <w:t>158</w:t>
      </w:r>
      <w:r w:rsidRPr="00D362A7">
        <w:rPr>
          <w:noProof/>
        </w:rPr>
        <w:fldChar w:fldCharType="end"/>
      </w:r>
    </w:p>
    <w:p w14:paraId="1534D4B9" w14:textId="2B94C8A1" w:rsidR="00D362A7" w:rsidRPr="00D362A7" w:rsidRDefault="00D362A7" w:rsidP="00B23FF8">
      <w:pPr>
        <w:pStyle w:val="TableofFigures"/>
        <w:tabs>
          <w:tab w:val="right" w:leader="dot" w:pos="8771"/>
        </w:tabs>
        <w:snapToGrid w:val="0"/>
        <w:spacing w:beforeLines="60" w:before="144" w:afterLines="60" w:after="144" w:line="240" w:lineRule="auto"/>
        <w:rPr>
          <w:rFonts w:asciiTheme="minorHAnsi" w:eastAsiaTheme="minorEastAsia" w:hAnsiTheme="minorHAnsi" w:cstheme="minorBidi"/>
          <w:noProof/>
        </w:rPr>
      </w:pPr>
      <w:r w:rsidRPr="00B23FF8">
        <w:rPr>
          <w:noProof/>
        </w:rPr>
        <w:t>Figure 5.9 - Pharmacokinetic time course for Amphotericin B accumulation in total myeloid population and T Cells.</w:t>
      </w:r>
      <w:r w:rsidRPr="00D362A7">
        <w:rPr>
          <w:noProof/>
        </w:rPr>
        <w:tab/>
      </w:r>
      <w:r w:rsidRPr="00D362A7">
        <w:rPr>
          <w:noProof/>
        </w:rPr>
        <w:fldChar w:fldCharType="begin"/>
      </w:r>
      <w:r w:rsidRPr="00D362A7">
        <w:rPr>
          <w:noProof/>
        </w:rPr>
        <w:instrText xml:space="preserve"> PAGEREF _Toc536814183 \h </w:instrText>
      </w:r>
      <w:r w:rsidRPr="00D362A7">
        <w:rPr>
          <w:noProof/>
        </w:rPr>
      </w:r>
      <w:r w:rsidRPr="00D362A7">
        <w:rPr>
          <w:noProof/>
        </w:rPr>
        <w:fldChar w:fldCharType="separate"/>
      </w:r>
      <w:r w:rsidR="00B251C6">
        <w:rPr>
          <w:noProof/>
        </w:rPr>
        <w:t>159</w:t>
      </w:r>
      <w:r w:rsidRPr="00D362A7">
        <w:rPr>
          <w:noProof/>
        </w:rPr>
        <w:fldChar w:fldCharType="end"/>
      </w:r>
    </w:p>
    <w:p w14:paraId="26D16A9E" w14:textId="3A48B745" w:rsidR="00D362A7" w:rsidRPr="00D362A7" w:rsidRDefault="00D362A7" w:rsidP="00B23FF8">
      <w:pPr>
        <w:pStyle w:val="TableofFigures"/>
        <w:tabs>
          <w:tab w:val="right" w:leader="dot" w:pos="8771"/>
        </w:tabs>
        <w:snapToGrid w:val="0"/>
        <w:spacing w:beforeLines="60" w:before="144" w:afterLines="60" w:after="144" w:line="240" w:lineRule="auto"/>
        <w:rPr>
          <w:rFonts w:asciiTheme="minorHAnsi" w:eastAsiaTheme="minorEastAsia" w:hAnsiTheme="minorHAnsi" w:cstheme="minorBidi"/>
          <w:noProof/>
        </w:rPr>
      </w:pPr>
      <w:r w:rsidRPr="00B23FF8">
        <w:rPr>
          <w:noProof/>
        </w:rPr>
        <w:t>Figure 5.10 - Expected behaviours diagram for the activities of Amphotericin B in the liver during EVL.</w:t>
      </w:r>
      <w:r w:rsidRPr="00D362A7">
        <w:rPr>
          <w:noProof/>
        </w:rPr>
        <w:t xml:space="preserve"> </w:t>
      </w:r>
      <w:r w:rsidRPr="00D362A7">
        <w:rPr>
          <w:noProof/>
        </w:rPr>
        <w:tab/>
      </w:r>
      <w:r w:rsidRPr="00D362A7">
        <w:rPr>
          <w:noProof/>
        </w:rPr>
        <w:fldChar w:fldCharType="begin"/>
      </w:r>
      <w:r w:rsidRPr="00D362A7">
        <w:rPr>
          <w:noProof/>
        </w:rPr>
        <w:instrText xml:space="preserve"> PAGEREF _Toc536814184 \h </w:instrText>
      </w:r>
      <w:r w:rsidRPr="00D362A7">
        <w:rPr>
          <w:noProof/>
        </w:rPr>
      </w:r>
      <w:r w:rsidRPr="00D362A7">
        <w:rPr>
          <w:noProof/>
        </w:rPr>
        <w:fldChar w:fldCharType="separate"/>
      </w:r>
      <w:r w:rsidR="00B251C6">
        <w:rPr>
          <w:noProof/>
        </w:rPr>
        <w:t>161</w:t>
      </w:r>
      <w:r w:rsidRPr="00D362A7">
        <w:rPr>
          <w:noProof/>
        </w:rPr>
        <w:fldChar w:fldCharType="end"/>
      </w:r>
    </w:p>
    <w:p w14:paraId="4AF3E5B9" w14:textId="5C0BF630" w:rsidR="00D362A7" w:rsidRPr="00D362A7" w:rsidRDefault="00D362A7" w:rsidP="00B23FF8">
      <w:pPr>
        <w:pStyle w:val="TableofFigures"/>
        <w:tabs>
          <w:tab w:val="right" w:leader="dot" w:pos="8771"/>
        </w:tabs>
        <w:snapToGrid w:val="0"/>
        <w:spacing w:beforeLines="60" w:before="144" w:afterLines="60" w:after="144" w:line="240" w:lineRule="auto"/>
        <w:rPr>
          <w:rFonts w:asciiTheme="minorHAnsi" w:eastAsiaTheme="minorEastAsia" w:hAnsiTheme="minorHAnsi" w:cstheme="minorBidi"/>
          <w:noProof/>
        </w:rPr>
      </w:pPr>
      <w:r w:rsidRPr="00B23FF8">
        <w:rPr>
          <w:noProof/>
        </w:rPr>
        <w:t>Figure 5.11 – Domain model activity diagram for Amphotericin B.</w:t>
      </w:r>
      <w:r w:rsidRPr="00D362A7">
        <w:rPr>
          <w:noProof/>
        </w:rPr>
        <w:tab/>
      </w:r>
      <w:r w:rsidRPr="00D362A7">
        <w:rPr>
          <w:noProof/>
        </w:rPr>
        <w:fldChar w:fldCharType="begin"/>
      </w:r>
      <w:r w:rsidRPr="00D362A7">
        <w:rPr>
          <w:noProof/>
        </w:rPr>
        <w:instrText xml:space="preserve"> PAGEREF _Toc536814185 \h </w:instrText>
      </w:r>
      <w:r w:rsidRPr="00D362A7">
        <w:rPr>
          <w:noProof/>
        </w:rPr>
      </w:r>
      <w:r w:rsidRPr="00D362A7">
        <w:rPr>
          <w:noProof/>
        </w:rPr>
        <w:fldChar w:fldCharType="separate"/>
      </w:r>
      <w:r w:rsidR="00B251C6">
        <w:rPr>
          <w:noProof/>
        </w:rPr>
        <w:t>162</w:t>
      </w:r>
      <w:r w:rsidRPr="00D362A7">
        <w:rPr>
          <w:noProof/>
        </w:rPr>
        <w:fldChar w:fldCharType="end"/>
      </w:r>
    </w:p>
    <w:p w14:paraId="09C0B823" w14:textId="12705306" w:rsidR="00D362A7" w:rsidRPr="00D362A7" w:rsidRDefault="00D362A7" w:rsidP="00B23FF8">
      <w:pPr>
        <w:pStyle w:val="TableofFigures"/>
        <w:tabs>
          <w:tab w:val="right" w:leader="dot" w:pos="8771"/>
        </w:tabs>
        <w:snapToGrid w:val="0"/>
        <w:spacing w:beforeLines="60" w:before="144" w:afterLines="60" w:after="144" w:line="240" w:lineRule="auto"/>
        <w:rPr>
          <w:rFonts w:asciiTheme="minorHAnsi" w:eastAsiaTheme="minorEastAsia" w:hAnsiTheme="minorHAnsi" w:cstheme="minorBidi"/>
          <w:noProof/>
        </w:rPr>
      </w:pPr>
      <w:r w:rsidRPr="00B23FF8">
        <w:rPr>
          <w:noProof/>
        </w:rPr>
        <w:t>Figure 5.12 – Domain state diagram of Amphotericin B.</w:t>
      </w:r>
      <w:r w:rsidRPr="00D362A7">
        <w:rPr>
          <w:noProof/>
        </w:rPr>
        <w:tab/>
      </w:r>
      <w:r w:rsidRPr="00D362A7">
        <w:rPr>
          <w:noProof/>
        </w:rPr>
        <w:fldChar w:fldCharType="begin"/>
      </w:r>
      <w:r w:rsidRPr="00D362A7">
        <w:rPr>
          <w:noProof/>
        </w:rPr>
        <w:instrText xml:space="preserve"> PAGEREF _Toc536814186 \h </w:instrText>
      </w:r>
      <w:r w:rsidRPr="00D362A7">
        <w:rPr>
          <w:noProof/>
        </w:rPr>
      </w:r>
      <w:r w:rsidRPr="00D362A7">
        <w:rPr>
          <w:noProof/>
        </w:rPr>
        <w:fldChar w:fldCharType="separate"/>
      </w:r>
      <w:r w:rsidR="00B251C6">
        <w:rPr>
          <w:noProof/>
        </w:rPr>
        <w:t>163</w:t>
      </w:r>
      <w:r w:rsidRPr="00D362A7">
        <w:rPr>
          <w:noProof/>
        </w:rPr>
        <w:fldChar w:fldCharType="end"/>
      </w:r>
    </w:p>
    <w:p w14:paraId="522391AE" w14:textId="498F4FD5" w:rsidR="00D362A7" w:rsidRPr="00D362A7" w:rsidRDefault="00D362A7" w:rsidP="00B23FF8">
      <w:pPr>
        <w:pStyle w:val="TableofFigures"/>
        <w:tabs>
          <w:tab w:val="right" w:leader="dot" w:pos="8771"/>
        </w:tabs>
        <w:snapToGrid w:val="0"/>
        <w:spacing w:beforeLines="60" w:before="144" w:afterLines="60" w:after="144" w:line="240" w:lineRule="auto"/>
        <w:rPr>
          <w:rFonts w:asciiTheme="minorHAnsi" w:eastAsiaTheme="minorEastAsia" w:hAnsiTheme="minorHAnsi" w:cstheme="minorBidi"/>
          <w:noProof/>
        </w:rPr>
      </w:pPr>
      <w:r w:rsidRPr="00B23FF8">
        <w:rPr>
          <w:noProof/>
        </w:rPr>
        <w:t xml:space="preserve">Figure 5.13 - Updated domain model of </w:t>
      </w:r>
      <w:r w:rsidRPr="00B23FF8">
        <w:rPr>
          <w:i/>
          <w:noProof/>
        </w:rPr>
        <w:t>L. donovani</w:t>
      </w:r>
      <w:r w:rsidRPr="00B23FF8">
        <w:rPr>
          <w:noProof/>
        </w:rPr>
        <w:t xml:space="preserve"> activities.</w:t>
      </w:r>
      <w:r w:rsidRPr="00D362A7">
        <w:rPr>
          <w:noProof/>
        </w:rPr>
        <w:tab/>
      </w:r>
      <w:r w:rsidRPr="00D362A7">
        <w:rPr>
          <w:noProof/>
        </w:rPr>
        <w:fldChar w:fldCharType="begin"/>
      </w:r>
      <w:r w:rsidRPr="00D362A7">
        <w:rPr>
          <w:noProof/>
        </w:rPr>
        <w:instrText xml:space="preserve"> PAGEREF _Toc536814188 \h </w:instrText>
      </w:r>
      <w:r w:rsidRPr="00D362A7">
        <w:rPr>
          <w:noProof/>
        </w:rPr>
      </w:r>
      <w:r w:rsidRPr="00D362A7">
        <w:rPr>
          <w:noProof/>
        </w:rPr>
        <w:fldChar w:fldCharType="separate"/>
      </w:r>
      <w:r w:rsidR="00B251C6">
        <w:rPr>
          <w:noProof/>
        </w:rPr>
        <w:t>165</w:t>
      </w:r>
      <w:r w:rsidRPr="00D362A7">
        <w:rPr>
          <w:noProof/>
        </w:rPr>
        <w:fldChar w:fldCharType="end"/>
      </w:r>
    </w:p>
    <w:p w14:paraId="39989F98" w14:textId="1D582613" w:rsidR="00D362A7" w:rsidRPr="00D362A7" w:rsidRDefault="00D362A7" w:rsidP="00B23FF8">
      <w:pPr>
        <w:pStyle w:val="TableofFigures"/>
        <w:tabs>
          <w:tab w:val="right" w:leader="dot" w:pos="8771"/>
        </w:tabs>
        <w:snapToGrid w:val="0"/>
        <w:spacing w:beforeLines="60" w:before="144" w:afterLines="60" w:after="144" w:line="240" w:lineRule="auto"/>
        <w:rPr>
          <w:rFonts w:asciiTheme="minorHAnsi" w:eastAsiaTheme="minorEastAsia" w:hAnsiTheme="minorHAnsi" w:cstheme="minorBidi"/>
          <w:noProof/>
        </w:rPr>
      </w:pPr>
      <w:r w:rsidRPr="00B23FF8">
        <w:rPr>
          <w:noProof/>
        </w:rPr>
        <w:t>Figure 5.15 -</w:t>
      </w:r>
      <w:r w:rsidRPr="00D362A7">
        <w:rPr>
          <w:noProof/>
        </w:rPr>
        <w:t xml:space="preserve"> </w:t>
      </w:r>
      <w:r w:rsidRPr="00B23FF8">
        <w:rPr>
          <w:noProof/>
        </w:rPr>
        <w:t>Platform state diagram of Amphotericin B.</w:t>
      </w:r>
      <w:r w:rsidRPr="00D362A7">
        <w:rPr>
          <w:noProof/>
        </w:rPr>
        <w:tab/>
      </w:r>
      <w:r w:rsidRPr="00D362A7">
        <w:rPr>
          <w:noProof/>
        </w:rPr>
        <w:fldChar w:fldCharType="begin"/>
      </w:r>
      <w:r w:rsidRPr="00D362A7">
        <w:rPr>
          <w:noProof/>
        </w:rPr>
        <w:instrText xml:space="preserve"> PAGEREF _Toc536814189 \h </w:instrText>
      </w:r>
      <w:r w:rsidRPr="00D362A7">
        <w:rPr>
          <w:noProof/>
        </w:rPr>
      </w:r>
      <w:r w:rsidRPr="00D362A7">
        <w:rPr>
          <w:noProof/>
        </w:rPr>
        <w:fldChar w:fldCharType="separate"/>
      </w:r>
      <w:r w:rsidR="00B251C6">
        <w:rPr>
          <w:noProof/>
        </w:rPr>
        <w:t>165</w:t>
      </w:r>
      <w:r w:rsidRPr="00D362A7">
        <w:rPr>
          <w:noProof/>
        </w:rPr>
        <w:fldChar w:fldCharType="end"/>
      </w:r>
    </w:p>
    <w:p w14:paraId="2F2F6CD3" w14:textId="369F0EFB" w:rsidR="00D362A7" w:rsidRPr="00D362A7" w:rsidRDefault="00D362A7" w:rsidP="00B23FF8">
      <w:pPr>
        <w:pStyle w:val="TableofFigures"/>
        <w:tabs>
          <w:tab w:val="right" w:leader="dot" w:pos="8771"/>
        </w:tabs>
        <w:snapToGrid w:val="0"/>
        <w:spacing w:beforeLines="60" w:before="144" w:afterLines="60" w:after="144" w:line="240" w:lineRule="auto"/>
        <w:rPr>
          <w:rFonts w:asciiTheme="minorHAnsi" w:eastAsiaTheme="minorEastAsia" w:hAnsiTheme="minorHAnsi" w:cstheme="minorBidi"/>
          <w:noProof/>
        </w:rPr>
      </w:pPr>
      <w:r w:rsidRPr="00B23FF8">
        <w:rPr>
          <w:noProof/>
        </w:rPr>
        <w:t>Figure 5.16 - Diagrammatic representation and equations describing the activities and states of Amphotericin B in the simulation model.</w:t>
      </w:r>
      <w:r w:rsidRPr="00D362A7">
        <w:rPr>
          <w:noProof/>
        </w:rPr>
        <w:tab/>
      </w:r>
      <w:r w:rsidRPr="00D362A7">
        <w:rPr>
          <w:noProof/>
        </w:rPr>
        <w:fldChar w:fldCharType="begin"/>
      </w:r>
      <w:r w:rsidRPr="00D362A7">
        <w:rPr>
          <w:noProof/>
        </w:rPr>
        <w:instrText xml:space="preserve"> PAGEREF _Toc536814190 \h </w:instrText>
      </w:r>
      <w:r w:rsidRPr="00D362A7">
        <w:rPr>
          <w:noProof/>
        </w:rPr>
      </w:r>
      <w:r w:rsidRPr="00D362A7">
        <w:rPr>
          <w:noProof/>
        </w:rPr>
        <w:fldChar w:fldCharType="separate"/>
      </w:r>
      <w:r w:rsidR="00B251C6">
        <w:rPr>
          <w:noProof/>
        </w:rPr>
        <w:t>166</w:t>
      </w:r>
      <w:r w:rsidRPr="00D362A7">
        <w:rPr>
          <w:noProof/>
        </w:rPr>
        <w:fldChar w:fldCharType="end"/>
      </w:r>
    </w:p>
    <w:p w14:paraId="496EB5FD" w14:textId="3A95C440" w:rsidR="00D362A7" w:rsidRPr="00D362A7" w:rsidRDefault="00D362A7" w:rsidP="00B23FF8">
      <w:pPr>
        <w:pStyle w:val="TableofFigures"/>
        <w:tabs>
          <w:tab w:val="right" w:leader="dot" w:pos="8771"/>
        </w:tabs>
        <w:snapToGrid w:val="0"/>
        <w:spacing w:beforeLines="60" w:before="144" w:afterLines="60" w:after="144" w:line="240" w:lineRule="auto"/>
        <w:rPr>
          <w:rFonts w:asciiTheme="minorHAnsi" w:eastAsiaTheme="minorEastAsia" w:hAnsiTheme="minorHAnsi" w:cstheme="minorBidi"/>
          <w:noProof/>
        </w:rPr>
      </w:pPr>
      <w:r w:rsidRPr="00B23FF8">
        <w:rPr>
          <w:noProof/>
        </w:rPr>
        <w:t>Figure 5.17 - Calibration of RMSE Scores for Amphotericin B accumulation in the Liver, Myeloid cells and T Cells.</w:t>
      </w:r>
      <w:r w:rsidRPr="00D362A7">
        <w:rPr>
          <w:noProof/>
        </w:rPr>
        <w:tab/>
      </w:r>
      <w:r w:rsidRPr="00D362A7">
        <w:rPr>
          <w:noProof/>
        </w:rPr>
        <w:fldChar w:fldCharType="begin"/>
      </w:r>
      <w:r w:rsidRPr="00D362A7">
        <w:rPr>
          <w:noProof/>
        </w:rPr>
        <w:instrText xml:space="preserve"> PAGEREF _Toc536814191 \h </w:instrText>
      </w:r>
      <w:r w:rsidRPr="00D362A7">
        <w:rPr>
          <w:noProof/>
        </w:rPr>
      </w:r>
      <w:r w:rsidRPr="00D362A7">
        <w:rPr>
          <w:noProof/>
        </w:rPr>
        <w:fldChar w:fldCharType="separate"/>
      </w:r>
      <w:r w:rsidR="00B251C6">
        <w:rPr>
          <w:noProof/>
        </w:rPr>
        <w:t>169</w:t>
      </w:r>
      <w:r w:rsidRPr="00D362A7">
        <w:rPr>
          <w:noProof/>
        </w:rPr>
        <w:fldChar w:fldCharType="end"/>
      </w:r>
    </w:p>
    <w:p w14:paraId="374894DC" w14:textId="14DDAE4E" w:rsidR="00D362A7" w:rsidRPr="00D362A7" w:rsidRDefault="00D362A7" w:rsidP="00B23FF8">
      <w:pPr>
        <w:pStyle w:val="TableofFigures"/>
        <w:tabs>
          <w:tab w:val="right" w:leader="dot" w:pos="8771"/>
        </w:tabs>
        <w:snapToGrid w:val="0"/>
        <w:spacing w:beforeLines="60" w:before="144" w:afterLines="60" w:after="144" w:line="240" w:lineRule="auto"/>
        <w:rPr>
          <w:rFonts w:asciiTheme="minorHAnsi" w:eastAsiaTheme="minorEastAsia" w:hAnsiTheme="minorHAnsi" w:cstheme="minorBidi"/>
          <w:noProof/>
        </w:rPr>
      </w:pPr>
      <w:r w:rsidRPr="00B23FF8">
        <w:rPr>
          <w:noProof/>
        </w:rPr>
        <w:t>Figure 5.18 - Fitting of Liver, T cell and Myeloid Cell Amphotericin B accumulation using calibrated parameter sets.</w:t>
      </w:r>
      <w:r w:rsidRPr="00D362A7">
        <w:rPr>
          <w:noProof/>
        </w:rPr>
        <w:tab/>
      </w:r>
      <w:r w:rsidRPr="00D362A7">
        <w:rPr>
          <w:noProof/>
        </w:rPr>
        <w:fldChar w:fldCharType="begin"/>
      </w:r>
      <w:r w:rsidRPr="00D362A7">
        <w:rPr>
          <w:noProof/>
        </w:rPr>
        <w:instrText xml:space="preserve"> PAGEREF _Toc536814192 \h </w:instrText>
      </w:r>
      <w:r w:rsidRPr="00D362A7">
        <w:rPr>
          <w:noProof/>
        </w:rPr>
      </w:r>
      <w:r w:rsidRPr="00D362A7">
        <w:rPr>
          <w:noProof/>
        </w:rPr>
        <w:fldChar w:fldCharType="separate"/>
      </w:r>
      <w:r w:rsidR="00B251C6">
        <w:rPr>
          <w:noProof/>
        </w:rPr>
        <w:t>170</w:t>
      </w:r>
      <w:r w:rsidRPr="00D362A7">
        <w:rPr>
          <w:noProof/>
        </w:rPr>
        <w:fldChar w:fldCharType="end"/>
      </w:r>
    </w:p>
    <w:p w14:paraId="76838F9D" w14:textId="718DB797" w:rsidR="00D362A7" w:rsidRPr="00D362A7" w:rsidRDefault="00D362A7" w:rsidP="00B23FF8">
      <w:pPr>
        <w:pStyle w:val="TableofFigures"/>
        <w:tabs>
          <w:tab w:val="right" w:leader="dot" w:pos="8771"/>
        </w:tabs>
        <w:snapToGrid w:val="0"/>
        <w:spacing w:beforeLines="60" w:before="144" w:afterLines="60" w:after="144" w:line="240" w:lineRule="auto"/>
        <w:rPr>
          <w:rFonts w:asciiTheme="minorHAnsi" w:eastAsiaTheme="minorEastAsia" w:hAnsiTheme="minorHAnsi" w:cstheme="minorBidi"/>
          <w:noProof/>
        </w:rPr>
      </w:pPr>
      <w:r w:rsidRPr="00B23FF8">
        <w:rPr>
          <w:noProof/>
        </w:rPr>
        <w:lastRenderedPageBreak/>
        <w:t>Figure 7.1 - Purity of cellular fractions post-liver digestion &amp; comparison of leukocyte viability using different digestion protocols.</w:t>
      </w:r>
      <w:r w:rsidRPr="00D362A7">
        <w:rPr>
          <w:noProof/>
        </w:rPr>
        <w:tab/>
      </w:r>
      <w:r w:rsidRPr="00D362A7">
        <w:rPr>
          <w:noProof/>
        </w:rPr>
        <w:fldChar w:fldCharType="begin"/>
      </w:r>
      <w:r w:rsidRPr="00D362A7">
        <w:rPr>
          <w:noProof/>
        </w:rPr>
        <w:instrText xml:space="preserve"> PAGEREF _Toc536814193 \h </w:instrText>
      </w:r>
      <w:r w:rsidRPr="00D362A7">
        <w:rPr>
          <w:noProof/>
        </w:rPr>
      </w:r>
      <w:r w:rsidRPr="00D362A7">
        <w:rPr>
          <w:noProof/>
        </w:rPr>
        <w:fldChar w:fldCharType="separate"/>
      </w:r>
      <w:r w:rsidR="00B251C6">
        <w:rPr>
          <w:noProof/>
        </w:rPr>
        <w:t>187</w:t>
      </w:r>
      <w:r w:rsidRPr="00D362A7">
        <w:rPr>
          <w:noProof/>
        </w:rPr>
        <w:fldChar w:fldCharType="end"/>
      </w:r>
    </w:p>
    <w:p w14:paraId="3029761E" w14:textId="11774683" w:rsidR="00D362A7" w:rsidRPr="00D362A7" w:rsidRDefault="00D362A7" w:rsidP="00B23FF8">
      <w:pPr>
        <w:pStyle w:val="TableofFigures"/>
        <w:tabs>
          <w:tab w:val="right" w:leader="dot" w:pos="8771"/>
        </w:tabs>
        <w:snapToGrid w:val="0"/>
        <w:spacing w:beforeLines="60" w:before="144" w:afterLines="60" w:after="144" w:line="240" w:lineRule="auto"/>
        <w:rPr>
          <w:rFonts w:asciiTheme="minorHAnsi" w:eastAsiaTheme="minorEastAsia" w:hAnsiTheme="minorHAnsi" w:cstheme="minorBidi"/>
          <w:noProof/>
        </w:rPr>
      </w:pPr>
      <w:r w:rsidRPr="00B23FF8">
        <w:rPr>
          <w:noProof/>
        </w:rPr>
        <w:t xml:space="preserve">Figure 7.2 - Significant changes in liver weight, but not bodyweight, are seen in </w:t>
      </w:r>
      <w:r w:rsidRPr="00B23FF8">
        <w:rPr>
          <w:i/>
          <w:noProof/>
        </w:rPr>
        <w:t>L. donovani</w:t>
      </w:r>
      <w:r w:rsidRPr="00B23FF8">
        <w:rPr>
          <w:noProof/>
        </w:rPr>
        <w:t xml:space="preserve"> infected mice.</w:t>
      </w:r>
      <w:r w:rsidRPr="00D362A7">
        <w:rPr>
          <w:noProof/>
        </w:rPr>
        <w:tab/>
      </w:r>
      <w:r w:rsidRPr="00D362A7">
        <w:rPr>
          <w:noProof/>
        </w:rPr>
        <w:fldChar w:fldCharType="begin"/>
      </w:r>
      <w:r w:rsidRPr="00D362A7">
        <w:rPr>
          <w:noProof/>
        </w:rPr>
        <w:instrText xml:space="preserve"> PAGEREF _Toc536814194 \h </w:instrText>
      </w:r>
      <w:r w:rsidRPr="00D362A7">
        <w:rPr>
          <w:noProof/>
        </w:rPr>
      </w:r>
      <w:r w:rsidRPr="00D362A7">
        <w:rPr>
          <w:noProof/>
        </w:rPr>
        <w:fldChar w:fldCharType="separate"/>
      </w:r>
      <w:r w:rsidR="00B251C6">
        <w:rPr>
          <w:noProof/>
        </w:rPr>
        <w:t>188</w:t>
      </w:r>
      <w:r w:rsidRPr="00D362A7">
        <w:rPr>
          <w:noProof/>
        </w:rPr>
        <w:fldChar w:fldCharType="end"/>
      </w:r>
    </w:p>
    <w:p w14:paraId="41A52EF2" w14:textId="41335B2F" w:rsidR="00D362A7" w:rsidRPr="00D362A7" w:rsidRDefault="00D362A7" w:rsidP="00B23FF8">
      <w:pPr>
        <w:pStyle w:val="TableofFigures"/>
        <w:tabs>
          <w:tab w:val="right" w:leader="dot" w:pos="8771"/>
        </w:tabs>
        <w:snapToGrid w:val="0"/>
        <w:spacing w:beforeLines="60" w:before="144" w:afterLines="60" w:after="144" w:line="240" w:lineRule="auto"/>
        <w:rPr>
          <w:rFonts w:asciiTheme="minorHAnsi" w:eastAsiaTheme="minorEastAsia" w:hAnsiTheme="minorHAnsi" w:cstheme="minorBidi"/>
          <w:noProof/>
        </w:rPr>
      </w:pPr>
      <w:r w:rsidRPr="00B23FF8">
        <w:rPr>
          <w:noProof/>
        </w:rPr>
        <w:t>Figure 7.3</w:t>
      </w:r>
      <w:r w:rsidRPr="00B23FF8">
        <w:rPr>
          <w:i/>
          <w:noProof/>
        </w:rPr>
        <w:t xml:space="preserve"> - L. donovani </w:t>
      </w:r>
      <w:r w:rsidRPr="00B23FF8">
        <w:rPr>
          <w:noProof/>
        </w:rPr>
        <w:t>induces changes in liver weight in late but not early infection</w:t>
      </w:r>
      <w:r w:rsidRPr="00B23FF8">
        <w:rPr>
          <w:i/>
          <w:noProof/>
        </w:rPr>
        <w:t xml:space="preserve">. </w:t>
      </w:r>
      <w:r w:rsidRPr="00D362A7">
        <w:rPr>
          <w:noProof/>
        </w:rPr>
        <w:t>Compa</w:t>
      </w:r>
      <w:r w:rsidRPr="00D362A7">
        <w:rPr>
          <w:noProof/>
        </w:rPr>
        <w:tab/>
      </w:r>
      <w:r w:rsidRPr="00D362A7">
        <w:rPr>
          <w:noProof/>
        </w:rPr>
        <w:fldChar w:fldCharType="begin"/>
      </w:r>
      <w:r w:rsidRPr="00D362A7">
        <w:rPr>
          <w:noProof/>
        </w:rPr>
        <w:instrText xml:space="preserve"> PAGEREF _Toc536814195 \h </w:instrText>
      </w:r>
      <w:r w:rsidRPr="00D362A7">
        <w:rPr>
          <w:noProof/>
        </w:rPr>
      </w:r>
      <w:r w:rsidRPr="00D362A7">
        <w:rPr>
          <w:noProof/>
        </w:rPr>
        <w:fldChar w:fldCharType="separate"/>
      </w:r>
      <w:r w:rsidR="00B251C6">
        <w:rPr>
          <w:noProof/>
        </w:rPr>
        <w:t>189</w:t>
      </w:r>
      <w:r w:rsidRPr="00D362A7">
        <w:rPr>
          <w:noProof/>
        </w:rPr>
        <w:fldChar w:fldCharType="end"/>
      </w:r>
    </w:p>
    <w:p w14:paraId="7906CFC7" w14:textId="6735F8FF" w:rsidR="00D362A7" w:rsidRPr="00D362A7" w:rsidRDefault="00D362A7" w:rsidP="00B23FF8">
      <w:pPr>
        <w:pStyle w:val="TableofFigures"/>
        <w:tabs>
          <w:tab w:val="right" w:leader="dot" w:pos="8771"/>
        </w:tabs>
        <w:snapToGrid w:val="0"/>
        <w:spacing w:beforeLines="60" w:before="144" w:afterLines="60" w:after="144" w:line="240" w:lineRule="auto"/>
        <w:rPr>
          <w:rFonts w:asciiTheme="minorHAnsi" w:eastAsiaTheme="minorEastAsia" w:hAnsiTheme="minorHAnsi" w:cstheme="minorBidi"/>
          <w:noProof/>
        </w:rPr>
      </w:pPr>
      <w:r w:rsidRPr="00B23FF8">
        <w:rPr>
          <w:noProof/>
        </w:rPr>
        <w:t xml:space="preserve">Figure 7.4 - Sustained increases in hepatic leukocyte abundance are seen over the course of </w:t>
      </w:r>
      <w:r w:rsidRPr="00B23FF8">
        <w:rPr>
          <w:i/>
          <w:noProof/>
        </w:rPr>
        <w:t>L. donovani</w:t>
      </w:r>
      <w:r w:rsidRPr="00B23FF8">
        <w:rPr>
          <w:noProof/>
        </w:rPr>
        <w:t xml:space="preserve"> infection</w:t>
      </w:r>
      <w:r w:rsidRPr="00D362A7">
        <w:rPr>
          <w:noProof/>
        </w:rPr>
        <w:t>.</w:t>
      </w:r>
      <w:r w:rsidRPr="008471BE">
        <w:rPr>
          <w:noProof/>
        </w:rPr>
        <w:tab/>
      </w:r>
      <w:r w:rsidRPr="00D362A7">
        <w:rPr>
          <w:noProof/>
        </w:rPr>
        <w:fldChar w:fldCharType="begin"/>
      </w:r>
      <w:r w:rsidRPr="00D362A7">
        <w:rPr>
          <w:noProof/>
        </w:rPr>
        <w:instrText xml:space="preserve"> PAGEREF _Toc536814196 \h </w:instrText>
      </w:r>
      <w:r w:rsidRPr="00D362A7">
        <w:rPr>
          <w:noProof/>
        </w:rPr>
      </w:r>
      <w:r w:rsidRPr="00D362A7">
        <w:rPr>
          <w:noProof/>
        </w:rPr>
        <w:fldChar w:fldCharType="separate"/>
      </w:r>
      <w:r w:rsidR="00B251C6">
        <w:rPr>
          <w:noProof/>
        </w:rPr>
        <w:t>190</w:t>
      </w:r>
      <w:r w:rsidRPr="00D362A7">
        <w:rPr>
          <w:noProof/>
        </w:rPr>
        <w:fldChar w:fldCharType="end"/>
      </w:r>
    </w:p>
    <w:p w14:paraId="155E0BA4" w14:textId="7B443953" w:rsidR="00D362A7" w:rsidRPr="00D362A7" w:rsidRDefault="00D362A7" w:rsidP="00B23FF8">
      <w:pPr>
        <w:pStyle w:val="TableofFigures"/>
        <w:tabs>
          <w:tab w:val="right" w:leader="dot" w:pos="8771"/>
        </w:tabs>
        <w:snapToGrid w:val="0"/>
        <w:spacing w:beforeLines="60" w:before="144" w:afterLines="60" w:after="144" w:line="240" w:lineRule="auto"/>
        <w:rPr>
          <w:rFonts w:asciiTheme="minorHAnsi" w:eastAsiaTheme="minorEastAsia" w:hAnsiTheme="minorHAnsi" w:cstheme="minorBidi"/>
          <w:noProof/>
        </w:rPr>
      </w:pPr>
      <w:r w:rsidRPr="00B23FF8">
        <w:rPr>
          <w:noProof/>
        </w:rPr>
        <w:t xml:space="preserve">Figure 7.5 - Hepatic leukocyte expansion is most prominent in late stage </w:t>
      </w:r>
      <w:r w:rsidRPr="00B23FF8">
        <w:rPr>
          <w:i/>
          <w:noProof/>
        </w:rPr>
        <w:t>L. donovani</w:t>
      </w:r>
      <w:r w:rsidRPr="00B23FF8">
        <w:rPr>
          <w:noProof/>
        </w:rPr>
        <w:t xml:space="preserve"> infection.</w:t>
      </w:r>
      <w:r w:rsidRPr="00D362A7">
        <w:rPr>
          <w:noProof/>
        </w:rPr>
        <w:tab/>
      </w:r>
      <w:r w:rsidRPr="00D362A7">
        <w:rPr>
          <w:noProof/>
        </w:rPr>
        <w:fldChar w:fldCharType="begin"/>
      </w:r>
      <w:r w:rsidRPr="00D362A7">
        <w:rPr>
          <w:noProof/>
        </w:rPr>
        <w:instrText xml:space="preserve"> PAGEREF _Toc536814197 \h </w:instrText>
      </w:r>
      <w:r w:rsidRPr="00D362A7">
        <w:rPr>
          <w:noProof/>
        </w:rPr>
      </w:r>
      <w:r w:rsidRPr="00D362A7">
        <w:rPr>
          <w:noProof/>
        </w:rPr>
        <w:fldChar w:fldCharType="separate"/>
      </w:r>
      <w:r w:rsidR="00B251C6">
        <w:rPr>
          <w:noProof/>
        </w:rPr>
        <w:t>190</w:t>
      </w:r>
      <w:r w:rsidRPr="00D362A7">
        <w:rPr>
          <w:noProof/>
        </w:rPr>
        <w:fldChar w:fldCharType="end"/>
      </w:r>
    </w:p>
    <w:p w14:paraId="53F16047" w14:textId="666A5391" w:rsidR="00D362A7" w:rsidRPr="00D362A7" w:rsidRDefault="00D362A7" w:rsidP="00B23FF8">
      <w:pPr>
        <w:pStyle w:val="TableofFigures"/>
        <w:tabs>
          <w:tab w:val="right" w:leader="dot" w:pos="8771"/>
        </w:tabs>
        <w:snapToGrid w:val="0"/>
        <w:spacing w:beforeLines="60" w:before="144" w:afterLines="60" w:after="144" w:line="240" w:lineRule="auto"/>
        <w:rPr>
          <w:rFonts w:asciiTheme="minorHAnsi" w:eastAsiaTheme="minorEastAsia" w:hAnsiTheme="minorHAnsi" w:cstheme="minorBidi"/>
          <w:noProof/>
        </w:rPr>
      </w:pPr>
      <w:r w:rsidRPr="00B23FF8">
        <w:rPr>
          <w:noProof/>
        </w:rPr>
        <w:t xml:space="preserve">Figure 7.6 - Significant increases in hepatic myeloid and lymphoid lineage cell abundance are seen after infection with </w:t>
      </w:r>
      <w:r w:rsidRPr="00B23FF8">
        <w:rPr>
          <w:i/>
          <w:noProof/>
        </w:rPr>
        <w:t>L. donovani</w:t>
      </w:r>
      <w:r w:rsidRPr="00B23FF8">
        <w:rPr>
          <w:noProof/>
        </w:rPr>
        <w:t>.</w:t>
      </w:r>
      <w:r w:rsidRPr="00D362A7">
        <w:rPr>
          <w:noProof/>
        </w:rPr>
        <w:tab/>
      </w:r>
      <w:r w:rsidRPr="00D362A7">
        <w:rPr>
          <w:noProof/>
        </w:rPr>
        <w:fldChar w:fldCharType="begin"/>
      </w:r>
      <w:r w:rsidRPr="00D362A7">
        <w:rPr>
          <w:noProof/>
        </w:rPr>
        <w:instrText xml:space="preserve"> PAGEREF _Toc536814198 \h </w:instrText>
      </w:r>
      <w:r w:rsidRPr="00D362A7">
        <w:rPr>
          <w:noProof/>
        </w:rPr>
      </w:r>
      <w:r w:rsidRPr="00D362A7">
        <w:rPr>
          <w:noProof/>
        </w:rPr>
        <w:fldChar w:fldCharType="separate"/>
      </w:r>
      <w:r w:rsidR="00B251C6">
        <w:rPr>
          <w:noProof/>
        </w:rPr>
        <w:t>191</w:t>
      </w:r>
      <w:r w:rsidRPr="00D362A7">
        <w:rPr>
          <w:noProof/>
        </w:rPr>
        <w:fldChar w:fldCharType="end"/>
      </w:r>
    </w:p>
    <w:p w14:paraId="6E076B7E" w14:textId="713088AE" w:rsidR="00D362A7" w:rsidRPr="00D362A7" w:rsidRDefault="00D362A7" w:rsidP="00B23FF8">
      <w:pPr>
        <w:pStyle w:val="TableofFigures"/>
        <w:tabs>
          <w:tab w:val="right" w:leader="dot" w:pos="8771"/>
        </w:tabs>
        <w:snapToGrid w:val="0"/>
        <w:spacing w:beforeLines="60" w:before="144" w:afterLines="60" w:after="144" w:line="240" w:lineRule="auto"/>
        <w:rPr>
          <w:rFonts w:asciiTheme="minorHAnsi" w:eastAsiaTheme="minorEastAsia" w:hAnsiTheme="minorHAnsi" w:cstheme="minorBidi"/>
          <w:noProof/>
        </w:rPr>
      </w:pPr>
      <w:r w:rsidRPr="00B23FF8">
        <w:rPr>
          <w:noProof/>
        </w:rPr>
        <w:t>Figure 7.7 – Distinct leukocyte subset abundance profiles are seen at acute and chronic points of hepatic infection.</w:t>
      </w:r>
      <w:r w:rsidRPr="00D362A7">
        <w:rPr>
          <w:noProof/>
        </w:rPr>
        <w:tab/>
      </w:r>
      <w:r w:rsidRPr="00D362A7">
        <w:rPr>
          <w:noProof/>
        </w:rPr>
        <w:fldChar w:fldCharType="begin"/>
      </w:r>
      <w:r w:rsidRPr="00D362A7">
        <w:rPr>
          <w:noProof/>
        </w:rPr>
        <w:instrText xml:space="preserve"> PAGEREF _Toc536814199 \h </w:instrText>
      </w:r>
      <w:r w:rsidRPr="00D362A7">
        <w:rPr>
          <w:noProof/>
        </w:rPr>
      </w:r>
      <w:r w:rsidRPr="00D362A7">
        <w:rPr>
          <w:noProof/>
        </w:rPr>
        <w:fldChar w:fldCharType="separate"/>
      </w:r>
      <w:r w:rsidR="00B251C6">
        <w:rPr>
          <w:noProof/>
        </w:rPr>
        <w:t>192</w:t>
      </w:r>
      <w:r w:rsidRPr="00D362A7">
        <w:rPr>
          <w:noProof/>
        </w:rPr>
        <w:fldChar w:fldCharType="end"/>
      </w:r>
    </w:p>
    <w:p w14:paraId="2DB3A999" w14:textId="6D816742" w:rsidR="00D362A7" w:rsidRPr="00D362A7" w:rsidRDefault="00D362A7" w:rsidP="00B23FF8">
      <w:pPr>
        <w:pStyle w:val="TableofFigures"/>
        <w:tabs>
          <w:tab w:val="right" w:leader="dot" w:pos="8771"/>
        </w:tabs>
        <w:snapToGrid w:val="0"/>
        <w:spacing w:beforeLines="60" w:before="144" w:afterLines="60" w:after="144" w:line="240" w:lineRule="auto"/>
        <w:rPr>
          <w:rFonts w:asciiTheme="minorHAnsi" w:eastAsiaTheme="minorEastAsia" w:hAnsiTheme="minorHAnsi" w:cstheme="minorBidi"/>
          <w:noProof/>
        </w:rPr>
      </w:pPr>
      <w:r w:rsidRPr="00B23FF8">
        <w:rPr>
          <w:noProof/>
        </w:rPr>
        <w:t>Figure 7.8 – The relative abundance of lymphoid subsets, but not myeloid subsets, is consistent between the blood and liver.</w:t>
      </w:r>
      <w:r w:rsidRPr="00D362A7">
        <w:rPr>
          <w:noProof/>
        </w:rPr>
        <w:tab/>
      </w:r>
      <w:r w:rsidRPr="00D362A7">
        <w:rPr>
          <w:noProof/>
        </w:rPr>
        <w:fldChar w:fldCharType="begin"/>
      </w:r>
      <w:r w:rsidRPr="00D362A7">
        <w:rPr>
          <w:noProof/>
        </w:rPr>
        <w:instrText xml:space="preserve"> PAGEREF _Toc536814200 \h </w:instrText>
      </w:r>
      <w:r w:rsidRPr="00D362A7">
        <w:rPr>
          <w:noProof/>
        </w:rPr>
      </w:r>
      <w:r w:rsidRPr="00D362A7">
        <w:rPr>
          <w:noProof/>
        </w:rPr>
        <w:fldChar w:fldCharType="separate"/>
      </w:r>
      <w:r w:rsidR="00B251C6">
        <w:rPr>
          <w:noProof/>
        </w:rPr>
        <w:t>193</w:t>
      </w:r>
      <w:r w:rsidRPr="00D362A7">
        <w:rPr>
          <w:noProof/>
        </w:rPr>
        <w:fldChar w:fldCharType="end"/>
      </w:r>
    </w:p>
    <w:p w14:paraId="607E30EA" w14:textId="34A7EC0C" w:rsidR="00D362A7" w:rsidRPr="00D362A7" w:rsidRDefault="00D362A7" w:rsidP="00B23FF8">
      <w:pPr>
        <w:pStyle w:val="TableofFigures"/>
        <w:tabs>
          <w:tab w:val="right" w:leader="dot" w:pos="8771"/>
        </w:tabs>
        <w:snapToGrid w:val="0"/>
        <w:spacing w:beforeLines="60" w:before="144" w:afterLines="60" w:after="144" w:line="240" w:lineRule="auto"/>
        <w:rPr>
          <w:rFonts w:asciiTheme="minorHAnsi" w:eastAsiaTheme="minorEastAsia" w:hAnsiTheme="minorHAnsi" w:cstheme="minorBidi"/>
          <w:noProof/>
        </w:rPr>
      </w:pPr>
      <w:r w:rsidRPr="00B23FF8">
        <w:rPr>
          <w:noProof/>
        </w:rPr>
        <w:t>Figure 7.9 - Global Sensitivity Analysis of all populations in the finalised simulation model.</w:t>
      </w:r>
      <w:r w:rsidRPr="00D362A7">
        <w:rPr>
          <w:noProof/>
        </w:rPr>
        <w:tab/>
      </w:r>
      <w:r w:rsidRPr="00D362A7">
        <w:rPr>
          <w:noProof/>
        </w:rPr>
        <w:fldChar w:fldCharType="begin"/>
      </w:r>
      <w:r w:rsidRPr="00D362A7">
        <w:rPr>
          <w:noProof/>
        </w:rPr>
        <w:instrText xml:space="preserve"> PAGEREF _Toc536814201 \h </w:instrText>
      </w:r>
      <w:r w:rsidRPr="00D362A7">
        <w:rPr>
          <w:noProof/>
        </w:rPr>
      </w:r>
      <w:r w:rsidRPr="00D362A7">
        <w:rPr>
          <w:noProof/>
        </w:rPr>
        <w:fldChar w:fldCharType="separate"/>
      </w:r>
      <w:r w:rsidR="00B251C6">
        <w:rPr>
          <w:noProof/>
        </w:rPr>
        <w:t>206</w:t>
      </w:r>
      <w:r w:rsidRPr="00D362A7">
        <w:rPr>
          <w:noProof/>
        </w:rPr>
        <w:fldChar w:fldCharType="end"/>
      </w:r>
    </w:p>
    <w:p w14:paraId="251EBC74" w14:textId="0D138839" w:rsidR="00F20505" w:rsidRPr="008B3AD6" w:rsidRDefault="00D52156" w:rsidP="009F079F">
      <w:pPr>
        <w:snapToGrid w:val="0"/>
        <w:spacing w:beforeLines="60" w:before="144" w:afterLines="60" w:after="144" w:line="240" w:lineRule="auto"/>
      </w:pPr>
      <w:r w:rsidRPr="00D362A7">
        <w:fldChar w:fldCharType="end"/>
      </w:r>
      <w:r w:rsidR="00E96C8F" w:rsidRPr="004E0952">
        <w:br w:type="page"/>
      </w:r>
    </w:p>
    <w:p w14:paraId="61A5ECB9" w14:textId="77777777" w:rsidR="009F079F" w:rsidRDefault="009F079F" w:rsidP="009F079F">
      <w:pPr>
        <w:pStyle w:val="Heading1"/>
        <w:numPr>
          <w:ilvl w:val="0"/>
          <w:numId w:val="0"/>
        </w:numPr>
      </w:pPr>
      <w:bookmarkStart w:id="7" w:name="_Toc3716036"/>
      <w:r>
        <w:lastRenderedPageBreak/>
        <w:t>Preface</w:t>
      </w:r>
      <w:bookmarkEnd w:id="7"/>
    </w:p>
    <w:p w14:paraId="3577533E" w14:textId="77777777" w:rsidR="009F079F" w:rsidRDefault="009F079F" w:rsidP="009F079F">
      <w:pPr>
        <w:spacing w:line="360" w:lineRule="auto"/>
        <w:jc w:val="both"/>
      </w:pPr>
      <w:r>
        <w:t xml:space="preserve">For data presented in </w:t>
      </w:r>
      <w:r w:rsidRPr="00F6299A">
        <w:rPr>
          <w:b/>
        </w:rPr>
        <w:t>Figur</w:t>
      </w:r>
      <w:r>
        <w:rPr>
          <w:b/>
        </w:rPr>
        <w:t xml:space="preserve">e 3.1 </w:t>
      </w:r>
      <w:r w:rsidRPr="00F6299A">
        <w:t>and</w:t>
      </w:r>
      <w:r>
        <w:rPr>
          <w:b/>
        </w:rPr>
        <w:t xml:space="preserve"> </w:t>
      </w:r>
      <w:r w:rsidRPr="00F6299A">
        <w:rPr>
          <w:b/>
        </w:rPr>
        <w:t>3.2</w:t>
      </w:r>
      <w:r>
        <w:t xml:space="preserve">, all sample preparation and </w:t>
      </w:r>
      <w:r w:rsidRPr="008B3AD6">
        <w:t>LC-MS</w:t>
      </w:r>
      <w:r>
        <w:t>/MS</w:t>
      </w:r>
      <w:r w:rsidRPr="008B3AD6">
        <w:t xml:space="preserve"> </w:t>
      </w:r>
      <w:r>
        <w:t>a</w:t>
      </w:r>
      <w:r w:rsidRPr="008B3AD6">
        <w:t>nalysis</w:t>
      </w:r>
      <w:r>
        <w:t xml:space="preserve"> was carried out by Rachel Bates of the </w:t>
      </w:r>
      <w:r w:rsidRPr="008B3AD6">
        <w:t>Proteomics &amp; Metabolomics Laboratory (Department of Biology Biosciences Technology Facility, University of York)</w:t>
      </w:r>
      <w:r>
        <w:t>.</w:t>
      </w:r>
    </w:p>
    <w:p w14:paraId="3DC149CA" w14:textId="77777777" w:rsidR="009F079F" w:rsidRDefault="009F079F" w:rsidP="009F079F">
      <w:pPr>
        <w:spacing w:line="360" w:lineRule="auto"/>
        <w:jc w:val="both"/>
      </w:pPr>
    </w:p>
    <w:p w14:paraId="3B38A32C" w14:textId="77777777" w:rsidR="009F079F" w:rsidRPr="008B3AD6" w:rsidRDefault="009F079F" w:rsidP="009F079F">
      <w:pPr>
        <w:spacing w:line="360" w:lineRule="auto"/>
        <w:jc w:val="both"/>
      </w:pPr>
      <w:r>
        <w:t xml:space="preserve">For </w:t>
      </w:r>
      <w:r w:rsidRPr="00F6299A">
        <w:rPr>
          <w:b/>
        </w:rPr>
        <w:t>Figures 3.3</w:t>
      </w:r>
      <w:r w:rsidRPr="00F6299A">
        <w:t>,</w:t>
      </w:r>
      <w:r w:rsidRPr="00F6299A">
        <w:rPr>
          <w:b/>
        </w:rPr>
        <w:t xml:space="preserve"> 3.5</w:t>
      </w:r>
      <w:r w:rsidRPr="00F6299A">
        <w:t>,</w:t>
      </w:r>
      <w:r w:rsidRPr="00F6299A">
        <w:rPr>
          <w:b/>
        </w:rPr>
        <w:t xml:space="preserve"> 3.6</w:t>
      </w:r>
      <w:r w:rsidRPr="00F6299A">
        <w:t>,</w:t>
      </w:r>
      <w:r w:rsidRPr="00F6299A">
        <w:rPr>
          <w:b/>
        </w:rPr>
        <w:t xml:space="preserve"> 3.10</w:t>
      </w:r>
      <w:r w:rsidRPr="00F6299A">
        <w:t>,</w:t>
      </w:r>
      <w:r w:rsidRPr="00F6299A">
        <w:rPr>
          <w:b/>
        </w:rPr>
        <w:t xml:space="preserve"> 3.12A</w:t>
      </w:r>
      <w:r w:rsidRPr="00F6299A">
        <w:t>,</w:t>
      </w:r>
      <w:r w:rsidRPr="00F6299A">
        <w:rPr>
          <w:b/>
        </w:rPr>
        <w:t xml:space="preserve"> 3.13A</w:t>
      </w:r>
      <w:r w:rsidRPr="00F6299A">
        <w:t>,</w:t>
      </w:r>
      <w:r w:rsidRPr="00F6299A">
        <w:rPr>
          <w:b/>
        </w:rPr>
        <w:t xml:space="preserve"> 3.14Ai-Di</w:t>
      </w:r>
      <w:r>
        <w:t xml:space="preserve"> initial sample preparation was carried out by Jonathan Hamp followed by </w:t>
      </w:r>
      <w:r w:rsidRPr="008B3AD6">
        <w:t>LC-MS</w:t>
      </w:r>
      <w:r>
        <w:t>/MS</w:t>
      </w:r>
      <w:r w:rsidRPr="008B3AD6">
        <w:t xml:space="preserve"> </w:t>
      </w:r>
      <w:r>
        <w:t>a</w:t>
      </w:r>
      <w:r w:rsidRPr="008B3AD6">
        <w:t>nalysis</w:t>
      </w:r>
      <w:r>
        <w:t xml:space="preserve"> carried out by Dr Swen Langer of the </w:t>
      </w:r>
      <w:r w:rsidRPr="008B3AD6">
        <w:t>Proteomics &amp; Metabolomics Laboratory (Department of Biology Biosciences Technology Facility, University of York)</w:t>
      </w:r>
      <w:r>
        <w:t>.</w:t>
      </w:r>
      <w:r w:rsidRPr="008B3AD6">
        <w:br w:type="page"/>
      </w:r>
    </w:p>
    <w:p w14:paraId="0BA9BC30" w14:textId="1F69F205" w:rsidR="00F20505" w:rsidRPr="008B3AD6" w:rsidRDefault="00E96C8F" w:rsidP="00F20505">
      <w:pPr>
        <w:pStyle w:val="Heading1"/>
        <w:numPr>
          <w:ilvl w:val="0"/>
          <w:numId w:val="0"/>
        </w:numPr>
      </w:pPr>
      <w:bookmarkStart w:id="8" w:name="_Toc3716037"/>
      <w:r w:rsidRPr="008B3AD6">
        <w:lastRenderedPageBreak/>
        <w:t>Acknowledgements</w:t>
      </w:r>
      <w:bookmarkEnd w:id="8"/>
    </w:p>
    <w:p w14:paraId="63E83119" w14:textId="681B872B" w:rsidR="00572E3F" w:rsidRDefault="00572E3F" w:rsidP="00572E3F">
      <w:pPr>
        <w:spacing w:line="360" w:lineRule="auto"/>
        <w:jc w:val="both"/>
      </w:pPr>
      <w:r>
        <w:t>Firstly,</w:t>
      </w:r>
      <w:r w:rsidR="00CD683B">
        <w:t xml:space="preserve"> I would like to extend my gratitude to my supervisors Professor Paul Kaye, Professor Jon Timmis and Professor Simon Croft. </w:t>
      </w:r>
      <w:r>
        <w:t xml:space="preserve">Throughout my PhD they have been incredible mentors and inspired me to be a better scientist, without their support I would not be </w:t>
      </w:r>
      <w:r w:rsidR="004E0952">
        <w:t>where I am today</w:t>
      </w:r>
      <w:r>
        <w:t>.</w:t>
      </w:r>
    </w:p>
    <w:p w14:paraId="5875C487" w14:textId="77777777" w:rsidR="00572E3F" w:rsidRDefault="00572E3F" w:rsidP="00572E3F">
      <w:pPr>
        <w:spacing w:line="360" w:lineRule="auto"/>
        <w:jc w:val="both"/>
      </w:pPr>
    </w:p>
    <w:p w14:paraId="2BE332E1" w14:textId="73092280" w:rsidR="00572E3F" w:rsidRDefault="00572E3F" w:rsidP="00572E3F">
      <w:pPr>
        <w:spacing w:line="360" w:lineRule="auto"/>
        <w:jc w:val="both"/>
      </w:pPr>
      <w:r>
        <w:t>Additionally, I would like to thank my TAP panel members Dr. Jon Pitchford and Dr. Andrew Pomfret for their support and advice.</w:t>
      </w:r>
    </w:p>
    <w:p w14:paraId="61F4648D" w14:textId="407D7BF7" w:rsidR="00572E3F" w:rsidRDefault="00572E3F" w:rsidP="00572E3F">
      <w:pPr>
        <w:spacing w:line="360" w:lineRule="auto"/>
        <w:jc w:val="both"/>
      </w:pPr>
    </w:p>
    <w:p w14:paraId="29098920" w14:textId="053CD226" w:rsidR="00572E3F" w:rsidRDefault="00572E3F" w:rsidP="00572E3F">
      <w:pPr>
        <w:spacing w:line="360" w:lineRule="auto"/>
        <w:jc w:val="both"/>
      </w:pPr>
      <w:r>
        <w:t>A special thank you to Dr. Helen Ashwin, Dr. Johannes Doehl, Dr. Ana Pinto, Samantha Chan, Dr. Olivier Preham, Dr. Jason Cosgrove and Dr. Steph Evans for being amazing colleagues but importantly for being my friends. I would especially like to thank Dr. Kieran Alden and Dr. Najmeeyah Brown for their endless patience and guidance, providing mentorship when I needed it and helping me to progress. Additionally, I give my thanks to whole of the CII including academic, research and support staff for making the CII a wonderful place to work. My work would not have been possible with the support of the Technology Facility and BSF staff and I give my thanks to them for all their help.</w:t>
      </w:r>
    </w:p>
    <w:p w14:paraId="09569EF3" w14:textId="5B1C8B05" w:rsidR="00572E3F" w:rsidRDefault="00572E3F" w:rsidP="00572E3F">
      <w:pPr>
        <w:spacing w:line="360" w:lineRule="auto"/>
        <w:jc w:val="both"/>
      </w:pPr>
    </w:p>
    <w:p w14:paraId="710E283D" w14:textId="78ECE40B" w:rsidR="00572E3F" w:rsidRDefault="00572E3F" w:rsidP="00572E3F">
      <w:pPr>
        <w:spacing w:line="360" w:lineRule="auto"/>
        <w:jc w:val="both"/>
      </w:pPr>
      <w:r>
        <w:t xml:space="preserve">Lastly, I would like to thank my family, including my newly born niece Harriet Edith Hamp, for all their love and support. </w:t>
      </w:r>
      <w:r w:rsidR="004E0952">
        <w:t>I must especially thank m</w:t>
      </w:r>
      <w:r>
        <w:t>y mother and father, Heather and Brian, who have supported me in every decision I have ever made and guided me through my successes but also my failures. I am the man I am today because of them.</w:t>
      </w:r>
    </w:p>
    <w:p w14:paraId="16AC3240" w14:textId="671071CD" w:rsidR="00572E3F" w:rsidRDefault="00572E3F" w:rsidP="00572E3F">
      <w:pPr>
        <w:jc w:val="both"/>
      </w:pPr>
    </w:p>
    <w:p w14:paraId="7CEABA48" w14:textId="77777777" w:rsidR="00572E3F" w:rsidRDefault="00572E3F" w:rsidP="00572E3F">
      <w:pPr>
        <w:jc w:val="both"/>
      </w:pPr>
    </w:p>
    <w:p w14:paraId="2CA50B2D" w14:textId="52AA8E0B" w:rsidR="00572E3F" w:rsidRDefault="00572E3F" w:rsidP="00572E3F">
      <w:pPr>
        <w:jc w:val="both"/>
      </w:pPr>
    </w:p>
    <w:p w14:paraId="74182DE2" w14:textId="77777777" w:rsidR="00572E3F" w:rsidRDefault="00572E3F" w:rsidP="00572E3F">
      <w:pPr>
        <w:jc w:val="both"/>
      </w:pPr>
    </w:p>
    <w:p w14:paraId="17DD7F46" w14:textId="17BD53B4" w:rsidR="00572E3F" w:rsidRDefault="00572E3F" w:rsidP="00572E3F">
      <w:pPr>
        <w:jc w:val="both"/>
      </w:pPr>
    </w:p>
    <w:p w14:paraId="5540D969" w14:textId="77777777" w:rsidR="00572E3F" w:rsidRDefault="00572E3F" w:rsidP="00572E3F">
      <w:pPr>
        <w:jc w:val="both"/>
      </w:pPr>
    </w:p>
    <w:p w14:paraId="6AB22291" w14:textId="77777777" w:rsidR="00572E3F" w:rsidRDefault="00572E3F" w:rsidP="00572E3F">
      <w:pPr>
        <w:jc w:val="both"/>
      </w:pPr>
    </w:p>
    <w:p w14:paraId="00513FAD" w14:textId="48046EB8" w:rsidR="00572E3F" w:rsidRDefault="00572E3F" w:rsidP="00572E3F">
      <w:pPr>
        <w:jc w:val="both"/>
      </w:pPr>
    </w:p>
    <w:p w14:paraId="6D185C63" w14:textId="77777777" w:rsidR="00572E3F" w:rsidRDefault="00572E3F" w:rsidP="00572E3F">
      <w:pPr>
        <w:jc w:val="both"/>
      </w:pPr>
    </w:p>
    <w:p w14:paraId="2160DF39" w14:textId="0DA859E8" w:rsidR="0099477F" w:rsidRPr="008B3AD6" w:rsidRDefault="00E96C8F" w:rsidP="00572E3F">
      <w:pPr>
        <w:pStyle w:val="Heading1"/>
        <w:numPr>
          <w:ilvl w:val="0"/>
          <w:numId w:val="0"/>
        </w:numPr>
      </w:pPr>
      <w:bookmarkStart w:id="9" w:name="_Toc3716038"/>
      <w:r w:rsidRPr="008B3AD6">
        <w:lastRenderedPageBreak/>
        <w:t>Declaration</w:t>
      </w:r>
      <w:bookmarkEnd w:id="9"/>
    </w:p>
    <w:p w14:paraId="27DCEF99" w14:textId="77777777" w:rsidR="00925E25" w:rsidRDefault="0099477F" w:rsidP="007A5401">
      <w:pPr>
        <w:spacing w:line="360" w:lineRule="auto"/>
        <w:jc w:val="both"/>
      </w:pPr>
      <w:r w:rsidRPr="008B3AD6">
        <w:t>I declare that this thesis is a presentation of original work and I am the sole author. This work has not previously been presented for a</w:t>
      </w:r>
      <w:r w:rsidR="00E53FBF" w:rsidRPr="008B3AD6">
        <w:t>n award at the University of York, or any other u</w:t>
      </w:r>
      <w:r w:rsidRPr="008B3AD6">
        <w:t xml:space="preserve">niversity. All sources are acknowledged as </w:t>
      </w:r>
      <w:r w:rsidR="00E53FBF" w:rsidRPr="008B3AD6">
        <w:t>r</w:t>
      </w:r>
      <w:r w:rsidRPr="008B3AD6">
        <w:t>eferences.</w:t>
      </w:r>
      <w:r w:rsidR="00E96C8F" w:rsidRPr="008B3AD6">
        <w:t xml:space="preserve"> </w:t>
      </w:r>
      <w:r w:rsidR="00E53FBF" w:rsidRPr="008B3AD6">
        <w:t xml:space="preserve">Collaborative work carried out with the </w:t>
      </w:r>
      <w:r w:rsidR="007A5401" w:rsidRPr="008B3AD6">
        <w:t>Proteomics &amp; Metabolomics Laboratory (</w:t>
      </w:r>
      <w:r w:rsidR="006C196E" w:rsidRPr="008B3AD6">
        <w:t>Department of Biology Biosciences Technology Facility, University of York</w:t>
      </w:r>
      <w:r w:rsidR="007A5401" w:rsidRPr="008B3AD6">
        <w:t>)</w:t>
      </w:r>
      <w:r w:rsidR="00E53FBF" w:rsidRPr="008B3AD6">
        <w:t xml:space="preserve"> is explicitly referenced and contributions described.</w:t>
      </w:r>
    </w:p>
    <w:p w14:paraId="00A7F1E0" w14:textId="77777777" w:rsidR="00925E25" w:rsidRDefault="00925E25">
      <w:pPr>
        <w:spacing w:line="240" w:lineRule="auto"/>
      </w:pPr>
      <w:r>
        <w:br w:type="page"/>
      </w:r>
    </w:p>
    <w:p w14:paraId="60CA58DC" w14:textId="143CD35B" w:rsidR="00AA644D" w:rsidRPr="008B3AD6" w:rsidRDefault="009856CF" w:rsidP="000A237B">
      <w:pPr>
        <w:pStyle w:val="Heading1"/>
      </w:pPr>
      <w:bookmarkStart w:id="10" w:name="_Ref518738199"/>
      <w:bookmarkStart w:id="11" w:name="_Toc3716039"/>
      <w:r w:rsidRPr="008B3AD6">
        <w:lastRenderedPageBreak/>
        <w:t xml:space="preserve">| </w:t>
      </w:r>
      <w:r w:rsidR="00AA644D" w:rsidRPr="008B3AD6">
        <w:t>Introduction</w:t>
      </w:r>
      <w:bookmarkEnd w:id="10"/>
      <w:bookmarkEnd w:id="11"/>
    </w:p>
    <w:p w14:paraId="5E155D41" w14:textId="29021E08" w:rsidR="00085F48" w:rsidRPr="008B3AD6" w:rsidRDefault="00085F48">
      <w:pPr>
        <w:spacing w:line="240" w:lineRule="auto"/>
        <w:rPr>
          <w:b/>
          <w:sz w:val="48"/>
          <w:szCs w:val="48"/>
        </w:rPr>
      </w:pPr>
      <w:r w:rsidRPr="008B3AD6">
        <w:rPr>
          <w:b/>
          <w:sz w:val="48"/>
          <w:szCs w:val="48"/>
        </w:rPr>
        <w:br w:type="page"/>
      </w:r>
    </w:p>
    <w:p w14:paraId="6A5EC223" w14:textId="5A0B18F0" w:rsidR="00AB3115" w:rsidRPr="008B3AD6" w:rsidRDefault="00AB3115" w:rsidP="00AB3115">
      <w:pPr>
        <w:pStyle w:val="Heading2"/>
      </w:pPr>
      <w:bookmarkStart w:id="12" w:name="_Toc3716040"/>
      <w:r w:rsidRPr="008B3AD6">
        <w:lastRenderedPageBreak/>
        <w:t>General Research Overview</w:t>
      </w:r>
      <w:bookmarkEnd w:id="12"/>
    </w:p>
    <w:p w14:paraId="3EFFC3BA" w14:textId="39F44DA3" w:rsidR="00EF32C2" w:rsidRPr="008B3AD6" w:rsidRDefault="00EF32C2" w:rsidP="00EF32C2">
      <w:pPr>
        <w:spacing w:line="360" w:lineRule="auto"/>
        <w:jc w:val="both"/>
      </w:pPr>
      <w:r w:rsidRPr="008B3AD6">
        <w:t xml:space="preserve">Leishmaniasis is a neglected tropical disease caused by over 20 members of the </w:t>
      </w:r>
      <w:r w:rsidRPr="008B3AD6">
        <w:rPr>
          <w:i/>
        </w:rPr>
        <w:t>Leishmania</w:t>
      </w:r>
      <w:r w:rsidRPr="008B3AD6">
        <w:t xml:space="preserve"> genus </w:t>
      </w:r>
      <w:r w:rsidRPr="008B3AD6">
        <w:fldChar w:fldCharType="begin"/>
      </w:r>
      <w:r w:rsidRPr="008B3AD6">
        <w:instrText xml:space="preserve"> ADDIN ZOTERO_ITEM CSL_CITATION {"citationID":"lhRsKACv","properties":{"formattedCitation":"(Ready 2014)","plainCitation":"(Ready 2014)","noteIndex":0},"citationItems":[{"id":2871,"uris":["http://zotero.org/users/2628971/items/HRV5JEVZ"],"uri":["http://zotero.org/users/2628971/items/HRV5JEVZ"],"itemData":{"id":2871,"type":"article-journal","title":"Epidemiology of visceral leishmaniasis","container-title":"Clinical Epidemiology","page":"147-154","volume":"6","source":"PubMed Central","abstract":"Leishmania species are the causative agents of leishmaniasis, a neglected tropical disease. These parasitic protozoans are usually transmitted between vertebrate hosts by the bite of blood sucking female phlebotomine sand flies. This review focuses on the two parasites causing most human visceral leishmaniasis (VL), which leads to substantial health problems or death for up to 400,000 people per year. Except for travel cases, Leishmania donovani infections are restricted to the (sub-)tropics of Asia and Africa, where transmission is mostly anthroponotic, while Leishmania infantum occurs in the drier parts of Latin America as well as in the Mediterranean climate regions of the Old World, with the domestic dog serving as the main reservoir host. The prevalence of VL caused by L. infantum has been declining where living standards have improved. In contrast, infections of L. donovani continue to cause VL epidemics in rural areas on the Indian subcontinent and in East Africa. The current review compares and contrasts these continental differences and suggests priorities for basic and applied research that might improve VL control. Transmission cycles, pathogenesis, diagnosis, treatment and prognosis, prevention (including vector control), surveillance, transmission modeling, and international control efforts are all reviewed. Most case detection is passive, and so routine surveillance does not usually permit accurate assessments of any changes in the incidence of VL. Also, it is not usually possible to estimate the human inoculation rate of parasites by the sand fly vectors because of the limitations of survey methods. Consequently, transmission modeling rarely passes beyond the proof of principle stage, and yet it is required to help develop risk factor analysis for control programs. Anthroponotic VL should be susceptible to elimination by rapid case detection and treatment combined with local vector control, and one of the most important interventions may well be socioeconomic development.","DOI":"10.2147/CLEP.S44267","ISSN":"1179-1349","note":"PMID: 24833919\nPMCID: PMC4014360","journalAbbreviation":"Clin Epidemiol","author":[{"family":"Ready","given":"Paul D"}],"issued":{"date-parts":[["2014",5,3]]}}}],"schema":"https://github.com/citation-style-language/schema/raw/master/csl-citation.json"} </w:instrText>
      </w:r>
      <w:r w:rsidRPr="008B3AD6">
        <w:fldChar w:fldCharType="separate"/>
      </w:r>
      <w:r w:rsidR="007538E3">
        <w:t>(Ready 2014)</w:t>
      </w:r>
      <w:r w:rsidRPr="008B3AD6">
        <w:fldChar w:fldCharType="end"/>
      </w:r>
      <w:r w:rsidRPr="008B3AD6">
        <w:t xml:space="preserve"> with a global burden predicted at more than 12 million infected individuals in 2006 and with approximately 2 million new cases annually </w:t>
      </w:r>
      <w:r w:rsidRPr="008B3AD6">
        <w:fldChar w:fldCharType="begin"/>
      </w:r>
      <w:r w:rsidRPr="008B3AD6">
        <w:instrText xml:space="preserve"> ADDIN ZOTERO_ITEM CSL_CITATION {"citationID":"xFYetzkT","properties":{"formattedCitation":"(The Sixtieth World Health Assembly 2007)","plainCitation":"(The Sixtieth World Health Assembly 2007)","noteIndex":0},"citationItems":[{"id":3108,"uris":["http://zotero.org/users/2628971/items/ZYQ4E963"],"uri":["http://zotero.org/users/2628971/items/ZYQ4E963"],"itemData":{"id":3108,"type":"report","title":"Control of leishmaniasis","genre":"Resolutions and Decisions","URL":"http://www.who.int/neglected_diseases/mediacentre/WHA_60.13_Eng.pdf","number":"WHA60.13","author":[{"family":"The Sixtieth World Health Assembly","given":""}],"issued":{"date-parts":[["2007",5,21]]},"accessed":{"date-parts":[["2018",2,8]]}}}],"schema":"https://github.com/citation-style-language/schema/raw/master/csl-citation.json"} </w:instrText>
      </w:r>
      <w:r w:rsidRPr="008B3AD6">
        <w:fldChar w:fldCharType="separate"/>
      </w:r>
      <w:r w:rsidR="00025067">
        <w:t>(The Sixtieth World Health Assembly 2007)</w:t>
      </w:r>
      <w:r w:rsidRPr="008B3AD6">
        <w:fldChar w:fldCharType="end"/>
      </w:r>
      <w:r w:rsidRPr="008B3AD6">
        <w:t xml:space="preserve">. Visceral leishmaniasis (VL; </w:t>
      </w:r>
      <w:r w:rsidRPr="008B3AD6">
        <w:rPr>
          <w:color w:val="000000" w:themeColor="text1"/>
        </w:rPr>
        <w:t>also known as kala-azar</w:t>
      </w:r>
      <w:r w:rsidRPr="008B3AD6">
        <w:t xml:space="preserve">) is one of three predominant clinical manifestations for leishmaniasis with an estimated annual incidence of between 202,200 - 389,100 and 20,000 - 30,000 deaths annually (Alvar et al. 2012). The causative agents of VL are members of the </w:t>
      </w:r>
      <w:r w:rsidRPr="008B3AD6">
        <w:rPr>
          <w:i/>
        </w:rPr>
        <w:t>Leishmania donovani</w:t>
      </w:r>
      <w:r w:rsidRPr="008B3AD6">
        <w:t xml:space="preserve"> complex, namely </w:t>
      </w:r>
      <w:r w:rsidRPr="008B3AD6">
        <w:rPr>
          <w:i/>
        </w:rPr>
        <w:t>L. donovani</w:t>
      </w:r>
      <w:r w:rsidRPr="008B3AD6">
        <w:t xml:space="preserve"> and </w:t>
      </w:r>
      <w:r w:rsidRPr="008B3AD6">
        <w:rPr>
          <w:i/>
        </w:rPr>
        <w:t>L. infantum</w:t>
      </w:r>
      <w:r w:rsidRPr="008B3AD6">
        <w:t xml:space="preserve"> </w:t>
      </w:r>
      <w:r w:rsidRPr="008B3AD6">
        <w:fldChar w:fldCharType="begin"/>
      </w:r>
      <w:r w:rsidRPr="008B3AD6">
        <w:instrText xml:space="preserve"> ADDIN ZOTERO_ITEM CSL_CITATION {"citationID":"auL8KmpN","properties":{"formattedCitation":"(Zemanov\\uc0\\u225{} et al. 2007)","plainCitation":"(Zemanová et al. 2007)","noteIndex":0},"citationItems":[{"id":2859,"uris":["http://zotero.org/users/2628971/items/ERE2PJ53"],"uri":["http://zotero.org/users/2628971/items/ERE2PJ53"],"itemData":{"id":2859,"type":"article-journal","title":"The Leishmania donovani complex: Genotypes of five metabolic enzymes (ICD, ME, MPI, G6PDH, and FH), new targets for multilocus sequence typing","container-title":"International Journal for Parasitology","page":"149-160","volume":"37","issue":"2","source":"ScienceDirect","abstract":"Flagellates of the Leishmania donovani complex are causative agents of human cutaneous and visceral leishmaniasis. The complex is comprised of L. donovani, Leishmania infantum and Leishmania archibaldi, although the latter is not now considered to be a valid species. Morphological distinction of Leishmania species is impractical, so biochemical, immunological and DNA-based criteria were introduced. Multilocus enzyme electrophoresis (MLEE) is the present gold standard. We have sequenced the genes encoding five metabolic enzymes used for MLEE, both to resolve the DNA diversity underlying isoenzyme mobility differences and to explore the potential of these targets for higher resolution PCR-based multilocus sequence typing. The genes sequenced were isocitrate dehydrogenase, malic enzyme, mannose phosphate isomerase, glucose-6-phosphate dehydrogenase, and fumarate hydratase, for 17 strains of L. infantum, seven strains of L. donovani, and three strains of L. archibaldi. Protein mobilities predicted from amino acid sequences did not always accord precisely with reported MLEE profiles. A high number of heterozygous sites was detected. Heterozygosity was particularly frequent in some strains and indirectly supported the presence of genetic exchange in Leishmania. Phylogenetic analysis of a concatenated alignment based on a total of 263kb protein-coding sequences showed strong correlation of genotype with geographical origin. Europe and Africa appear to represent independent evolutionary centres.","DOI":"10.1016/j.ijpara.2006.08.008","ISSN":"0020-7519","shortTitle":"The Leishmania donovani complex","journalAbbreviation":"International Journal for Parasitology","author":[{"family":"Zemanová","given":"Eva"},{"family":"Jirků","given":"Milan"},{"family":"Mauricio","given":"Isabel L."},{"family":"Horák","given":"Aleš"},{"family":"Miles","given":"Michael A."},{"family":"Lukeš","given":"Julius"}],"issued":{"date-parts":[["2007",2,1]]}}}],"schema":"https://github.com/citation-style-language/schema/raw/master/csl-citation.json"} </w:instrText>
      </w:r>
      <w:r w:rsidRPr="008B3AD6">
        <w:fldChar w:fldCharType="separate"/>
      </w:r>
      <w:r w:rsidR="00025067" w:rsidRPr="00025067">
        <w:rPr>
          <w:lang w:val="en-US"/>
        </w:rPr>
        <w:t>(Zemanová et al. 2007)</w:t>
      </w:r>
      <w:r w:rsidRPr="008B3AD6">
        <w:fldChar w:fldCharType="end"/>
      </w:r>
      <w:r w:rsidRPr="008B3AD6">
        <w:t xml:space="preserve">. The tegumentary leishmaniases, including simple cutaneous leishmaniasis (CL), diffuse cutaneous leishmaniasis and post kala azar dermal leishmaniasis are non-fatal forms of leishmaniasis that often result in disfiguring lesions, leading to social stigma and potential ostracism. Mucocutaneous leishmaniasis (MCL) is a metastatic disease affecting the mucosal membranes of the host and often resulting in facial disfigurement. The tegumentary and mucosal forms of leishmaniasis are caused by a variety of </w:t>
      </w:r>
      <w:r w:rsidRPr="008B3AD6">
        <w:rPr>
          <w:i/>
        </w:rPr>
        <w:t>Leishmania</w:t>
      </w:r>
      <w:r w:rsidRPr="008B3AD6">
        <w:t xml:space="preserve"> species, although typically not </w:t>
      </w:r>
      <w:r w:rsidRPr="008B3AD6">
        <w:rPr>
          <w:i/>
        </w:rPr>
        <w:t>L. donovani</w:t>
      </w:r>
      <w:r w:rsidRPr="008B3AD6">
        <w:t xml:space="preserve">. </w:t>
      </w:r>
    </w:p>
    <w:p w14:paraId="5A85C4FF" w14:textId="77777777" w:rsidR="00AB3115" w:rsidRPr="008B3AD6" w:rsidRDefault="00AB3115" w:rsidP="00AB3115">
      <w:pPr>
        <w:spacing w:line="360" w:lineRule="auto"/>
        <w:jc w:val="both"/>
      </w:pPr>
    </w:p>
    <w:p w14:paraId="58E33EC8" w14:textId="47228DD6" w:rsidR="00AB3115" w:rsidRPr="008B3AD6" w:rsidRDefault="00EF32C2" w:rsidP="00AB3115">
      <w:pPr>
        <w:spacing w:line="360" w:lineRule="auto"/>
        <w:jc w:val="both"/>
        <w:rPr>
          <w:color w:val="000000" w:themeColor="text1"/>
        </w:rPr>
      </w:pPr>
      <w:r w:rsidRPr="008B3AD6">
        <w:t xml:space="preserve">Universally accepted therapeutic agents for the treatment of leishmaniasis are pentavalent antimonials, liposomal Amphotericin B (LAmB), Amphotericin B deoxycholate (DAmB), Paromomycin and Miltefosine </w:t>
      </w:r>
      <w:r w:rsidRPr="008B3AD6">
        <w:fldChar w:fldCharType="begin"/>
      </w:r>
      <w:r w:rsidRPr="008B3AD6">
        <w:instrText xml:space="preserve"> ADDIN ZOTERO_ITEM CSL_CITATION {"citationID":"zlDXdbFT","properties":{"formattedCitation":"(WHO Expert Committee on the Control of Leishmaniases 2010)","plainCitation":"(WHO Expert Committee on the Control of Leishmaniases 2010)","noteIndex":0},"citationItems":[{"id":3040,"uris":["http://zotero.org/users/2628971/items/7L5J8TV6"],"uri":["http://zotero.org/users/2628971/items/7L5J8TV6"],"itemData":{"id":3040,"type":"report","title":"Control of the leishmaniases","collection-title":"WHO Technical Report Series","publisher-place":"Geneva","page":"55-57","genre":"Technical Report","event-place":"Geneva","URL":"http://apps.who.int/iris/bitstream/handle/10665/44412/WHO_TRS_949_eng.pdf?sequence=1&amp;isAllowed=y","number":"949","author":[{"family":"WHO Expert Committee on the Control of Leishmaniases","given":""}],"issued":{"date-parts":[["2010",3,22]]},"accessed":{"date-parts":[["2018",2,8]]}}}],"schema":"https://github.com/citation-style-language/schema/raw/master/csl-citation.json"} </w:instrText>
      </w:r>
      <w:r w:rsidRPr="008B3AD6">
        <w:fldChar w:fldCharType="separate"/>
      </w:r>
      <w:r w:rsidR="00025067">
        <w:t>(WHO Expert Committee on the Control of Leishmaniases 2010)</w:t>
      </w:r>
      <w:r w:rsidRPr="008B3AD6">
        <w:fldChar w:fldCharType="end"/>
      </w:r>
      <w:r w:rsidRPr="008B3AD6">
        <w:t xml:space="preserve">. However, drawbacks of these therapies include variable geographic efficacy </w:t>
      </w:r>
      <w:r w:rsidRPr="008B3AD6">
        <w:rPr>
          <w:color w:val="000000" w:themeColor="text1"/>
        </w:rPr>
        <w:fldChar w:fldCharType="begin"/>
      </w:r>
      <w:r w:rsidR="00025067">
        <w:rPr>
          <w:color w:val="000000" w:themeColor="text1"/>
        </w:rPr>
        <w:instrText xml:space="preserve"> ADDIN ZOTERO_ITEM CSL_CITATION {"citationID":"XbWmybbO","properties":{"formattedCitation":"(J. D. Berman et al. 1998)","plainCitation":"(J. D. Berman et al. 1998)","noteIndex":0},"citationItems":[{"id":2534,"uris":["http://zotero.org/users/2628971/items/DZGB7CE7"],"uri":["http://zotero.org/users/2628971/items/DZGB7CE7"],"itemData":{"id":2534,"type":"article-journal","title":"Efficacy and safety of liposomal amphotericin B (AmBisome) for visceral leishmaniasis in endemic developing countries.","container-title":"Bulletin of the World Health Organization","page":"25-32","volume":"76","issue":"1","source":"PubMed Central","abstract":"Reported are the results of a study to determine the efficacy and safety of liposomal amphotericin B (AmBisome) for treating visceral leishmaniasis (kala-azar) in several developing countries where the disease is endemic (Brazil, India, and Kenya). At each study site, sequential cohorts of 10 patients each were treated with AmBisome at a dose of 2 mg.kg-1.day-1 (2 MKD). The first cohort received regimen 1:2 MKD on days 1-6 and day 10 (total dose: 14 mg/kg). If the efficacy with this regimen was satisfactory, a second cohort received regimen 2:2 MKD on days 1-4 and 10 (total dose: 10 mg/kg); and a third cohort received regimen 3:2 MKD on days 1, 5, and 10 (total dose: 6 mg/kg). In India, regimens 1, 2, and 3 (which were studied concurrently) each cured 100% of 10 patients. In Kenya, regimen 1 cured all 10 patients, regimen 2 cured 90% of 10 patients, but regimen 3 cured only 20% of 5 patients. In Brazil, regimen 1 was only partially curative: 5 of 13 patients (62%). Therefore, 15 patients were administered regimen 4 (2 MKD for 10 consecutive days; total dose, 20 mg/kg) and 13 patients were cured (83%). These results suggest that for the treatment of kala-azar the following doses of AmBisome should be administered: in India and Kenya, 2 mg/kg on days 1-4 and day 10; and in Brazil, 2 mg/kg on days 1-10.","ISSN":"0042-9686","note":"PMID: 9615494\nPMCID: PMC2305623","journalAbbreviation":"Bull World Health Organ","author":[{"family":"Berman","given":"J. D."},{"family":"Badaro","given":"R."},{"family":"Thakur","given":"C. P."},{"family":"Wasunna","given":"K. M."},{"family":"Behbehani","given":"K."},{"family":"Davidson","given":"R."},{"family":"Kuzoe","given":"F."},{"family":"Pang","given":"L."},{"family":"Weerasuriya","given":"K."},{"family":"Bryceson","given":"A. D."}],"issued":{"date-parts":[["1998"]]}}}],"schema":"https://github.com/citation-style-language/schema/raw/master/csl-citation.json"} </w:instrText>
      </w:r>
      <w:r w:rsidRPr="008B3AD6">
        <w:rPr>
          <w:color w:val="000000" w:themeColor="text1"/>
        </w:rPr>
        <w:fldChar w:fldCharType="separate"/>
      </w:r>
      <w:r w:rsidR="00025067">
        <w:rPr>
          <w:color w:val="000000" w:themeColor="text1"/>
        </w:rPr>
        <w:t>(Berman et al. 1998)</w:t>
      </w:r>
      <w:r w:rsidRPr="008B3AD6">
        <w:rPr>
          <w:color w:val="000000" w:themeColor="text1"/>
        </w:rPr>
        <w:fldChar w:fldCharType="end"/>
      </w:r>
      <w:r w:rsidRPr="008B3AD6">
        <w:rPr>
          <w:color w:val="000000" w:themeColor="text1"/>
        </w:rPr>
        <w:t xml:space="preserve">, cost </w:t>
      </w:r>
      <w:r w:rsidRPr="008B3AD6">
        <w:rPr>
          <w:color w:val="000000" w:themeColor="text1"/>
        </w:rPr>
        <w:fldChar w:fldCharType="begin"/>
      </w:r>
      <w:r w:rsidRPr="008B3AD6">
        <w:rPr>
          <w:color w:val="000000" w:themeColor="text1"/>
        </w:rPr>
        <w:instrText xml:space="preserve"> ADDIN ZOTERO_ITEM CSL_CITATION {"citationID":"cveAFAbB","properties":{"formattedCitation":"(Olliaro and Sundar 2009)","plainCitation":"(Olliaro and Sundar 2009)","noteIndex":0},"citationItems":[{"id":3091,"uris":["http://zotero.org/users/2628971/items/TF8HZHRU"],"uri":["http://zotero.org/users/2628971/items/TF8HZHRU"],"itemData":{"id":3091,"type":"article-journal","title":"Anthropometrically derived dosing and drug costing calculations for treating visceral leishmaniasis in Bihar, India","container-title":"Tropical Medicine &amp; International Health","page":"88-92","volume":"14","issue":"1","source":"Wiley Online Library","abstract":"Objective and method To estimate drug costs of treating visceral leishmaniasis (VL) based on data on the VL population structure from the high-burden, antimony-resistant area of Northern Bihar, India. Results Paromomycin is the cheapest option ($7450 to treat 1000 patients). Treating 1000 patients with oral miltefosine would cost $119 250 at the current private market price or $64 383–$75 129 at preferential public sector price depending on the size of the order. With AmBisome® it would be $163 600 or $229 500 depending on the dose (10 or 15 mg/kg total). These costs are without considering other direct costs (daily intramuscular injections for 3 weeks for paromomycin; intravenous devices and hospitalization for AmBisome®; directly observed treatment if applied for miltefosine) and indirect costs. Conclusion These calculations provide useful basic information for projections.","DOI":"10.1111/j.1365-3156.2008.02195.x","ISSN":"1365-3156","language":"en","author":[{"family":"Olliaro","given":"P."},{"family":"Sundar","given":"S."}],"issued":{"date-parts":[["2009",1,1]]}}}],"schema":"https://github.com/citation-style-language/schema/raw/master/csl-citation.json"} </w:instrText>
      </w:r>
      <w:r w:rsidRPr="008B3AD6">
        <w:rPr>
          <w:color w:val="000000" w:themeColor="text1"/>
        </w:rPr>
        <w:fldChar w:fldCharType="separate"/>
      </w:r>
      <w:r w:rsidR="00025067">
        <w:rPr>
          <w:color w:val="000000" w:themeColor="text1"/>
        </w:rPr>
        <w:t>(Olliaro and Sundar 2009)</w:t>
      </w:r>
      <w:r w:rsidRPr="008B3AD6">
        <w:rPr>
          <w:color w:val="000000" w:themeColor="text1"/>
        </w:rPr>
        <w:fldChar w:fldCharType="end"/>
      </w:r>
      <w:r w:rsidRPr="008B3AD6">
        <w:rPr>
          <w:color w:val="000000" w:themeColor="text1"/>
        </w:rPr>
        <w:t xml:space="preserve"> and/or an emergence of resistance </w:t>
      </w:r>
      <w:r w:rsidRPr="008B3AD6">
        <w:rPr>
          <w:color w:val="000000" w:themeColor="text1"/>
        </w:rPr>
        <w:fldChar w:fldCharType="begin"/>
      </w:r>
      <w:r w:rsidRPr="008B3AD6">
        <w:rPr>
          <w:color w:val="000000" w:themeColor="text1"/>
        </w:rPr>
        <w:instrText xml:space="preserve"> ADDIN ZOTERO_ITEM CSL_CITATION {"citationID":"h8kAhhLt","properties":{"formattedCitation":"(Ponte-Sucre et al. 2017)","plainCitation":"(Ponte-Sucre et al. 2017)","noteIndex":0},"citationItems":[{"id":2540,"uris":["http://zotero.org/users/2628971/items/3K5Z9TKM"],"uri":["http://zotero.org/users/2628971/items/3K5Z9TKM"],"itemData":{"id":2540,"type":"article-journal","title":"Drug resistance and treatment failure in leishmaniasis: A 21st century challenge","container-title":"PLOS Neglected Tropical Diseases","page":"e0006052","volume":"11","issue":"12","source":"PLoS Journals","abstract":"Reevaluation of treatment guidelines for Old and New World leishmaniasis is urgently needed on a global basis because treatment failure is an increasing problem. Drug resistance is a fundamental determinant of treatment failure, although other factors also contribute to this phenomenon, including the global HIV/AIDS epidemic with its accompanying impact on the immune system. Pentavalent antimonials have been used successfully worldwide for the treatment of leishmaniasis since the first half of the 20th century, but the last 10 to 20 years have witnessed an increase in clinical resistance, e.g., in North Bihar in India. In this review, we discuss the meaning of “resistance” related to leishmaniasis and discuss its molecular epidemiology, particularly for Leishmania donovani that causes visceral leishmaniasis. We also discuss how resistance can affect drug combination therapies. Molecular mechanisms known to contribute to resistance to antimonials, amphotericin B, and miltefosine are also outlined.","DOI":"10.1371/journal.pntd.0006052","ISSN":"1935-2735","shortTitle":"Drug resistance and treatment failure in leishmaniasis","journalAbbreviation":"PLOS Neglected Tropical Diseases","language":"en","author":[{"family":"Ponte-Sucre","given":"Alicia"},{"family":"Gamarro","given":"Francisco"},{"family":"Dujardin","given":"Jean-Claude"},{"family":"Barrett","given":"Michael P."},{"family":"López-Vélez","given":"Rogelio"},{"family":"García-Hernández","given":"Raquel"},{"family":"Pountain","given":"Andrew W."},{"family":"Mwenechanya","given":"Roy"},{"family":"Papadopoulou","given":"Barbara"}],"issued":{"date-parts":[["2017",12,14]]}}}],"schema":"https://github.com/citation-style-language/schema/raw/master/csl-citation.json"} </w:instrText>
      </w:r>
      <w:r w:rsidRPr="008B3AD6">
        <w:rPr>
          <w:color w:val="000000" w:themeColor="text1"/>
        </w:rPr>
        <w:fldChar w:fldCharType="separate"/>
      </w:r>
      <w:r w:rsidR="00025067">
        <w:rPr>
          <w:color w:val="000000" w:themeColor="text1"/>
        </w:rPr>
        <w:t>(Ponte-Sucre et al. 2017)</w:t>
      </w:r>
      <w:r w:rsidRPr="008B3AD6">
        <w:rPr>
          <w:color w:val="000000" w:themeColor="text1"/>
        </w:rPr>
        <w:fldChar w:fldCharType="end"/>
      </w:r>
      <w:r w:rsidRPr="008B3AD6">
        <w:rPr>
          <w:color w:val="000000" w:themeColor="text1"/>
        </w:rPr>
        <w:t xml:space="preserve">. LAmB, of which Amphotericin B (AmB) is the anti-leishmanial component, is considered a gold-standard treatment for VL and there is a plethora of work investigating its pharmacokinetics (PK), in both humans, healthy subjects and those infected with invasive fungal infections, </w:t>
      </w:r>
      <w:r w:rsidRPr="008B3AD6">
        <w:rPr>
          <w:color w:val="000000" w:themeColor="text1"/>
        </w:rPr>
        <w:fldChar w:fldCharType="begin"/>
      </w:r>
      <w:r w:rsidRPr="008B3AD6">
        <w:rPr>
          <w:color w:val="000000" w:themeColor="text1"/>
        </w:rPr>
        <w:instrText xml:space="preserve"> ADDIN ZOTERO_ITEM CSL_CITATION {"citationID":"lYbrB0xY","properties":{"formattedCitation":"(Bekersky et al. 2002; Vogelsinger et al. 2006; Hamill 2013)","plainCitation":"(Bekersky et al. 2002; Vogelsinger et al. 2006; Hamill 2013)","noteIndex":0},"citationItems":[{"id":2370,"uris":["http://zotero.org/users/2628971/items/GA3IUC6T"],"uri":["http://zotero.org/users/2628971/items/GA3IUC6T"],"itemData":{"id":2370,"type":"article-journal","title":"Pharmacokinetics, Excretion, and Mass Balance of Liposomal Amphotericin B (AmBisome) and Amphotericin B Deoxycholate in Humans","container-title":"Antimicrobial Agents and Chemotherapy","page":"828-833","volume":"46","issue":"3","source":"PubMed Central","abstract":"The pharmacokinetics, excretion, and mass balance of liposomal amphotericin B (AmBisome) (liposomal AMB) and the conventional formulation, AMB deoxycholate (AMB-DOC), were compared in a phase IV, open-label, parallel study in healthy volunteers. After a single 2-h infusion of 2 mg of liposomal AMB/kg of body weight or 0.6 mg of AMB-DOC/kg, plasma, urine, and feces were collected for 168 h. The concentrations of AMB were determined by liquid chromatography tandem mass spectrometry (plasma, urine, feces) or high-performance liquid chromatography (HPLC) (plasma). Infusion-related side effects similar to those reported in patients, including nausea and back pain, were observed in both groups. Both formulations had triphasic plasma profiles with long terminal half-lives (liposomal AMB, 152 ± 116 h; AMB-DOC, 127 ± 30 h), but plasma concentrations were higher (P &lt; 0.01) after administration of liposomal AMB (maximum concentration of drug in serum [Cmax], 22.9 ± 10 μg/ml) than those of AMB-DOC (Cmax, 1.4 ± 0.2 μg/ml). Liposomal AMB had a central compartment volume close to that of plasma (50 ± 19 ml/kg) and a volume of distribution at steady state (Vss) (774 ± 550 ml/kg) smaller than the Vss of AMB-DOC (1,807 ± 239 ml/kg) (P &lt; 0.01). Total clearances were similar (approximately 10 ml hr−1 kg−1), but renal and fecal clearances of liposomal AMB were 10-fold lower than those of AMB-DOC (P &lt; 0.01). Two-thirds of the AMB-DOC was excreted unchanged in the urine (20.6%) and feces (42.5%) with &gt;90% accounted for in mass balance calculations at 1 week, suggesting that metabolism plays at most a minor role in AMB elimination. In contrast, &lt;10% of the liposomal AMB was excreted unchanged. No metabolites were observed by HPLC or mass spectrometry. In comparison to AMB-DOC, liposomal AMB produced higher plasma exposures and lower volumes of distribution and markedly decreased the excretion of unchanged drug in urine and feces. Thus, liposomal AMB significantly alters the excretion and mass balance of AMB. The ability of liposomes to sequester drugs in circulating liposomes and within deep tissue compartments may account for these differences.","DOI":"10.1128/AAC.46.3.828-833.2002","ISSN":"0066-4804","note":"PMID: 11850268\nPMCID: PMC127462","journalAbbreviation":"Antimicrob Agents Chemother","author":[{"family":"Bekersky","given":"Ihor"},{"family":"Fielding","given":"Robert M."},{"family":"Dressler","given":"Dawna E."},{"family":"Lee","given":"Jean W."},{"family":"Buell","given":"Donald N."},{"family":"Walsh","given":"Thomas J."}],"issued":{"date-parts":[["2002",3]]}}},{"id":2903,"uris":["http://zotero.org/users/2628971/items/D9MESPV8"],"uri":["http://zotero.org/users/2628971/items/D9MESPV8"],"itemData":{"id":2903,"type":"article-journal","title":"Amphotericin B tissue distribution in autopsy material after treatment with liposomal amphotericin B and amphotericin B colloidal dispersion","container-title":"The Journal of Antimicrobial Chemotherapy","page":"1153-1160","volume":"57","issue":"6","source":"PubMed","abstract":"OBJECTIVES: Tissue concentrations of amphotericin B were determined in autopsy material of patients who had been treated with liposomal amphotericin B or amphotericin B colloidal dispersion (colloidal amphotericin B) for suspected or proven invasive fungal infection.\nPATIENTS AND METHODS: Amphotericin B tissue levels were measured in liver, spleen, lung, kidney, and myocardial and brain tissue of 20 patients who had been treated with lipid-formulated amphotericin B, before they died from multi-organ failure. Seven patients had been treated with liposomal amphotericin B (AmBisome) and thirteen with colloidal amphotericin B (Amphocil). Tissue samples were obtained during routine autopsy, homogenized and extracted with methanol. Amphotericin B concentrations were measured using HPLC after purification by solid phase extraction.\nRESULTS: The highest amphotericin B levels were found in liver and spleen, followed by kidney, lung, myocardium and brain. In the lung higher amphotericin B concentrations were found after treatment with amphotericin B colloidal dispersion than after therapy with liposomal amphotericin B.\nCONCLUSIONS: The choice of lipid formulation may influence amphotericin B penetration into the lung.","DOI":"10.1093/jac/dkl141","ISSN":"0305-7453","note":"PMID: 16627591","journalAbbreviation":"J. Antimicrob. Chemother.","language":"eng","author":[{"family":"Vogelsinger","given":"Helene"},{"family":"Weiler","given":"Stefan"},{"family":"Djanani","given":"Angela"},{"family":"Kountchev","given":"Jordan"},{"family":"Bellmann-Weiler","given":"Rosa"},{"family":"Wiedermann","given":"Christian J."},{"family":"Bellmann","given":"Romuald"}],"issued":{"date-parts":[["2006",6]]}}},{"id":2923,"uris":["http://zotero.org/users/2628971/items/RNMLSGBH"],"uri":["http://zotero.org/users/2628971/items/RNMLSGBH"],"itemData":{"id":2923,"type":"article-journal","title":"Amphotericin B Formulations: A Comparative Review of Efficacy and Toxicity","container-title":"Drugs","page":"919-934","volume":"73","issue":"9","source":"link.springer.com","abstract":"Because of the increasing prevalence and changing microbiological spectrum of invasive fungal infections, some form of amphotericin B still provides the most reliable and broad spectrum therapeutic alternative. However, the use of amphotericin B deoxycholate is accompanied by dose-limited toxicities, most importantly, infusion-related reactions and nephrotoxicity. In an attempt to improve the therapeutic index of amphotericin B, three lipid-associated formulations were developed, including amphotericin B lipid complex (ABLC), liposomal amphotericin B (L-AmB), and amphotericin B colloidal dispersion (ABCD). The lipid composition of all three of these preparations differs considerably and contributes to substantially different pharmacokinetic parameters. ABLC is the largest of the lipid preparations. Because of its size, it is taken up rapidly by macrophages and becomes sequestered in tissues of the mononuclear phagocyte system such as the liver and spleen. Consequently, compared with the conventional formulation, it has lower circulating amphotericin B serum concentrations, reflected in a marked increase in volume of distribution and clearance. Lung levels are considerably higher than those achieved with other lipid-associated preparations. The recommended therapeutic dose of ABLC is 5 mg/kg/day. Because of its small size and negative charge, L-AmB avoids substantial recognition and uptake by the mononuclear phagocyte system. Therefore, a single dose of L-AmB results in a much higher peak plasma level (Cmax) than conventional amphotericin B deoxycholate and a much larger area under the concentration–time curve. Tissue concentrations in patients receiving L-AmB tend to be highest in the liver and spleen and much lower in kidneys and lung. Recommended therapeutic dosages are 3–6 mg/kg/day. After intravenous infusion, ABCD complexes remain largely intact and are rapidly removed from the circulation by cells of the macrophage phagocyte system. On a milligram-to-milligram basis, the Cmax achieved is lower than that attained by conventional amphotericin B, although the larger doses of ABCD that are administered produce an absolute level that is similar to amphotericin B. ABCD exhibits dose-limiting, infusion-related toxicities; consequently, the administered dosages should not exceed 3–4 mg/kg/day. The few comparative clinical trials that have been completed with the lipid-associated formulations have not demonstrated important clinical differences among these agents and amphotericin B for efficacy, although there are significant safety benefits of the lipid products. Furthermore, only one published trial has ever compared one lipid product against another for any indication. The results of these trials are particularly difficult to interpret because of major heterogeneities in study design, disease definitions, drug dosages, differences in clinical and microbiological endpoints as well as specific outcomes examined. Nevertheless, it is possible to derive some general conclusions given the available data. The most commonly studied syndrome has been empiric therapy for febrile neutropenic patients, where the lipid-associated preparations did not appear to provide a survival benefit over conventional amphotericin B deoxycholate, but did offer a significant advantage for the prevention of various breakthrough invasive fungal infections. For treatment of documented invasive fungal infections that usually involved hematological malignancy patients, no individual randomized trial has demonstrated a mortality benefit due to therapy with one of the lipid formulations. Results from meta-analyses have been contradictory, with one demonstrating a mortality benefit from all-cause mortality and one that did not demonstrate a mortality benefit. In the only published study to examine HIV-infected patients with disseminated histoplasmosis, clinical success and mortality were significantly better with L-AmB compared with amphotericin B deoxycholate; there were no differences in microbiological outcomes between treatment groups. The lipid-associated preparations were not significantly better than amphotericin B deoxycholate for treatment of AIDS-associated acute cryptococcal meningitis for either clinical or microbiological outcomes that were studied. In all of the trials that specifically examined renal toxicity, the lipid-associated formulations were significantly less nephrotoxic than amphotericin B deoxycholate. Infusion-related reactions occurred less frequently with L-AmB when compared with amphotericin B deoxycholate; however, ABCD had equivalent or more frequent infusion-related reactions than conventional amphotericin B, and this resulted in the cessation of at least one clinical trial. At the present time, this particular lipid formulation is no longer commercially available. For the treatment of most invasive fungal infections, an amphotericin B lipid formulation provides a safer alternative than conventional amphotericin B, with at least equivalent efficacy. As the cost of therapy with these agents continues to decline, these drugs will likely maintain their important role in the antifungal drug armamentarium because of their efficacy and improved safety profile.","DOI":"10.1007/s40265-013-0069-4","ISSN":"0012-6667, 1179-1950","shortTitle":"Amphotericin B Formulations","journalAbbreviation":"Drugs","language":"en","author":[{"family":"Hamill","given":"Richard J."}],"issued":{"date-parts":[["2013",6,1]]}}}],"schema":"https://github.com/citation-style-language/schema/raw/master/csl-citation.json"} </w:instrText>
      </w:r>
      <w:r w:rsidRPr="008B3AD6">
        <w:rPr>
          <w:color w:val="000000" w:themeColor="text1"/>
        </w:rPr>
        <w:fldChar w:fldCharType="separate"/>
      </w:r>
      <w:r w:rsidR="00025067">
        <w:rPr>
          <w:color w:val="000000" w:themeColor="text1"/>
        </w:rPr>
        <w:t>(Bekersky et al. 2002; Vogelsinger et al. 2006; Hamill 2013)</w:t>
      </w:r>
      <w:r w:rsidRPr="008B3AD6">
        <w:rPr>
          <w:color w:val="000000" w:themeColor="text1"/>
        </w:rPr>
        <w:fldChar w:fldCharType="end"/>
      </w:r>
      <w:r w:rsidRPr="008B3AD6">
        <w:rPr>
          <w:color w:val="000000" w:themeColor="text1"/>
        </w:rPr>
        <w:t xml:space="preserve"> and rodent models </w:t>
      </w:r>
      <w:r w:rsidRPr="008B3AD6">
        <w:rPr>
          <w:color w:val="000000" w:themeColor="text1"/>
        </w:rPr>
        <w:fldChar w:fldCharType="begin"/>
      </w:r>
      <w:r w:rsidR="00025067">
        <w:rPr>
          <w:color w:val="000000" w:themeColor="text1"/>
        </w:rPr>
        <w:instrText xml:space="preserve"> ADDIN ZOTERO_ITEM CSL_CITATION {"citationID":"KHpmccQx","properties":{"formattedCitation":"(Fielding et al. 1991; Proffitt et al. 1991a; Wang et al. 1995; van Etten et al. 1995a; Peter J. Smith et al. 2007; Gershkovich et al. 2009; Angra et al. 2009; Kagan et al. 2011, 2014b)","plainCitation":"(Fielding et al. 1991; Proffitt et al. 1991a; Wang et al. 1995; van Etten et al. 1995a; Peter J. Smith et al. 2007; Gershkovich et al. 2009; Angra et al. 2009; Kagan et al. 2011, 2014b)","noteIndex":0},"citationItems":[{"id":3101,"uris":["http://zotero.org/users/2628971/items/Y98ENJU2"],"uri":["http://zotero.org/users/2628971/items/Y98ENJU2"],"itemData":{"id":3101,"type":"article-journal","title":"Comparative pharmacokinetics of amphotericin B after administration of a novel colloidal delivery system, ABCD, and a conventional formulation to rats","container-title":"Antimicrobial Agents and Chemotherapy","page":"1208-1213","volume":"35","issue":"6","source":"PubMed","abstract":"The pharmacokinetics and tissue distribution of two amphotericin B dosage forms were compared in rats. A novel lipid-based colloidal delivery system for amphotericin B (Amphotericin B Colloidal Dispersion [ABCD]) which reduces the toxicity of amphotericin B in animals was compared with a conventional micellar formulation. Male Sprague-Dawley rats received a single intravenous injection of 1.0 mg of ABCD, 5.0 mg of ABCD, or 1.0 mg of micellar amphotericin B per kg. Plasma and tissue samples were obtained at 0.5 to 96 h after dosing and analyzed for amphotericin B by high-pressure liquid chromatography. Animals receiving ABCD demonstrated reduced peak levels in plasma, a three- to sevenfold reduction in amphotericin B delivery to the kidneys (the major target organ for toxicity), and prolonged residence time compared with those receiving the micellar formulation. In contrast, amphotericin B concentrations in the liver were two- to threefold higher with ABCD than with the micellar formulation: nearly 100% of the amphotericin B administered as ABCD was recovered from the liver 30 min after dosing. These results suggest that the colloidal particles of ABCD are taken up by the liver, which then acts as a reservoir of amphotericin B.","ISSN":"0066-4804","note":"PMID: 1929263\nPMCID: PMC284312","journalAbbreviation":"Antimicrob. Agents Chemother.","language":"eng","author":[{"family":"Fielding","given":"R. M."},{"family":"Smith","given":"P. C."},{"family":"Wang","given":"L. H."},{"family":"Porter","given":"J."},{"family":"Guo","given":"L. S."}],"issued":{"date-parts":[["1991",6]]}},"label":"page"},{"id":3037,"uris":["http://zotero.org/users/2628971/items/6YB6GYP6"],"uri":["http://zotero.org/users/2628971/items/6YB6GYP6"],"itemData":{"id":3037,"type":"article-journal","title":"Pharmacology and toxicology of a liposomal formulation of amphotericin B (AmBisome) in rodents","container-title":"The Journal of Antimicrobial Chemotherapy","page":"49-61","volume":"28 Suppl B","source":"PubMed","abstract":"AmBisome is a lyophilized preparation of liposomal amphotericin B. The acute intravenous toxicity of AmBisome was evaluated in mice and rats, and the LD50S were found to be greater than 175 and 50 mg/kg, respectively. The corresponding LD50S for conventional amphotericin B were approximately 2.3 and 1.6 mg/kg for mice and rats, respectively. The multiple dose toxicity test confirmed that AmBisome was well tolerated by both species. There were no deaths observed among mice receiving 25 or 50 mg/kg AmBisome for 14 days, and only two deaths among mice receiving 75 mg/kg AmBisome. One rat died in the group receiving 25 mg/kg AmBisome for 30 days. However, five of ten and nine of ten rats died in the groups treated with 50 and 75 mg/kg AmBisome, respectively. Hepatotoxicity was evident by elevation in serum liver enzyme levels for these groups. Initial pharmacokinetic evaluations demonstrated that peak plasma concentrations of 87 and 118 mg/kg, respectively, were attained in mice and rats after injection with 5 mg/kg AmBisome. Terminal plasma half-lives of 3.36 and 7.56 h were calculated for mice and rats, respectively. Tissue accumulations of amphotericin B resulting from multiple dose intravenous administration of either conventional amphotericin B or AmBisome were determined. At equivalent doses of 1 mg/kg, AmBisome treatment resulted in higher liver and spleen uptake of drug, but lower kidney and lung uptake than amphotericin B. At 5 mg/kg, AmBisome treatment resulted in concentrations of drug in the kidney and lungs that were comparable to corresponding tissue levels observed in the group treated with 1 mg/kg conventional amphotericin B.(ABSTRACT TRUNCATED AT 250 WORDS)","ISSN":"0305-7453","note":"PMID: 1778892","journalAbbreviation":"J. Antimicrob. Chemother.","language":"eng","author":[{"family":"Proffitt","given":"R. T."},{"family":"Satorius","given":"A."},{"family":"Chiang","given":"S. M."},{"family":"Sullivan","given":"L."},{"family":"Adler-Moore","given":"J. P."}],"issued":{"date-parts":[["1991",10]]}},"label":"page"},{"id":3099,"uris":["http://zotero.org/users/2628971/items/X2GTG3K3"],"uri":["http://zotero.org/users/2628971/items/X2GTG3K3"],"itemData":{"id":3099,"type":"article-journal","title":"Comparative tissue distribution and elimination of amphotericin B colloidal dispersion (Amphocil) and Fungizone after repeated dosing in rats","container-title":"Pharmaceutical Research","page":"275-283","volume":"12","issue":"2","source":"PubMed","abstract":"The pharmacokinetic profiles of amphotericin B (AmB) after administration of Amphocil, an AmB/cholesteryl sulfate colloidal dispersion (ABCD) and the micellar AmB/deoxycholate (Fungizone) were compared after repeated dosing in rats. After administration of ABCD and Fungizone at an equal AmB dose (1 mg/kg), AmB concentrations in plasma and most tissues were lower for the ABCD dose, especially in the kidneys where reduced drug concentration correlated with reduced nephrotoxicity. In contrast, AmB concentrations in the liver were substantially higher when ABCD was administered; however, without an accompanying increase in hepatotoxicity. Daily administration of ABCD for 14 days did not lead to AmB accumulation in plasma; while a slight accumulation was observed after multiple administration of Fungizone. AmB was eliminated more slowly from the plasma and various tissues and urinary and fecal recoveries of AmB were reduced after ABCD administration. These results suggest that ABCD may be stored in tissues in a form that is less toxic and is eliminated from the systemic circulation by a different mechanism than the free and protein-bound AmB in plasma. AmB accumulation in the spleen was observed when higher, doses of ABCD (5 mg/kg) were administered, which could be due to saturation of hepatic uptake of AmB. Comparison of spleen concentrations of AmB between ABCD and Fungizone at 5 mg/kg AmB doses was not possible because of Fungizone's toxicity in rats. In all other organs, AmB concentrations reached or approached a steady state within two weeks of dosing with ABCD. Urinary and fecal clearences of AmB were not different between ABCD and Fungizone administration.(ABSTRACT TRUNCATED AT 250 WORDS)","ISSN":"0724-8741","note":"PMID: 7784345","journalAbbreviation":"Pharm. Res.","language":"eng","author":[{"family":"Wang","given":"L. H."},{"family":"Fielding","given":"R. M."},{"family":"Smith","given":"P. C."},{"family":"Guo","given":"L. S."}],"issued":{"date-parts":[["1995",2]]}},"label":"page"},{"id":3060,"uris":["http://zotero.org/users/2628971/items/HAGABK5X"],"uri":["http://zotero.org/users/2628971/items/HAGABK5X"],"itemData":{"id":3060,"type":"article-journal","title":"Biodistribution of liposomal amphotericin B (AmBisome) and amphotericin B-desoxycholate (Fungizone) in uninfected immunocompetent mice and leucopenic mice infected with Candida albicans","container-title":"The Journal of Antimicrobial Chemotherapy","page":"509-519","volume":"35","issue":"4","source":"PubMed","abstract":"The biodistribution of liposomal amphotericin B (L-AmB; AmBisome) and amphotericin B-desoxycholate were compared after a single injection of drug in uninfected immunocompetent mice and in leucopenic mice 6 h after inoculation with Candida albicans. Amphotericin B-desoxycholate was administered at the maximum tolerated dose (MTD) of 0.3 mg/kg whereas L-AmB was given at either 0.3 mg/kg or the MTD of 7 mg/kg. Amphotericin B (AmB) concentrations in the blood, liver, spleen, lungs and kidneys were determined by HPLC analysis at various intervals during the 48 h after administration. The biodistribution of both preparations of AmB followed similar patterns in both uninfected immunocompetent mice as well as those that were leucopenic and infected with C. albicans. Administration of L-AmB resulted in increased concentrations of drug in the blood, liver, and spleen but decreased concentrations in the kidney and lung. Hepatosplenic uptake of L-AmB was highly dose dependent with 7 mg/kg resulting in a relatively prolonged blood circulation. Blood and tissues retained high AmB concentrations after administration of L-AmB at the MTD. By using radiolabelled L-AmB, it was found that the high AmB concentrations in blood represented liposome-associated AmB and that during circulation in blood slow release of AmB occurred.","ISSN":"0305-7453","note":"PMID: 7628985","journalAbbreviation":"J. Antimicrob. Chemother.","language":"eng","author":[{"family":"Etten","given":"E. W.","non-dropping-particle":"van"},{"family":"Otte-Lambillion","given":"M."},{"family":"Vianen","given":"W.","non-dropping-particle":"van"},{"family":"Kate","given":"M. T.","non-dropping-particle":"ten"},{"family":"Bakker-Woudenberg","given":"A. J."}],"issued":{"date-parts":[["1995",4]]}},"label":"page"},{"id":3086,"uris":["http://zotero.org/users/2628971/items/Q7TAJ79W"],"uri":["http://zotero.org/users/2628971/items/Q7TAJ79W"],"itemData":{"id":3086,"type":"article-journal","title":"Effects of dosing regimen on accumulation, retention and prophylactic efficacy of liposomal amphotericin B","container-title":"The Journal of Antimicrobial Chemotherapy","page":"941-951","volume":"59","issue":"5","source":"PubMed","abstract":"OBJECTIVES: We hypothesized that effective prophylactic treatment of fungal infections would require adequate drug penetration and retention at potential infection sites. Using a mouse model, we examined liposomal amphotericin B (L-AmB) biodistribution, cell localization and retention in kidneys, lungs, liver and spleen to evaluate effective dosing regimens for prophylaxis of Candida glabrata and Candida albicans infections.\nMETHODS: Following treatment of mice with cumulative doses of L-AmB (60-225 mg/kg), a bioassay was done to determine tissue drug concentrations 12 h to 6 weeks post-treatment. Immunohistochemical staining with anti-amphotericin B antibodies was used for cellular drug localization. Mice were treated prophylactically with 15-90 mg/kg L-AmB and challenged intravenously 1-7 days later with C. glabrata or they were given a total of 60 mg/kg as daily or intermittent dosing followed by intravenous challenge with C. albicans 3 or 6 weeks later.\nRESULTS: On the basis of microg/g tissue, the relative amount of drug was in the order spleen &gt; liver &gt; kidneys &gt; lungs. Amphotericin B levels were maintained above the MIC for many fungi for 1 week in lungs and for as long as 6 weeks in kidneys and spleen. Drug localized in kidney tubular epithelial cells and in macrophages of liver and spleen. In prophylactic models, fungal burden was reduced by several 1000-fold or was undetectable within target tissues (kidneys, spleen).\nCONCLUSIONS: These observations underscore the importance of including drug tissue levels to obtain a better understanding of L-AmB efficacy. The sustained concentrations of bioactive AmB in many tissues provide a further rationale for investigating L-AmB prophylactic regimens.","DOI":"10.1093/jac/dkm077","ISSN":"0305-7453","note":"PMID: 17400589","journalAbbreviation":"J. Antimicrob. Chemother.","language":"eng","author":[{"family":"Smith","given":"Peter J."},{"family":"Olson","given":"Jon A."},{"family":"Constable","given":"David"},{"family":"Schwartz","given":"Julie"},{"family":"Proffitt","given":"Richard T."},{"family":"Adler-Moore","given":"Jill P."}],"issued":{"date-parts":[["2007",5]]}},"label":"page"},{"id":3033,"uris":["http://zotero.org/users/2628971/items/48EKYSCD"],"uri":["http://zotero.org/users/2628971/items/48EKYSCD"],"itemData":{"id":3033,"type":"article-journal","title":"Pharmacokinetics and biodistribution of amphotericin B in rats following oral administration in a novel lipid-based formulation","container-title":"The Journal of Antimicrobial Chemotherapy","page":"101-108","volume":"64","issue":"1","source":"PubMed","abstract":"OBJECTIVES: To assess the pharmacokinetics and biodistribution of amphotericin B (AmB) following oral administration in a novel mono/diglyceride-phospholipid formulation and to compare with intravenous (iv) administrations using commercial formulations.\nMETHODS: Rats were allocated into the following treatment groups: oral gavage of AmB dispersed in mono/diglyceride-phospholipid formulation at doses of 4.5 and 10 mg/kg; iv bolus administration of 0.8 mg/kg Fungizone; iv bolus of 5 mg/kg Abelcet and iv bolus of 5 mg/kg AmBisome. Blood was sampled from jugular vein cannula at certain time points. The animals were sacrificed 72 h following administration of AmB and multiple tissues were harvested. The concentration of AmB in plasma and tissues was determined by means of HPLC. The plasma creatinine concentrations were determined using an enzymatic kit.\nRESULTS: The pharmacokinetics and tissue distribution of AmB following iv administrations of the commercial formulations were found to be highly formulation dependent. The terminal half-life and biodistribution of orally administered AmB in a mono/diglyceride-phospholipid formulation resembled those of Fungizone. The larger volume of the co-administered lipid-based formulation in the case of the higher dose of orally administered AmB resulted in flip-flop kinetics and in preferential distribution into the kidneys. No nephrotoxicity was detected for any formulation and route of administration.\nCONCLUSIONS: Oral administration of AmB in a mono/diglyceride-phospholipid formulation to rats resulted in significant intestinal absorption into the systemic circulation with pharmacokinetic and biodistribution properties similar to a micellar iv preparation.","DOI":"10.1093/jac/dkp140","ISSN":"1460-2091","note":"PMID: 19398459","journalAbbreviation":"J. Antimicrob. Chemother.","language":"eng","author":[{"family":"Gershkovich","given":"Pavel"},{"family":"Wasan","given":"Ellen K."},{"family":"Lin","given":"Molly"},{"family":"Sivak","given":"Olena"},{"family":"Leon","given":"Carlos G."},{"family":"Clement","given":"John G."},{"family":"Wasan","given":"Kishor M."}],"issued":{"date-parts":[["2009",7]]}},"label":"page"},{"id":3071,"uris":["http://zotero.org/users/2628971/items/KRDAJQAG"],"uri":["http://zotero.org/users/2628971/items/KRDAJQAG"],"itemData":{"id":3071,"type":"article-journal","title":"Pharmacokinetic and biodistribution studies of amphotericin B microspheres","container-title":"Journal of Microencapsulation","page":"627-634","volume":"26","issue":"7","source":"PubMed","abstract":"The pharmacokinetics of Amphotericin B (AmB) from polyethylene glycol 2000 (PEG 2000) entrapped cross-linked bovine serum albumin (BSA) microsphere formulations were investigated and compared with solution formulation. The microsphere preparations were characterized for particle size using electron microscopy, zeta potential and encapsulation efficiency. The microsphere formulations demonstrated a sustained release of AmB for a longer period of time, with no rise in plasma creatinine and potassium levels. The enhanced AmB accumulation in lungs was observed which could be of importance since lungs are the primary target in most fungal infections. The stealth property of submicron cross-linked BSA microspheres in formulations containing PEG 2000 (formulation F-2N) and without PEG 2000 (formulation F-1N) was also evaluated. There was no evidence that microspheres embedded with PEG remained longer in circulation; however, it was noticed that the internalization of formulation F-2N microspheres was delayed when compared with microspheres from formulation F-1N.","DOI":"10.3109/02652040802587173","ISSN":"1464-5246","note":"PMID: 19839798","journalAbbreviation":"J Microencapsul","language":"eng","author":[{"family":"Angra","given":"Pawan K."},{"family":"Siddig","given":"Aladin"},{"family":"Nettey","given":"Henry"},{"family":"Desai","given":"Nishil"},{"family":"Oettinger","given":"Carl"},{"family":"D'Souza","given":"Martin J."}],"issued":{"date-parts":[["2009",11]]}},"label":"page"},{"id":3032,"uris":["http://zotero.org/users/2628971/items/2TWBRX8Q"],"uri":["http://zotero.org/users/2628971/items/2TWBRX8Q"],"itemData":{"id":3032,"type":"article-journal","title":"Physiologically Based Pharmacokinetic Model of Amphotericin B Disposition in Rats Following Administration of Deoxycholate Formulation (Fungizone®): Pooled Analysis of Published Data","container-title":"The AAPS Journal","volume":"13","issue":"2","source":"PubMed Central","abstract":"The time course of tissue distribution of amphotericin B (AmB) has not been sufficiently characterized despite its therapeutic importance and an apparent disconnect between plasma pharmacokinetics and clinical outcomes. The goals of this work were to develop and evaluate a physiologically based pharmacokinetic (PBPK) model to characterize the disposition properties of AmB administered as deoxycholate formulation in healthy rats and to examine the utility of the PBPK model for interspecies scaling of AmB pharmacokinetics. AmB plasma and tissue concentration–time data, following single and multiple intravenous administration of Fungizone® to rats, from several publications were combined for construction of the model. Physiological parameters were fixed to literature values. Various structural models for single organs were evaluated, and the whole-body PBPK model included liver, spleen, kidney, lung, heart, gastrointestinal tract, plasma, and remainder compartments. The final model resulted in a good simultaneous description of both single and multiple dose data sets. Incorporation of three subcompartments for spleen and kidney tissues was required for capturing a prolonged half-life in these organs. The predictive performance of the final PBPK model was assessed by evaluating its utility in predicting pharmacokinetics of AmB in mice and humans. Clearance and permeability–surface area terms were scaled with body weight. The model demonstrated good predictions of plasma AmB concentration–time profiles for both species. This modeling framework represents an important basis that may be further utilized for characterization of formulation- and disease-related factors in AmB pharmacokinetics and pharmacodynamics.","URL":"https://www.ncbi.nlm.nih.gov/pmc/articles/PMC3085707/","DOI":"10.1208/s12248-011-9267-8","ISSN":"1550-7416","note":"PMID: 21431453\nPMCID: PMC3085707","shortTitle":"Physiologically Based Pharmacokinetic Model of Amphotericin B Disposition in Rats Following Administration of Deoxycholate Formulation (Fungizone®)","journalAbbreviation":"AAPS J","author":[{"family":"Kagan","given":"Leonid"},{"family":"Gershkovich","given":"Pavel"},{"family":"Wasan","given":"Kishor M."},{"family":"Mager","given":"Donald E."}],"issued":{"date-parts":[["2011",3,23]]},"accessed":{"date-parts":[["2018",8,2]]}},"label":"page"},{"id":3102,"uris":["http://zotero.org/users/2628971/items/YBRREMW8"],"uri":["http://zotero.org/users/2628971/items/YBRREMW8"],"itemData":{"id":3102,"type":"article-journal","title":"Dual Physiologically Based Pharmacokinetic Model of Liposomal and Nonliposomal Amphotericin B Disposition","container-title":"Pharmaceutical Research","page":"35-45","volume":"31","issue":"1","source":"link.springer.com","abstract":"ABSTRACTPurposeTo investigate the biodistribution of amphotericin B (AmB) in mice and rats following administration of liposomal AmB (AmBisome®) using a physiologically-based pharmacokinetic (PBPK) modeling framework and to utilize this approach for predicting AmBisome® pharmacokinetics in human tissues.MethodsAmB plasma and tissue concentration-time data, following single and multiple intravenous administration of nonliposomal and liposomal AmB to mice and rats, were extracted from literature. The whole-body PBPK model was constructed and incorporated nonliposomal and liposomal subcompartments. Various structural models for individual organs were evaluated. Allometric relationships were incorporated into the model to scale parameters based on species body weight.ResultsA non-Michaelis-Menten mechanism was included into the structure of the liver and spleen liposomal compartments to describe saturable uptake of particles by the reticuloendothelial system. The model successfully described plasma and tissue pharmacokinetics of AmB after administration of AmBisome® to rats and mice.ConclusionsThe dual PBPK model demonstrated good predictive performance by reasonably simulating AmB exposure in human tissues. This modeling framework can be potentially utilized for optimizing AmBisome® therapy in humans and for investigating pathophysiological factors controlling AmB pharmacokinetics and pharmacodynamics.","DOI":"10.1007/s11095-013-1127-z","ISSN":"0724-8741, 1573-904X","journalAbbreviation":"Pharm Res","language":"en","author":[{"family":"Kagan","given":"Leonid"},{"family":"Gershkovich","given":"Pavel"},{"family":"Wasan","given":"Kishor M."},{"family":"Mager","given":"Donald E."}],"issued":{"date-parts":[["2014",1,1]]}},"label":"page"}],"schema":"https://github.com/citation-style-language/schema/raw/master/csl-citation.json"} </w:instrText>
      </w:r>
      <w:r w:rsidRPr="008B3AD6">
        <w:rPr>
          <w:color w:val="000000" w:themeColor="text1"/>
        </w:rPr>
        <w:fldChar w:fldCharType="separate"/>
      </w:r>
      <w:r w:rsidR="00C80233">
        <w:rPr>
          <w:color w:val="000000" w:themeColor="text1"/>
        </w:rPr>
        <w:t>(Fielding et</w:t>
      </w:r>
      <w:r w:rsidR="00CD683B">
        <w:rPr>
          <w:color w:val="000000" w:themeColor="text1"/>
        </w:rPr>
        <w:t xml:space="preserve"> al. 1991; Proffitt et al. 1991</w:t>
      </w:r>
      <w:r w:rsidR="00C80233">
        <w:rPr>
          <w:color w:val="000000" w:themeColor="text1"/>
        </w:rPr>
        <w:t xml:space="preserve">; Wang et </w:t>
      </w:r>
      <w:r w:rsidR="00CD683B">
        <w:rPr>
          <w:color w:val="000000" w:themeColor="text1"/>
        </w:rPr>
        <w:t>al. 1995; van Etten et al. 1995</w:t>
      </w:r>
      <w:r w:rsidR="00C80233">
        <w:rPr>
          <w:color w:val="000000" w:themeColor="text1"/>
        </w:rPr>
        <w:t>; Smith et al. 2007; Gershkovich et al. 2009; Angra et al</w:t>
      </w:r>
      <w:r w:rsidR="00CD683B">
        <w:rPr>
          <w:color w:val="000000" w:themeColor="text1"/>
        </w:rPr>
        <w:t>. 2009; Kagan et al. 2011, 2014</w:t>
      </w:r>
      <w:r w:rsidR="00C80233">
        <w:rPr>
          <w:color w:val="000000" w:themeColor="text1"/>
        </w:rPr>
        <w:t>)</w:t>
      </w:r>
      <w:r w:rsidRPr="008B3AD6">
        <w:rPr>
          <w:color w:val="000000" w:themeColor="text1"/>
        </w:rPr>
        <w:fldChar w:fldCharType="end"/>
      </w:r>
      <w:r w:rsidRPr="008B3AD6">
        <w:rPr>
          <w:color w:val="000000" w:themeColor="text1"/>
        </w:rPr>
        <w:t xml:space="preserve">, and its pharmacodynamic (PD) activity against </w:t>
      </w:r>
      <w:r w:rsidRPr="008B3AD6">
        <w:rPr>
          <w:i/>
          <w:color w:val="000000" w:themeColor="text1"/>
        </w:rPr>
        <w:t>Leishmania</w:t>
      </w:r>
      <w:r w:rsidRPr="008B3AD6">
        <w:rPr>
          <w:color w:val="000000" w:themeColor="text1"/>
        </w:rPr>
        <w:t xml:space="preserve"> spp. </w:t>
      </w:r>
      <w:r w:rsidRPr="008B3AD6">
        <w:rPr>
          <w:color w:val="000000" w:themeColor="text1"/>
        </w:rPr>
        <w:fldChar w:fldCharType="begin"/>
      </w:r>
      <w:r w:rsidR="00025067">
        <w:rPr>
          <w:color w:val="000000" w:themeColor="text1"/>
        </w:rPr>
        <w:instrText xml:space="preserve"> ADDIN ZOTERO_ITEM CSL_CITATION {"citationID":"AyjYUex4","properties":{"formattedCitation":"(Saha, Mukherjee, and Bhaduri 1986a; Paila, Saha, and Chattopadhyay 2010; Purkait et al. 2012a; Balasegaram et al. 2012a; Corral et al. 2014; Voak et al. 2018)","plainCitation":"(Saha, Mukherjee, and Bhaduri 1986a; Paila, Saha, and Chattopadhyay 2010; Purkait et al. 2012a; Balasegaram et al. 2012a; Corral et al. 2014; Voak et al. 2018)","noteIndex":0},"citationItems":[{"id":3030,"uris":["http://zotero.org/users/2628971/items/2949YZWZ"],"uri":["http://zotero.org/users/2628971/items/2949YZWZ"],"itemData":{"id":3030,"type":"article-journal","title":"Mechanism of action of amphotericin B on Leishmania donovani promastigotes","container-title":"Molecular and Biochemical Parasitology","page":"195-200","volume":"19","issue":"3","source":"PubMed","abstract":"The growth of Leishmania donovani promastigotes in a liquid medium was completely inhibited by amphotericin B at a concentration of 0.3 microgram ml-1 (0.3 microM). Continuous release of small molecules that absorb at 260 nm and 280 nm was observed after contact with the drug. Uptake of [U-14C]glucose was inhibited in cells treated with the drug. An immediate release of isotopic glucose and its metabolites from preloaded cells could be demonstrated after incubation with amphotericin B (0.4 microM). Inhibition of respiration by the drug was a comparatively slower process. All the above effects could be effectively prevented in the presence of either cholesterol or ergosterol. The primary site of action of amphotericin B on L. donovani promastigote cells appears to be membrane sterols that result in a loss of the permeability barrier to small metabolites. An interesting biochemical similarity, thus, emerges between flagellated protozoa and fungi.","ISSN":"0166-6851","note":"PMID: 3736592","journalAbbreviation":"Mol. Biochem. Parasitol.","language":"eng","author":[{"family":"Saha","given":"A. K."},{"family":"Mukherjee","given":"T."},{"family":"Bhaduri","given":"A."}],"issued":{"date-parts":[["1986",6]]}},"label":"page"},{"id":3089,"uris":["http://zotero.org/users/2628971/items/TAXW9HYM"],"uri":["http://zotero.org/users/2628971/items/TAXW9HYM"],"itemData":{"id":3089,"type":"article-journal","title":"Amphotericin B inhibits entry of Leishmania donovani into primary macrophages","container-title":"Biochemical and Biophysical Research Communications","page":"429-433","volume":"399","issue":"3","source":"PubMed","abstract":"Visceral leishmaniasis is a vector-borne disease caused by an obligate intra-macrophage protozoan parasite Leishmania donovani. The molecular mechanisms involved in internalization of Leishmania are still poorly understood. Amphotericin B and its formulations are considered as the best existing drugs against visceral leishmaniasis and are being increasingly used. The reason for its antileishmanial activity is believed to be its ability to bind ergosterol found in parasite membranes. In case of in vivo amphotericin B treatment, both host macrophages and parasites are exposed to amphotericin B. The effect of amphotericin B treatment could therefore be due to a combination of its interaction with both sterols i.e., ergosterol of Leishmania and cholesterol of host macrophages. We report here that cholesterol complexation by amphotericin B markedly inhibits binding of L. donovani promastigotes to macrophages. These results represent one of the first reports on the effect of amphotericin B on the binding of Leishmania parasites to host macrophages. Importantly, these results offer the possibility of reevaluating the mechanism behind the effectiveness of current therapeutic strategies that employ sterol-complexing agents such as amphotericin B to treat leishmaniasis.","DOI":"10.1016/j.bbrc.2010.07.099","ISSN":"1090-2104","note":"PMID: 20678487","journalAbbreviation":"Biochem. Biophys. Res. Commun.","language":"eng","author":[{"family":"Paila","given":"Yamuna Devi"},{"family":"Saha","given":"Bhaskar"},{"family":"Chattopadhyay","given":"Amitabha"}],"issued":{"date-parts":[["2010",8,27]]}},"label":"page"},{"id":3074,"uris":["http://zotero.org/users/2628971/items/LL8KM5AW"],"uri":["http://zotero.org/users/2628971/items/LL8KM5AW"],"itemData":{"id":3074,"type":"article-journal","title":"Mechanism of amphotericin B resistance in clinical isolates of Leishmania donovani","container-title":"Antimicrobial Agents and Chemotherapy","page":"1031-1041","volume":"56","issue":"2","source":"PubMed","abstract":"The clinical value of amphotericin B, the mainstay therapy for visceral leishmaniasis in sodium antimony gluconate-nonresponsive zones of Bihar, India, is now threatened by the emergence of acquired drug resistance, and a comprehensive understanding of the underlying mechanisms is the need of the hour. We have selected an amphotericin B-resistant clinical isolate which demonstrated 8-fold-higher 50% lethal doses (LD(50)) than an amphotericin B-sensitive strain to explore the mechanism of amphotericin B resistance. Fluorimetric analysis demonstrated lower anisotropy in the motion of the diphenylhexatriene fluorescent probe in the resistant strain, which indicated a higher fluidity of the membrane for the resistant strain than for the sensitive strain. The expression patterns of the two transcripts of S-adenosyl-l-methionine:C-24-Δ-sterol methyltransferase and the absence of ergosterol, replaced by cholesta-5,7,24-trien-3β-ol in the membrane of the resistant parasite, indicate a decreased amphotericin B affinity, which is evidenced by decreased amphotericin B uptake. The expression level of MDR1 is found to be higher in the resistant strain, suggesting a higher rate of efflux of amphotericin B. The resistant parasite also possesses an upregulated tryparedoxin cascade and a more-reduced intracellular thiol level, which helps in better scavenging of reactive oxygen species produced by amphotericin B. The resistance to amphotericin B was partially reverted by the thiol metabolic pathway and ABC transporter inhibitors. Thus, it can be concluded that altered membrane composition, ATP-binding cassette transporters, and an upregulated thiol metabolic pathway have a role in conferring amphotericin B resistance in clinical isolates of Leishmania donovani.","DOI":"10.1128/AAC.00030-11","ISSN":"1098-6596","note":"PMID: 22123699\nPMCID: PMC3264217","journalAbbreviation":"Antimicrob. Agents Chemother.","language":"eng","author":[{"family":"Purkait","given":"Bidyut"},{"family":"Kumar","given":"Ashish"},{"family":"Nandi","given":"Nilay"},{"family":"Sardar","given":"Abul Hasan"},{"family":"Das","given":"Sushmita"},{"family":"Kumar","given":"Sudeep"},{"family":"Pandey","given":"Krishna"},{"family":"Ravidas","given":"Vidyananda"},{"family":"Kumar","given":"Manish"},{"family":"De","given":"Tripti"},{"family":"Singh","given":"Dharmendra"},{"family":"Das","given":"Pradeep"}],"issued":{"date-parts":[["2012",2]]}},"label":"page"},{"id":3094,"uris":["http://zotero.org/users/2628971/items/U945TBRE"],"uri":["http://zotero.org/users/2628971/items/U945TBRE"],"itemData":{"id":3094,"type":"article-journal","title":"Liposomal amphotericin B as a treatment for human leishmaniasis","container-title":"Expert Opinion on Emerging Drugs","page":"493-510","volume":"17","issue":"4","source":"PubMed Central","abstract":"Introduction:\nLeishmaniasis is a parasitic disease transmitted by phlebotomine sandflies. Between 700,000 and 1.2 million cases of cutaneous leishmaniasis and between 200,000 and 400,000 cases of visceral leishmaniasis (VL), which is fatal if left untreated, occur annually worldwide. Liposomal amphotericin B (LAMB), alone or in combination with other drugs, has been extensively studied as VL treatment, but data on routine field use are limited, and several challenges to patients' access to this life-saving drug remain.\n\nAreas covered:\nThis article provides a review of clinical studies on LAMB for VL and other forms of leishmaniasis. The current development of generic versions of LAMB and related challenges are also discussed.\n\nExpert opinion:\nLAMB proved to be highly efficacious and safe in over 8000 VL patients treated by MÉdecins Sans Frontières in South Asia, and its use was feasible even at primary healthcare level. Despite requiring higher doses, LAMB is the drug of choice to treat vulnerable groups (e.g., pregnant or HIV positive) and relapsing VL patients in East Africa. LAMB should be included in national VL guidelines and registered in all VL endemic countries. Its cost should be further reduced and regulatory pathways to prove bioequivalence for generic LAMB products should be implemented.","DOI":"10.1517/14728214.2012.748036","ISSN":"1472-8214","note":"PMID: 23167833\nPMCID: PMC3518293","journalAbbreviation":"Expert Opin Emerg Drugs","author":[{"family":"Balasegaram","given":"Manica"},{"family":"Ritmeijer","given":"Koert"},{"family":"Lima","given":"Maria Angeles"},{"family":"Burza","given":"Sakib"},{"family":"Ortiz Genovese","given":"Gemma"},{"family":"Milani","given":"Barbara"},{"family":"Gaspani","given":"Sara"},{"family":"Potet","given":"Julien"},{"family":"Chappuis","given":"François"}],"issued":{"date-parts":[["2012",12]]}},"label":"page"},{"id":3092,"uris":["http://zotero.org/users/2628971/items/TJF6M52B"],"uri":["http://zotero.org/users/2628971/items/TJF6M52B"],"itemData":{"id":3092,"type":"article-journal","title":"Efficacy of low doses of amphotericin B plus allicin against experimental visceral leishmaniasis","container-title":"The Journal of Antimicrobial Chemotherapy","page":"3268-3274","volume":"69","issue":"12","source":"PubMed","abstract":"OBJECTIVES: To evaluate the efficacy of the combination of allicin and amphotericin deoxycholate (AmB) in the chemotherapy of Leishmania infantum infection with the final aim of reducing the dose of AmB in the chemotherapy of visceral leishmaniasis.\nMETHODS: Hamsters were intraperitoneally (ip) infected with L. infantum (10(7) stationary phase promastigotes). On day 45 post-infection animals were treated ip with AmB (1 or 5 mg/kg/day), allicin (5 mg/kg/day) or a combination of AmB (1 mg/kg/day) + allicin (5 mg/kg/day) for 5 days. Animals were clinically and biopathologically monitored and the antibody response (IgG, IgG1, IgG2) was determined. Parasite burdens were estimated by limiting dilution and AmB biodistribution was determined by HPLC in plasma, kidney, spleen and liver.\nRESULTS: No clinical signs or liver and kidney alterations were observed. AmB (1 mg/kg/day) did not clear the Leishmania infection and no parasites were detected in two animals treated with 5 mg/kg/day allicin. Combination therapy (5 mg/kg allicin + 1 mg/kg AmB) reduced the L. infantum burden by &gt;95%. Antileishmanial activity of the combination was comparable (P &lt; 0.05) to the standard AmB treatment (5 mg/kg).\nCONCLUSIONS: Allicin alone (5 mg/kg/day for 5 days) significantly reduced the Leishmania burden in spleen and liver of infected hamsters. Co-administration of allicin (5 mg/kg/day for 5 days) and AmB (1 mg/kg/day for 5 days) showed a partial additive effect on the reduction of leishmanial burden in both target organs.","DOI":"10.1093/jac/dku290","ISSN":"1460-2091","note":"PMID: 25096077","journalAbbreviation":"J. Antimicrob. Chemother.","language":"eng","author":[{"family":"Corral","given":"M. Jesús"},{"family":"Serrano","given":"Dolores R."},{"family":"Moreno","given":"Inmaculada"},{"family":"Torrado","given":"J. J."},{"family":"Domínguez","given":"Mercedes"},{"family":"Alunda","given":"José M."}],"issued":{"date-parts":[["2014",12]]}},"label":"page"},{"id":3044,"uris":["http://zotero.org/users/2628971/items/A2VZPFQ2"],"uri":["http://zotero.org/users/2628971/items/A2VZPFQ2"],"itemData":{"id":3044,"type":"article-journal","title":"Pharmacodynamics and cellular accumulation of amphotericin B and miltefosine in Leishmania donovani-infected primary macrophages","container-title":"The Journal of Antimicrobial Chemotherapy","page":"1314-1323","volume":"73","issue":"5","source":"PubMed","abstract":"Objectives: We examined the in vitro pharmacodynamics and cellular accumulation of the standard anti-leishmanial drugs amphotericin B and miltefosine in intracellular Leishmania donovani amastigote-macrophage drug assays.\nMethods: Primary mouse macrophages were infected with L. donovani amastigotes. In time-kill assays infected macrophages were exposed to at least six different concentrations of serially diluted drugs and the percentage of infected macrophages was determined after 6, 12, 24, 48, 72 and 120 h of exposure. Cellular drug accumulation was measured following exposure to highly effective drug concentrations for 1, 6, 24, 48 and 72 h. Data were analysed through a mathematical model, relating drug concentration to the percentage of infected cells over time. Host cell membrane damage was evaluated through measurement of lactate dehydrogenase release. The effect of varying the serum and albumin concentrations in medium on the cellular accumulation levels of miltefosine was measured.\nResults: Amphotericin B was more potent than miltefosine (EC50 values of 0.65 and 1.26 μM, respectively) and displayed a wider therapeutic window in vitro. The kinetics of the cellular accumulation of amphotericin B was concentration- and formulation-dependent. At an extracellular concentration of 10 μM miltefosine maximum cellular drug levels preceded maximum anti-leishmanial kill. Miltefosine induced membrane damage in a concentration-, time- and serum-dependent manner. Its cellular accumulation levels increased with decreasing amounts of protein in assay medium.\nConclusions: We have developed a novel approach to investigate the cellular pharmacology of anti-leishmanial drugs that serves as a model for the characterization of new drug candidates.","DOI":"10.1093/jac/dky014","ISSN":"1460-2091","note":"PMID: 29506127\nPMCID: PMC5909632","journalAbbreviation":"J. Antimicrob. Chemother.","language":"eng","author":[{"family":"Voak","given":"Andrew A."},{"family":"Standing","given":"Joseph F."},{"family":"Sepúlveda","given":"Nuno"},{"family":"Harris","given":"Andy"},{"family":"Croft","given":"Simon L."},{"family":"Seifert","given":"Karin"}],"issued":{"date-parts":[["2018",5,1]]}},"label":"page"}],"schema":"https://github.com/citation-style-language/schema/raw/master/csl-citation.json"} </w:instrText>
      </w:r>
      <w:r w:rsidRPr="008B3AD6">
        <w:rPr>
          <w:color w:val="000000" w:themeColor="text1"/>
        </w:rPr>
        <w:fldChar w:fldCharType="separate"/>
      </w:r>
      <w:r w:rsidR="00C80233">
        <w:rPr>
          <w:color w:val="000000" w:themeColor="text1"/>
        </w:rPr>
        <w:t>(Saha, Mukherjee, and Bhaduri 1986; Paila, Saha, and Chattopadhyay 2010; Purkait et al. 2012</w:t>
      </w:r>
      <w:r w:rsidR="00CD683B">
        <w:rPr>
          <w:color w:val="000000" w:themeColor="text1"/>
        </w:rPr>
        <w:t>; Balasegaram et al. 2012</w:t>
      </w:r>
      <w:r w:rsidR="00C80233">
        <w:rPr>
          <w:color w:val="000000" w:themeColor="text1"/>
        </w:rPr>
        <w:t>; Corral et al. 2014; Voak et al. 2018)</w:t>
      </w:r>
      <w:r w:rsidRPr="008B3AD6">
        <w:rPr>
          <w:color w:val="000000" w:themeColor="text1"/>
        </w:rPr>
        <w:fldChar w:fldCharType="end"/>
      </w:r>
      <w:r w:rsidRPr="008B3AD6">
        <w:rPr>
          <w:color w:val="000000" w:themeColor="text1"/>
        </w:rPr>
        <w:t xml:space="preserve">. This includes characterising whole liver drug accumulation and </w:t>
      </w:r>
      <w:r w:rsidR="00F6299A">
        <w:rPr>
          <w:color w:val="000000" w:themeColor="text1"/>
        </w:rPr>
        <w:t>Am</w:t>
      </w:r>
      <w:r w:rsidRPr="008B3AD6">
        <w:rPr>
          <w:color w:val="000000" w:themeColor="text1"/>
        </w:rPr>
        <w:t>B-mediated hepatic parasite clearance. However there has not been extensive research into the PK/PD of LAmB (or the subsequent released AmB) for VL-infected patients or animals, especially at the sub-tissue level.</w:t>
      </w:r>
      <w:r w:rsidR="00AB3115" w:rsidRPr="008B3AD6">
        <w:rPr>
          <w:color w:val="000000" w:themeColor="text1"/>
        </w:rPr>
        <w:t xml:space="preserve">  </w:t>
      </w:r>
    </w:p>
    <w:p w14:paraId="20EC57D3" w14:textId="77777777" w:rsidR="00AB3115" w:rsidRPr="008B3AD6" w:rsidRDefault="00AB3115" w:rsidP="00AB3115">
      <w:pPr>
        <w:spacing w:line="360" w:lineRule="auto"/>
        <w:jc w:val="both"/>
        <w:rPr>
          <w:color w:val="000000" w:themeColor="text1"/>
        </w:rPr>
      </w:pPr>
    </w:p>
    <w:p w14:paraId="3EA6C2AE" w14:textId="3D84B21A" w:rsidR="00EF32C2" w:rsidRPr="008B3AD6" w:rsidRDefault="00EF32C2" w:rsidP="00EF32C2">
      <w:pPr>
        <w:spacing w:line="360" w:lineRule="auto"/>
        <w:jc w:val="both"/>
        <w:rPr>
          <w:color w:val="000000" w:themeColor="text1"/>
        </w:rPr>
      </w:pPr>
      <w:r w:rsidRPr="008B3AD6">
        <w:rPr>
          <w:color w:val="000000" w:themeColor="text1"/>
        </w:rPr>
        <w:lastRenderedPageBreak/>
        <w:t xml:space="preserve">Within the liver, infection with visceralising species of </w:t>
      </w:r>
      <w:r w:rsidRPr="008B3AD6">
        <w:rPr>
          <w:i/>
          <w:color w:val="000000" w:themeColor="text1"/>
        </w:rPr>
        <w:t>Leishmania</w:t>
      </w:r>
      <w:r w:rsidRPr="008B3AD6">
        <w:rPr>
          <w:color w:val="000000" w:themeColor="text1"/>
        </w:rPr>
        <w:t xml:space="preserve"> induces the formation of granulomas, whereby leukocytes aggregate around tissue resident macrophages that have taken up parasites </w:t>
      </w:r>
      <w:r w:rsidRPr="008B3AD6">
        <w:rPr>
          <w:color w:val="000000" w:themeColor="text1"/>
        </w:rPr>
        <w:fldChar w:fldCharType="begin"/>
      </w:r>
      <w:r w:rsidR="00C80233">
        <w:rPr>
          <w:color w:val="000000" w:themeColor="text1"/>
        </w:rPr>
        <w:instrText xml:space="preserve"> ADDIN ZOTERO_ITEM CSL_CITATION {"citationID":"ocQm58US","properties":{"formattedCitation":"(H. Murray 2001; Paul M. Kaye and Beattie 2016)","plainCitation":"(H. Murray 2001; Paul M. Kaye and Beattie 2016)","noteIndex":0},"citationItems":[{"id":1110,"uris":["http://zotero.org/users/2628971/items/57TG9NVJ"],"uri":["http://zotero.org/users/2628971/items/57TG9NVJ"],"itemData":{"id":1110,"type":"webpage","title":"Tissue granuloma structure-function in experimental visceral leishmaniasis.","container-title":"Int J Exp Pathol","abstract":"In experimental visceral leishmaniasis in normal mice (BALB/c, C57BL/6) acquired resistance to Leishmania donovani, a protozoan which targets tissue macrophages, depends upon T cells, Th1 cell-type cytokine generation and activated mononuclear phagocytes. In the intact host, initial control and eventual resolution of L. donovani hepatic infection in normal mice is expressed by and accomplished within well-formed, mature tissue granulomas. In the liver, these immunologically active, inflammatory structures are assembled around a core of fused, parasitized resident macrophages (Kupffer cells) which come to be encircled by both cytokine-secreting T cells and influxing leishmanicidal blood monocytes. This pro-host defense granuloma structure-function relationship, in which histologically mature granulomas provide the microenvironment for intracellular L. donovani killing, however, is only one of seven which have been identified through experimental modifications in this model. This report reviews these structure-function relationships and illustrates the broad spectrum of additional possible responses. These responses range from structurally intact granulomas which provide no antileishmanial function (the 'ineffective' granuloma), to enlarged granulomas which show enhanced parasite killing (the 'hypertrophied' granuloma), to effective antileishmanial activity in the absence of any tissue reaction (the 'invisible' granuloma)., (C) 2001 Blackwell Science Ltd.","author":[{"family":"Murray","given":"Henry"}],"issued":{"date-parts":[["2001"]]}}},{"id":3035,"uris":["http://zotero.org/users/2628971/items/5X5UIQ3I"],"uri":["http://zotero.org/users/2628971/items/5X5UIQ3I"],"itemData":{"id":3035,"type":"article-journal","title":"Lessons from other diseases: granulomatous inflammation in leishmaniasis","container-title":"Seminars in Immunopathology","page":"249-260","volume":"38","source":"PubMed Central","abstract":"The Leishmania granuloma shares some, though not all, properties with that formed following mycobacterial infection. As a simplified, noncaseating granuloma composed of relatively few and largely mononuclear cell populations, it provides a tractable model system to investigate intra-granuloma cellular dynamics, immune regulation, and antimicrobial resistance. Here, the occurrence of granulomatous pathology across the spectrum of leishmaniasis, in humans and animal reservoir hosts, is first described. However, this review focuses on the process of hepatic granuloma formation as studied in rodent models of visceral leishmaniasis, starting from the initial infection of Kupffer cells to the involution of the granuloma after pathogen clearance. It describes how the application of intravital imaging and the use of computational modeling have changed some of our thoughts on granuloma function, and illustrates how host-directed therapies have been used to manipulate granuloma form and function for therapeutic benefit. Where appropriate, lessons that may be equally applicable across the spectrum of granulomatous diseases are highlighted.","DOI":"10.1007/s00281-015-0548-7","ISSN":"1863-2297","note":"PMID: 26678994\nPMCID: PMC4779128","shortTitle":"Lessons from other diseases","journalAbbreviation":"Semin Immunopathol","author":[{"family":"Kaye","given":"Paul M."},{"family":"Beattie","given":"Lynette"}],"issued":{"date-parts":[["2016"]]}}}],"schema":"https://github.com/citation-style-language/schema/raw/master/csl-citation.json"} </w:instrText>
      </w:r>
      <w:r w:rsidRPr="008B3AD6">
        <w:rPr>
          <w:color w:val="000000" w:themeColor="text1"/>
        </w:rPr>
        <w:fldChar w:fldCharType="separate"/>
      </w:r>
      <w:r w:rsidR="00CD683B">
        <w:rPr>
          <w:color w:val="000000" w:themeColor="text1"/>
        </w:rPr>
        <w:t>(</w:t>
      </w:r>
      <w:r w:rsidR="00C80233">
        <w:rPr>
          <w:color w:val="000000" w:themeColor="text1"/>
        </w:rPr>
        <w:t>Murray 2001;</w:t>
      </w:r>
      <w:r w:rsidR="00CD683B">
        <w:rPr>
          <w:color w:val="000000" w:themeColor="text1"/>
        </w:rPr>
        <w:t xml:space="preserve"> </w:t>
      </w:r>
      <w:r w:rsidR="00C80233">
        <w:rPr>
          <w:color w:val="000000" w:themeColor="text1"/>
        </w:rPr>
        <w:t>Kaye and Beattie 2016)</w:t>
      </w:r>
      <w:r w:rsidRPr="008B3AD6">
        <w:rPr>
          <w:color w:val="000000" w:themeColor="text1"/>
        </w:rPr>
        <w:fldChar w:fldCharType="end"/>
      </w:r>
      <w:r w:rsidRPr="008B3AD6">
        <w:rPr>
          <w:color w:val="000000" w:themeColor="text1"/>
        </w:rPr>
        <w:t xml:space="preserve">. The role and/or impact of granulomas in LAmB action against </w:t>
      </w:r>
      <w:r w:rsidRPr="008B3AD6">
        <w:rPr>
          <w:i/>
          <w:color w:val="000000" w:themeColor="text1"/>
        </w:rPr>
        <w:t xml:space="preserve">Leishmania </w:t>
      </w:r>
      <w:r w:rsidRPr="008B3AD6">
        <w:rPr>
          <w:color w:val="000000" w:themeColor="text1"/>
        </w:rPr>
        <w:t xml:space="preserve">parasites has to date not been investigated. In contrast, recent research on the treatment of tuberculosis has highlighted differential drug accumulation evident in pulmonary granulomas compared to surrounding parenchymal tissue </w:t>
      </w:r>
      <w:r w:rsidRPr="008B3AD6">
        <w:rPr>
          <w:color w:val="000000" w:themeColor="text1"/>
        </w:rPr>
        <w:fldChar w:fldCharType="begin"/>
      </w:r>
      <w:r w:rsidRPr="008B3AD6">
        <w:rPr>
          <w:color w:val="000000" w:themeColor="text1"/>
        </w:rPr>
        <w:instrText xml:space="preserve"> ADDIN ZOTERO_ITEM CSL_CITATION {"citationID":"gmvUuN1D","properties":{"formattedCitation":"(Rifat et al. 2018)","plainCitation":"(Rifat et al. 2018)","noteIndex":0},"citationItems":[{"id":3031,"uris":["http://zotero.org/users/2628971/items/2GCKJL34"],"uri":["http://zotero.org/users/2628971/items/2GCKJL34"],"itemData":{"id":3031,"type":"article-journal","title":"Pharmacokinetics of rifapentine and rifampin in a rabbit model of tuberculosis and correlation with clinical trial data","container-title":"Science Translational Medicine","page":"eaai7786","volume":"10","issue":"435","source":"stm.sciencemag.org","abstract":"A peek into a TB drug\nShorter-duration drug regimens are needed to treat tuberculosis, but drug regimens that are effective in mice often fail in clinical trials. In a new study, Rifat et al. have developed a rabbit model of pulmonary cavitary tuberculosis that mimics the pathology of the human disease. They used the model to explore the tissue distribution of two antibiotics in rabbit lung tubercular lesions. Rifapentine, but not rifampin, displayed poor penetration into necrotic cavitary lesions where the largest number of pathogenic bacteria reside. Combining this preclinical tissue penetration data with phase 2 clinical trial data enabled the authors to explain differences in treatment response among different TB patient populations.\nIn clinical trials of two rifamycin antibiotics (rifampin and rifapentine) for treating tuberculosis (TB), patients with cavitary lung lesions did not appear to derive benefit from rifapentine. Rifapentine was found not to outperform rifampin, despite a lower minimum inhibitory concentration against Mycobacterium tuberculosis in mouse models of TB. To understand these findings, we have developed a rabbit model of TB that reliably develops lung cavities with features similar to those of patients with pulmonary cavitary TB. After single or multiple doses of rifampin or rifapentine that produced human-equivalent plasma exposures, rabbits were sacrificed at different time points after dosing. We measured site-of-disease drug pharmacokinetics and tissue drug distribution. We used pharmacokinetic-pharmacodynamic (PK/PD) modeling to estimate drug penetration into different types of tubercular lesions. Both drugs penetrated rabbit lung cellular lesions, as well as the fibrotic cavity wall of cavitary lesions (penetration coefficients ≥1 compared to plasma). For the necrotic liquefied material inside cavitary lesions known as caseum (which contains high numbers of bacteria), the penetration coefficient was 1.0 for rifampin but only 0.25 for rifapentine. When estimates of site-of-disease drug PK were substituted into clinical PK/PD models, the relationship between site-of-action exposure and sputum culture conversion was significant (P &lt; 10−7). We propose that poor penetration of rifapentine into lung cavitary lesions explains, in part, why rifapentine doses required to improve treatment outcomes in two phase 2 clinical trials were four times higher in TB patients with large cavities compared to TB patients without cavitary lung disease.\nA rabbit model of pulmonary cavitary tuberculosis helps to explain phase 2 clinical trial results for the rifamycin class of TB drugs.\nA rabbit model of pulmonary cavitary tuberculosis helps to explain phase 2 clinical trial results for the rifamycin class of TB drugs.","DOI":"10.1126/scitranslmed.aai7786","ISSN":"1946-6234, 1946-6242","note":"PMID: 29618565","language":"en","author":[{"family":"Rifat","given":"Dalin"},{"family":"Prideaux","given":"Brendan"},{"family":"Savic","given":"Radojka M."},{"family":"Urbanowski","given":"Michael E."},{"family":"Parsons","given":"Teresa L."},{"family":"Luna","given":"Brian"},{"family":"Marzinke","given":"Mark A."},{"family":"Ordonez","given":"Alvaro A."},{"family":"DeMarco","given":"Vincent P."},{"family":"Jain","given":"Sanjay K."},{"family":"Dartois","given":"Veronique"},{"family":"Bishai","given":"William R."},{"family":"Dooley","given":"Kelly E."}],"issued":{"date-parts":[["2018",4,4]]}}}],"schema":"https://github.com/citation-style-language/schema/raw/master/csl-citation.json"} </w:instrText>
      </w:r>
      <w:r w:rsidRPr="008B3AD6">
        <w:rPr>
          <w:color w:val="000000" w:themeColor="text1"/>
        </w:rPr>
        <w:fldChar w:fldCharType="separate"/>
      </w:r>
      <w:r w:rsidR="00025067">
        <w:rPr>
          <w:color w:val="000000" w:themeColor="text1"/>
        </w:rPr>
        <w:t>(Rifat et al. 2018)</w:t>
      </w:r>
      <w:r w:rsidRPr="008B3AD6">
        <w:rPr>
          <w:color w:val="000000" w:themeColor="text1"/>
        </w:rPr>
        <w:fldChar w:fldCharType="end"/>
      </w:r>
      <w:r w:rsidRPr="008B3AD6">
        <w:rPr>
          <w:color w:val="000000" w:themeColor="text1"/>
        </w:rPr>
        <w:t xml:space="preserve">. This research suggests that there are sub-tissue level processes that affect localised drug accumulation. </w:t>
      </w:r>
    </w:p>
    <w:p w14:paraId="1E875884" w14:textId="77777777" w:rsidR="00EF32C2" w:rsidRPr="008B3AD6" w:rsidRDefault="00EF32C2" w:rsidP="00EF32C2">
      <w:pPr>
        <w:spacing w:line="360" w:lineRule="auto"/>
        <w:jc w:val="both"/>
        <w:rPr>
          <w:color w:val="000000" w:themeColor="text1"/>
        </w:rPr>
      </w:pPr>
    </w:p>
    <w:p w14:paraId="495B887C" w14:textId="77777777" w:rsidR="00EF32C2" w:rsidRPr="008B3AD6" w:rsidRDefault="00EF32C2" w:rsidP="00EF32C2">
      <w:pPr>
        <w:spacing w:line="360" w:lineRule="auto"/>
        <w:jc w:val="both"/>
        <w:rPr>
          <w:color w:val="000000" w:themeColor="text1"/>
        </w:rPr>
      </w:pPr>
      <w:r w:rsidRPr="008B3AD6">
        <w:rPr>
          <w:color w:val="000000" w:themeColor="text1"/>
        </w:rPr>
        <w:t xml:space="preserve">In this thesis, the accumulation of AmB at both a whole and sub-tissue level is investigated following administration of LAmB to C57BL/6 mice infected with </w:t>
      </w:r>
      <w:r w:rsidRPr="008B3AD6">
        <w:rPr>
          <w:i/>
          <w:color w:val="000000" w:themeColor="text1"/>
        </w:rPr>
        <w:t>L. donovani</w:t>
      </w:r>
      <w:r w:rsidRPr="008B3AD6">
        <w:rPr>
          <w:color w:val="000000" w:themeColor="text1"/>
        </w:rPr>
        <w:t xml:space="preserve">. I describe the development of a mathematical model representing a simplified hepatic immune response to </w:t>
      </w:r>
      <w:r w:rsidRPr="008B3AD6">
        <w:rPr>
          <w:i/>
          <w:color w:val="000000" w:themeColor="text1"/>
        </w:rPr>
        <w:t>L. donovani</w:t>
      </w:r>
      <w:r w:rsidRPr="008B3AD6">
        <w:rPr>
          <w:color w:val="000000" w:themeColor="text1"/>
        </w:rPr>
        <w:t>. Finally, the aforementioned mathematical model is extended to include the derived pharmacological data, with the aim of providing a tool for the investigation of sub-tissue level processes that may affect the therapeutic outcome of LAmB.</w:t>
      </w:r>
    </w:p>
    <w:p w14:paraId="578FD04B" w14:textId="77777777" w:rsidR="00EF32C2" w:rsidRPr="008B3AD6" w:rsidRDefault="00EF32C2" w:rsidP="00EF32C2">
      <w:pPr>
        <w:spacing w:line="360" w:lineRule="auto"/>
        <w:jc w:val="both"/>
        <w:rPr>
          <w:color w:val="000000" w:themeColor="text1"/>
        </w:rPr>
      </w:pPr>
    </w:p>
    <w:p w14:paraId="43369F84" w14:textId="77777777" w:rsidR="00EF32C2" w:rsidRPr="008B3AD6" w:rsidRDefault="00EF32C2" w:rsidP="00EF32C2">
      <w:pPr>
        <w:spacing w:line="360" w:lineRule="auto"/>
        <w:jc w:val="both"/>
        <w:rPr>
          <w:color w:val="000000" w:themeColor="text1"/>
        </w:rPr>
      </w:pPr>
      <w:r w:rsidRPr="008B3AD6">
        <w:rPr>
          <w:color w:val="000000" w:themeColor="text1"/>
        </w:rPr>
        <w:t xml:space="preserve">In the following sections, an overview of visceral leishmaniasis epidemiology and transmission, the immune response to infection and current therapies is presented. Approaches to simulating biological processes are then introduced including the development and calibration of </w:t>
      </w:r>
      <w:r w:rsidRPr="008B3AD6">
        <w:rPr>
          <w:i/>
          <w:color w:val="000000" w:themeColor="text1"/>
        </w:rPr>
        <w:t>in silico</w:t>
      </w:r>
      <w:r w:rsidRPr="008B3AD6">
        <w:rPr>
          <w:color w:val="000000" w:themeColor="text1"/>
        </w:rPr>
        <w:t xml:space="preserve"> models.</w:t>
      </w:r>
    </w:p>
    <w:p w14:paraId="450F1B42" w14:textId="77777777" w:rsidR="00AB3115" w:rsidRPr="008B3AD6" w:rsidRDefault="00AB3115" w:rsidP="00AB3115">
      <w:pPr>
        <w:spacing w:line="360" w:lineRule="auto"/>
        <w:jc w:val="both"/>
        <w:rPr>
          <w:color w:val="000000" w:themeColor="text1"/>
        </w:rPr>
      </w:pPr>
    </w:p>
    <w:p w14:paraId="6F958C83" w14:textId="77777777" w:rsidR="00AB3115" w:rsidRPr="008B3AD6" w:rsidRDefault="00AB3115" w:rsidP="00AB3115">
      <w:pPr>
        <w:pStyle w:val="Heading2"/>
      </w:pPr>
      <w:bookmarkStart w:id="13" w:name="_Toc3716041"/>
      <w:r w:rsidRPr="008B3AD6">
        <w:t>Visceral Leishmaniasis</w:t>
      </w:r>
      <w:bookmarkEnd w:id="13"/>
    </w:p>
    <w:p w14:paraId="470BC28F" w14:textId="2B89F66F" w:rsidR="00AB3115" w:rsidRPr="008B3AD6" w:rsidRDefault="00AB3115" w:rsidP="00AB3115">
      <w:pPr>
        <w:pStyle w:val="Heading3"/>
        <w:rPr>
          <w:color w:val="000000" w:themeColor="text1"/>
        </w:rPr>
      </w:pPr>
      <w:bookmarkStart w:id="14" w:name="_Toc3716042"/>
      <w:r w:rsidRPr="008B3AD6">
        <w:rPr>
          <w:color w:val="000000" w:themeColor="text1"/>
        </w:rPr>
        <w:t>Epidemiology</w:t>
      </w:r>
      <w:bookmarkEnd w:id="14"/>
    </w:p>
    <w:p w14:paraId="66BFBA8B" w14:textId="316D6B70" w:rsidR="00EF32C2" w:rsidRPr="008B3AD6" w:rsidRDefault="00EF32C2" w:rsidP="00EF32C2">
      <w:pPr>
        <w:spacing w:line="360" w:lineRule="auto"/>
        <w:jc w:val="both"/>
      </w:pPr>
      <w:r w:rsidRPr="008B3AD6">
        <w:rPr>
          <w:color w:val="000000" w:themeColor="text1"/>
        </w:rPr>
        <w:t xml:space="preserve">Leishmaniasis has a global distribution with a presence on 5 continents and is endemic in over 98 countries </w:t>
      </w:r>
      <w:r w:rsidRPr="008B3AD6">
        <w:rPr>
          <w:color w:val="000000" w:themeColor="text1"/>
        </w:rPr>
        <w:fldChar w:fldCharType="begin"/>
      </w:r>
      <w:r w:rsidRPr="008B3AD6">
        <w:rPr>
          <w:color w:val="000000" w:themeColor="text1"/>
        </w:rPr>
        <w:instrText xml:space="preserve"> ADDIN ZOTERO_ITEM CSL_CITATION {"citationID":"ZYEch7rN","properties":{"formattedCitation":"(Alvar et al. 2012)","plainCitation":"(Alvar et al. 2012)","noteIndex":0},"citationItems":[{"id":2854,"uris":["http://zotero.org/users/2628971/items/MVWBUMW9"],"uri":["http://zotero.org/users/2628971/items/MVWBUMW9"],"itemData":{"id":2854,"type":"article-journal","title":"Leishmaniasis Worldwide and Global Estimates of Its Incidence","container-title":"PLoS ONE","volume":"7","issue":"5","source":"PubMed Central","abstract":"As part of a World Health Organization-led effort to update the empirical evidence base for the leishmaniases, national experts provided leishmaniasis case data for the last 5 years and information regarding treatment and control in their respective countries and a comprehensive literature review was conducted covering publications on leishmaniasis in 98 countries and three territories (see ‘Leishmaniasis Country Profiles Text S1, S2, S3, S4, S5, S6, S7, S8, S9, S10, S11, S12, S13, S14, S15, S16, S17, S18, S19, S20, S21, S22, S23, S24, S25, S26, S27, S28, S29, S30, S31, S32, S33, S34, S35, S36, S37, S38, S39, S40, S41, S42, S43, S44, S45, S46, S47, S48, S49, S50, S51, S52, S53, S54, S55, S56, S57, S58, S59, S60, S61, S62, S63, S64, S65, S66, S67, S68, S69, S70, S71, S72, S73, S74, S75, S76, S77, S78, S79, S80, S81, S82, S83, S84, S85, S86, S87, S88, S89, S90, S91, S92, S93, S94, S95, S96, S97, S98, S99, S100, S101’). Additional information was collated during meetings conducted at WHO regional level between 2007 and 2011. Two questionnaires regarding epidemiology and drug access were completed by experts and national program managers. Visceral and cutaneous leishmaniasis incidence ranges were estimated by country and epidemiological region based on reported incidence, underreporting rates if available, and the judgment of national and international experts. Based on these estimates, approximately 0.2 to 0.4 cases and 0.7 to 1.2 million VL and CL cases, respectively, occur each year. More than 90% of global VL cases occur in six countries: India, Bangladesh, Sudan, South Sudan, Ethiopia and Brazil. Cutaneous leishmaniasis is more widely distributed, with about one-third of cases occurring in each of three epidemiological regions, the Americas, the Mediterranean basin, and western Asia from the Middle East to Central Asia. The ten countries with the highest estimated case counts, Afghanistan, Algeria, Colombia, Brazil, Iran, Syria, Ethiopia, North Sudan, Costa Rica and Peru, together account for 70 to 75% of global estimated CL incidence. Mortality data were extremely sparse and generally represent hospital-based deaths only. Using an overall case-fatality rate of 10%, we reach a tentative estimate of 20,000 to 40,000 leishmaniasis deaths per year. Although the information is very poor in a number of countries, this is the first in-depth exercise to better estimate the real impact of leishmaniasis. These data should help to define control strategies and reinforce leishmaniasis advocacy.","URL":"https://www.ncbi.nlm.nih.gov/pmc/articles/PMC3365071/","DOI":"10.1371/journal.pone.0035671","ISSN":"1932-6203","note":"PMID: 22693548\nPMCID: PMC3365071","journalAbbreviation":"PLoS One","author":[{"family":"Alvar","given":"Jorge"},{"family":"Vélez","given":"Iván D."},{"family":"Bern","given":"Caryn"},{"family":"Herrero","given":"Mercé"},{"family":"Desjeux","given":"Philippe"},{"family":"Cano","given":"Jorge"},{"family":"Jannin","given":"Jean"},{"family":"Boer","given":"Margriet","non-dropping-particle":"den"}],"issued":{"date-parts":[["2012",5,31]]},"accessed":{"date-parts":[["2018",7,26]]}}}],"schema":"https://github.com/citation-style-language/schema/raw/master/csl-citation.json"} </w:instrText>
      </w:r>
      <w:r w:rsidRPr="008B3AD6">
        <w:rPr>
          <w:color w:val="000000" w:themeColor="text1"/>
        </w:rPr>
        <w:fldChar w:fldCharType="separate"/>
      </w:r>
      <w:r w:rsidR="00025067">
        <w:rPr>
          <w:color w:val="000000" w:themeColor="text1"/>
        </w:rPr>
        <w:t>(Alvar et al. 2012)</w:t>
      </w:r>
      <w:r w:rsidRPr="008B3AD6">
        <w:rPr>
          <w:color w:val="000000" w:themeColor="text1"/>
        </w:rPr>
        <w:fldChar w:fldCharType="end"/>
      </w:r>
      <w:r w:rsidRPr="008B3AD6">
        <w:rPr>
          <w:color w:val="000000" w:themeColor="text1"/>
        </w:rPr>
        <w:t xml:space="preserve">, a distribution which has increased over time. The geographic spread of </w:t>
      </w:r>
      <w:r w:rsidR="00F6299A">
        <w:rPr>
          <w:color w:val="000000" w:themeColor="text1"/>
        </w:rPr>
        <w:t>VL</w:t>
      </w:r>
      <w:r w:rsidRPr="008B3AD6">
        <w:rPr>
          <w:color w:val="000000" w:themeColor="text1"/>
        </w:rPr>
        <w:t xml:space="preserve"> as of 2015 is shown in </w:t>
      </w:r>
      <w:r w:rsidRPr="008B3AD6">
        <w:rPr>
          <w:color w:val="000000" w:themeColor="text1"/>
        </w:rPr>
        <w:fldChar w:fldCharType="begin"/>
      </w:r>
      <w:r w:rsidRPr="008B3AD6">
        <w:rPr>
          <w:color w:val="000000" w:themeColor="text1"/>
        </w:rPr>
        <w:instrText xml:space="preserve"> REF _Ref523920751  \* MERGEFORMAT </w:instrText>
      </w:r>
      <w:r w:rsidRPr="008B3AD6">
        <w:rPr>
          <w:color w:val="000000" w:themeColor="text1"/>
        </w:rPr>
        <w:fldChar w:fldCharType="separate"/>
      </w:r>
      <w:r w:rsidR="00031DCA" w:rsidRPr="00031DCA">
        <w:rPr>
          <w:b/>
        </w:rPr>
        <w:t xml:space="preserve">Figure </w:t>
      </w:r>
      <w:r w:rsidR="00031DCA" w:rsidRPr="00031DCA">
        <w:rPr>
          <w:b/>
          <w:noProof/>
        </w:rPr>
        <w:t>1.1</w:t>
      </w:r>
      <w:r w:rsidRPr="008B3AD6">
        <w:rPr>
          <w:color w:val="000000" w:themeColor="text1"/>
        </w:rPr>
        <w:fldChar w:fldCharType="end"/>
      </w:r>
      <w:r w:rsidRPr="008B3AD6">
        <w:rPr>
          <w:color w:val="000000" w:themeColor="text1"/>
        </w:rPr>
        <w:t>. VL</w:t>
      </w:r>
      <w:r w:rsidR="00F6299A">
        <w:rPr>
          <w:color w:val="000000" w:themeColor="text1"/>
        </w:rPr>
        <w:t xml:space="preserve"> </w:t>
      </w:r>
      <w:r w:rsidRPr="008B3AD6">
        <w:rPr>
          <w:color w:val="000000" w:themeColor="text1"/>
        </w:rPr>
        <w:t xml:space="preserve">endemicity is prevalent in countries in both the New (Central and South America) and Old </w:t>
      </w:r>
      <w:r w:rsidR="00DD5152">
        <w:rPr>
          <w:color w:val="000000" w:themeColor="text1"/>
        </w:rPr>
        <w:t>World (Europe, Asia and Africa).</w:t>
      </w:r>
      <w:r w:rsidRPr="008B3AD6">
        <w:rPr>
          <w:color w:val="000000" w:themeColor="text1"/>
        </w:rPr>
        <w:t xml:space="preserve"> </w:t>
      </w:r>
      <w:r w:rsidRPr="008B3AD6">
        <w:rPr>
          <w:i/>
          <w:color w:val="000000" w:themeColor="text1"/>
        </w:rPr>
        <w:t>L. infantum</w:t>
      </w:r>
      <w:r w:rsidRPr="008B3AD6">
        <w:rPr>
          <w:color w:val="000000" w:themeColor="text1"/>
        </w:rPr>
        <w:t xml:space="preserve"> and </w:t>
      </w:r>
      <w:r w:rsidRPr="008B3AD6">
        <w:rPr>
          <w:i/>
          <w:color w:val="000000" w:themeColor="text1"/>
        </w:rPr>
        <w:t>L. donovani</w:t>
      </w:r>
      <w:r w:rsidRPr="008B3AD6">
        <w:rPr>
          <w:color w:val="000000" w:themeColor="text1"/>
        </w:rPr>
        <w:t xml:space="preserve"> </w:t>
      </w:r>
      <w:r w:rsidR="00DD5152">
        <w:rPr>
          <w:color w:val="000000" w:themeColor="text1"/>
        </w:rPr>
        <w:t>are both associated</w:t>
      </w:r>
      <w:r w:rsidRPr="008B3AD6">
        <w:rPr>
          <w:color w:val="000000" w:themeColor="text1"/>
        </w:rPr>
        <w:t xml:space="preserve"> with the Old World disease </w:t>
      </w:r>
      <w:r w:rsidR="00DD5152">
        <w:rPr>
          <w:color w:val="000000" w:themeColor="text1"/>
        </w:rPr>
        <w:t xml:space="preserve">with </w:t>
      </w:r>
      <w:r w:rsidR="00DD5152">
        <w:rPr>
          <w:i/>
          <w:color w:val="000000" w:themeColor="text1"/>
        </w:rPr>
        <w:t>L. infantum</w:t>
      </w:r>
      <w:r w:rsidR="00DD5152">
        <w:rPr>
          <w:color w:val="000000" w:themeColor="text1"/>
        </w:rPr>
        <w:t xml:space="preserve"> also found in the New World</w:t>
      </w:r>
      <w:r w:rsidRPr="008B3AD6">
        <w:rPr>
          <w:color w:val="000000" w:themeColor="text1"/>
        </w:rPr>
        <w:t xml:space="preserve"> </w:t>
      </w:r>
      <w:r w:rsidRPr="008B3AD6">
        <w:rPr>
          <w:color w:val="000000" w:themeColor="text1"/>
        </w:rPr>
        <w:fldChar w:fldCharType="begin"/>
      </w:r>
      <w:r w:rsidRPr="008B3AD6">
        <w:rPr>
          <w:color w:val="000000" w:themeColor="text1"/>
        </w:rPr>
        <w:instrText xml:space="preserve"> ADDIN ZOTERO_ITEM CSL_CITATION {"citationID":"8WbvYF8Y","properties":{"formattedCitation":"(Ready 2014)","plainCitation":"(Ready 2014)","noteIndex":0},"citationItems":[{"id":2871,"uris":["http://zotero.org/users/2628971/items/HRV5JEVZ"],"uri":["http://zotero.org/users/2628971/items/HRV5JEVZ"],"itemData":{"id":2871,"type":"article-journal","title":"Epidemiology of visceral leishmaniasis","container-title":"Clinical Epidemiology","page":"147-154","volume":"6","source":"PubMed Central","abstract":"Leishmania species are the causative agents of leishmaniasis, a neglected tropical disease. These parasitic protozoans are usually transmitted between vertebrate hosts by the bite of blood sucking female phlebotomine sand flies. This review focuses on the two parasites causing most human visceral leishmaniasis (VL), which leads to substantial health problems or death for up to 400,000 people per year. Except for travel cases, Leishmania donovani infections are restricted to the (sub-)tropics of Asia and Africa, where transmission is mostly anthroponotic, while Leishmania infantum occurs in the drier parts of Latin America as well as in the Mediterranean climate regions of the Old World, with the domestic dog serving as the main reservoir host. The prevalence of VL caused by L. infantum has been declining where living standards have improved. In contrast, infections of L. donovani continue to cause VL epidemics in rural areas on the Indian subcontinent and in East Africa. The current review compares and contrasts these continental differences and suggests priorities for basic and applied research that might improve VL control. Transmission cycles, pathogenesis, diagnosis, treatment and prognosis, prevention (including vector control), surveillance, transmission modeling, and international control efforts are all reviewed. Most case detection is passive, and so routine surveillance does not usually permit accurate assessments of any changes in the incidence of VL. Also, it is not usually possible to estimate the human inoculation rate of parasites by the sand fly vectors because of the limitations of survey methods. Consequently, transmission modeling rarely passes beyond the proof of principle stage, and yet it is required to help develop risk factor analysis for control programs. Anthroponotic VL should be susceptible to elimination by rapid case detection and treatment combined with local vector control, and one of the most important interventions may well be socioeconomic development.","DOI":"10.2147/CLEP.S44267","ISSN":"1179-1349","note":"PMID: 24833919\nPMCID: PMC4014360","journalAbbreviation":"Clin Epidemiol","author":[{"family":"Ready","given":"Paul D"}],"issued":{"date-parts":[["2014",5,3]]}}}],"schema":"https://github.com/citation-style-language/schema/raw/master/csl-citation.json"} </w:instrText>
      </w:r>
      <w:r w:rsidRPr="008B3AD6">
        <w:rPr>
          <w:color w:val="000000" w:themeColor="text1"/>
        </w:rPr>
        <w:fldChar w:fldCharType="separate"/>
      </w:r>
      <w:r w:rsidR="00025067">
        <w:rPr>
          <w:color w:val="000000" w:themeColor="text1"/>
        </w:rPr>
        <w:t>(Ready 2014)</w:t>
      </w:r>
      <w:r w:rsidRPr="008B3AD6">
        <w:rPr>
          <w:color w:val="000000" w:themeColor="text1"/>
        </w:rPr>
        <w:fldChar w:fldCharType="end"/>
      </w:r>
      <w:r w:rsidRPr="008B3AD6">
        <w:rPr>
          <w:color w:val="000000" w:themeColor="text1"/>
        </w:rPr>
        <w:t xml:space="preserve">. Previously, it has been estimated that ~90% of the new VL cases arising each year occur in Bangladesh, Brazil, Ethiopia, India, South Sudan, and Sudan </w:t>
      </w:r>
      <w:r w:rsidRPr="008B3AD6">
        <w:rPr>
          <w:color w:val="000000" w:themeColor="text1"/>
        </w:rPr>
        <w:fldChar w:fldCharType="begin"/>
      </w:r>
      <w:r w:rsidRPr="008B3AD6">
        <w:rPr>
          <w:color w:val="000000" w:themeColor="text1"/>
        </w:rPr>
        <w:instrText xml:space="preserve"> ADDIN ZOTERO_ITEM CSL_CITATION {"citationID":"uaP17IBn","properties":{"formattedCitation":"(Bhattacharya and Dash 2017)","plainCitation":"(Bhattacharya and Dash 2017)","noteIndex":0},"citationItems":[{"id":3084,"uris":["http://zotero.org/users/2628971/items/P6TWWREE"],"uri":["http://zotero.org/users/2628971/items/P6TWWREE"],"itemData":{"id":3084,"type":"article-journal","title":"Elimination of Kala-Azar from the Southeast Asia Region","container-title":"The American Journal of Tropical Medicine and Hygiene","page":"802-804","volume":"96","issue":"4","source":"PubMed","abstract":"AbstractVisceral leishmaniasis (VL), popularly known as kala-azar, is essentially a disease of poverty. Kala-azar is caused by a parasite, Leishmania donovani. Recent review indicates that worldwide 98 countries are endemic for kala-azar. Approximately 0.2-0.4 million new VL cases occur each year worldwide. More than 90% of global VL cases occur in Bangladesh, Brazil, Ethiopia, India, South Sudan, and Sudan. This trend is slowly changing due to the progress in kala-azar elimination in southeast Asia, where Bangladesh has reported an average of some 600 new cases in 2014-2015. With the advancement in our knowledge about the disease and development of tools to diagnose and treat VL, it was considered that elimination of kala-azar was possible from India, Nepal, and Bangladesh. The three countries signed a memorandum of understanding in 2005 for collaboration. Miltefosine is the first ever oral drug developed to treat VL, which was later replaced by lipid amphotericin B. The main components of the strategy are early diagnosis using rK39 strip test and complete treatment utilizing miltefosine for 28 days. Dichlorodiphenyltrichloroethane or pyrethroids were deployed for vector control. There was much to be desired for better performance of the vector control activity. Pharmacovigilance and monitoring of drug resistance were the weakest part of the program. In the post-elimination phase, surveillance reinforced by active case finding will of a crucial factor for sustainability of the elimination. A strong political will is required to ensure elimination of kala-azar from the Indian subcontinent and its sustainability in the post-elimination phase.","DOI":"10.4269/ajtmh.16-0279","ISSN":"1476-1645","note":"PMID: 28115678\nPMCID: PMC5392624","journalAbbreviation":"Am. J. Trop. Med. Hyg.","language":"eng","author":[{"family":"Bhattacharya","given":"Sujit K."},{"family":"Dash","given":"Aditya Prasad"}],"issued":{"date-parts":[["2017",4]]}}}],"schema":"https://github.com/citation-style-language/schema/raw/master/csl-citation.json"} </w:instrText>
      </w:r>
      <w:r w:rsidRPr="008B3AD6">
        <w:rPr>
          <w:color w:val="000000" w:themeColor="text1"/>
        </w:rPr>
        <w:fldChar w:fldCharType="separate"/>
      </w:r>
      <w:r w:rsidR="00025067">
        <w:rPr>
          <w:color w:val="000000" w:themeColor="text1"/>
        </w:rPr>
        <w:t>(Bhattacharya and Dash 2017)</w:t>
      </w:r>
      <w:r w:rsidRPr="008B3AD6">
        <w:rPr>
          <w:color w:val="000000" w:themeColor="text1"/>
        </w:rPr>
        <w:fldChar w:fldCharType="end"/>
      </w:r>
      <w:r w:rsidRPr="008B3AD6">
        <w:rPr>
          <w:color w:val="000000" w:themeColor="text1"/>
        </w:rPr>
        <w:t xml:space="preserve">. VL is strongly linked to poverty </w:t>
      </w:r>
      <w:r w:rsidRPr="008B3AD6">
        <w:rPr>
          <w:color w:val="000000" w:themeColor="text1"/>
        </w:rPr>
        <w:fldChar w:fldCharType="begin"/>
      </w:r>
      <w:r w:rsidRPr="008B3AD6">
        <w:rPr>
          <w:color w:val="000000" w:themeColor="text1"/>
        </w:rPr>
        <w:instrText xml:space="preserve"> ADDIN ZOTERO_ITEM CSL_CITATION {"citationID":"fO1layuH","properties":{"formattedCitation":"(Alvar, Yactayo, and Bern 2006)","plainCitation":"(Alvar, Yactayo, and Bern 2006)","noteIndex":0},"citationItems":[{"id":2558,"uris":["http://zotero.org/users/2628971/items/B9JPD9IF"],"uri":["http://zotero.org/users/2628971/items/B9JPD9IF"],"itemData":{"id":2558,"type":"article-journal","title":"Leishmaniasis and poverty","container-title":"Trends in Parasitology","page":"552-557","volume":"22","issue":"12","source":"PubMed","abstract":"Leishmaniasis, a neglected tropical disease, has strong but complex links with poverty. The burden of leishmaniasis falls disproportionately on the poorest segments of the global population. Within endemic areas, increased infection risk is mediated through poor housing conditions and environmental sanitation, lack of personal protective measures and economically driven migration and employment that bring nonimmune hosts into contact with infected sand flies. Poverty is associated with poor nutrition and other infectious diseases, which increase the risk that a person (once infected) will progress to the clinically manifested disease. Lack of healthcare access causes delays in appropriate diagnosis and treatment and accentuates leishmaniasis morbidity and mortality, particularly in women. Leishmaniasis diagnosis and treatment are expensive and families must sell assets and take loans to pay for care, leading to further impoverishment and reinforcement of the vicious cycle of disease and poverty. Public investment in treatment and control would decrease the leishmaniasis disease burden and help to alleviate poverty.","DOI":"10.1016/j.pt.2006.09.004","ISSN":"1471-4922","note":"PMID: 17023215","journalAbbreviation":"Trends Parasitol.","language":"eng","author":[{"family":"Alvar","given":"Jorge"},{"family":"Yactayo","given":"Sergio"},{"family":"Bern","given":"Caryn"}],"issued":{"date-parts":[["2006",12]]}}}],"schema":"https://github.com/citation-style-language/schema/raw/master/csl-citation.json"} </w:instrText>
      </w:r>
      <w:r w:rsidRPr="008B3AD6">
        <w:rPr>
          <w:color w:val="000000" w:themeColor="text1"/>
        </w:rPr>
        <w:fldChar w:fldCharType="separate"/>
      </w:r>
      <w:r w:rsidR="00025067">
        <w:rPr>
          <w:color w:val="000000" w:themeColor="text1"/>
        </w:rPr>
        <w:t>(Alvar, Yactayo, and Bern 2006)</w:t>
      </w:r>
      <w:r w:rsidRPr="008B3AD6">
        <w:rPr>
          <w:color w:val="000000" w:themeColor="text1"/>
        </w:rPr>
        <w:fldChar w:fldCharType="end"/>
      </w:r>
      <w:r w:rsidRPr="008B3AD6">
        <w:rPr>
          <w:color w:val="000000" w:themeColor="text1"/>
        </w:rPr>
        <w:t xml:space="preserve"> which impacts on those afflicted through lack of access to healthcare and inability to afford treatment (among other factors). The symptoms of VL are fever, hepatosplenomegaly, weight loss, haematological disorders and cachexia </w:t>
      </w:r>
      <w:r w:rsidRPr="008B3AD6">
        <w:rPr>
          <w:color w:val="000000" w:themeColor="text1"/>
        </w:rPr>
        <w:fldChar w:fldCharType="begin"/>
      </w:r>
      <w:r w:rsidRPr="008B3AD6">
        <w:rPr>
          <w:color w:val="000000" w:themeColor="text1"/>
        </w:rPr>
        <w:instrText xml:space="preserve"> ADDIN ZOTERO_ITEM CSL_CITATION {"citationID":"B14PFfgI","properties":{"formattedCitation":"(Pearson et al. 1992; McCall, Zhang, and Matlashewski 2013)","plainCitation":"(Pearson et al. 1992; McCall, Zhang, and Matlashewski 2013)","noteIndex":0},"citationItems":[{"id":3059,"uris":["http://zotero.org/users/2628971/items/GJ4PKUD5"],"uri":["http://zotero.org/users/2628971/items/GJ4PKUD5"],"itemData":{"id":3059,"type":"article-journal","title":"Visceral leishmaniasis: a model for infection-induced cachexia","container-title":"The American Journal of Tropical Medicine and Hygiene","page":"8-15","volume":"47","issue":"1 Pt 2","source":"PubMed","abstract":"Parasitic infections and malnutrition coexist in many tropical and subtropical areas. Studies of Leishmania donovani and of experimentally infected Syrian hamsters have provided important insights into the complex interrelationships between malnutrition and this parasitic disease. Malnutrition, which adversely affects cell-mediated immunity, is associated with the development of visceral leishmaniasis (kala-azar) in children living in endemic areas. In turn, L. donovani can cause wasting as well as hepatosplenomegaly, fever, and anemia. Syrian hamsters infected with L. donovani develop a disease that is comparable to that of humans with kala-azar. Weight loss in infected hamsters is associated with splenic macrophage secretion of potentially catabolic cytokines as measured by the D10.G4.1 assay for interleukin-1 and the L929 cytotoxicity assay for tumor necrosis factor/cachectin. Although decreased food intake contributes to wasting in infected hamsters, studies of skeletal muscle function indicate that it is not the sole factor. Leishmania donovani-infected hamsters have also been used to study drugs with the potential to prevent or reverse cachexia.","ISSN":"0002-9637","note":"PMID: 1632476","shortTitle":"Visceral leishmaniasis","journalAbbreviation":"Am. J. Trop. Med. Hyg.","language":"eng","author":[{"family":"Pearson","given":"R. D."},{"family":"Cox","given":"G."},{"family":"Jeronimo","given":"S. M."},{"family":"Castracane","given":"J."},{"family":"Drew","given":"J. S."},{"family":"Evans","given":"T."},{"family":"Alencar","given":"J. E.","non-dropping-particle":"de"}],"issued":{"date-parts":[["1992",7]]}}},{"id":2897,"uris":["http://zotero.org/users/2628971/items/9N4HUR5A"],"uri":["http://zotero.org/users/2628971/items/9N4HUR5A"],"itemData":{"id":2897,"type":"article-journal","title":"Determinants for the Development of Visceral Leishmaniasis Disease","container-title":"PLoS Pathogens","volume":"9","issue":"1","source":"PubMed Central","abstract":"Leishmaniasis is a vector-borne neglected tropical disease associated with a spectrum of clinical manifestations, ranging from self-healing cutaneous lesions to fatal visceral infections. Among the most important questions in Leishmania research is why some species like L. donovani infect visceral organs, whereas other species like L. major remain in the skin. The determinants of visceral leishmaniasis are still poorly understood, although genomic, immunologic, and animal models are beginning to provide important insight into this disease. In this review, we discuss the vector, host, and pathogen factors that mediate the development of visceral leishmaniasis. We examine the progression of the parasite from the initial site of sand fly bite to the visceral organs and its ability to survive there. The identification of visceral disease determinants is required to understand disease evolution, to understand visceral organ survival mechanisms, and potentially to develop better interventions for this largely neglected disease.","URL":"https://www.ncbi.nlm.nih.gov/pmc/articles/PMC3536654/","DOI":"10.1371/journal.ppat.1003053","ISSN":"1553-7366","note":"PMID: 23300451\nPMCID: PMC3536654","journalAbbreviation":"PLoS Pathog","author":[{"family":"McCall","given":"Laura-Isobel"},{"family":"Zhang","given":"Wen-Wei"},{"family":"Matlashewski","given":"Greg"}],"issued":{"date-parts":[["2013",1,3]]},"accessed":{"date-parts":[["2018",7,28]]}}}],"schema":"https://github.com/citation-style-language/schema/raw/master/csl-citation.json"} </w:instrText>
      </w:r>
      <w:r w:rsidRPr="008B3AD6">
        <w:rPr>
          <w:color w:val="000000" w:themeColor="text1"/>
        </w:rPr>
        <w:fldChar w:fldCharType="separate"/>
      </w:r>
      <w:r w:rsidR="00025067">
        <w:rPr>
          <w:color w:val="000000" w:themeColor="text1"/>
        </w:rPr>
        <w:t>(Pearson et al. 1992; McCall, Zhang, and Matlashewski 2013)</w:t>
      </w:r>
      <w:r w:rsidRPr="008B3AD6">
        <w:rPr>
          <w:color w:val="000000" w:themeColor="text1"/>
        </w:rPr>
        <w:fldChar w:fldCharType="end"/>
      </w:r>
      <w:r w:rsidRPr="008B3AD6">
        <w:rPr>
          <w:color w:val="000000" w:themeColor="text1"/>
        </w:rPr>
        <w:t xml:space="preserve">. It should be noted that both </w:t>
      </w:r>
      <w:r w:rsidRPr="008B3AD6">
        <w:rPr>
          <w:i/>
          <w:color w:val="000000" w:themeColor="text1"/>
        </w:rPr>
        <w:t>L. donovani</w:t>
      </w:r>
      <w:r w:rsidRPr="008B3AD6">
        <w:rPr>
          <w:color w:val="000000" w:themeColor="text1"/>
        </w:rPr>
        <w:t xml:space="preserve"> </w:t>
      </w:r>
      <w:r w:rsidRPr="008B3AD6">
        <w:rPr>
          <w:color w:val="000000" w:themeColor="text1"/>
        </w:rPr>
        <w:lastRenderedPageBreak/>
        <w:t xml:space="preserve">and </w:t>
      </w:r>
      <w:r w:rsidRPr="008B3AD6">
        <w:rPr>
          <w:i/>
          <w:color w:val="000000" w:themeColor="text1"/>
        </w:rPr>
        <w:t>L. infantum</w:t>
      </w:r>
      <w:r w:rsidRPr="008B3AD6">
        <w:rPr>
          <w:color w:val="000000" w:themeColor="text1"/>
        </w:rPr>
        <w:t xml:space="preserve"> infection </w:t>
      </w:r>
      <w:r w:rsidR="00DD5152">
        <w:rPr>
          <w:color w:val="000000" w:themeColor="text1"/>
        </w:rPr>
        <w:t>often</w:t>
      </w:r>
      <w:r w:rsidRPr="008B3AD6">
        <w:rPr>
          <w:color w:val="000000" w:themeColor="text1"/>
        </w:rPr>
        <w:t xml:space="preserve"> result</w:t>
      </w:r>
      <w:r w:rsidR="00DD5152">
        <w:rPr>
          <w:color w:val="000000" w:themeColor="text1"/>
        </w:rPr>
        <w:t>s</w:t>
      </w:r>
      <w:r w:rsidRPr="008B3AD6">
        <w:rPr>
          <w:color w:val="000000" w:themeColor="text1"/>
        </w:rPr>
        <w:t xml:space="preserve"> in asymptomatic infections </w:t>
      </w:r>
      <w:r w:rsidRPr="008B3AD6">
        <w:rPr>
          <w:color w:val="000000" w:themeColor="text1"/>
        </w:rPr>
        <w:fldChar w:fldCharType="begin"/>
      </w:r>
      <w:r w:rsidRPr="008B3AD6">
        <w:rPr>
          <w:color w:val="000000" w:themeColor="text1"/>
        </w:rPr>
        <w:instrText xml:space="preserve"> ADDIN ZOTERO_ITEM CSL_CITATION {"citationID":"HPMzeEws","properties":{"formattedCitation":"(Biglino et al. 2010; Sakkas, Gartzonika, and Levidiotou 2016)","plainCitation":"(Biglino et al. 2010; Sakkas, Gartzonika, and Levidiotou 2016)","noteIndex":0},"citationItems":[{"id":2877,"uris":["http://zotero.org/users/2628971/items/RHJRCARK"],"uri":["http://zotero.org/users/2628971/items/RHJRCARK"],"itemData":{"id":2877,"type":"article-journal","title":"Asymptomatic Leishmania infantum Infection in an Area of Northwestern Italy (Piedmont Region) Where Such Infections Are Traditionally Nonendemic","container-title":"Journal of Clinical Microbiology","page":"131-136","volume":"48","issue":"1","source":"jcm.asm.org","abstract":"The prevalence of Leishmania infantum-specific antibodies and asymptomatic infection was assessed in a randomized sample of 526 healthy adults from a continental area of Northwestern Italy where L. infantum is not endemic and where autochthonous cases of visceral leishmaniasis (VL) were recently reported. L. infantum-specific antibodies were detected by Western blotting (WB) in 39 subjects (7.41%), while L. infantum kinetoplast DNA was amplified from buffy coat in 21 out of 39 WB-positive subjects, confirming asymptomatic infection in 53.8% of seropositives. Risk factors significantly associated with WB positivity were uninterrupted residence since childhood in a local rural environment (odds ratio [OR], 3.5; 95% confidence interval [CI], 1.7 to 7.3), daily contact with animals though not exclusively with dogs (OR, 3.7; 95% CI, 1.3 to 10.7), older age (OR, 2.31; 95% CI, 1.2 to 4.5), and agricultural/other outdoor activities (OR, 3.8; 95% CI, 0.99 to 3.7.) Logistic regression analysis showed that uninterrupted residence in a local rural environment and an age of &gt;65 years were the only independent predictors of seropositivity assessed by WB. Follow-up at 24 months did not show evidence of VL in either seropositive or PCR-positive subjects. The detection of a high seroprevalence rate, confirmed as asymptomatic infection by PCR in more than half of the cases, among healthy residents in a continental area of northwestern Italy makes local L. infantum transmission very likely. In a region where VL is considered nonendemic, these findings warrant further epidemiological investigations as well as interventions with respect to both the canine reservoir and vectors, given the possible risks for immunosuppressed patients.","DOI":"10.1128/JCM.00416-09","ISSN":"0095-1137, 1098-660X","note":"PMID: 19923480","journalAbbreviation":"J. Clin. Microbiol.","language":"en","author":[{"family":"Biglino","given":"Alberto"},{"family":"Bolla","given":"Cesare"},{"family":"Concialdi","given":"Erika"},{"family":"Trisciuoglio","given":"Anna"},{"family":"Romano","given":"Angelo"},{"family":"Ferroglio","given":"Ezio"}],"issued":{"date-parts":[["2010",1,1]]}}},{"id":2553,"uris":["http://zotero.org/users/2628971/items/7LXEAHVL"],"uri":["http://zotero.org/users/2628971/items/7LXEAHVL"],"itemData":{"id":2553,"type":"article-journal","title":"Laboratory diagnosis of human visceral leishmaniasis","container-title":"Journal of Vector Borne Diseases","page":"8-16","volume":"53","issue":"1","source":"PubMed","abstract":"Visceral leishmaniasis (VL), caused by the Leishmania donovani complex, is a vector-borne systemic disease, with a worldwide distribution causing high morbidity and mortality in the developing world. VL patients may be asymptomatic or they may present symptoms and findings of a systemic infection. The positive predictive value of clinical diagnosis in patients with typical symptoms is usually high, but more often, the signs and symptoms are inconclusive and mistaken with other co-endemic diseases. The fact that HIV co-infections often produce atypical presentations and the heterogeneity of Leishmania species, which is common in many endemic regions, also complicate the diagnosis. Despite that, some of the parasitological methods are still considered to be the reference standard for VL diagnosis due to their specificity. The development of serological and molecular tests has further enhanced the diagnostic approach of VL. Recombinant antigens have improved the performance of serodiagnostic tests, with DAT and the rK39 antigen based immunochromatographic test being the most appropriate methods for the serological diagnosis of VL. Molecular techniques, despite the fact that their implementation is often difficult and infeasible, have become increasingly relevant due to remarkable sensitivity and specificity, and to the variability of tested samples. Quantitative polymerase chain reaction (qPCR) has been shown to be superior than conventional PCR for the differentiation between active VL and asymptomatic infections, such as for the detection of VL-HIV coinfection. This review summarizes the available methods with their applications in the diagnosis of VL, and focuses on the recent developments in VL diagnostics.","ISSN":"0972-9062","note":"PMID: 27004573","journalAbbreviation":"J Vector Borne Dis","language":"eng","author":[{"family":"Sakkas","given":"Hercules"},{"family":"Gartzonika","given":"Constantina"},{"family":"Levidiotou","given":"Stamatina"}],"issued":{"date-parts":[["2016",3]]}}}],"schema":"https://github.com/citation-style-language/schema/raw/master/csl-citation.json"} </w:instrText>
      </w:r>
      <w:r w:rsidRPr="008B3AD6">
        <w:rPr>
          <w:color w:val="000000" w:themeColor="text1"/>
        </w:rPr>
        <w:fldChar w:fldCharType="separate"/>
      </w:r>
      <w:r w:rsidR="00025067">
        <w:rPr>
          <w:color w:val="000000" w:themeColor="text1"/>
        </w:rPr>
        <w:t>(Biglino et al. 2010; Sakkas, Gartzonika, and Levidiotou 2016)</w:t>
      </w:r>
      <w:r w:rsidRPr="008B3AD6">
        <w:rPr>
          <w:color w:val="000000" w:themeColor="text1"/>
        </w:rPr>
        <w:fldChar w:fldCharType="end"/>
      </w:r>
      <w:r w:rsidRPr="008B3AD6">
        <w:rPr>
          <w:color w:val="000000" w:themeColor="text1"/>
        </w:rPr>
        <w:t xml:space="preserve">, with rates predicted to be 30-100 sub-clinical cases for every 1 active case </w:t>
      </w:r>
      <w:r w:rsidRPr="008B3AD6">
        <w:rPr>
          <w:color w:val="000000" w:themeColor="text1"/>
        </w:rPr>
        <w:fldChar w:fldCharType="begin"/>
      </w:r>
      <w:r w:rsidRPr="008B3AD6">
        <w:rPr>
          <w:color w:val="000000" w:themeColor="text1"/>
        </w:rPr>
        <w:instrText xml:space="preserve"> ADDIN ZOTERO_ITEM CSL_CITATION {"citationID":"vuPjqEaG","properties":{"formattedCitation":"(Pavli and Maltezou 2010)","plainCitation":"(Pavli and Maltezou 2010)","noteIndex":0},"citationItems":[{"id":3042,"uris":["http://zotero.org/users/2628971/items/8K3LEFLC"],"uri":["http://zotero.org/users/2628971/items/8K3LEFLC"],"itemData":{"id":3042,"type":"article-journal","title":"Leishmaniasis, an emerging infection in travelers","container-title":"International Journal of Infectious Diseases","page":"e1032-e1039","volume":"14","issue":"12","source":"ScienceDirect","abstract":"Summary\nLeishmaniasis is a vector-borne protozoan infection with a wide clinical spectrum, which ranges from asymptomatic infection to fatal visceral leishmaniasis. A review of the recent literature indicates a sharp increase in imported leishmaniasis cases in developed, non-endemic countries over the last decade, in association with increasing international tourism, military operations, and the influx of immigrants from endemic countries. South America is the main area for the acquisition of cutaneous leishmaniasis, and adventure travelers on long-term trips in highly-endemic forested areas are at particular risk. Popular Mediterranean destinations are emerging as the main areas of acquisition of visceral leishmaniasis for European travelers. Leishmaniasis should be considered in patients presenting with a compatible clinical syndrome and a history of travel to an endemic area, even if this occurred several months or years ago. Appropriate counseling should be provided to adventure travelers, military personnel, researchers, and other groups of travelers likely to be exposed to sandflies in endemic areas.","DOI":"10.1016/j.ijid.2010.06.019","ISSN":"1201-9712","journalAbbreviation":"International Journal of Infectious Diseases","author":[{"family":"Pavli","given":"Androula"},{"family":"Maltezou","given":"Helena C."}],"issued":{"date-parts":[["2010",12,1]]}}}],"schema":"https://github.com/citation-style-language/schema/raw/master/csl-citation.json"} </w:instrText>
      </w:r>
      <w:r w:rsidRPr="008B3AD6">
        <w:rPr>
          <w:color w:val="000000" w:themeColor="text1"/>
        </w:rPr>
        <w:fldChar w:fldCharType="separate"/>
      </w:r>
      <w:r w:rsidR="00025067">
        <w:rPr>
          <w:color w:val="000000" w:themeColor="text1"/>
        </w:rPr>
        <w:t>(Pavli and Maltezou 2010)</w:t>
      </w:r>
      <w:r w:rsidRPr="008B3AD6">
        <w:rPr>
          <w:color w:val="000000" w:themeColor="text1"/>
        </w:rPr>
        <w:fldChar w:fldCharType="end"/>
      </w:r>
      <w:r w:rsidRPr="008B3AD6">
        <w:rPr>
          <w:color w:val="000000" w:themeColor="text1"/>
        </w:rPr>
        <w:t>.</w:t>
      </w:r>
    </w:p>
    <w:p w14:paraId="1C148448" w14:textId="21430309" w:rsidR="00F01FC1" w:rsidRPr="008B3AD6" w:rsidRDefault="00CD3F99" w:rsidP="00AB3115">
      <w:pPr>
        <w:spacing w:line="360" w:lineRule="auto"/>
        <w:jc w:val="both"/>
        <w:rPr>
          <w:color w:val="000000" w:themeColor="text1"/>
        </w:rPr>
      </w:pPr>
      <w:r>
        <w:rPr>
          <w:noProof/>
          <w:color w:val="000000" w:themeColor="text1"/>
        </w:rPr>
        <w:drawing>
          <wp:anchor distT="0" distB="0" distL="114300" distR="114300" simplePos="0" relativeHeight="251941888" behindDoc="0" locked="0" layoutInCell="1" allowOverlap="1" wp14:anchorId="6B60BFDE" wp14:editId="4121C3A7">
            <wp:simplePos x="0" y="0"/>
            <wp:positionH relativeFrom="column">
              <wp:posOffset>0</wp:posOffset>
            </wp:positionH>
            <wp:positionV relativeFrom="paragraph">
              <wp:posOffset>205740</wp:posOffset>
            </wp:positionV>
            <wp:extent cx="5575935" cy="3939882"/>
            <wp:effectExtent l="0" t="0" r="0" b="0"/>
            <wp:wrapTopAndBottom/>
            <wp:docPr id="626" name="Picture 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6" name="Picture 626"/>
                    <pic:cNvPicPr>
                      <a:picLocks noChangeAspect="1"/>
                    </pic:cNvPicPr>
                  </pic:nvPicPr>
                  <pic:blipFill>
                    <a:blip r:embed="rId17">
                      <a:extLst>
                        <a:ext uri="{28A0092B-C50C-407E-A947-70E740481C1C}">
                          <a14:useLocalDpi xmlns:a14="http://schemas.microsoft.com/office/drawing/2010/main" val="0"/>
                        </a:ext>
                      </a:extLst>
                    </a:blip>
                    <a:stretch>
                      <a:fillRect/>
                    </a:stretch>
                  </pic:blipFill>
                  <pic:spPr>
                    <a:xfrm>
                      <a:off x="0" y="0"/>
                      <a:ext cx="5575935" cy="3939882"/>
                    </a:xfrm>
                    <a:prstGeom prst="rect">
                      <a:avLst/>
                    </a:prstGeom>
                  </pic:spPr>
                </pic:pic>
              </a:graphicData>
            </a:graphic>
          </wp:anchor>
        </w:drawing>
      </w:r>
      <w:r>
        <w:rPr>
          <w:noProof/>
          <w:color w:val="000000" w:themeColor="text1"/>
        </w:rPr>
        <mc:AlternateContent>
          <mc:Choice Requires="wps">
            <w:drawing>
              <wp:anchor distT="0" distB="0" distL="114300" distR="114300" simplePos="0" relativeHeight="251942912" behindDoc="0" locked="0" layoutInCell="1" allowOverlap="1" wp14:anchorId="22D84278" wp14:editId="475BAC6B">
                <wp:simplePos x="0" y="0"/>
                <wp:positionH relativeFrom="column">
                  <wp:posOffset>0</wp:posOffset>
                </wp:positionH>
                <wp:positionV relativeFrom="paragraph">
                  <wp:posOffset>4197680</wp:posOffset>
                </wp:positionV>
                <wp:extent cx="5575935" cy="646100"/>
                <wp:effectExtent l="0" t="0" r="0" b="1905"/>
                <wp:wrapTopAndBottom/>
                <wp:docPr id="130" name="Text Box 130"/>
                <wp:cNvGraphicFramePr/>
                <a:graphic xmlns:a="http://schemas.openxmlformats.org/drawingml/2006/main">
                  <a:graphicData uri="http://schemas.microsoft.com/office/word/2010/wordprocessingShape">
                    <wps:wsp>
                      <wps:cNvSpPr txBox="1"/>
                      <wps:spPr>
                        <a:xfrm>
                          <a:off x="0" y="0"/>
                          <a:ext cx="5575935" cy="646100"/>
                        </a:xfrm>
                        <a:prstGeom prst="rect">
                          <a:avLst/>
                        </a:prstGeom>
                        <a:solidFill>
                          <a:prstClr val="white"/>
                        </a:solidFill>
                        <a:ln>
                          <a:noFill/>
                        </a:ln>
                      </wps:spPr>
                      <wps:txbx>
                        <w:txbxContent>
                          <w:p w14:paraId="661616DC" w14:textId="5E51A32F" w:rsidR="00F61130" w:rsidRPr="00E7580A" w:rsidRDefault="00F61130" w:rsidP="000832A5">
                            <w:pPr>
                              <w:pStyle w:val="Caption"/>
                              <w:spacing w:line="360" w:lineRule="auto"/>
                              <w:jc w:val="both"/>
                              <w:rPr>
                                <w:sz w:val="20"/>
                                <w:szCs w:val="20"/>
                              </w:rPr>
                            </w:pPr>
                            <w:bookmarkStart w:id="15" w:name="_Ref523920751"/>
                            <w:bookmarkStart w:id="16" w:name="_Toc525227181"/>
                            <w:bookmarkStart w:id="17" w:name="_Toc536814120"/>
                            <w:r w:rsidRPr="00F01FC1">
                              <w:rPr>
                                <w:b/>
                                <w:sz w:val="20"/>
                                <w:szCs w:val="20"/>
                              </w:rPr>
                              <w:t xml:space="preserve">Figure </w:t>
                            </w:r>
                            <w:r>
                              <w:rPr>
                                <w:b/>
                                <w:sz w:val="20"/>
                                <w:szCs w:val="20"/>
                              </w:rPr>
                              <w:fldChar w:fldCharType="begin"/>
                            </w:r>
                            <w:r>
                              <w:rPr>
                                <w:b/>
                                <w:sz w:val="20"/>
                                <w:szCs w:val="20"/>
                              </w:rPr>
                              <w:instrText xml:space="preserve"> STYLEREF 1 \s </w:instrText>
                            </w:r>
                            <w:r>
                              <w:rPr>
                                <w:b/>
                                <w:sz w:val="20"/>
                                <w:szCs w:val="20"/>
                              </w:rPr>
                              <w:fldChar w:fldCharType="separate"/>
                            </w:r>
                            <w:r>
                              <w:rPr>
                                <w:b/>
                                <w:noProof/>
                                <w:sz w:val="20"/>
                                <w:szCs w:val="20"/>
                              </w:rPr>
                              <w:t>1</w:t>
                            </w:r>
                            <w:r>
                              <w:rPr>
                                <w:b/>
                                <w:sz w:val="20"/>
                                <w:szCs w:val="20"/>
                              </w:rPr>
                              <w:fldChar w:fldCharType="end"/>
                            </w:r>
                            <w:r>
                              <w:rPr>
                                <w:b/>
                                <w:sz w:val="20"/>
                                <w:szCs w:val="20"/>
                              </w:rPr>
                              <w:t>.</w:t>
                            </w:r>
                            <w:r>
                              <w:rPr>
                                <w:b/>
                                <w:sz w:val="20"/>
                                <w:szCs w:val="20"/>
                              </w:rPr>
                              <w:fldChar w:fldCharType="begin"/>
                            </w:r>
                            <w:r>
                              <w:rPr>
                                <w:b/>
                                <w:sz w:val="20"/>
                                <w:szCs w:val="20"/>
                              </w:rPr>
                              <w:instrText xml:space="preserve"> SEQ Figure \* ARABIC \s 1 </w:instrText>
                            </w:r>
                            <w:r>
                              <w:rPr>
                                <w:b/>
                                <w:sz w:val="20"/>
                                <w:szCs w:val="20"/>
                              </w:rPr>
                              <w:fldChar w:fldCharType="separate"/>
                            </w:r>
                            <w:r>
                              <w:rPr>
                                <w:b/>
                                <w:noProof/>
                                <w:sz w:val="20"/>
                                <w:szCs w:val="20"/>
                              </w:rPr>
                              <w:t>1</w:t>
                            </w:r>
                            <w:r>
                              <w:rPr>
                                <w:b/>
                                <w:sz w:val="20"/>
                                <w:szCs w:val="20"/>
                              </w:rPr>
                              <w:fldChar w:fldCharType="end"/>
                            </w:r>
                            <w:bookmarkEnd w:id="15"/>
                            <w:r w:rsidRPr="00F01FC1">
                              <w:rPr>
                                <w:b/>
                                <w:sz w:val="20"/>
                                <w:szCs w:val="20"/>
                              </w:rPr>
                              <w:t xml:space="preserve"> - Visceral Leishmaniasis Cases</w:t>
                            </w:r>
                            <w:r w:rsidRPr="00F01FC1">
                              <w:rPr>
                                <w:b/>
                                <w:noProof/>
                                <w:sz w:val="20"/>
                                <w:szCs w:val="20"/>
                              </w:rPr>
                              <w:t xml:space="preserve"> Worldwide.</w:t>
                            </w:r>
                            <w:r>
                              <w:rPr>
                                <w:b/>
                                <w:noProof/>
                                <w:sz w:val="20"/>
                                <w:szCs w:val="20"/>
                              </w:rPr>
                              <w:t xml:space="preserve"> </w:t>
                            </w:r>
                            <w:r>
                              <w:rPr>
                                <w:noProof/>
                                <w:sz w:val="20"/>
                                <w:szCs w:val="20"/>
                              </w:rPr>
                              <w:t xml:space="preserve">World map denoting the geographic spread of visceral leishmaniasis and burden of new cases, as of 2015. Available at: </w:t>
                            </w:r>
                            <w:hyperlink r:id="rId18" w:history="1">
                              <w:r w:rsidRPr="008B6C5B">
                                <w:rPr>
                                  <w:rStyle w:val="Hyperlink"/>
                                  <w:noProof/>
                                  <w:sz w:val="20"/>
                                  <w:szCs w:val="20"/>
                                </w:rPr>
                                <w:t>http://www.who.int/leishmaniasis/burden/en/</w:t>
                              </w:r>
                            </w:hyperlink>
                            <w:r>
                              <w:rPr>
                                <w:noProof/>
                                <w:sz w:val="20"/>
                                <w:szCs w:val="20"/>
                              </w:rPr>
                              <w:t>. Accessed: 05/09/2018.</w:t>
                            </w:r>
                            <w:bookmarkEnd w:id="16"/>
                            <w:bookmarkEnd w:id="17"/>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type w14:anchorId="22D84278" id="_x0000_t202" coordsize="21600,21600" o:spt="202" path="m,l,21600r21600,l21600,xe">
                <v:stroke joinstyle="miter"/>
                <v:path gradientshapeok="t" o:connecttype="rect"/>
              </v:shapetype>
              <v:shape id="Text Box 130" o:spid="_x0000_s1026" type="#_x0000_t202" style="position:absolute;left:0;text-align:left;margin-left:0;margin-top:330.55pt;width:439.05pt;height:50.85pt;z-index:2519429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CkWCKMQIAAGQEAAAOAAAAZHJzL2Uyb0RvYy54bWysVMGO2yAQvVfqPyDujZPdJm2jOKs0q1SV&#13;&#10;ot2VkmrPBEOMBAwFEjv9+g7Yzrbbnqpe8DDzGHjzZry4a40mZ+GDAlvSyWhMibAcKmWPJf2237z7&#13;&#10;SEmIzFZMgxUlvYhA75Zv3ywaNxc3UIOuhCeYxIZ540pax+jmRRF4LQwLI3DCYlCCNyzi1h+LyrMG&#13;&#10;sxtd3IzHs6IBXzkPXISA3vsuSJc5v5SCx0cpg4hElxTfFvPq83pIa7FcsPnRM1cr3j+D/cMrDFMW&#13;&#10;L72mumeRkZNXf6QyinsIIOOIgylASsVF5oBsJuNXbHY1cyJzweIEdy1T+H9p+cP5yRNVoXa3WB/L&#13;&#10;DIq0F20kn6ElyYcValyYI3DnEBpbDCB68Ad0JuKt9CZ9kRLBOOa6XOub0nF0Tqcfpp9up5RwjM3e&#13;&#10;zybjnL54Oe18iF8EGJKMknrUL5eVnbch4ksQOkDSZQG0qjZK67RJgbX25MxQ66ZWUaQ34onfUNom&#13;&#10;rIV0qgsnT5EodlSSFdtD2/M+QHVB2h661gmObxRetGUhPjGPvYJMsf/jIy5SQ1NS6C1KavA//uZP&#13;&#10;eJQQo5Q02HslDd9PzAtK9FeL4qZGHQw/GIfBsCezBqQ4wclyPJt4wEc9mNKDecaxWKVbMMQsx7tK&#13;&#10;GgdzHbsJwLHiYrXKIGxHx+LW7hxPqYeC7ttn5l0vR0QhH2DoSjZ/pUqH7cq7OkWQKkuWCtpVsa8z&#13;&#10;tnLWpR+7NCu/7jPq5eew/AkAAP//AwBQSwMEFAAGAAgAAAAhAP8N5nnhAAAADQEAAA8AAABkcnMv&#13;&#10;ZG93bnJldi54bWxMj09Pg0AQxe8mfofNmHgxdoEDJZSl0aI3PfRPep6yKxDZWcIuhX57x5NeJjN5&#13;&#10;eW/er9guthdXM/rOkYJ4FYEwVDvdUaPgdHx/zkD4gKSxd2QU3IyHbXl/V2Cu3Ux7cz2ERnAI+RwV&#13;&#10;tCEMuZS+bo1Fv3KDIda+3Ggx8Dk2Uo84c7jtZRJFqbTYEX9ocTC71tTfh8kqSKtxmve0e6pObx/4&#13;&#10;OTTJ+fV2VurxYak2PF42IIJZwp8Dfhm4P5Rc7OIm0l70CpgmcFwaxyBYztYZLxcF6zTJQJaF/E9R&#13;&#10;/gAAAP//AwBQSwECLQAUAAYACAAAACEAtoM4kv4AAADhAQAAEwAAAAAAAAAAAAAAAAAAAAAAW0Nv&#13;&#10;bnRlbnRfVHlwZXNdLnhtbFBLAQItABQABgAIAAAAIQA4/SH/1gAAAJQBAAALAAAAAAAAAAAAAAAA&#13;&#10;AC8BAABfcmVscy8ucmVsc1BLAQItABQABgAIAAAAIQCCkWCKMQIAAGQEAAAOAAAAAAAAAAAAAAAA&#13;&#10;AC4CAABkcnMvZTJvRG9jLnhtbFBLAQItABQABgAIAAAAIQD/DeZ54QAAAA0BAAAPAAAAAAAAAAAA&#13;&#10;AAAAAIsEAABkcnMvZG93bnJldi54bWxQSwUGAAAAAAQABADzAAAAmQUAAAAA&#13;&#10;" stroked="f">
                <v:textbox inset="0,0,0,0">
                  <w:txbxContent>
                    <w:p w14:paraId="661616DC" w14:textId="5E51A32F" w:rsidR="00F61130" w:rsidRPr="00E7580A" w:rsidRDefault="00F61130" w:rsidP="000832A5">
                      <w:pPr>
                        <w:pStyle w:val="Caption"/>
                        <w:spacing w:line="360" w:lineRule="auto"/>
                        <w:jc w:val="both"/>
                        <w:rPr>
                          <w:sz w:val="20"/>
                          <w:szCs w:val="20"/>
                        </w:rPr>
                      </w:pPr>
                      <w:bookmarkStart w:id="18" w:name="_Ref523920751"/>
                      <w:bookmarkStart w:id="19" w:name="_Toc525227181"/>
                      <w:bookmarkStart w:id="20" w:name="_Toc536814120"/>
                      <w:r w:rsidRPr="00F01FC1">
                        <w:rPr>
                          <w:b/>
                          <w:sz w:val="20"/>
                          <w:szCs w:val="20"/>
                        </w:rPr>
                        <w:t xml:space="preserve">Figure </w:t>
                      </w:r>
                      <w:r>
                        <w:rPr>
                          <w:b/>
                          <w:sz w:val="20"/>
                          <w:szCs w:val="20"/>
                        </w:rPr>
                        <w:fldChar w:fldCharType="begin"/>
                      </w:r>
                      <w:r>
                        <w:rPr>
                          <w:b/>
                          <w:sz w:val="20"/>
                          <w:szCs w:val="20"/>
                        </w:rPr>
                        <w:instrText xml:space="preserve"> STYLEREF 1 \s </w:instrText>
                      </w:r>
                      <w:r>
                        <w:rPr>
                          <w:b/>
                          <w:sz w:val="20"/>
                          <w:szCs w:val="20"/>
                        </w:rPr>
                        <w:fldChar w:fldCharType="separate"/>
                      </w:r>
                      <w:r>
                        <w:rPr>
                          <w:b/>
                          <w:noProof/>
                          <w:sz w:val="20"/>
                          <w:szCs w:val="20"/>
                        </w:rPr>
                        <w:t>1</w:t>
                      </w:r>
                      <w:r>
                        <w:rPr>
                          <w:b/>
                          <w:sz w:val="20"/>
                          <w:szCs w:val="20"/>
                        </w:rPr>
                        <w:fldChar w:fldCharType="end"/>
                      </w:r>
                      <w:r>
                        <w:rPr>
                          <w:b/>
                          <w:sz w:val="20"/>
                          <w:szCs w:val="20"/>
                        </w:rPr>
                        <w:t>.</w:t>
                      </w:r>
                      <w:r>
                        <w:rPr>
                          <w:b/>
                          <w:sz w:val="20"/>
                          <w:szCs w:val="20"/>
                        </w:rPr>
                        <w:fldChar w:fldCharType="begin"/>
                      </w:r>
                      <w:r>
                        <w:rPr>
                          <w:b/>
                          <w:sz w:val="20"/>
                          <w:szCs w:val="20"/>
                        </w:rPr>
                        <w:instrText xml:space="preserve"> SEQ Figure \* ARABIC \s 1 </w:instrText>
                      </w:r>
                      <w:r>
                        <w:rPr>
                          <w:b/>
                          <w:sz w:val="20"/>
                          <w:szCs w:val="20"/>
                        </w:rPr>
                        <w:fldChar w:fldCharType="separate"/>
                      </w:r>
                      <w:r>
                        <w:rPr>
                          <w:b/>
                          <w:noProof/>
                          <w:sz w:val="20"/>
                          <w:szCs w:val="20"/>
                        </w:rPr>
                        <w:t>1</w:t>
                      </w:r>
                      <w:r>
                        <w:rPr>
                          <w:b/>
                          <w:sz w:val="20"/>
                          <w:szCs w:val="20"/>
                        </w:rPr>
                        <w:fldChar w:fldCharType="end"/>
                      </w:r>
                      <w:bookmarkEnd w:id="18"/>
                      <w:r w:rsidRPr="00F01FC1">
                        <w:rPr>
                          <w:b/>
                          <w:sz w:val="20"/>
                          <w:szCs w:val="20"/>
                        </w:rPr>
                        <w:t xml:space="preserve"> - Visceral Leishmaniasis Cases</w:t>
                      </w:r>
                      <w:r w:rsidRPr="00F01FC1">
                        <w:rPr>
                          <w:b/>
                          <w:noProof/>
                          <w:sz w:val="20"/>
                          <w:szCs w:val="20"/>
                        </w:rPr>
                        <w:t xml:space="preserve"> Worldwide.</w:t>
                      </w:r>
                      <w:r>
                        <w:rPr>
                          <w:b/>
                          <w:noProof/>
                          <w:sz w:val="20"/>
                          <w:szCs w:val="20"/>
                        </w:rPr>
                        <w:t xml:space="preserve"> </w:t>
                      </w:r>
                      <w:r>
                        <w:rPr>
                          <w:noProof/>
                          <w:sz w:val="20"/>
                          <w:szCs w:val="20"/>
                        </w:rPr>
                        <w:t xml:space="preserve">World map denoting the geographic spread of visceral leishmaniasis and burden of new cases, as of 2015. Available at: </w:t>
                      </w:r>
                      <w:hyperlink r:id="rId19" w:history="1">
                        <w:r w:rsidRPr="008B6C5B">
                          <w:rPr>
                            <w:rStyle w:val="Hyperlink"/>
                            <w:noProof/>
                            <w:sz w:val="20"/>
                            <w:szCs w:val="20"/>
                          </w:rPr>
                          <w:t>http://www.who.int/leishmaniasis/burden/en/</w:t>
                        </w:r>
                      </w:hyperlink>
                      <w:r>
                        <w:rPr>
                          <w:noProof/>
                          <w:sz w:val="20"/>
                          <w:szCs w:val="20"/>
                        </w:rPr>
                        <w:t>. Accessed: 05/09/2018.</w:t>
                      </w:r>
                      <w:bookmarkEnd w:id="19"/>
                      <w:bookmarkEnd w:id="20"/>
                    </w:p>
                  </w:txbxContent>
                </v:textbox>
                <w10:wrap type="topAndBottom"/>
              </v:shape>
            </w:pict>
          </mc:Fallback>
        </mc:AlternateContent>
      </w:r>
    </w:p>
    <w:p w14:paraId="696D3A11" w14:textId="77777777" w:rsidR="00EF32C2" w:rsidRPr="008B3AD6" w:rsidRDefault="00EF32C2" w:rsidP="00AB3115">
      <w:pPr>
        <w:spacing w:line="360" w:lineRule="auto"/>
        <w:jc w:val="both"/>
        <w:rPr>
          <w:color w:val="000000" w:themeColor="text1"/>
        </w:rPr>
      </w:pPr>
    </w:p>
    <w:p w14:paraId="420FCF05" w14:textId="7D77BE01" w:rsidR="00530060" w:rsidRPr="008B3AD6" w:rsidRDefault="008F2DB0" w:rsidP="00530060">
      <w:pPr>
        <w:spacing w:line="360" w:lineRule="auto"/>
        <w:jc w:val="both"/>
        <w:rPr>
          <w:color w:val="000000" w:themeColor="text1"/>
        </w:rPr>
      </w:pPr>
      <w:r>
        <w:rPr>
          <w:color w:val="000000" w:themeColor="text1"/>
        </w:rPr>
        <w:t>H</w:t>
      </w:r>
      <w:r w:rsidRPr="008F2DB0">
        <w:rPr>
          <w:color w:val="000000" w:themeColor="text1"/>
        </w:rPr>
        <w:t>uman immunodeficiency virus</w:t>
      </w:r>
      <w:r>
        <w:rPr>
          <w:color w:val="000000" w:themeColor="text1"/>
        </w:rPr>
        <w:t xml:space="preserve"> (HIV)</w:t>
      </w:r>
      <w:r w:rsidRPr="008F2DB0">
        <w:rPr>
          <w:color w:val="000000" w:themeColor="text1"/>
        </w:rPr>
        <w:t xml:space="preserve"> </w:t>
      </w:r>
      <w:r w:rsidR="00530060" w:rsidRPr="008B3AD6">
        <w:rPr>
          <w:color w:val="000000" w:themeColor="text1"/>
        </w:rPr>
        <w:t xml:space="preserve">is an important co-infection in VL patients,  having been reported in nearly 35 countries </w:t>
      </w:r>
      <w:r w:rsidR="00530060" w:rsidRPr="008B3AD6">
        <w:rPr>
          <w:color w:val="000000" w:themeColor="text1"/>
        </w:rPr>
        <w:fldChar w:fldCharType="begin"/>
      </w:r>
      <w:r w:rsidR="00530060" w:rsidRPr="008B3AD6">
        <w:rPr>
          <w:color w:val="000000" w:themeColor="text1"/>
        </w:rPr>
        <w:instrText xml:space="preserve"> ADDIN ZOTERO_ITEM CSL_CITATION {"citationID":"AstZXKHN","properties":{"formattedCitation":"(Lindoso et al. 2016)","plainCitation":"(Lindoso et al. 2016)","noteIndex":0},"citationItems":[{"id":2905,"uris":["http://zotero.org/users/2628971/items/DWSSCXJ2"],"uri":["http://zotero.org/users/2628971/items/DWSSCXJ2"],"itemData":{"id":2905,"type":"article-journal","title":"Leishmaniasis–HIV coinfection: current challenges","container-title":"HIV/AIDS (Auckland, N.Z.)","page":"147-156","volume":"8","source":"PubMed Central","abstract":"Leishmaniasis – human immunodeficiency virus (HIV) coinfection can manifest itself as tegumentary or visceral leishmaniasis. Almost 35 countries have reported autochthonous coinfections. Visceral leishmaniasis is more frequently described. However, usual and unusual manifestations of tegumentary leishmaniasis have been reported mainly in the Americas, but the real prevalence of Leishmania infection in HIV-infected patients is not clear. Regarding the clinical manifestations, there are some reports showing unusual manifestations in visceral leishmaniasis and tegumentary leishmaniasis in HIV-infected patients; yet, the usual manifestations are more frequent. Leishmaniasis diagnosis relies on clinical methods, but serological tests are used to diagnose visceral leishmaniasis despite them having a low sensitivity to tegumentary leishmaniasis. The search for the parasite is used to diagnose both visceral leishmaniasis and tegumentary leishmaniasis. Nevertheless, in HIV-infected patients, the sensitivity of serology is very low. Drugs available to treat leishmaniasis are more restricted and cause severe side effects. Furthermore, in HIV-infected patients, these side effects are more prominent and relapses and lethality are more recurrent. In this article, we discuss the current challenges of tegumentary leishmaniasis and visceral leishmaniasis–HIV infection, focusing mainly on the clinical manifestations, diagnosis, and treatment of leishmaniasis.","DOI":"10.2147/HIV.S93789","ISSN":"1179-1373","note":"PMID: 27785103\nPMCID: PMC5063600","shortTitle":"Leishmaniasis–HIV coinfection","journalAbbreviation":"HIV AIDS (Auckl)","author":[{"family":"Lindoso","given":"José Angelo Lauletta"},{"family":"Cunha","given":"Mirella Alves"},{"family":"Queiroz","given":"Igor Thiago"},{"family":"Moreira","given":"Carlos Henrique Valente"}],"issued":{"date-parts":[["2016",10,7]]}}}],"schema":"https://github.com/citation-style-language/schema/raw/master/csl-citation.json"} </w:instrText>
      </w:r>
      <w:r w:rsidR="00530060" w:rsidRPr="008B3AD6">
        <w:rPr>
          <w:color w:val="000000" w:themeColor="text1"/>
        </w:rPr>
        <w:fldChar w:fldCharType="separate"/>
      </w:r>
      <w:r w:rsidR="00025067">
        <w:rPr>
          <w:color w:val="000000" w:themeColor="text1"/>
        </w:rPr>
        <w:t>(Lindoso et al. 2016)</w:t>
      </w:r>
      <w:r w:rsidR="00530060" w:rsidRPr="008B3AD6">
        <w:rPr>
          <w:color w:val="000000" w:themeColor="text1"/>
        </w:rPr>
        <w:fldChar w:fldCharType="end"/>
      </w:r>
      <w:r w:rsidR="00530060" w:rsidRPr="008B3AD6">
        <w:rPr>
          <w:color w:val="000000" w:themeColor="text1"/>
        </w:rPr>
        <w:t xml:space="preserve">. Overlapping transmission areas of both HIV and VL </w:t>
      </w:r>
      <w:r w:rsidR="00530060" w:rsidRPr="008B3AD6">
        <w:rPr>
          <w:color w:val="000000" w:themeColor="text1"/>
        </w:rPr>
        <w:fldChar w:fldCharType="begin"/>
      </w:r>
      <w:r w:rsidR="00530060" w:rsidRPr="008B3AD6">
        <w:rPr>
          <w:color w:val="000000" w:themeColor="text1"/>
        </w:rPr>
        <w:instrText xml:space="preserve"> ADDIN ZOTERO_ITEM CSL_CITATION {"citationID":"Cqzrbg37","properties":{"formattedCitation":"(Griensven, Zijlstra, and Hailu 2014)","plainCitation":"(Griensven, Zijlstra, and Hailu 2014)","noteIndex":0},"citationItems":[{"id":2914,"uris":["http://zotero.org/users/2628971/items/KTCMXLK7"],"uri":["http://zotero.org/users/2628971/items/KTCMXLK7"],"itemData":{"id":2914,"type":"article-journal","title":"Visceral Leishmaniasis and HIV Coinfection: Time for Concerted Action","container-title":"PLOS Neglected Tropical Diseases","page":"e3023","volume":"8","issue":"8","source":"PLoS Journals","DOI":"10.1371/journal.pntd.0003023","ISSN":"1935-2735","shortTitle":"Visceral Leishmaniasis and HIV Coinfection","journalAbbreviation":"PLOS Neglected Tropical Diseases","language":"en","author":[{"family":"Griensven","given":"Johan","dropping-particle":"van"},{"family":"Zijlstra","given":"Ed E."},{"family":"Hailu","given":"Asrat"}],"issued":{"date-parts":[["2014",8,28]]}}}],"schema":"https://github.com/citation-style-language/schema/raw/master/csl-citation.json"} </w:instrText>
      </w:r>
      <w:r w:rsidR="00530060" w:rsidRPr="008B3AD6">
        <w:rPr>
          <w:color w:val="000000" w:themeColor="text1"/>
        </w:rPr>
        <w:fldChar w:fldCharType="separate"/>
      </w:r>
      <w:r w:rsidR="00025067">
        <w:rPr>
          <w:color w:val="000000" w:themeColor="text1"/>
        </w:rPr>
        <w:t>(Griensven, Zijlstra, and Hailu 2014)</w:t>
      </w:r>
      <w:r w:rsidR="00530060" w:rsidRPr="008B3AD6">
        <w:rPr>
          <w:color w:val="000000" w:themeColor="text1"/>
        </w:rPr>
        <w:fldChar w:fldCharType="end"/>
      </w:r>
      <w:r w:rsidR="00530060" w:rsidRPr="008B3AD6">
        <w:rPr>
          <w:color w:val="000000" w:themeColor="text1"/>
        </w:rPr>
        <w:t xml:space="preserve"> in countries where there are ongoing HIV and VL epi- or endemics has allowed for an increase in the development of HIV-VL cases. For example, an 11x increase in the presentation of HIV-VL co-infection was reported in Brazil between 2001-2012 </w:t>
      </w:r>
      <w:r w:rsidR="00530060" w:rsidRPr="008B3AD6">
        <w:rPr>
          <w:color w:val="000000" w:themeColor="text1"/>
        </w:rPr>
        <w:fldChar w:fldCharType="begin"/>
      </w:r>
      <w:r w:rsidR="00530060" w:rsidRPr="008B3AD6">
        <w:rPr>
          <w:color w:val="000000" w:themeColor="text1"/>
        </w:rPr>
        <w:instrText xml:space="preserve"> ADDIN ZOTERO_ITEM CSL_CITATION {"citationID":"bS7Grvdm","properties":{"formattedCitation":"(Lindoso et al. 2016)","plainCitation":"(Lindoso et al. 2016)","noteIndex":0},"citationItems":[{"id":2905,"uris":["http://zotero.org/users/2628971/items/DWSSCXJ2"],"uri":["http://zotero.org/users/2628971/items/DWSSCXJ2"],"itemData":{"id":2905,"type":"article-journal","title":"Leishmaniasis–HIV coinfection: current challenges","container-title":"HIV/AIDS (Auckland, N.Z.)","page":"147-156","volume":"8","source":"PubMed Central","abstract":"Leishmaniasis – human immunodeficiency virus (HIV) coinfection can manifest itself as tegumentary or visceral leishmaniasis. Almost 35 countries have reported autochthonous coinfections. Visceral leishmaniasis is more frequently described. However, usual and unusual manifestations of tegumentary leishmaniasis have been reported mainly in the Americas, but the real prevalence of Leishmania infection in HIV-infected patients is not clear. Regarding the clinical manifestations, there are some reports showing unusual manifestations in visceral leishmaniasis and tegumentary leishmaniasis in HIV-infected patients; yet, the usual manifestations are more frequent. Leishmaniasis diagnosis relies on clinical methods, but serological tests are used to diagnose visceral leishmaniasis despite them having a low sensitivity to tegumentary leishmaniasis. The search for the parasite is used to diagnose both visceral leishmaniasis and tegumentary leishmaniasis. Nevertheless, in HIV-infected patients, the sensitivity of serology is very low. Drugs available to treat leishmaniasis are more restricted and cause severe side effects. Furthermore, in HIV-infected patients, these side effects are more prominent and relapses and lethality are more recurrent. In this article, we discuss the current challenges of tegumentary leishmaniasis and visceral leishmaniasis–HIV infection, focusing mainly on the clinical manifestations, diagnosis, and treatment of leishmaniasis.","DOI":"10.2147/HIV.S93789","ISSN":"1179-1373","note":"PMID: 27785103\nPMCID: PMC5063600","shortTitle":"Leishmaniasis–HIV coinfection","journalAbbreviation":"HIV AIDS (Auckl)","author":[{"family":"Lindoso","given":"José Angelo Lauletta"},{"family":"Cunha","given":"Mirella Alves"},{"family":"Queiroz","given":"Igor Thiago"},{"family":"Moreira","given":"Carlos Henrique Valente"}],"issued":{"date-parts":[["2016",10,7]]}}}],"schema":"https://github.com/citation-style-language/schema/raw/master/csl-citation.json"} </w:instrText>
      </w:r>
      <w:r w:rsidR="00530060" w:rsidRPr="008B3AD6">
        <w:rPr>
          <w:color w:val="000000" w:themeColor="text1"/>
        </w:rPr>
        <w:fldChar w:fldCharType="separate"/>
      </w:r>
      <w:r w:rsidR="00025067">
        <w:rPr>
          <w:color w:val="000000" w:themeColor="text1"/>
        </w:rPr>
        <w:t>(Lindoso et al. 2016)</w:t>
      </w:r>
      <w:r w:rsidR="00530060" w:rsidRPr="008B3AD6">
        <w:rPr>
          <w:color w:val="000000" w:themeColor="text1"/>
        </w:rPr>
        <w:fldChar w:fldCharType="end"/>
      </w:r>
      <w:r w:rsidR="00530060" w:rsidRPr="008B3AD6">
        <w:rPr>
          <w:color w:val="000000" w:themeColor="text1"/>
        </w:rPr>
        <w:t xml:space="preserve">. Clinically, co-infected patients present poor responses to anti-leishmanial therapy and are more likely to suffer a relapse of their initial VL </w:t>
      </w:r>
      <w:r w:rsidR="00530060" w:rsidRPr="008B3AD6">
        <w:rPr>
          <w:color w:val="000000" w:themeColor="text1"/>
        </w:rPr>
        <w:fldChar w:fldCharType="begin"/>
      </w:r>
      <w:r w:rsidR="00530060" w:rsidRPr="008B3AD6">
        <w:rPr>
          <w:color w:val="000000" w:themeColor="text1"/>
        </w:rPr>
        <w:instrText xml:space="preserve"> ADDIN ZOTERO_ITEM CSL_CITATION {"citationID":"gt1wzHM9","properties":{"formattedCitation":"(Coutinho et al. 2017)","plainCitation":"(Coutinho et al. 2017)","noteIndex":0},"citationItems":[{"id":2931,"uris":["http://zotero.org/users/2628971/items/WV6LHIT8"],"uri":["http://zotero.org/users/2628971/items/WV6LHIT8"],"itemData":{"id":2931,"type":"article-journal","title":"Visceral leishmaniasis and leishmaniasis-HIV coinfection: comparative study","container-title":"Revista da Sociedade Brasileira de Medicina Tropical","page":"670-674","volume":"50","issue":"5","source":"Crossref","abstract":"Introduction: This study aimed to draw clinical and epidemiological comparisons between visceral leishmaniasis (VL) and VL associated with human immunodeficiency virus (HIV) infection. Method: Retrospective study. Results: Of 473 cases of VL, 5.5% were coinfected with HIV. The highest proportion of cases of both VL and VL/HIV were found among men. A higher proportion of VL cases was seen in children aged 0-10 years, whereas coinfection was more common in those aged 18-50 years. Conclusions: VL/HIV coinfected patients presented slightly differently to and had a higher mortality rate than those with VL only.","DOI":"10.1590/0037-8682-0193-2017","ISSN":"1678-9849, 0037-8682","shortTitle":"Visceral leishmaniasis and leishmaniasis-HIV coinfection","language":"en","author":[{"family":"Coutinho","given":"João Victor Soares Coriolano"},{"family":"Santos","given":"Fabiana Silva","dropping-particle":"dos"},{"family":"Ribeiro","given":"Rosângela do Socorro Pereira"},{"family":"Oliveira","given":"Iara Brito Bucar"},{"family":"Dantas","given":"Victória Bezerra"},{"family":"Santos","given":"Ana Barbara Feliciano Souza"},{"family":"Tauhata","given":"Jéssyca Rodrigues"}],"issued":{"date-parts":[["2017",9]]}}}],"schema":"https://github.com/citation-style-language/schema/raw/master/csl-citation.json"} </w:instrText>
      </w:r>
      <w:r w:rsidR="00530060" w:rsidRPr="008B3AD6">
        <w:rPr>
          <w:color w:val="000000" w:themeColor="text1"/>
        </w:rPr>
        <w:fldChar w:fldCharType="separate"/>
      </w:r>
      <w:r w:rsidR="00025067">
        <w:rPr>
          <w:color w:val="000000" w:themeColor="text1"/>
        </w:rPr>
        <w:t>(Coutinho et al. 2017)</w:t>
      </w:r>
      <w:r w:rsidR="00530060" w:rsidRPr="008B3AD6">
        <w:rPr>
          <w:color w:val="000000" w:themeColor="text1"/>
        </w:rPr>
        <w:fldChar w:fldCharType="end"/>
      </w:r>
      <w:r w:rsidR="00530060" w:rsidRPr="008B3AD6">
        <w:rPr>
          <w:color w:val="000000" w:themeColor="text1"/>
        </w:rPr>
        <w:t>, ultimately leading to a higher rate of mortality in coinfected compared to single infected VL patients.</w:t>
      </w:r>
    </w:p>
    <w:p w14:paraId="7385CE87" w14:textId="77777777" w:rsidR="00530060" w:rsidRPr="008B3AD6" w:rsidRDefault="00530060" w:rsidP="00530060">
      <w:pPr>
        <w:spacing w:line="360" w:lineRule="auto"/>
        <w:jc w:val="both"/>
        <w:rPr>
          <w:color w:val="000000" w:themeColor="text1"/>
        </w:rPr>
      </w:pPr>
    </w:p>
    <w:p w14:paraId="6F50F778" w14:textId="545B9D7B" w:rsidR="00530060" w:rsidRPr="008B3AD6" w:rsidRDefault="00530060" w:rsidP="00530060">
      <w:pPr>
        <w:spacing w:line="360" w:lineRule="auto"/>
        <w:jc w:val="both"/>
        <w:rPr>
          <w:color w:val="000000" w:themeColor="text1"/>
        </w:rPr>
      </w:pPr>
      <w:r w:rsidRPr="008B3AD6">
        <w:rPr>
          <w:color w:val="000000" w:themeColor="text1"/>
        </w:rPr>
        <w:t xml:space="preserve">An interesting </w:t>
      </w:r>
      <w:r w:rsidR="00DD5152">
        <w:rPr>
          <w:color w:val="000000" w:themeColor="text1"/>
        </w:rPr>
        <w:t>sequela</w:t>
      </w:r>
      <w:r w:rsidRPr="008B3AD6">
        <w:rPr>
          <w:color w:val="000000" w:themeColor="text1"/>
        </w:rPr>
        <w:t xml:space="preserve"> of VL is the development of post kala-azar dermal leishmaniasis (PKDL). This presentation predominantly occurs in patients who have, or who are thought to have, cleared their initial VL infection </w:t>
      </w:r>
      <w:r w:rsidRPr="008B3AD6">
        <w:rPr>
          <w:color w:val="000000" w:themeColor="text1"/>
        </w:rPr>
        <w:fldChar w:fldCharType="begin"/>
      </w:r>
      <w:r w:rsidRPr="008B3AD6">
        <w:rPr>
          <w:color w:val="000000" w:themeColor="text1"/>
        </w:rPr>
        <w:instrText xml:space="preserve"> ADDIN ZOTERO_ITEM CSL_CITATION {"citationID":"kzFb5y4A","properties":{"formattedCitation":"(Mukhopadhyay et al. 2014)","plainCitation":"(Mukhopadhyay et al. 2014)","noteIndex":0},"citationItems":[{"id":2918,"uris":["http://zotero.org/users/2628971/items/M93YPZ6V"],"uri":["http://zotero.org/users/2628971/items/M93YPZ6V"],"itemData":{"id":2918,"type":"article-journal","title":"Post kala-azar dermal leishmaniasis: an unresolved mystery","container-title":"Trends in Parasitology","page":"65-74","volume":"30","issue":"2","source":"ScienceDirect","abstract":"Post kala-azar dermal leishmaniasis (PKDL), a cutaneous sequela of visceral leishmaniasis (VL), develops in some patients alongside but more commonly after apparent cure from VL. In view of the pivotal role of PKDL patients in the transmission of VL, here we review clinical, epidemiological, parasitological, and immunological perspectives of this disease, focusing on five hypotheses to explain the development of PKDL: (i) the role of antimonial drugs; (ii) UV-induced skin damage; (iii) reinfection; (iv) organ specific failure of memory T cell responses; and (v) genetic susceptibility of the host. This review will enable researchers and clinicians to explore the unresolved mystery of PKDL and provide a framework for future application of ‘omic’ approaches for the control and eventual elimination of VL.","DOI":"10.1016/j.pt.2013.12.004","ISSN":"1471-4922","shortTitle":"Post kala-azar dermal leishmaniasis","journalAbbreviation":"Trends in Parasitology","author":[{"family":"Mukhopadhyay","given":"Debanjan"},{"family":"Dalton","given":"Jane E."},{"family":"Kaye","given":"Paul M."},{"family":"Chatterjee","given":"Mitali"}],"issued":{"date-parts":[["2014",2,1]]}}}],"schema":"https://github.com/citation-style-language/schema/raw/master/csl-citation.json"} </w:instrText>
      </w:r>
      <w:r w:rsidRPr="008B3AD6">
        <w:rPr>
          <w:color w:val="000000" w:themeColor="text1"/>
        </w:rPr>
        <w:fldChar w:fldCharType="separate"/>
      </w:r>
      <w:r w:rsidR="00025067">
        <w:rPr>
          <w:color w:val="000000" w:themeColor="text1"/>
        </w:rPr>
        <w:t>(Mukhopadhyay et al. 2014)</w:t>
      </w:r>
      <w:r w:rsidRPr="008B3AD6">
        <w:rPr>
          <w:color w:val="000000" w:themeColor="text1"/>
        </w:rPr>
        <w:fldChar w:fldCharType="end"/>
      </w:r>
      <w:r w:rsidRPr="008B3AD6">
        <w:rPr>
          <w:color w:val="000000" w:themeColor="text1"/>
        </w:rPr>
        <w:t xml:space="preserve">. The disease is limited </w:t>
      </w:r>
      <w:r w:rsidRPr="008B3AD6">
        <w:rPr>
          <w:color w:val="000000" w:themeColor="text1"/>
        </w:rPr>
        <w:lastRenderedPageBreak/>
        <w:t xml:space="preserve">to those cases where </w:t>
      </w:r>
      <w:r w:rsidRPr="008B3AD6">
        <w:rPr>
          <w:i/>
          <w:color w:val="000000" w:themeColor="text1"/>
        </w:rPr>
        <w:t>L. donovani</w:t>
      </w:r>
      <w:r w:rsidRPr="008B3AD6">
        <w:rPr>
          <w:color w:val="000000" w:themeColor="text1"/>
        </w:rPr>
        <w:t xml:space="preserve"> was the causative agent of the initial VL infection </w:t>
      </w:r>
      <w:r w:rsidRPr="008B3AD6">
        <w:rPr>
          <w:color w:val="000000" w:themeColor="text1"/>
        </w:rPr>
        <w:fldChar w:fldCharType="begin"/>
      </w:r>
      <w:r w:rsidRPr="008B3AD6">
        <w:rPr>
          <w:color w:val="000000" w:themeColor="text1"/>
        </w:rPr>
        <w:instrText xml:space="preserve"> ADDIN ZOTERO_ITEM CSL_CITATION {"citationID":"X0PnwCxT","properties":{"formattedCitation":"(Zijlstra 2016)","plainCitation":"(Zijlstra 2016)","noteIndex":0},"citationItems":[{"id":2907,"uris":["http://zotero.org/users/2628971/items/EQGLY6BF"],"uri":["http://zotero.org/users/2628971/items/EQGLY6BF"],"itemData":{"id":2907,"type":"article-journal","title":"The immunology of post-kala-azar dermal leishmaniasis (PKDL)","container-title":"Parasites &amp; Vectors","page":"464","volume":"9","issue":"1","source":"BioMed Central","abstract":"Post-kala-azar dermal leishmaniasis (PKDL) is a common complication of visceral leishmaniasis (VL) caused by Leishmania donovani. Because of its possible role in transmission it is considered a public health problem in VL endemic areas. The clinical features include a skin rash consisting of macules, papules or nodules in an otherwise healthy individual; this presentation is determined by the immune response towards parasites in the skin that probably persisted from the previous VL episode. The immune response in VL, cured VL and PKDL is the result of changes in the cytokine profile that only in part can be captured under the Th1 and Th2 dichotomy. Regulatory T cells and Th 17 cells also play a role. VL is characterized by an absent immune response to Leishmania with a predominantly Th2 type of response with high levels of IL-10; after successful treatment the patient will be immune with in vitro features of a Th1 type of response and in vivo a positive leishmanin skin test. PKDL takes an intermediate position with a dissociation of the immune response between the skin and the viscera, with a Th2 and Th1 type of response, respectively. It is likely that immune responses determine the different epidemiological and clinical characteristics of PKDL in Asia and Africa; various risk factors for PKDL may influence this, such as incomplete and inadequate treatment of VL, parasite resistance and genetic factors. It should be noted that PKDL is a heterogeneous and dynamic condition and patients differ with regard to time of onset after visceral leishmaniasis (VL), chronicity, extent and appearance of the rash including related immune responses, all of which may vary over time. Better understanding of these immune responses may offer opportunities for manipulation including combined chemotherapy and immunotherapy for VL to prevent PKDL from occurring and similarly in the treatment of chronic or treatment resistant PKDL cases.","DOI":"10.1186/s13071-016-1721-0","ISSN":"1756-3305","journalAbbreviation":"Parasites &amp; Vectors","author":[{"family":"Zijlstra","given":"Eduard E."}],"issued":{"date-parts":[["2016",8,23]]}}}],"schema":"https://github.com/citation-style-language/schema/raw/master/csl-citation.json"} </w:instrText>
      </w:r>
      <w:r w:rsidRPr="008B3AD6">
        <w:rPr>
          <w:color w:val="000000" w:themeColor="text1"/>
        </w:rPr>
        <w:fldChar w:fldCharType="separate"/>
      </w:r>
      <w:r w:rsidR="00025067">
        <w:rPr>
          <w:color w:val="000000" w:themeColor="text1"/>
        </w:rPr>
        <w:t>(Zijlstra 2016)</w:t>
      </w:r>
      <w:r w:rsidRPr="008B3AD6">
        <w:rPr>
          <w:color w:val="000000" w:themeColor="text1"/>
        </w:rPr>
        <w:fldChar w:fldCharType="end"/>
      </w:r>
      <w:r w:rsidRPr="008B3AD6">
        <w:rPr>
          <w:color w:val="000000" w:themeColor="text1"/>
        </w:rPr>
        <w:t xml:space="preserve"> and patients present with macular, papular, or nodular lesions in the skin </w:t>
      </w:r>
      <w:r w:rsidRPr="008B3AD6">
        <w:rPr>
          <w:color w:val="000000" w:themeColor="text1"/>
        </w:rPr>
        <w:fldChar w:fldCharType="begin"/>
      </w:r>
      <w:r w:rsidRPr="008B3AD6">
        <w:rPr>
          <w:color w:val="000000" w:themeColor="text1"/>
        </w:rPr>
        <w:instrText xml:space="preserve"> ADDIN ZOTERO_ITEM CSL_CITATION {"citationID":"fPGnaaID","properties":{"formattedCitation":"(Mukhopadhyay et al. 2014)","plainCitation":"(Mukhopadhyay et al. 2014)","noteIndex":0},"citationItems":[{"id":2918,"uris":["http://zotero.org/users/2628971/items/M93YPZ6V"],"uri":["http://zotero.org/users/2628971/items/M93YPZ6V"],"itemData":{"id":2918,"type":"article-journal","title":"Post kala-azar dermal leishmaniasis: an unresolved mystery","container-title":"Trends in Parasitology","page":"65-74","volume":"30","issue":"2","source":"ScienceDirect","abstract":"Post kala-azar dermal leishmaniasis (PKDL), a cutaneous sequela of visceral leishmaniasis (VL), develops in some patients alongside but more commonly after apparent cure from VL. In view of the pivotal role of PKDL patients in the transmission of VL, here we review clinical, epidemiological, parasitological, and immunological perspectives of this disease, focusing on five hypotheses to explain the development of PKDL: (i) the role of antimonial drugs; (ii) UV-induced skin damage; (iii) reinfection; (iv) organ specific failure of memory T cell responses; and (v) genetic susceptibility of the host. This review will enable researchers and clinicians to explore the unresolved mystery of PKDL and provide a framework for future application of ‘omic’ approaches for the control and eventual elimination of VL.","DOI":"10.1016/j.pt.2013.12.004","ISSN":"1471-4922","shortTitle":"Post kala-azar dermal leishmaniasis","journalAbbreviation":"Trends in Parasitology","author":[{"family":"Mukhopadhyay","given":"Debanjan"},{"family":"Dalton","given":"Jane E."},{"family":"Kaye","given":"Paul M."},{"family":"Chatterjee","given":"Mitali"}],"issued":{"date-parts":[["2014",2,1]]}}}],"schema":"https://github.com/citation-style-language/schema/raw/master/csl-citation.json"} </w:instrText>
      </w:r>
      <w:r w:rsidRPr="008B3AD6">
        <w:rPr>
          <w:color w:val="000000" w:themeColor="text1"/>
        </w:rPr>
        <w:fldChar w:fldCharType="separate"/>
      </w:r>
      <w:r w:rsidR="00025067">
        <w:rPr>
          <w:color w:val="000000" w:themeColor="text1"/>
        </w:rPr>
        <w:t>(Mukhopadhyay et al. 2014)</w:t>
      </w:r>
      <w:r w:rsidRPr="008B3AD6">
        <w:rPr>
          <w:color w:val="000000" w:themeColor="text1"/>
        </w:rPr>
        <w:fldChar w:fldCharType="end"/>
      </w:r>
      <w:r w:rsidRPr="008B3AD6">
        <w:rPr>
          <w:color w:val="000000" w:themeColor="text1"/>
        </w:rPr>
        <w:t xml:space="preserve">. The onset of PKDL is thought to be linked to the activation of latent </w:t>
      </w:r>
      <w:r w:rsidRPr="008B3AD6">
        <w:rPr>
          <w:i/>
          <w:color w:val="000000" w:themeColor="text1"/>
        </w:rPr>
        <w:t>L. donovani</w:t>
      </w:r>
      <w:r w:rsidRPr="008B3AD6">
        <w:rPr>
          <w:color w:val="000000" w:themeColor="text1"/>
        </w:rPr>
        <w:t xml:space="preserve"> residing within the skin with inadequate or incomplete therapy being cited as a possible risk factor for the emergence of PKDL. Lesions in PKDL can contain high numbers of parasites and are thus thought to play a role in leishmaniasis transmission </w:t>
      </w:r>
      <w:r w:rsidRPr="008B3AD6">
        <w:rPr>
          <w:color w:val="000000" w:themeColor="text1"/>
        </w:rPr>
        <w:fldChar w:fldCharType="begin"/>
      </w:r>
      <w:r w:rsidRPr="008B3AD6">
        <w:rPr>
          <w:color w:val="000000" w:themeColor="text1"/>
        </w:rPr>
        <w:instrText xml:space="preserve"> ADDIN ZOTERO_ITEM CSL_CITATION {"citationID":"O6yqJ37C","properties":{"formattedCitation":"(Ganguly et al. 2010)","plainCitation":"(Ganguly et al. 2010)","noteIndex":0},"citationItems":[{"id":2921,"uris":["http://zotero.org/users/2628971/items/NSP5NUEZ"],"uri":["http://zotero.org/users/2628971/items/NSP5NUEZ"],"itemData":{"id":2921,"type":"article-journal","title":"Post-kala-azar dermal leishmaniasis – an overview","container-title":"International Journal of Dermatology","page":"921-931","volume":"49","issue":"8","source":"Wiley Online Library","abstract":"Post-kala-azar dermal leishmaniasis (PKDL) is a dermal sequela of visceral leishmaniasis (VL), reported mainly from two regions – Sudan in eastern Africa and the Indian subcontinent, with incidences of 50–60% and 5–10%, respectively. Importantly, patients with PKDL are considered as reservoirs of VL, linking its eradication to effective control of PKDL. The etiopathogenesis of PKDL is presumably due to an immunological assault on latent dermal parasites. Immunological markers include IL-10, whose expression in skin and plasma of Sudanese patients with VL predicted onset of PKDL. Cell-mediated immune responses, notably restoration of IFN-γ production by antigen-stimulated lymphocytes are well documented in Sudanese PKDL, but remain ambiguous in the Indian form; recently, antigen-specific IL-10-producing CD8+ lymphocytes have been implicated in pathogenesis. In Indian PKDL, upregulation of intralesional IFN-γ and TNF-α is counterbalanced by IL-10 and TGF-β together with downregulated IFN-γ R1. Although IL-10 curtails excessive IFN-γ-mediated reactivity and ensures parasite survival, its cellular source remains to be confirmed, with infiltrating regulatory T cells (Tregs) being a likely candidate. Future functional investigations on Tregs and their interaction with lesional effector lymphocytes would be indispensable for development of immunomodulatory therapies against Leishmania infection.","DOI":"10.1111/j.1365-4632.2010.04558.x","ISSN":"1365-4632","language":"en","author":[{"family":"Ganguly","given":"Sudipto"},{"family":"Das","given":"Nilay Kanti"},{"family":"Barbhuiya","given":"Joyashree Nath"},{"family":"Chatterjee","given":"Mitali"}],"issued":{"date-parts":[["2010"]]}}}],"schema":"https://github.com/citation-style-language/schema/raw/master/csl-citation.json"} </w:instrText>
      </w:r>
      <w:r w:rsidRPr="008B3AD6">
        <w:rPr>
          <w:color w:val="000000" w:themeColor="text1"/>
        </w:rPr>
        <w:fldChar w:fldCharType="separate"/>
      </w:r>
      <w:r w:rsidR="00025067">
        <w:rPr>
          <w:color w:val="000000" w:themeColor="text1"/>
        </w:rPr>
        <w:t>(Ganguly et al. 2010)</w:t>
      </w:r>
      <w:r w:rsidRPr="008B3AD6">
        <w:rPr>
          <w:color w:val="000000" w:themeColor="text1"/>
        </w:rPr>
        <w:fldChar w:fldCharType="end"/>
      </w:r>
      <w:r w:rsidRPr="008B3AD6">
        <w:rPr>
          <w:color w:val="000000" w:themeColor="text1"/>
        </w:rPr>
        <w:t>.</w:t>
      </w:r>
    </w:p>
    <w:p w14:paraId="224794FC" w14:textId="77777777" w:rsidR="00AB3115" w:rsidRPr="008B3AD6" w:rsidRDefault="00AB3115" w:rsidP="00AB3115">
      <w:pPr>
        <w:spacing w:line="360" w:lineRule="auto"/>
        <w:jc w:val="both"/>
        <w:rPr>
          <w:color w:val="000000" w:themeColor="text1"/>
        </w:rPr>
      </w:pPr>
    </w:p>
    <w:p w14:paraId="2F2B56BF" w14:textId="77777777" w:rsidR="00AB3115" w:rsidRPr="008B3AD6" w:rsidRDefault="00AB3115" w:rsidP="00AB3115">
      <w:pPr>
        <w:pStyle w:val="Heading3"/>
        <w:rPr>
          <w:color w:val="000000" w:themeColor="text1"/>
        </w:rPr>
      </w:pPr>
      <w:bookmarkStart w:id="21" w:name="_Toc3716043"/>
      <w:r w:rsidRPr="008B3AD6">
        <w:rPr>
          <w:color w:val="000000" w:themeColor="text1"/>
        </w:rPr>
        <w:t>Transmission</w:t>
      </w:r>
      <w:bookmarkEnd w:id="21"/>
    </w:p>
    <w:p w14:paraId="2CABB701" w14:textId="7D93C444" w:rsidR="00AB3115" w:rsidRPr="008B3AD6" w:rsidRDefault="00530060" w:rsidP="00AB3115">
      <w:pPr>
        <w:spacing w:line="360" w:lineRule="auto"/>
        <w:jc w:val="both"/>
        <w:rPr>
          <w:color w:val="000000" w:themeColor="text1"/>
        </w:rPr>
      </w:pPr>
      <w:r w:rsidRPr="008B3AD6">
        <w:rPr>
          <w:i/>
          <w:color w:val="000000" w:themeColor="text1"/>
        </w:rPr>
        <w:t>Leishmania</w:t>
      </w:r>
      <w:r w:rsidRPr="008B3AD6">
        <w:rPr>
          <w:color w:val="000000" w:themeColor="text1"/>
        </w:rPr>
        <w:t xml:space="preserve"> are vector-borne parasites transmitted between hosts by female sand flies. Of the 800-100</w:t>
      </w:r>
      <w:r w:rsidR="00F6299A">
        <w:rPr>
          <w:color w:val="000000" w:themeColor="text1"/>
        </w:rPr>
        <w:t>0</w:t>
      </w:r>
      <w:r w:rsidRPr="008B3AD6">
        <w:rPr>
          <w:color w:val="000000" w:themeColor="text1"/>
        </w:rPr>
        <w:t xml:space="preserve"> recorded sand fly species, there are 98 that are suspected of or have been proven to be vectors of </w:t>
      </w:r>
      <w:r w:rsidRPr="008B3AD6">
        <w:rPr>
          <w:i/>
          <w:color w:val="000000" w:themeColor="text1"/>
        </w:rPr>
        <w:t>Leishmania</w:t>
      </w:r>
      <w:r w:rsidRPr="008B3AD6">
        <w:rPr>
          <w:color w:val="000000" w:themeColor="text1"/>
        </w:rPr>
        <w:t xml:space="preserve"> species that cause human disease </w:t>
      </w:r>
      <w:r w:rsidRPr="008B3AD6">
        <w:rPr>
          <w:color w:val="000000" w:themeColor="text1"/>
        </w:rPr>
        <w:fldChar w:fldCharType="begin"/>
      </w:r>
      <w:r w:rsidRPr="008B3AD6">
        <w:rPr>
          <w:color w:val="000000" w:themeColor="text1"/>
        </w:rPr>
        <w:instrText xml:space="preserve"> ADDIN ZOTERO_ITEM CSL_CITATION {"citationID":"lVokpWt0","properties":{"formattedCitation":"(Maroli et al. 2013)","plainCitation":"(Maroli et al. 2013)","noteIndex":0},"citationItems":[{"id":2915,"uris":["http://zotero.org/users/2628971/items/KXD4LCTX"],"uri":["http://zotero.org/users/2628971/items/KXD4LCTX"],"itemData":{"id":2915,"type":"article-journal","title":"Phlebotomine sandflies and the spreading of leishmaniases and other diseases of public health concern","container-title":"Medical and Veterinary Entomology","page":"123-147","volume":"27","issue":"2","source":"PubMed","abstract":"Phlebotomine sandflies transmit pathogens that affect humans and animals worldwide. We review the roles of phlebotomines in the spreading of leishmaniases, sandfly fever, summer meningitis, vesicular stomatitis, Chandipura virus encephalitis and Carrión's disease. Among over 800 species of sandfly recorded, 98 are proven or suspected vectors of human leishmaniases; these include 42 Phlebotomus species in the Old World and 56 Lutzomyia species in the New World (all: Diptera: Psychodidae). Based on incrimination criteria, we provide an updated list of proven or suspected vector species by endemic country where data are available. Increases in sandfly diffusion and density resulting from increases in breeding sites and blood sources, and the interruption of vector control activities contribute to the spreading of leishmaniasis in the settings of human migration, deforestation, urbanization and conflict. In addition, climatic changes can be expected to affect the density and dispersion of sandflies. Phlebovirus infections and diseases are present in large areas of the Old World, especially in the Mediterranean subregion, in which virus diversity has proven to be higher than initially suspected. Vesiculovirus diseases are important to livestock and humans in the southeastern U.S.A. and Latin America, and represent emerging human threats in parts of India. Carrión's disease, formerly restricted to regions of elevated altitude in Peru, Ecuador and Colombia, has shown recent expansion to non-endemic areas of the Amazon basin.","DOI":"10.1111/j.1365-2915.2012.01034.x","ISSN":"1365-2915","note":"PMID: 22924419","journalAbbreviation":"Med. Vet. Entomol.","language":"eng","author":[{"family":"Maroli","given":"M."},{"family":"Feliciangeli","given":"M. D."},{"family":"Bichaud","given":"L."},{"family":"Charrel","given":"R. N."},{"family":"Gradoni","given":"L."}],"issued":{"date-parts":[["2013",6]]}}}],"schema":"https://github.com/citation-style-language/schema/raw/master/csl-citation.json"} </w:instrText>
      </w:r>
      <w:r w:rsidRPr="008B3AD6">
        <w:rPr>
          <w:color w:val="000000" w:themeColor="text1"/>
        </w:rPr>
        <w:fldChar w:fldCharType="separate"/>
      </w:r>
      <w:r w:rsidR="00025067">
        <w:rPr>
          <w:color w:val="000000" w:themeColor="text1"/>
        </w:rPr>
        <w:t>(Maroli et al. 2013)</w:t>
      </w:r>
      <w:r w:rsidRPr="008B3AD6">
        <w:rPr>
          <w:color w:val="000000" w:themeColor="text1"/>
        </w:rPr>
        <w:fldChar w:fldCharType="end"/>
      </w:r>
      <w:r w:rsidRPr="008B3AD6">
        <w:rPr>
          <w:color w:val="000000" w:themeColor="text1"/>
        </w:rPr>
        <w:t xml:space="preserve">. In the Old and New World, </w:t>
      </w:r>
      <w:r w:rsidRPr="008B3AD6">
        <w:rPr>
          <w:i/>
          <w:color w:val="000000" w:themeColor="text1"/>
        </w:rPr>
        <w:t>Phlebotomus</w:t>
      </w:r>
      <w:r w:rsidRPr="008B3AD6">
        <w:rPr>
          <w:color w:val="000000" w:themeColor="text1"/>
        </w:rPr>
        <w:t xml:space="preserve"> spp. and </w:t>
      </w:r>
      <w:r w:rsidRPr="008B3AD6">
        <w:rPr>
          <w:i/>
          <w:color w:val="000000" w:themeColor="text1"/>
        </w:rPr>
        <w:t>Lutzomyia</w:t>
      </w:r>
      <w:r w:rsidRPr="008B3AD6">
        <w:rPr>
          <w:color w:val="000000" w:themeColor="text1"/>
        </w:rPr>
        <w:t xml:space="preserve"> spp. are, respectively,  the principle vectors recorded </w:t>
      </w:r>
      <w:r w:rsidRPr="008B3AD6">
        <w:rPr>
          <w:color w:val="000000" w:themeColor="text1"/>
        </w:rPr>
        <w:fldChar w:fldCharType="begin"/>
      </w:r>
      <w:r w:rsidRPr="008B3AD6">
        <w:rPr>
          <w:color w:val="000000" w:themeColor="text1"/>
        </w:rPr>
        <w:instrText xml:space="preserve"> ADDIN ZOTERO_ITEM CSL_CITATION {"citationID":"kkheaBvC","properties":{"formattedCitation":"(Bates 2008)","plainCitation":"(Bates 2008)","noteIndex":0},"citationItems":[{"id":2892,"uris":["http://zotero.org/users/2628971/items/7CLDU3WB"],"uri":["http://zotero.org/users/2628971/items/7CLDU3WB"],"itemData":{"id":2892,"type":"article-journal","title":"Leishmania sand fly interaction: progress and challenges","container-title":"Current opinion in microbiology","page":"340-344","volume":"11","issue":"4","source":"PubMed Central","abstract":"Complex interactions occur between Leishmania parasites and their sand fly vectors. Promastigotes of Leishmania live exclusively within the gut, possess flagella and are motile, and kinesins, kinases and G proteins have been described that play a role in regulating flagellar assembly. Movement within the gut is not random: promastigotes can detect gradients of solutes via chemotaxis and osmotaxis. Further, they use their flagella to attach to the fly midgut using surface glyconconjugates, a key step in establishment of the infection. Differentiation of mammal-infective stages is characterised by significant biochemical and cellular remodelling. Further, the parasites can manipulate the behaviour of the vector to their maximise transmission and flies may even deliver altruistic apoptotic forms to aid transmission of infective stages.","DOI":"10.1016/j.mib.2008.06.003","ISSN":"1369-5274","note":"PMID: 18625337\nPMCID: PMC2675783","shortTitle":"Leishmania sand fly interaction","journalAbbreviation":"Curr Opin Microbiol","author":[{"family":"Bates","given":"Paul A"}],"issued":{"date-parts":[["2008",8]]}}}],"schema":"https://github.com/citation-style-language/schema/raw/master/csl-citation.json"} </w:instrText>
      </w:r>
      <w:r w:rsidRPr="008B3AD6">
        <w:rPr>
          <w:color w:val="000000" w:themeColor="text1"/>
        </w:rPr>
        <w:fldChar w:fldCharType="separate"/>
      </w:r>
      <w:r w:rsidR="00025067">
        <w:rPr>
          <w:color w:val="000000" w:themeColor="text1"/>
        </w:rPr>
        <w:t>(Bates 2008)</w:t>
      </w:r>
      <w:r w:rsidRPr="008B3AD6">
        <w:rPr>
          <w:color w:val="000000" w:themeColor="text1"/>
        </w:rPr>
        <w:fldChar w:fldCharType="end"/>
      </w:r>
      <w:r w:rsidRPr="008B3AD6">
        <w:rPr>
          <w:color w:val="000000" w:themeColor="text1"/>
        </w:rPr>
        <w:t xml:space="preserve">. The transmission of VL-causing parasites in India is thought to be anthroponotic (i.e. human to human) with no non-human reservoirs for the parasite identified to date. In contrast, in other regions the transmission can be either anthroponotic or zoonotic (where non-human mammals serve as reservoirs of infection; </w:t>
      </w:r>
      <w:r w:rsidRPr="008B3AD6">
        <w:rPr>
          <w:color w:val="000000" w:themeColor="text1"/>
        </w:rPr>
        <w:fldChar w:fldCharType="begin"/>
      </w:r>
      <w:r w:rsidRPr="008B3AD6">
        <w:rPr>
          <w:color w:val="000000" w:themeColor="text1"/>
        </w:rPr>
        <w:instrText xml:space="preserve"> ADDIN ZOTERO_ITEM CSL_CITATION {"citationID":"NM9VeIcH","properties":{"formattedCitation":"(Quinnell and Courtenay 2009)","plainCitation":"(Quinnell and Courtenay 2009)","noteIndex":0},"citationItems":[{"id":3103,"uris":["http://zotero.org/users/2628971/items/YLRAQW2P"],"uri":["http://zotero.org/users/2628971/items/YLRAQW2P"],"itemData":{"id":3103,"type":"article-journal","title":"Transmission, reservoir hosts and control of zoonotic visceral leishmaniasis","container-title":"Parasitology","page":"1915-1934","volume":"136","issue":"14","source":"PubMed","abstract":"Zoonotic visceral leishmaniasis (ZVL) caused by Leishmania infantum is an important disease of humans and dogs. Here we review aspects of the transmission and control of ZVL. Whilst there is clear evidence that ZVL is maintained by sandfly transmission, transmission may also occur by non-sandfly routes, such as congenital and sexual transmission. Dogs are the only confirmed primary reservoir of infection. Meta-analysis of dog studies confirms that infectiousness is higher in symptomatic infection; infectiousness is also higher in European than South American studies. A high prevalence of infection has been reported from an increasing number of domestic and wild mammals; updated host ranges are provided. The crab-eating fox Cerdocyon thous, opossums Didelphis spp., domestic cat Felis cattus, black rat Rattus rattus and humans can infect sandflies, but confirmation of these hosts as primary or secondary reservoirs requires further xenodiagnosis studies at the population level. Thus the putative sylvatic reservoir(s) of ZVL remains unknown. Review of intervention studies examining the effectiveness of current control methods highlights the lack of randomized controlled trials of both dog culling and residual insecticide spraying. Topical insecticides (deltamethrin-impregnated collars and pour-ons) have been shown to provide a high level of individual protection to treated dogs, but further community-level studies are needed.","DOI":"10.1017/S0031182009991156","ISSN":"1469-8161","note":"PMID: 19835643","journalAbbreviation":"Parasitology","language":"eng","author":[{"family":"Quinnell","given":"R. J."},{"family":"Courtenay","given":"O."}],"issued":{"date-parts":[["2009",12]]}}}],"schema":"https://github.com/citation-style-language/schema/raw/master/csl-citation.json"} </w:instrText>
      </w:r>
      <w:r w:rsidRPr="008B3AD6">
        <w:rPr>
          <w:color w:val="000000" w:themeColor="text1"/>
        </w:rPr>
        <w:fldChar w:fldCharType="separate"/>
      </w:r>
      <w:r w:rsidR="00025067">
        <w:rPr>
          <w:color w:val="000000" w:themeColor="text1"/>
        </w:rPr>
        <w:t>(Quinnell and Courtenay 2009)</w:t>
      </w:r>
      <w:r w:rsidRPr="008B3AD6">
        <w:rPr>
          <w:color w:val="000000" w:themeColor="text1"/>
        </w:rPr>
        <w:fldChar w:fldCharType="end"/>
      </w:r>
      <w:r w:rsidRPr="008B3AD6">
        <w:rPr>
          <w:color w:val="000000" w:themeColor="text1"/>
        </w:rPr>
        <w:t xml:space="preserve">. An understanding of transmission dynamics is a significant factor underpinning elimination strategies for VL. Another facet of the vector-borne nature of </w:t>
      </w:r>
      <w:r w:rsidRPr="008B3AD6">
        <w:rPr>
          <w:i/>
          <w:color w:val="000000" w:themeColor="text1"/>
        </w:rPr>
        <w:t>Leishmania</w:t>
      </w:r>
      <w:r w:rsidRPr="008B3AD6">
        <w:rPr>
          <w:color w:val="000000" w:themeColor="text1"/>
        </w:rPr>
        <w:t xml:space="preserve"> parasites is that they have a digenetic life-cycle </w:t>
      </w:r>
      <w:r w:rsidRPr="008B3AD6">
        <w:rPr>
          <w:color w:val="000000" w:themeColor="text1"/>
        </w:rPr>
        <w:fldChar w:fldCharType="begin"/>
      </w:r>
      <w:r w:rsidRPr="008B3AD6">
        <w:rPr>
          <w:color w:val="000000" w:themeColor="text1"/>
        </w:rPr>
        <w:instrText xml:space="preserve"> ADDIN ZOTERO_ITEM CSL_CITATION {"citationID":"S3tN5FPw","properties":{"formattedCitation":"(Sunter and Gull 2017)","plainCitation":"(Sunter and Gull 2017)","noteIndex":0},"citationItems":[{"id":2910,"uris":["http://zotero.org/users/2628971/items/G9D6TTYX"],"uri":["http://zotero.org/users/2628971/items/G9D6TTYX"],"itemData":{"id":2910,"type":"article-journal","title":"Shape, form, function and Leishmania pathogenicity: from textbook descriptions to biological understanding","container-title":"Open Biology","volume":"7","issue":"9","source":"PubMed Central","abstract":"The shape and form of protozoan parasites are inextricably linked to their pathogenicity. The evolutionary pressure associated with establishing and maintaining an infection and transmission to vector or host has shaped parasite morphology. However, there is not a ‘one size fits all’ morphological solution to these different pressures, and parasites exhibit a range of different morphologies, reflecting the diversity of their complex life cycles. In this review, we will focus on the shape and form of Leishmania spp., a group of very successful protozoan parasites that cause a range of diseases from self-healing cutaneous leishmaniasis to visceral leishmaniasis, which is fatal if left untreated.","URL":"https://www.ncbi.nlm.nih.gov/pmc/articles/PMC5627057/","DOI":"10.1098/rsob.170165","ISSN":"2046-2441","note":"PMID: 28903998\nPMCID: PMC5627057","shortTitle":"Shape, form, function and Leishmania pathogenicity","journalAbbreviation":"Open Biol","author":[{"family":"Sunter","given":"Jack"},{"family":"Gull","given":"Keith"}],"issued":{"date-parts":[["2017",9,13]]},"accessed":{"date-parts":[["2018",7,28]]}}}],"schema":"https://github.com/citation-style-language/schema/raw/master/csl-citation.json"} </w:instrText>
      </w:r>
      <w:r w:rsidRPr="008B3AD6">
        <w:rPr>
          <w:color w:val="000000" w:themeColor="text1"/>
        </w:rPr>
        <w:fldChar w:fldCharType="separate"/>
      </w:r>
      <w:r w:rsidR="00025067">
        <w:rPr>
          <w:color w:val="000000" w:themeColor="text1"/>
        </w:rPr>
        <w:t>(Sunter and Gull 2017)</w:t>
      </w:r>
      <w:r w:rsidRPr="008B3AD6">
        <w:rPr>
          <w:color w:val="000000" w:themeColor="text1"/>
        </w:rPr>
        <w:fldChar w:fldCharType="end"/>
      </w:r>
      <w:r w:rsidRPr="008B3AD6">
        <w:rPr>
          <w:color w:val="000000" w:themeColor="text1"/>
        </w:rPr>
        <w:t>.</w:t>
      </w:r>
    </w:p>
    <w:p w14:paraId="52985E21" w14:textId="77777777" w:rsidR="00AB3115" w:rsidRPr="008B3AD6" w:rsidRDefault="00AB3115" w:rsidP="00AB3115">
      <w:pPr>
        <w:spacing w:line="360" w:lineRule="auto"/>
        <w:jc w:val="both"/>
        <w:rPr>
          <w:b/>
          <w:color w:val="000000" w:themeColor="text1"/>
        </w:rPr>
      </w:pPr>
    </w:p>
    <w:p w14:paraId="3A5FFDBE" w14:textId="77777777" w:rsidR="00AB3115" w:rsidRPr="008B3AD6" w:rsidRDefault="00AB3115" w:rsidP="00AB3115">
      <w:pPr>
        <w:pStyle w:val="Heading3"/>
        <w:rPr>
          <w:color w:val="000000" w:themeColor="text1"/>
        </w:rPr>
      </w:pPr>
      <w:bookmarkStart w:id="22" w:name="_Toc3716044"/>
      <w:r w:rsidRPr="008B3AD6">
        <w:rPr>
          <w:color w:val="000000" w:themeColor="text1"/>
        </w:rPr>
        <w:t>Parasite Life Cycle</w:t>
      </w:r>
      <w:bookmarkEnd w:id="22"/>
    </w:p>
    <w:p w14:paraId="0F962F21" w14:textId="1AA4A7F2" w:rsidR="00AB3115" w:rsidRPr="008B3AD6" w:rsidRDefault="00530060" w:rsidP="00AB3115">
      <w:pPr>
        <w:spacing w:line="360" w:lineRule="auto"/>
        <w:jc w:val="both"/>
        <w:rPr>
          <w:color w:val="000000" w:themeColor="text1"/>
        </w:rPr>
      </w:pPr>
      <w:r w:rsidRPr="008B3AD6">
        <w:rPr>
          <w:color w:val="000000" w:themeColor="text1"/>
        </w:rPr>
        <w:t xml:space="preserve">The two main life cycle stages associated with the </w:t>
      </w:r>
      <w:r w:rsidRPr="008B3AD6">
        <w:rPr>
          <w:i/>
          <w:color w:val="000000" w:themeColor="text1"/>
        </w:rPr>
        <w:t xml:space="preserve">Leishmania </w:t>
      </w:r>
      <w:r w:rsidRPr="008B3AD6">
        <w:rPr>
          <w:color w:val="000000" w:themeColor="text1"/>
        </w:rPr>
        <w:t xml:space="preserve">digenetic life-cycle and leishmaniasis infection are the promastigote and amastigote forms. It should be noted that at least </w:t>
      </w:r>
      <w:r w:rsidR="003C0805">
        <w:rPr>
          <w:color w:val="000000" w:themeColor="text1"/>
        </w:rPr>
        <w:t>five</w:t>
      </w:r>
      <w:r w:rsidR="003C0805" w:rsidRPr="008B3AD6">
        <w:rPr>
          <w:color w:val="000000" w:themeColor="text1"/>
        </w:rPr>
        <w:t xml:space="preserve"> </w:t>
      </w:r>
      <w:r w:rsidRPr="008B3AD6">
        <w:rPr>
          <w:color w:val="000000" w:themeColor="text1"/>
        </w:rPr>
        <w:t xml:space="preserve">developmental forms of promastigote have been defined in the sand fly vector (procyclic, nectomonad, leptomonad, metacyclic and retoleptomonad) </w:t>
      </w:r>
      <w:r w:rsidRPr="008B3AD6">
        <w:rPr>
          <w:color w:val="000000" w:themeColor="text1"/>
        </w:rPr>
        <w:fldChar w:fldCharType="begin"/>
      </w:r>
      <w:r w:rsidR="00025067">
        <w:rPr>
          <w:color w:val="000000" w:themeColor="text1"/>
        </w:rPr>
        <w:instrText xml:space="preserve"> ADDIN ZOTERO_ITEM CSL_CITATION {"citationID":"XyjV1OXP","properties":{"formattedCitation":"(Bates 2018; Serafim et al. 2018)","plainCitation":"(Bates 2018; Serafim et al. 2018)","noteIndex":0},"citationItems":[{"id":2919,"uris":["http://zotero.org/users/2628971/items/N29UREC4"],"uri":["http://zotero.org/users/2628971/items/N29UREC4"],"itemData":{"id":2919,"type":"article-journal","title":"Revising Leishmania ’s life cycle","container-title":"Nature Microbiology","page":"529-530","volume":"3","issue":"5","source":"www.nature.com","abstract":"A study of blood-feeding female sand flies has shown how successive blood meals amplify Leishmania infections in the vector’s gut and enhance transmission of the tropical disease leishmaniasis.","DOI":"10.1038/s41564-018-0154-2","ISSN":"2058-5276","language":"en","author":[{"family":"Bates","given":"Paul A."}],"issued":{"date-parts":[["2018",5]]}}},{"id":3745,"uris":["http://zotero.org/users/2628971/items/G7SI3EHH"],"uri":["http://zotero.org/users/2628971/items/G7SI3EHH"],"itemData":{"id":3745,"type":"article-journal","title":"Sequential blood meals promote Leishmania replication and reverse metacyclogenesis augmenting vector infectivity","container-title":"Nature Microbiology","page":"548-555","volume":"3","issue":"5","source":"www.nature.com","abstract":"Sand flies acquire Leishmania during blood meals. Subsequent blood meals, even from uninfected hosts, trigger dedifferentiation of non-replicating metacyclic promastigotes to a replicative form, termed the retroleptomonad promastigote, which amplifies parasite numbers in the flies.","DOI":"10.1038/s41564-018-0125-7","ISSN":"2058-5276","language":"en","author":[{"family":"Serafim","given":"Tiago D."},{"family":"Coutinho-Abreu","given":"Iliano V."},{"family":"Oliveira","given":"Fabiano"},{"family":"Meneses","given":"Claudio"},{"family":"Kamhawi","given":"Shaden"},{"family":"Valenzuela","given":"Jesus G."}],"issued":{"date-parts":[["2018",5]]}}}],"schema":"https://github.com/citation-style-language/schema/raw/master/csl-citation.json"} </w:instrText>
      </w:r>
      <w:r w:rsidRPr="008B3AD6">
        <w:rPr>
          <w:color w:val="000000" w:themeColor="text1"/>
        </w:rPr>
        <w:fldChar w:fldCharType="separate"/>
      </w:r>
      <w:r w:rsidR="00025067" w:rsidRPr="00025067">
        <w:rPr>
          <w:color w:val="000000"/>
          <w:lang w:val="en-US"/>
        </w:rPr>
        <w:t>(Bates 2018; Serafim et al. 2018)</w:t>
      </w:r>
      <w:r w:rsidRPr="008B3AD6">
        <w:rPr>
          <w:color w:val="000000" w:themeColor="text1"/>
        </w:rPr>
        <w:fldChar w:fldCharType="end"/>
      </w:r>
      <w:r w:rsidRPr="008B3AD6">
        <w:rPr>
          <w:color w:val="000000" w:themeColor="text1"/>
        </w:rPr>
        <w:t xml:space="preserve">. Sand flies bite to obtain a blood meal and in doing so deposit ‘infective’ metacyclic promastigotes into the blood pool formed by capillary rupture </w:t>
      </w:r>
      <w:r w:rsidRPr="008B3AD6">
        <w:rPr>
          <w:color w:val="000000" w:themeColor="text1"/>
        </w:rPr>
        <w:fldChar w:fldCharType="begin"/>
      </w:r>
      <w:r w:rsidRPr="008B3AD6">
        <w:rPr>
          <w:color w:val="000000" w:themeColor="text1"/>
        </w:rPr>
        <w:instrText xml:space="preserve"> ADDIN ZOTERO_ITEM CSL_CITATION {"citationID":"MCUt0KmR","properties":{"formattedCitation":"(Sunter and Gull 2017)","plainCitation":"(Sunter and Gull 2017)","noteIndex":0},"citationItems":[{"id":2910,"uris":["http://zotero.org/users/2628971/items/G9D6TTYX"],"uri":["http://zotero.org/users/2628971/items/G9D6TTYX"],"itemData":{"id":2910,"type":"article-journal","title":"Shape, form, function and Leishmania pathogenicity: from textbook descriptions to biological understanding","container-title":"Open Biology","volume":"7","issue":"9","source":"PubMed Central","abstract":"The shape and form of protozoan parasites are inextricably linked to their pathogenicity. The evolutionary pressure associated with establishing and maintaining an infection and transmission to vector or host has shaped parasite morphology. However, there is not a ‘one size fits all’ morphological solution to these different pressures, and parasites exhibit a range of different morphologies, reflecting the diversity of their complex life cycles. In this review, we will focus on the shape and form of Leishmania spp., a group of very successful protozoan parasites that cause a range of diseases from self-healing cutaneous leishmaniasis to visceral leishmaniasis, which is fatal if left untreated.","URL":"https://www.ncbi.nlm.nih.gov/pmc/articles/PMC5627057/","DOI":"10.1098/rsob.170165","ISSN":"2046-2441","note":"PMID: 28903998\nPMCID: PMC5627057","shortTitle":"Shape, form, function and Leishmania pathogenicity","journalAbbreviation":"Open Biol","author":[{"family":"Sunter","given":"Jack"},{"family":"Gull","given":"Keith"}],"issued":{"date-parts":[["2017",9,13]]},"accessed":{"date-parts":[["2018",7,28]]}}}],"schema":"https://github.com/citation-style-language/schema/raw/master/csl-citation.json"} </w:instrText>
      </w:r>
      <w:r w:rsidRPr="008B3AD6">
        <w:rPr>
          <w:color w:val="000000" w:themeColor="text1"/>
        </w:rPr>
        <w:fldChar w:fldCharType="separate"/>
      </w:r>
      <w:r w:rsidR="00025067">
        <w:rPr>
          <w:color w:val="000000" w:themeColor="text1"/>
        </w:rPr>
        <w:t>(Sunter and Gull 2017)</w:t>
      </w:r>
      <w:r w:rsidRPr="008B3AD6">
        <w:rPr>
          <w:color w:val="000000" w:themeColor="text1"/>
        </w:rPr>
        <w:fldChar w:fldCharType="end"/>
      </w:r>
      <w:r w:rsidRPr="008B3AD6">
        <w:rPr>
          <w:color w:val="000000" w:themeColor="text1"/>
        </w:rPr>
        <w:t xml:space="preserve">. These metacyclics are morphologically characterised as having an elongated ovoid cell body with an anterior flagellum that enables motility </w:t>
      </w:r>
      <w:r w:rsidRPr="008B3AD6">
        <w:rPr>
          <w:color w:val="000000" w:themeColor="text1"/>
        </w:rPr>
        <w:fldChar w:fldCharType="begin"/>
      </w:r>
      <w:r w:rsidRPr="008B3AD6">
        <w:rPr>
          <w:color w:val="000000" w:themeColor="text1"/>
        </w:rPr>
        <w:instrText xml:space="preserve"> ADDIN ZOTERO_ITEM CSL_CITATION {"citationID":"Ovw8Viq6","properties":{"formattedCitation":"(Wheeler, Gluenz, and Gull 2013)","plainCitation":"(Wheeler, Gluenz, and Gull 2013)","noteIndex":0},"citationItems":[{"id":3069,"uris":["http://zotero.org/users/2628971/items/JBMG3MSE"],"uri":["http://zotero.org/users/2628971/items/JBMG3MSE"],"itemData":{"id":3069,"type":"article-journal","title":"The Limits on Trypanosomatid Morphological Diversity","container-title":"PLoS ONE","volume":"8","issue":"11","source":"PubMed Central","abstract":"Cell shape is one, often overlooked, way in which protozoan parasites have adapted to a variety of host and vector environments and directional transmissions between these environments. Consequently, different parasite life cycle stages have characteristic morphologies. Trypanosomatid parasites are an excellent example of this in which large morphological variations between species and life cycle stage occur, despite sharing well-conserved cytoskeletal and membranous structures. Here, using previously published reports in the literature of the morphology of 248 isolates of trypanosomatid species from different hosts, we perform a meta-analysis of the occurrence and limits on morphological diversity of different classes of trypanosomatid morphology (trypomastigote, promastigote, etc.) in the vertebrate bloodstream and invertebrate gut environments. We identified several limits on cell body length, cell body width and flagellum length diversity which can be interpreted as biomechanical limits on the capacity of the cell to attain particular dimensions. These limits differed for morphologies with and without a laterally attached flagellum which we suggest represent two morphological superclasses, the ‘juxtaform’ and ‘liberform’ superclasses. Further limits were identified consistent with a selective pressure from the mechanical properties of the vertebrate bloodstream environment; trypanosomatid size showed limits relative to host erythrocyte dimensions. This is the first comprehensive analysis of the limits of morphological diversity in any protozoan parasite, revealing the morphogenetic constraints and extrinsic selection pressures associated with the full diversity of trypanosomatid morphology.","URL":"https://www.ncbi.nlm.nih.gov/pmc/articles/PMC3834336/","DOI":"10.1371/journal.pone.0079581","ISSN":"1932-6203","note":"PMID: 24260255\nPMCID: PMC3834336","journalAbbreviation":"PLoS One","author":[{"family":"Wheeler","given":"Richard John"},{"family":"Gluenz","given":"Eva"},{"family":"Gull","given":"Keith"}],"issued":{"date-parts":[["2013",11,19]]},"accessed":{"date-parts":[["2018",8,2]]}}}],"schema":"https://github.com/citation-style-language/schema/raw/master/csl-citation.json"} </w:instrText>
      </w:r>
      <w:r w:rsidRPr="008B3AD6">
        <w:rPr>
          <w:color w:val="000000" w:themeColor="text1"/>
        </w:rPr>
        <w:fldChar w:fldCharType="separate"/>
      </w:r>
      <w:r w:rsidR="00025067">
        <w:rPr>
          <w:color w:val="000000" w:themeColor="text1"/>
        </w:rPr>
        <w:t>(Wheeler, Gluenz, and Gull 2013)</w:t>
      </w:r>
      <w:r w:rsidRPr="008B3AD6">
        <w:rPr>
          <w:color w:val="000000" w:themeColor="text1"/>
        </w:rPr>
        <w:fldChar w:fldCharType="end"/>
      </w:r>
      <w:r w:rsidRPr="008B3AD6">
        <w:rPr>
          <w:color w:val="000000" w:themeColor="text1"/>
        </w:rPr>
        <w:t>. Infection of host phagocytes results in metacyclics being initially found within the phagolysosomal compartments of host phagocytes.</w:t>
      </w:r>
      <w:r w:rsidR="00AB3115" w:rsidRPr="008B3AD6">
        <w:rPr>
          <w:color w:val="000000" w:themeColor="text1"/>
        </w:rPr>
        <w:t xml:space="preserve"> </w:t>
      </w:r>
    </w:p>
    <w:p w14:paraId="0F9AB4F2" w14:textId="77777777" w:rsidR="00AB3115" w:rsidRPr="008B3AD6" w:rsidRDefault="00AB3115" w:rsidP="00AB3115">
      <w:pPr>
        <w:spacing w:line="360" w:lineRule="auto"/>
        <w:jc w:val="both"/>
        <w:rPr>
          <w:color w:val="000000" w:themeColor="text1"/>
        </w:rPr>
      </w:pPr>
    </w:p>
    <w:p w14:paraId="3D1C64FB" w14:textId="19F9C89B" w:rsidR="00AB3115" w:rsidRPr="008B3AD6" w:rsidRDefault="00FC1BC3" w:rsidP="00AB3115">
      <w:pPr>
        <w:spacing w:line="360" w:lineRule="auto"/>
        <w:jc w:val="both"/>
        <w:rPr>
          <w:color w:val="000000" w:themeColor="text1"/>
        </w:rPr>
      </w:pPr>
      <w:r w:rsidRPr="008B3AD6">
        <w:rPr>
          <w:color w:val="000000" w:themeColor="text1"/>
        </w:rPr>
        <w:t xml:space="preserve">Environmental cues, such as temperature and pH, induce metacyclics to differentiate into amastigotes </w:t>
      </w:r>
      <w:r w:rsidRPr="008B3AD6">
        <w:rPr>
          <w:color w:val="000000" w:themeColor="text1"/>
        </w:rPr>
        <w:fldChar w:fldCharType="begin"/>
      </w:r>
      <w:r w:rsidRPr="008B3AD6">
        <w:rPr>
          <w:color w:val="000000" w:themeColor="text1"/>
        </w:rPr>
        <w:instrText xml:space="preserve"> ADDIN ZOTERO_ITEM CSL_CITATION {"citationID":"u5wTZatT","properties":{"formattedCitation":"(Chow et al. 2011)","plainCitation":"(Chow et al. 2011)","noteIndex":0},"citationItems":[{"id":2927,"uris":["http://zotero.org/users/2628971/items/VFRYC4BJ"],"uri":["http://zotero.org/users/2628971/items/VFRYC4BJ"],"itemData":{"id":2927,"type":"article-journal","title":"Promastigote to amastigote differentiation of Leishmania is markedly delayed in the absence of PERK eIF2alpha kinase-dependent eIF2alpha phosphorylation","container-title":"Cellular Microbiology","page":"1059-1077","volume":"13","issue":"7","source":"Wiley Online Library","abstract":"The parasitic protozoan Leishmania is the etiological agent of human leishmaniasis worldwide. It undergoes cellular differentiation from the sandfly promastigote form into amastigotes within mammalian macrophages, a process that is essential for its intracellular survival. Here, we characterized the Leishmania infantum PERK eIF2alpha kinase homologue and addressed its role in the parasite's cytodifferentiation. We show that Leishmania PERK is an endoplasmic reticulum (ER) transmembrane protein that largely colocalizes with the ER BiP chaperone. The Leishmania PERK catalytic kinase domain undergoes autohyperphosphorylation and phosphorylates the translation initiation factor 2-alpha subunit (eIF2alpha) in vitro at threonine 166. We also report that PERK is post-translationally regulated specifically in the intracellular stage of the parasite or under ER stress, most likely through extensive autohyperphosphorylation. We have generated a PERK dominant negative mutant overexpressing a truncated PERK protein lacking the N-terminal luminal domain and showed that this mutant is impaired in eIF2alpha phosphorylation in response to ER stress or during amastigote differentiation. Most importantly, we showed that lack of eIF2alpha phosphorylation markedly delays the Leishmania differentiation process towards amastigote forms both in parasites grown axenically or within macrophages. These data highlight the importance of PERK eIF2alpha kinase-dependent eIF2alpha phosphorylation in the intracellular development of Leishmania.","DOI":"10.1111/j.1462-5822.2011.01602.x","ISSN":"1462-5822","language":"en","author":[{"family":"Chow","given":"Conan"},{"family":"Cloutier","given":"Serge"},{"family":"Dumas","given":"Carole"},{"family":"Chou","given":"Marie-Noelle"},{"family":"Papadopoulou","given":"Barbara"}],"issued":{"date-parts":[["2011"]]}}}],"schema":"https://github.com/citation-style-language/schema/raw/master/csl-citation.json"} </w:instrText>
      </w:r>
      <w:r w:rsidRPr="008B3AD6">
        <w:rPr>
          <w:color w:val="000000" w:themeColor="text1"/>
        </w:rPr>
        <w:fldChar w:fldCharType="separate"/>
      </w:r>
      <w:r w:rsidR="00025067">
        <w:rPr>
          <w:color w:val="000000" w:themeColor="text1"/>
        </w:rPr>
        <w:t>(Chow et al. 2011)</w:t>
      </w:r>
      <w:r w:rsidRPr="008B3AD6">
        <w:rPr>
          <w:color w:val="000000" w:themeColor="text1"/>
        </w:rPr>
        <w:fldChar w:fldCharType="end"/>
      </w:r>
      <w:r w:rsidRPr="008B3AD6">
        <w:rPr>
          <w:color w:val="000000" w:themeColor="text1"/>
        </w:rPr>
        <w:t xml:space="preserve">.  This intracellular form has a characteristic rounded ovoid </w:t>
      </w:r>
      <w:r w:rsidRPr="008B3AD6">
        <w:rPr>
          <w:color w:val="000000" w:themeColor="text1"/>
        </w:rPr>
        <w:lastRenderedPageBreak/>
        <w:t xml:space="preserve">shape and whilst it retains its anterior flagellar pocket, no exterior flagellum is seen </w:t>
      </w:r>
      <w:r w:rsidRPr="008B3AD6">
        <w:rPr>
          <w:color w:val="000000" w:themeColor="text1"/>
        </w:rPr>
        <w:fldChar w:fldCharType="begin"/>
      </w:r>
      <w:r w:rsidRPr="008B3AD6">
        <w:rPr>
          <w:color w:val="000000" w:themeColor="text1"/>
        </w:rPr>
        <w:instrText xml:space="preserve"> ADDIN ZOTERO_ITEM CSL_CITATION {"citationID":"1jV1jhqn","properties":{"formattedCitation":"(Wheeler, Gluenz, and Gull 2013)","plainCitation":"(Wheeler, Gluenz, and Gull 2013)","noteIndex":0},"citationItems":[{"id":3069,"uris":["http://zotero.org/users/2628971/items/JBMG3MSE"],"uri":["http://zotero.org/users/2628971/items/JBMG3MSE"],"itemData":{"id":3069,"type":"article-journal","title":"The Limits on Trypanosomatid Morphological Diversity","container-title":"PLoS ONE","volume":"8","issue":"11","source":"PubMed Central","abstract":"Cell shape is one, often overlooked, way in which protozoan parasites have adapted to a variety of host and vector environments and directional transmissions between these environments. Consequently, different parasite life cycle stages have characteristic morphologies. Trypanosomatid parasites are an excellent example of this in which large morphological variations between species and life cycle stage occur, despite sharing well-conserved cytoskeletal and membranous structures. Here, using previously published reports in the literature of the morphology of 248 isolates of trypanosomatid species from different hosts, we perform a meta-analysis of the occurrence and limits on morphological diversity of different classes of trypanosomatid morphology (trypomastigote, promastigote, etc.) in the vertebrate bloodstream and invertebrate gut environments. We identified several limits on cell body length, cell body width and flagellum length diversity which can be interpreted as biomechanical limits on the capacity of the cell to attain particular dimensions. These limits differed for morphologies with and without a laterally attached flagellum which we suggest represent two morphological superclasses, the ‘juxtaform’ and ‘liberform’ superclasses. Further limits were identified consistent with a selective pressure from the mechanical properties of the vertebrate bloodstream environment; trypanosomatid size showed limits relative to host erythrocyte dimensions. This is the first comprehensive analysis of the limits of morphological diversity in any protozoan parasite, revealing the morphogenetic constraints and extrinsic selection pressures associated with the full diversity of trypanosomatid morphology.","URL":"https://www.ncbi.nlm.nih.gov/pmc/articles/PMC3834336/","DOI":"10.1371/journal.pone.0079581","ISSN":"1932-6203","note":"PMID: 24260255\nPMCID: PMC3834336","journalAbbreviation":"PLoS One","author":[{"family":"Wheeler","given":"Richard John"},{"family":"Gluenz","given":"Eva"},{"family":"Gull","given":"Keith"}],"issued":{"date-parts":[["2013",11,19]]},"accessed":{"date-parts":[["2018",8,2]]}}}],"schema":"https://github.com/citation-style-language/schema/raw/master/csl-citation.json"} </w:instrText>
      </w:r>
      <w:r w:rsidRPr="008B3AD6">
        <w:rPr>
          <w:color w:val="000000" w:themeColor="text1"/>
        </w:rPr>
        <w:fldChar w:fldCharType="separate"/>
      </w:r>
      <w:r w:rsidR="00025067">
        <w:rPr>
          <w:color w:val="000000" w:themeColor="text1"/>
        </w:rPr>
        <w:t>(Wheeler, Gluenz, and Gull 2013)</w:t>
      </w:r>
      <w:r w:rsidRPr="008B3AD6">
        <w:rPr>
          <w:color w:val="000000" w:themeColor="text1"/>
        </w:rPr>
        <w:fldChar w:fldCharType="end"/>
      </w:r>
      <w:r w:rsidRPr="008B3AD6">
        <w:rPr>
          <w:color w:val="000000" w:themeColor="text1"/>
        </w:rPr>
        <w:t xml:space="preserve">. The amastigote form is also considered to be the only replicative form in the mammalian host and once localised to the intracellular environment amastigote proliferation occurs. It is thought that once amastigotes reach a certain threshold number, the host cell bursts releasing the amastigotes to infect neighbouring cells </w:t>
      </w:r>
      <w:r w:rsidRPr="008B3AD6">
        <w:rPr>
          <w:color w:val="000000" w:themeColor="text1"/>
        </w:rPr>
        <w:fldChar w:fldCharType="begin"/>
      </w:r>
      <w:r w:rsidRPr="008B3AD6">
        <w:rPr>
          <w:color w:val="000000" w:themeColor="text1"/>
        </w:rPr>
        <w:instrText xml:space="preserve"> ADDIN ZOTERO_ITEM CSL_CITATION {"citationID":"UJQqWB09","properties":{"formattedCitation":"(Steverding 2017)","plainCitation":"(Steverding 2017)","noteIndex":0},"citationItems":[{"id":2865,"uris":["http://zotero.org/users/2628971/items/K2WWXN6T"],"uri":["http://zotero.org/users/2628971/items/K2WWXN6T"],"itemData":{"id":2865,"type":"article-journal","title":"The history of leishmaniasis","container-title":"Parasites &amp; Vectors","page":"82","volume":"10","issue":"1","source":"BioMed Central","abstract":"In this review article the history of leishmaniasis is discussed regarding the origin of the genus Leishmania in the Mesozoic era and its subsequent geographical distribution, initial evidence of the disease in ancient times, first accounts of the infection in the Middle Ages, and the discovery of Leishmania parasites as causative agents of leishmaniasis in modern times. With respect to the origin and dispersal of Leishmania parasites, the three currently debated hypotheses (Palaearctic, Neotropical and supercontinental origin, respectively) are presented. Ancient documents and paleoparasitological data indicate that leishmaniasis was already widespread in antiquity. Identification of Leishmania parasites as etiological agents and sand flies as the transmission vectors of leishmaniasis started at the beginning of the 20th century and the discovery of new Leishmania and sand fly species continued well into the 21st century. Lately, the Syrian civil war and refugee crises have shown that leishmaniasis epidemics can happen any time in conflict areas and neighbouring regions where the disease was previously endemic.","DOI":"10.1186/s13071-017-2028-5","ISSN":"1756-3305","journalAbbreviation":"Parasites &amp; Vectors","author":[{"family":"Steverding","given":"Dietmar"}],"issued":{"date-parts":[["2017",2,15]]}}}],"schema":"https://github.com/citation-style-language/schema/raw/master/csl-citation.json"} </w:instrText>
      </w:r>
      <w:r w:rsidRPr="008B3AD6">
        <w:rPr>
          <w:color w:val="000000" w:themeColor="text1"/>
        </w:rPr>
        <w:fldChar w:fldCharType="separate"/>
      </w:r>
      <w:r w:rsidR="00025067">
        <w:rPr>
          <w:color w:val="000000" w:themeColor="text1"/>
        </w:rPr>
        <w:t>(Steverding 2017)</w:t>
      </w:r>
      <w:r w:rsidRPr="008B3AD6">
        <w:rPr>
          <w:color w:val="000000" w:themeColor="text1"/>
        </w:rPr>
        <w:fldChar w:fldCharType="end"/>
      </w:r>
      <w:r w:rsidRPr="008B3AD6">
        <w:rPr>
          <w:color w:val="000000" w:themeColor="text1"/>
        </w:rPr>
        <w:t xml:space="preserve">. However an alternative theory is that amastigotes egress out of their host cells instead of bursting through them </w:t>
      </w:r>
      <w:r w:rsidRPr="008B3AD6">
        <w:rPr>
          <w:color w:val="000000" w:themeColor="text1"/>
        </w:rPr>
        <w:fldChar w:fldCharType="begin"/>
      </w:r>
      <w:r w:rsidRPr="008B3AD6">
        <w:rPr>
          <w:color w:val="000000" w:themeColor="text1"/>
        </w:rPr>
        <w:instrText xml:space="preserve"> ADDIN ZOTERO_ITEM CSL_CITATION {"citationID":"HMF8NP6n","properties":{"formattedCitation":"(Forestier et al. 2011)","plainCitation":"(Forestier et al. 2011)","noteIndex":0},"citationItems":[{"id":3105,"uris":["http://zotero.org/users/2628971/items/YW6VM4CP"],"uri":["http://zotero.org/users/2628971/items/YW6VM4CP"],"itemData":{"id":3105,"type":"article-journal","title":"Imaging Host Cell-Leishmania Interaction Dynamics Implicates Parasite Motility, Lysosome Recruitment, and Host Cell Wounding in the Infection Process","container-title":"Cell Host &amp; Microbe","page":"319-330","volume":"9","issue":"4","source":"ScienceDirect","abstract":"Summary\nLeishmania donovani causes human visceral leishmaniasis. The parasite infectious cycle comprises extracellular flagellated promastigotes that proliferate inside the insect vector, and intracellular nonmotile amastigotes that multiply within infected host cells. Using primary macrophages infected with virulent metacyclic promastigotes and high spatiotemporal resolution microscopy, we dissect the dynamics of the early infection process. We find that motile promastigotes enter macrophages in a polarized manner through their flagellar tip and are engulfed into host lysosomal compartments. Persistent intracellular flagellar activity leads to reorientation of the parasite flagellum toward the host cell periphery and results in oscillatory parasite movement. The latter is associated with local lysosomal exocytosis and host cell plasma membrane wounding. These findings implicate lysosome recruitment followed by lysosome exocytosis, consistent with parasite-driven host cell injury, as key cellular events in Leishmania host cell infection. This work highlights the role of promastigote polarity and motility during parasite entry.","DOI":"10.1016/j.chom.2011.03.011","ISSN":"1931-3128","journalAbbreviation":"Cell Host &amp; Microbe","author":[{"family":"Forestier","given":"Claire-Lise"},{"family":"Machu","given":"Christophe"},{"family":"Loussert","given":"Celine"},{"family":"Pescher","given":"Pascale"},{"family":"Späth","given":"Gerald F."}],"issued":{"date-parts":[["2011",4,21]]}},"locator":"-"}],"schema":"https://github.com/citation-style-language/schema/raw/master/csl-citation.json"} </w:instrText>
      </w:r>
      <w:r w:rsidRPr="008B3AD6">
        <w:rPr>
          <w:color w:val="000000" w:themeColor="text1"/>
        </w:rPr>
        <w:fldChar w:fldCharType="separate"/>
      </w:r>
      <w:r w:rsidR="00025067">
        <w:rPr>
          <w:color w:val="000000" w:themeColor="text1"/>
        </w:rPr>
        <w:t>(Forestier et al. 2011)</w:t>
      </w:r>
      <w:r w:rsidRPr="008B3AD6">
        <w:rPr>
          <w:color w:val="000000" w:themeColor="text1"/>
        </w:rPr>
        <w:fldChar w:fldCharType="end"/>
      </w:r>
      <w:r w:rsidRPr="008B3AD6">
        <w:rPr>
          <w:color w:val="000000" w:themeColor="text1"/>
        </w:rPr>
        <w:t xml:space="preserve">. Either would result in the expansion of the number of </w:t>
      </w:r>
      <w:r w:rsidRPr="008B3AD6">
        <w:rPr>
          <w:i/>
          <w:color w:val="000000" w:themeColor="text1"/>
        </w:rPr>
        <w:t>Leishmania</w:t>
      </w:r>
      <w:r w:rsidRPr="008B3AD6">
        <w:rPr>
          <w:color w:val="000000" w:themeColor="text1"/>
        </w:rPr>
        <w:t xml:space="preserve"> infected cells and the potential for dissemination through the host. Sand flies feeding upon infected hosts can consume cells containing amastigotes. Once in the digestive system of the sand fly, amastigote to promastigote differentiation occurs, though the details of this process are unclear.</w:t>
      </w:r>
      <w:r w:rsidR="000832A5" w:rsidRPr="008B3AD6">
        <w:rPr>
          <w:color w:val="000000" w:themeColor="text1"/>
        </w:rPr>
        <w:t xml:space="preserve"> A simplified </w:t>
      </w:r>
      <w:r w:rsidR="00CD3F99">
        <w:rPr>
          <w:noProof/>
          <w:color w:val="000000" w:themeColor="text1"/>
        </w:rPr>
        <w:drawing>
          <wp:anchor distT="0" distB="0" distL="114300" distR="114300" simplePos="0" relativeHeight="251948032" behindDoc="0" locked="0" layoutInCell="1" allowOverlap="1" wp14:anchorId="43AE02B7" wp14:editId="22F25B0A">
            <wp:simplePos x="0" y="0"/>
            <wp:positionH relativeFrom="column">
              <wp:posOffset>-208432</wp:posOffset>
            </wp:positionH>
            <wp:positionV relativeFrom="paragraph">
              <wp:posOffset>3326130</wp:posOffset>
            </wp:positionV>
            <wp:extent cx="6032229" cy="2907951"/>
            <wp:effectExtent l="0" t="0" r="635" b="635"/>
            <wp:wrapTopAndBottom/>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Picture 147"/>
                    <pic:cNvPicPr>
                      <a:picLocks noChangeAspect="1"/>
                    </pic:cNvPicPr>
                  </pic:nvPicPr>
                  <pic:blipFill>
                    <a:blip r:embed="rId20" cstate="print">
                      <a:extLst>
                        <a:ext uri="{28A0092B-C50C-407E-A947-70E740481C1C}">
                          <a14:useLocalDpi xmlns:a14="http://schemas.microsoft.com/office/drawing/2010/main" val="0"/>
                        </a:ext>
                      </a:extLst>
                    </a:blip>
                    <a:stretch>
                      <a:fillRect/>
                    </a:stretch>
                  </pic:blipFill>
                  <pic:spPr>
                    <a:xfrm>
                      <a:off x="0" y="0"/>
                      <a:ext cx="6032229" cy="2907951"/>
                    </a:xfrm>
                    <a:prstGeom prst="rect">
                      <a:avLst/>
                    </a:prstGeom>
                  </pic:spPr>
                </pic:pic>
              </a:graphicData>
            </a:graphic>
          </wp:anchor>
        </w:drawing>
      </w:r>
      <w:r w:rsidR="00CD3F99">
        <w:rPr>
          <w:noProof/>
          <w:color w:val="000000" w:themeColor="text1"/>
        </w:rPr>
        <mc:AlternateContent>
          <mc:Choice Requires="wps">
            <w:drawing>
              <wp:anchor distT="0" distB="0" distL="114300" distR="114300" simplePos="0" relativeHeight="251949056" behindDoc="0" locked="0" layoutInCell="1" allowOverlap="1" wp14:anchorId="0A435E20" wp14:editId="469B6420">
                <wp:simplePos x="0" y="0"/>
                <wp:positionH relativeFrom="column">
                  <wp:posOffset>-251460</wp:posOffset>
                </wp:positionH>
                <wp:positionV relativeFrom="paragraph">
                  <wp:posOffset>6264688</wp:posOffset>
                </wp:positionV>
                <wp:extent cx="6088380" cy="607917"/>
                <wp:effectExtent l="0" t="0" r="0" b="1905"/>
                <wp:wrapTopAndBottom/>
                <wp:docPr id="148" name="Text Box 148"/>
                <wp:cNvGraphicFramePr/>
                <a:graphic xmlns:a="http://schemas.openxmlformats.org/drawingml/2006/main">
                  <a:graphicData uri="http://schemas.microsoft.com/office/word/2010/wordprocessingShape">
                    <wps:wsp>
                      <wps:cNvSpPr txBox="1"/>
                      <wps:spPr>
                        <a:xfrm>
                          <a:off x="0" y="0"/>
                          <a:ext cx="6088380" cy="607917"/>
                        </a:xfrm>
                        <a:prstGeom prst="rect">
                          <a:avLst/>
                        </a:prstGeom>
                        <a:solidFill>
                          <a:prstClr val="white"/>
                        </a:solidFill>
                        <a:ln>
                          <a:noFill/>
                        </a:ln>
                      </wps:spPr>
                      <wps:txbx>
                        <w:txbxContent>
                          <w:p w14:paraId="19E86974" w14:textId="7E2CCB14" w:rsidR="00F61130" w:rsidRPr="005B3F61" w:rsidRDefault="00F61130" w:rsidP="00EA2579">
                            <w:pPr>
                              <w:pStyle w:val="Caption"/>
                              <w:spacing w:line="360" w:lineRule="auto"/>
                              <w:jc w:val="both"/>
                              <w:rPr>
                                <w:sz w:val="20"/>
                                <w:szCs w:val="20"/>
                              </w:rPr>
                            </w:pPr>
                            <w:bookmarkStart w:id="23" w:name="_Ref523921060"/>
                            <w:bookmarkStart w:id="24" w:name="_Toc525227182"/>
                            <w:bookmarkStart w:id="25" w:name="_Toc536814121"/>
                            <w:r w:rsidRPr="005B3F61">
                              <w:rPr>
                                <w:b/>
                                <w:sz w:val="20"/>
                                <w:szCs w:val="20"/>
                              </w:rPr>
                              <w:t xml:space="preserve">Figure </w:t>
                            </w:r>
                            <w:r>
                              <w:rPr>
                                <w:b/>
                                <w:sz w:val="20"/>
                                <w:szCs w:val="20"/>
                              </w:rPr>
                              <w:fldChar w:fldCharType="begin"/>
                            </w:r>
                            <w:r>
                              <w:rPr>
                                <w:b/>
                                <w:sz w:val="20"/>
                                <w:szCs w:val="20"/>
                              </w:rPr>
                              <w:instrText xml:space="preserve"> STYLEREF 1 \s </w:instrText>
                            </w:r>
                            <w:r>
                              <w:rPr>
                                <w:b/>
                                <w:sz w:val="20"/>
                                <w:szCs w:val="20"/>
                              </w:rPr>
                              <w:fldChar w:fldCharType="separate"/>
                            </w:r>
                            <w:r>
                              <w:rPr>
                                <w:b/>
                                <w:noProof/>
                                <w:sz w:val="20"/>
                                <w:szCs w:val="20"/>
                              </w:rPr>
                              <w:t>1</w:t>
                            </w:r>
                            <w:r>
                              <w:rPr>
                                <w:b/>
                                <w:sz w:val="20"/>
                                <w:szCs w:val="20"/>
                              </w:rPr>
                              <w:fldChar w:fldCharType="end"/>
                            </w:r>
                            <w:r>
                              <w:rPr>
                                <w:b/>
                                <w:sz w:val="20"/>
                                <w:szCs w:val="20"/>
                              </w:rPr>
                              <w:t>.</w:t>
                            </w:r>
                            <w:r>
                              <w:rPr>
                                <w:b/>
                                <w:sz w:val="20"/>
                                <w:szCs w:val="20"/>
                              </w:rPr>
                              <w:fldChar w:fldCharType="begin"/>
                            </w:r>
                            <w:r>
                              <w:rPr>
                                <w:b/>
                                <w:sz w:val="20"/>
                                <w:szCs w:val="20"/>
                              </w:rPr>
                              <w:instrText xml:space="preserve"> SEQ Figure \* ARABIC \s 1 </w:instrText>
                            </w:r>
                            <w:r>
                              <w:rPr>
                                <w:b/>
                                <w:sz w:val="20"/>
                                <w:szCs w:val="20"/>
                              </w:rPr>
                              <w:fldChar w:fldCharType="separate"/>
                            </w:r>
                            <w:r>
                              <w:rPr>
                                <w:b/>
                                <w:noProof/>
                                <w:sz w:val="20"/>
                                <w:szCs w:val="20"/>
                              </w:rPr>
                              <w:t>2</w:t>
                            </w:r>
                            <w:r>
                              <w:rPr>
                                <w:b/>
                                <w:sz w:val="20"/>
                                <w:szCs w:val="20"/>
                              </w:rPr>
                              <w:fldChar w:fldCharType="end"/>
                            </w:r>
                            <w:bookmarkEnd w:id="23"/>
                            <w:r w:rsidRPr="005B3F61">
                              <w:rPr>
                                <w:b/>
                                <w:sz w:val="20"/>
                                <w:szCs w:val="20"/>
                              </w:rPr>
                              <w:t xml:space="preserve"> - Transmission and Life Cycle of </w:t>
                            </w:r>
                            <w:r w:rsidRPr="005B3F61">
                              <w:rPr>
                                <w:b/>
                                <w:i/>
                                <w:sz w:val="20"/>
                                <w:szCs w:val="20"/>
                              </w:rPr>
                              <w:t>Leishmania</w:t>
                            </w:r>
                            <w:r w:rsidRPr="005B3F61">
                              <w:rPr>
                                <w:b/>
                                <w:sz w:val="20"/>
                                <w:szCs w:val="20"/>
                              </w:rPr>
                              <w:t xml:space="preserve"> spp. </w:t>
                            </w:r>
                            <w:r w:rsidRPr="005B3F61">
                              <w:rPr>
                                <w:sz w:val="20"/>
                                <w:szCs w:val="20"/>
                              </w:rPr>
                              <w:t xml:space="preserve">A simplified representation of the transmission and life cycle of </w:t>
                            </w:r>
                            <w:r w:rsidRPr="005B3F61">
                              <w:rPr>
                                <w:i/>
                                <w:sz w:val="20"/>
                                <w:szCs w:val="20"/>
                              </w:rPr>
                              <w:t>Leishmania</w:t>
                            </w:r>
                            <w:r w:rsidRPr="005B3F61">
                              <w:rPr>
                                <w:sz w:val="20"/>
                                <w:szCs w:val="20"/>
                              </w:rPr>
                              <w:t xml:space="preserve"> parasites. Sandfly specific stages are shown within the blue area, host specific activities are within the red area.</w:t>
                            </w:r>
                            <w:bookmarkEnd w:id="24"/>
                            <w:bookmarkEnd w:id="25"/>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0A435E20" id="Text Box 148" o:spid="_x0000_s1027" type="#_x0000_t202" style="position:absolute;left:0;text-align:left;margin-left:-19.8pt;margin-top:493.3pt;width:479.4pt;height:47.85pt;z-index:2519490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MvzgMAIAAGsEAAAOAAAAZHJzL2Uyb0RvYy54bWysVE1v2zAMvQ/YfxB0X+x0Q5oacYosRYYB&#13;&#10;QVsgGXpWZCkWIImapMTOfv0of6Rbt9Owi0yRFKX3HunFfWs0OQsfFNiSTic5JcJyqJQ9lvTbfvNh&#13;&#10;TkmIzFZMgxUlvYhA75fv3y0aV4gbqEFXwhMsYkPRuJLWMboiywKvhWFhAk5YDErwhkXc+mNWedZg&#13;&#10;daOzmzyfZQ34ynngIgT0PvRBuuzqSyl4fJIyiEh0SfFtsVt9tx7Smi0XrDh65mrFh2ewf3iFYcri&#13;&#10;pddSDywycvLqj1JGcQ8BZJxwMBlIqbjoMCCaaf4Gza5mTnRYkJzgrjSF/1eWP56fPVEVavcJpbLM&#13;&#10;oEh70UbyGVqSfMhQ40KBiTuHqbHFAGaP/oDOBLyV3qQvQiIYR64vV35TOY7OWT6ff5xjiGNslt/e&#13;&#10;TW9Tmez1tPMhfhFgSDJK6lG/jlZ23obYp44p6bIAWlUbpXXapMBae3JmqHVTqyiG4r9laZtyLaRT&#13;&#10;fcHkyRLEHkqyYntoe1JGmAeoLojeQ99BwfGNwvu2LMRn5rFlEBWOQXzCRWpoSgqDRUkN/sff/Ckf&#13;&#10;lcQoJQ22YEnD9xPzghL91aLGqV9Hw4/GYTTsyawBkU5xwBzvTDzgox5N6cG84HSs0i0YYpbjXSWN&#13;&#10;o7mO/SDgdHGxWnVJ2JWOxa3dOZ5Kj7zu2xfm3aBKRD0fYWxOVrwRp8/tWV6dIkjVKZd47Vkc6MaO&#13;&#10;7rQfpi+NzK/7Luv1H7H8CQAA//8DAFBLAwQUAAYACAAAACEALnePuuUAAAARAQAADwAAAGRycy9k&#13;&#10;b3ducmV2LnhtbEyPQW+DMAyF75P2HyJP2mVqQ6mEgBKqrWy37dCu6jklKaASByWh0H8/77RdLFv+&#13;&#10;/PxesZ1Nz27a+c6igNUyAqaxtqrDRsDx+2ORAvNBopK9RS3grj1sy8eHQubKTrjXt0NoGImgz6WA&#13;&#10;NoQh59zXrTbSL+2gkXYX64wMNLqGKycnEjc9j6Mo4UZ2SB9aOehdq+vrYTQCksqN0x53L9Xx/VN+&#13;&#10;DU18erufhHh+mqsNldcNsKDn8HcBvxnIP5Rk7GxHVJ71AhbrLCFUQJYm1BCRrbIY2JnQKI3XwMuC&#13;&#10;/09S/gAAAP//AwBQSwECLQAUAAYACAAAACEAtoM4kv4AAADhAQAAEwAAAAAAAAAAAAAAAAAAAAAA&#13;&#10;W0NvbnRlbnRfVHlwZXNdLnhtbFBLAQItABQABgAIAAAAIQA4/SH/1gAAAJQBAAALAAAAAAAAAAAA&#13;&#10;AAAAAC8BAABfcmVscy8ucmVsc1BLAQItABQABgAIAAAAIQDEMvzgMAIAAGsEAAAOAAAAAAAAAAAA&#13;&#10;AAAAAC4CAABkcnMvZTJvRG9jLnhtbFBLAQItABQABgAIAAAAIQAud4+65QAAABEBAAAPAAAAAAAA&#13;&#10;AAAAAAAAAIoEAABkcnMvZG93bnJldi54bWxQSwUGAAAAAAQABADzAAAAnAUAAAAA&#13;&#10;" stroked="f">
                <v:textbox inset="0,0,0,0">
                  <w:txbxContent>
                    <w:p w14:paraId="19E86974" w14:textId="7E2CCB14" w:rsidR="00F61130" w:rsidRPr="005B3F61" w:rsidRDefault="00F61130" w:rsidP="00EA2579">
                      <w:pPr>
                        <w:pStyle w:val="Caption"/>
                        <w:spacing w:line="360" w:lineRule="auto"/>
                        <w:jc w:val="both"/>
                        <w:rPr>
                          <w:sz w:val="20"/>
                          <w:szCs w:val="20"/>
                        </w:rPr>
                      </w:pPr>
                      <w:bookmarkStart w:id="26" w:name="_Ref523921060"/>
                      <w:bookmarkStart w:id="27" w:name="_Toc525227182"/>
                      <w:bookmarkStart w:id="28" w:name="_Toc536814121"/>
                      <w:r w:rsidRPr="005B3F61">
                        <w:rPr>
                          <w:b/>
                          <w:sz w:val="20"/>
                          <w:szCs w:val="20"/>
                        </w:rPr>
                        <w:t xml:space="preserve">Figure </w:t>
                      </w:r>
                      <w:r>
                        <w:rPr>
                          <w:b/>
                          <w:sz w:val="20"/>
                          <w:szCs w:val="20"/>
                        </w:rPr>
                        <w:fldChar w:fldCharType="begin"/>
                      </w:r>
                      <w:r>
                        <w:rPr>
                          <w:b/>
                          <w:sz w:val="20"/>
                          <w:szCs w:val="20"/>
                        </w:rPr>
                        <w:instrText xml:space="preserve"> STYLEREF 1 \s </w:instrText>
                      </w:r>
                      <w:r>
                        <w:rPr>
                          <w:b/>
                          <w:sz w:val="20"/>
                          <w:szCs w:val="20"/>
                        </w:rPr>
                        <w:fldChar w:fldCharType="separate"/>
                      </w:r>
                      <w:r>
                        <w:rPr>
                          <w:b/>
                          <w:noProof/>
                          <w:sz w:val="20"/>
                          <w:szCs w:val="20"/>
                        </w:rPr>
                        <w:t>1</w:t>
                      </w:r>
                      <w:r>
                        <w:rPr>
                          <w:b/>
                          <w:sz w:val="20"/>
                          <w:szCs w:val="20"/>
                        </w:rPr>
                        <w:fldChar w:fldCharType="end"/>
                      </w:r>
                      <w:r>
                        <w:rPr>
                          <w:b/>
                          <w:sz w:val="20"/>
                          <w:szCs w:val="20"/>
                        </w:rPr>
                        <w:t>.</w:t>
                      </w:r>
                      <w:r>
                        <w:rPr>
                          <w:b/>
                          <w:sz w:val="20"/>
                          <w:szCs w:val="20"/>
                        </w:rPr>
                        <w:fldChar w:fldCharType="begin"/>
                      </w:r>
                      <w:r>
                        <w:rPr>
                          <w:b/>
                          <w:sz w:val="20"/>
                          <w:szCs w:val="20"/>
                        </w:rPr>
                        <w:instrText xml:space="preserve"> SEQ Figure \* ARABIC \s 1 </w:instrText>
                      </w:r>
                      <w:r>
                        <w:rPr>
                          <w:b/>
                          <w:sz w:val="20"/>
                          <w:szCs w:val="20"/>
                        </w:rPr>
                        <w:fldChar w:fldCharType="separate"/>
                      </w:r>
                      <w:r>
                        <w:rPr>
                          <w:b/>
                          <w:noProof/>
                          <w:sz w:val="20"/>
                          <w:szCs w:val="20"/>
                        </w:rPr>
                        <w:t>2</w:t>
                      </w:r>
                      <w:r>
                        <w:rPr>
                          <w:b/>
                          <w:sz w:val="20"/>
                          <w:szCs w:val="20"/>
                        </w:rPr>
                        <w:fldChar w:fldCharType="end"/>
                      </w:r>
                      <w:bookmarkEnd w:id="26"/>
                      <w:r w:rsidRPr="005B3F61">
                        <w:rPr>
                          <w:b/>
                          <w:sz w:val="20"/>
                          <w:szCs w:val="20"/>
                        </w:rPr>
                        <w:t xml:space="preserve"> - Transmission and Life Cycle of </w:t>
                      </w:r>
                      <w:r w:rsidRPr="005B3F61">
                        <w:rPr>
                          <w:b/>
                          <w:i/>
                          <w:sz w:val="20"/>
                          <w:szCs w:val="20"/>
                        </w:rPr>
                        <w:t>Leishmania</w:t>
                      </w:r>
                      <w:r w:rsidRPr="005B3F61">
                        <w:rPr>
                          <w:b/>
                          <w:sz w:val="20"/>
                          <w:szCs w:val="20"/>
                        </w:rPr>
                        <w:t xml:space="preserve"> spp. </w:t>
                      </w:r>
                      <w:r w:rsidRPr="005B3F61">
                        <w:rPr>
                          <w:sz w:val="20"/>
                          <w:szCs w:val="20"/>
                        </w:rPr>
                        <w:t xml:space="preserve">A simplified representation of the transmission and life cycle of </w:t>
                      </w:r>
                      <w:r w:rsidRPr="005B3F61">
                        <w:rPr>
                          <w:i/>
                          <w:sz w:val="20"/>
                          <w:szCs w:val="20"/>
                        </w:rPr>
                        <w:t>Leishmania</w:t>
                      </w:r>
                      <w:r w:rsidRPr="005B3F61">
                        <w:rPr>
                          <w:sz w:val="20"/>
                          <w:szCs w:val="20"/>
                        </w:rPr>
                        <w:t xml:space="preserve"> parasites. Sandfly specific stages are shown within the blue area, host specific activities are within the red area.</w:t>
                      </w:r>
                      <w:bookmarkEnd w:id="27"/>
                      <w:bookmarkEnd w:id="28"/>
                    </w:p>
                  </w:txbxContent>
                </v:textbox>
                <w10:wrap type="topAndBottom"/>
              </v:shape>
            </w:pict>
          </mc:Fallback>
        </mc:AlternateContent>
      </w:r>
      <w:r w:rsidR="000832A5" w:rsidRPr="008B3AD6">
        <w:rPr>
          <w:color w:val="000000" w:themeColor="text1"/>
        </w:rPr>
        <w:t xml:space="preserve">representation of </w:t>
      </w:r>
      <w:r w:rsidR="000832A5" w:rsidRPr="008B3AD6">
        <w:rPr>
          <w:i/>
          <w:color w:val="000000" w:themeColor="text1"/>
        </w:rPr>
        <w:t>Leishmania</w:t>
      </w:r>
      <w:r w:rsidR="000832A5" w:rsidRPr="008B3AD6">
        <w:rPr>
          <w:color w:val="000000" w:themeColor="text1"/>
        </w:rPr>
        <w:t xml:space="preserve"> transmission and its life cycle is shown in </w:t>
      </w:r>
      <w:r w:rsidR="005B3F61" w:rsidRPr="008B3AD6">
        <w:rPr>
          <w:b/>
          <w:color w:val="000000" w:themeColor="text1"/>
        </w:rPr>
        <w:fldChar w:fldCharType="begin"/>
      </w:r>
      <w:r w:rsidR="005B3F61" w:rsidRPr="008B3AD6">
        <w:rPr>
          <w:color w:val="000000" w:themeColor="text1"/>
        </w:rPr>
        <w:instrText xml:space="preserve"> REF _Ref523921060  \* MERGEFORMAT </w:instrText>
      </w:r>
      <w:r w:rsidR="005B3F61" w:rsidRPr="008B3AD6">
        <w:rPr>
          <w:b/>
          <w:color w:val="000000" w:themeColor="text1"/>
        </w:rPr>
        <w:fldChar w:fldCharType="separate"/>
      </w:r>
      <w:r w:rsidR="00031DCA" w:rsidRPr="00031DCA">
        <w:rPr>
          <w:b/>
        </w:rPr>
        <w:t xml:space="preserve">Figure </w:t>
      </w:r>
      <w:r w:rsidR="00031DCA" w:rsidRPr="00031DCA">
        <w:rPr>
          <w:b/>
          <w:noProof/>
        </w:rPr>
        <w:t>1.2</w:t>
      </w:r>
      <w:r w:rsidR="005B3F61" w:rsidRPr="008B3AD6">
        <w:rPr>
          <w:b/>
          <w:color w:val="000000" w:themeColor="text1"/>
        </w:rPr>
        <w:fldChar w:fldCharType="end"/>
      </w:r>
      <w:r w:rsidR="000832A5" w:rsidRPr="008B3AD6">
        <w:rPr>
          <w:color w:val="000000" w:themeColor="text1"/>
        </w:rPr>
        <w:t>.</w:t>
      </w:r>
    </w:p>
    <w:p w14:paraId="0E4EF5E9" w14:textId="71C7096C" w:rsidR="000832A5" w:rsidRPr="008B3AD6" w:rsidRDefault="000832A5" w:rsidP="00AB3115">
      <w:pPr>
        <w:spacing w:line="360" w:lineRule="auto"/>
        <w:jc w:val="both"/>
        <w:rPr>
          <w:color w:val="000000" w:themeColor="text1"/>
        </w:rPr>
      </w:pPr>
    </w:p>
    <w:p w14:paraId="07621466" w14:textId="77777777" w:rsidR="00AB3115" w:rsidRPr="008B3AD6" w:rsidRDefault="00AB3115" w:rsidP="00AB3115">
      <w:pPr>
        <w:pStyle w:val="Heading3"/>
        <w:rPr>
          <w:color w:val="000000" w:themeColor="text1"/>
        </w:rPr>
      </w:pPr>
      <w:bookmarkStart w:id="29" w:name="_Toc3716045"/>
      <w:r w:rsidRPr="008B3AD6">
        <w:rPr>
          <w:color w:val="000000" w:themeColor="text1"/>
        </w:rPr>
        <w:t>Initial Infection with Visceral Leishmaniasis</w:t>
      </w:r>
      <w:bookmarkEnd w:id="29"/>
      <w:r w:rsidRPr="008B3AD6">
        <w:rPr>
          <w:color w:val="000000" w:themeColor="text1"/>
        </w:rPr>
        <w:t xml:space="preserve"> </w:t>
      </w:r>
    </w:p>
    <w:p w14:paraId="78D3749B" w14:textId="27F0CF56" w:rsidR="00AB3115" w:rsidRPr="008B3AD6" w:rsidRDefault="00EF467F" w:rsidP="00AB3115">
      <w:pPr>
        <w:spacing w:line="360" w:lineRule="auto"/>
        <w:jc w:val="both"/>
        <w:rPr>
          <w:color w:val="000000" w:themeColor="text1"/>
        </w:rPr>
      </w:pPr>
      <w:r w:rsidRPr="008B3AD6">
        <w:rPr>
          <w:color w:val="000000" w:themeColor="text1"/>
        </w:rPr>
        <w:t xml:space="preserve">The bite of the sand fly induces a localised cutaneous pro-inflammatory response. Components of sand fly saliva </w:t>
      </w:r>
      <w:r w:rsidRPr="008B3AD6">
        <w:rPr>
          <w:color w:val="000000" w:themeColor="text1"/>
        </w:rPr>
        <w:fldChar w:fldCharType="begin"/>
      </w:r>
      <w:r w:rsidRPr="008B3AD6">
        <w:rPr>
          <w:color w:val="000000" w:themeColor="text1"/>
        </w:rPr>
        <w:instrText xml:space="preserve"> ADDIN ZOTERO_ITEM CSL_CITATION {"citationID":"TCOoXwvt","properties":{"formattedCitation":"(Teixeira et al. 2005; McCall, Zhang, and Matlashewski 2013; Lestinova et al. 2017)","plainCitation":"(Teixeira et al. 2005; McCall, Zhang, and Matlashewski 2013; Lestinova et al. 2017)","noteIndex":0},"citationItems":[{"id":2932,"uris":["http://zotero.org/users/2628971/items/WWMAE7CK"],"uri":["http://zotero.org/users/2628971/items/WWMAE7CK"],"itemData":{"id":2932,"type":"article-journal","title":"Saliva from Lutzomyia longipalpis induces CC chemokine ligand 2/monocyte chemoattractant protein-1 expression and macrophage recruitment","container-title":"Journal of Immunology (Baltimore, Md.: 1950)","page":"8346-8353","volume":"175","issue":"12","source":"PubMed","abstract":"Saliva of bloodfeeding arthropods has been incriminated in facilitating the establishment of parasite in their host. We report on the leukocyte chemoattractive effect of salivary gland homogenate (SGH) from Lutzomyia longipalpis on saliva-induced inflammation in an air pouch model. SGH (0.5 pair/animal) was inoculated in the air pouch formed in the back of BALB/c or C57BL/6 mice. L. longipalpis SGH induced a significant influx of macrophages in BALB/c but not in C57BL/6 mice. SGH-induced cell recruitment reached a peak at 12 h after inoculation and was higher than that induced by the LPS control. This differential cell recruitment in BALB/c mice was directly correlated to an increase in CCL2/MCP-1 expression in the air pouch lining tissue. In fact, treatment with bindarit, an inhibitor of CCL2/MCP-1 synthesis, and also with a specific anti-MCP-1 mAb resulted in drastic reduction of macrophage recruitment and inhibition of CCL2/MCP-1 expression in the lining tissue. CCL2/MCP-1 production was also seen in vitro when J774 murine macrophages were exposed to L. longipalpis SGH. The SGH effect was abrogated by preincubation with serum containing anti-SGH IgG Abs as well as in mice previously sensitized with L. longipalpis bites. Interestingly, the combination of SGH with Leishmania chagasi induced an increased recruitment of neutrophils and macrophages when compared with L. chagasi alone. Taken together these results suggest that SGH not only induces the recruitment of a greater number of macrophages by enhancing CCL2/MCP-1 production but also synergizes with L. chagasi to recruit more inflammatory cells to the site of inoculation.","ISSN":"0022-1767","note":"PMID: 16339576","journalAbbreviation":"J. Immunol.","language":"eng","author":[{"family":"Teixeira","given":"Clarissa R."},{"family":"Teixeira","given":"Maria Jânia"},{"family":"Gomes","given":"Regis B. B."},{"family":"Santos","given":"Claire S."},{"family":"Andrade","given":"Bruno B."},{"family":"Raffaele-Netto","given":"Imbroinise"},{"family":"Silva","given":"João S."},{"family":"Guglielmotti","given":"Angelo"},{"family":"Miranda","given":"José C."},{"family":"Barral","given":"Aldina"},{"family":"Brodskyn","given":"Cláudia"},{"family":"Barral-Netto","given":"Manoel"}],"issued":{"date-parts":[["2005",12,15]]}}},{"id":2897,"uris":["http://zotero.org/users/2628971/items/9N4HUR5A"],"uri":["http://zotero.org/users/2628971/items/9N4HUR5A"],"itemData":{"id":2897,"type":"article-journal","title":"Determinants for the Development of Visceral Leishmaniasis Disease","container-title":"PLoS Pathogens","volume":"9","issue":"1","source":"PubMed Central","abstract":"Leishmaniasis is a vector-borne neglected tropical disease associated with a spectrum of clinical manifestations, ranging from self-healing cutaneous lesions to fatal visceral infections. Among the most important questions in Leishmania research is why some species like L. donovani infect visceral organs, whereas other species like L. major remain in the skin. The determinants of visceral leishmaniasis are still poorly understood, although genomic, immunologic, and animal models are beginning to provide important insight into this disease. In this review, we discuss the vector, host, and pathogen factors that mediate the development of visceral leishmaniasis. We examine the progression of the parasite from the initial site of sand fly bite to the visceral organs and its ability to survive there. The identification of visceral disease determinants is required to understand disease evolution, to understand visceral organ survival mechanisms, and potentially to develop better interventions for this largely neglected disease.","URL":"https://www.ncbi.nlm.nih.gov/pmc/articles/PMC3536654/","DOI":"10.1371/journal.ppat.1003053","ISSN":"1553-7366","note":"PMID: 23300451\nPMCID: PMC3536654","journalAbbreviation":"PLoS Pathog","author":[{"family":"McCall","given":"Laura-Isobel"},{"family":"Zhang","given":"Wen-Wei"},{"family":"Matlashewski","given":"Greg"}],"issued":{"date-parts":[["2013",1,3]]},"accessed":{"date-parts":[["2018",7,28]]}}},{"id":2909,"uris":["http://zotero.org/users/2628971/items/FMP8H2SR"],"uri":["http://zotero.org/users/2628971/items/FMP8H2SR"],"itemData":{"id":2909,"type":"article-journal","title":"Insights into the sand fly saliva: Blood-feeding and immune interactions between sand flies, hosts, and Leishmania","container-title":"PLOS Neglected Tropical Diseases","page":"e0005600","volume":"11","issue":"7","source":"PLoS Journals","abstract":"Background Leishmaniases are parasitic diseases present worldwide that are transmitted to the vertebrate host by the bite of an infected sand fly during a blood feeding. Phlebotomine sand flies inoculate into the mammalian host Leishmania parasites embedded in promastigote secretory gel (PSG) with saliva, which is composed of a diverse group of molecules with pharmacological and immunomodulatory properties. Methods and findings In this review, we focus on 3 main aspects of sand fly salivary molecules: (1) structure and composition of salivary glands, including the properties of salivary molecules related to hemostasis and blood feeding, (2) immunomodulatory properties of salivary molecules and the diverse impacts of these molecules on leishmaniasis, ranging from disease exacerbation to vaccine development, and (3) use of salivary molecules for field applications, including monitoring host exposure to sand flies and the risk of Leishmania transmission. Studies showed interesting differences between salivary proteins of Phlebotomus and Lutzomyia species, however, no data were ever published on salivary proteins of Sergentomyia species. Conclusions In the last 15 years, numerous studies have characterized sand fly salivary proteins and, in parallel, have addressed the impact of such molecules on the biology of the host–sand fly–parasite interaction. The results obtained shall pave the way for the development of field-application tools that could contribute to the management of leishmaniasis in endemic areas.","DOI":"10.1371/journal.pntd.0005600","ISSN":"1935-2735","shortTitle":"Insights into the sand fly saliva","journalAbbreviation":"PLOS Neglected Tropical Diseases","language":"en","author":[{"family":"Lestinova","given":"Tereza"},{"family":"Rohousova","given":"Iva"},{"family":"Sima","given":"Michal"},{"family":"Oliveira","given":"Camila I.","dropping-particle":"de"},{"family":"Volf","given":"Petr"}],"issued":{"date-parts":[["2017",7,13]]}}}],"schema":"https://github.com/citation-style-language/schema/raw/master/csl-citation.json"} </w:instrText>
      </w:r>
      <w:r w:rsidRPr="008B3AD6">
        <w:rPr>
          <w:color w:val="000000" w:themeColor="text1"/>
        </w:rPr>
        <w:fldChar w:fldCharType="separate"/>
      </w:r>
      <w:r w:rsidR="00025067">
        <w:rPr>
          <w:color w:val="000000" w:themeColor="text1"/>
        </w:rPr>
        <w:t>(Teixeira et al. 2005; McCall, Zhang, and Matlashewski 2013; Lestinova et al. 2017)</w:t>
      </w:r>
      <w:r w:rsidRPr="008B3AD6">
        <w:rPr>
          <w:color w:val="000000" w:themeColor="text1"/>
        </w:rPr>
        <w:fldChar w:fldCharType="end"/>
      </w:r>
      <w:r w:rsidRPr="008B3AD6">
        <w:rPr>
          <w:color w:val="000000" w:themeColor="text1"/>
        </w:rPr>
        <w:t xml:space="preserve"> and secreted molecules from the promastigotes residing in these sand flies </w:t>
      </w:r>
      <w:r w:rsidRPr="008B3AD6">
        <w:rPr>
          <w:color w:val="000000" w:themeColor="text1"/>
        </w:rPr>
        <w:fldChar w:fldCharType="begin"/>
      </w:r>
      <w:r w:rsidRPr="008B3AD6">
        <w:rPr>
          <w:color w:val="000000" w:themeColor="text1"/>
        </w:rPr>
        <w:instrText xml:space="preserve"> ADDIN ZOTERO_ITEM CSL_CITATION {"citationID":"UTd3pPTw","properties":{"formattedCitation":"(Rogers 2012)","plainCitation":"(Rogers 2012)","noteIndex":0},"citationItems":[{"id":2888,"uris":["http://zotero.org/users/2628971/items/4WJKKF8Z"],"uri":["http://zotero.org/users/2628971/items/4WJKKF8Z"],"itemData":{"id":2888,"type":"article-journal","title":"The Role of Leishmania Proteophosphoglycans in Sand Fly Transmission and Infection of the Mammalian Host","container-title":"Frontiers in Microbiology","volume":"3","source":"PubMed Central","abstract":"Leishmania are transmitted by the bite of their sand fly vector and this has a significant influence on the virulence of the resulting infection. From our studies into the interaction between parasite, vector, and host we have uncovered an important missing ingredient during Leishmania transmission. Leishmania actively adapt their sand fly hosts into efficient vectors by secreting Promastigote Secretory Gel (PSG), a proteophosphoglycan (PPG)-rich, mucin-like gel which accumulates in sand fly gut and mouthparts. This has the effect of blocking the fly, such that during bloodfeeding both parasites and gel are co-transmitted in an act of regurgitation. We are discovering that this has further implications for the mammalian infection, again, in favor of the parasite. Experimentally, PSG exacerbates cutaneous and visceral leishmaniasis and can promote the chronicity of Leishmania infection, even in mouse strains normally capable of controlling leishmaniasis. The underlying mechanism of PSG’s action is a major focus of our ongoing work. This review aims to synthesize what is known about the role and action of PSG and its constituent proteophosphoglycans, for parasite colonization of the sand fly, transmission, and mammalian infection. Lastly, we discuss potential exploitation of this important vector-transmitted product and future avenues of research.","URL":"https://www.ncbi.nlm.nih.gov/pmc/articles/PMC3384971/","DOI":"10.3389/fmicb.2012.00223","ISSN":"1664-302X","note":"PMID: 22754550\nPMCID: PMC3384971","journalAbbreviation":"Front Microbiol","author":[{"family":"Rogers","given":"Matthew E."}],"issued":{"date-parts":[["2012",6,28]]},"accessed":{"date-parts":[["2018",7,28]]}}}],"schema":"https://github.com/citation-style-language/schema/raw/master/csl-citation.json"} </w:instrText>
      </w:r>
      <w:r w:rsidRPr="008B3AD6">
        <w:rPr>
          <w:color w:val="000000" w:themeColor="text1"/>
        </w:rPr>
        <w:fldChar w:fldCharType="separate"/>
      </w:r>
      <w:r w:rsidR="00025067">
        <w:rPr>
          <w:color w:val="000000" w:themeColor="text1"/>
        </w:rPr>
        <w:t>(Rogers 2012)</w:t>
      </w:r>
      <w:r w:rsidRPr="008B3AD6">
        <w:rPr>
          <w:color w:val="000000" w:themeColor="text1"/>
        </w:rPr>
        <w:fldChar w:fldCharType="end"/>
      </w:r>
      <w:r w:rsidRPr="008B3AD6">
        <w:rPr>
          <w:color w:val="000000" w:themeColor="text1"/>
        </w:rPr>
        <w:t xml:space="preserve"> have been shown to modulate the immune response upon sand fly feeding. A key modulatory effect is the induction of </w:t>
      </w:r>
      <w:r w:rsidR="00F6299A" w:rsidRPr="008B3AD6">
        <w:rPr>
          <w:color w:val="000000" w:themeColor="text1"/>
        </w:rPr>
        <w:t>leukocyte</w:t>
      </w:r>
      <w:r w:rsidR="00F6299A">
        <w:rPr>
          <w:color w:val="000000" w:themeColor="text1"/>
        </w:rPr>
        <w:t xml:space="preserve"> migration to the bite site</w:t>
      </w:r>
      <w:r w:rsidRPr="008B3AD6">
        <w:rPr>
          <w:color w:val="000000" w:themeColor="text1"/>
        </w:rPr>
        <w:t xml:space="preserve">, predominantly monocytes and neutrophils </w:t>
      </w:r>
      <w:r w:rsidRPr="008B3AD6">
        <w:rPr>
          <w:color w:val="000000" w:themeColor="text1"/>
        </w:rPr>
        <w:fldChar w:fldCharType="begin"/>
      </w:r>
      <w:r w:rsidRPr="008B3AD6">
        <w:rPr>
          <w:color w:val="000000" w:themeColor="text1"/>
        </w:rPr>
        <w:instrText xml:space="preserve"> ADDIN ZOTERO_ITEM CSL_CITATION {"citationID":"4MUSowlI","properties":{"formattedCitation":"(Ribeiro-Gomes et al. 2012)","plainCitation":"(Ribeiro-Gomes et al. 2012)","noteIndex":0},"citationItems":[{"id":2898,"uris":["http://zotero.org/users/2628971/items/9VLI65ZN"],"uri":["http://zotero.org/users/2628971/items/9VLI65ZN"],"itemData":{"id":2898,"type":"article-journal","title":"Efficient Capture of Infected Neutrophils by Dendritic Cells in the Skin Inhibits the Early Anti-Leishmania Response","container-title":"PLoS Pathogens","volume":"8","issue":"2","source":"PubMed Central","abstract":"Neutrophils and dendritic cells (DCs) converge at localized sites of acute inflammation in the skin following pathogen deposition by the bites of arthropod vectors or by needle injection. Prior studies in mice have shown that neutrophils are the predominant recruited and infected cells during the earliest stage of Leishmania major infection in the skin, and that neutrophil depletion promotes host resistance to sand fly transmitted infection. How the massive influx of neutrophils aimed at wound repair and sterilization might modulate the function of DCs in the skin has not been previously addressed. The infected neutrophils recovered from the skin expressed elevated apoptotic markers compared to uninfected neutrophils, and were preferentially captured by dermal DCs when injected back into the mouse ear dermis. Following challenge with L. major directly, the majority of the infected DCs recovered from the skin at 24 hr stained positive for neutrophil markers, indicating that they acquired their parasites via uptake of infected neutrophils. When infected, dermal DCs were recovered from neutrophil depleted mice, their expression of activation markers was markedly enhanced, as was their capacity to present Leishmania antigens ex vivo. Neutrophil depletion also enhanced the priming of L. major specific CD4+ T cells in vivo. The findings suggest that following their rapid uptake by neutrophils in the skin, L. major exploits the immunosuppressive effects associated with the apoptotic cell clearance function of DCs to inhibit the development of acquired resistance until the acute neutrophilic response is resolved., Prior studies in mice have shown that the inoculation of Leishmania major into the skin by sand fly bite or by needle provokes a massive recruitment of neutrophils that take up the parasite, and that this response somehow suppresses immunity since neutrophil depletion results in better control of the infection. We investigated how neutrophils recruited to the injection site might interact with and suppress the function of dendritic cells (DCs) in the skin. Infected neutrophils recovered from the skin expressed increased levels of apoptotic markers compared to uninfected neutrophils, and were efficiently taken up by dermal DCs when injected back into the skin. When dermal DCs were permitted to take up parasites in the absence of neutrophils, their expression of activation markers and their ability to present Leishmania antigens were enhanced. Neutrophil depletion also enhanced the activation of Leishmania specific CD4+ T cells in vivo. The results suggest that for insect borne pathogens like Leishmania that provoke a strong inflammatory response at the site of infection, the immunosuppressive effects associated with the apoptotic cell clearance function of DCs will inhibit the early development of immunity.","URL":"https://www.ncbi.nlm.nih.gov/pmc/articles/PMC3280984/","DOI":"10.1371/journal.ppat.1002536","ISSN":"1553-7366","note":"PMID: 22359507\nPMCID: PMC3280984","journalAbbreviation":"PLoS Pathog","author":[{"family":"Ribeiro-Gomes","given":"Flavia L."},{"family":"Peters","given":"Nathan C."},{"family":"Debrabant","given":"Alain"},{"family":"Sacks","given":"David L."}],"issued":{"date-parts":[["2012",2,16]]},"accessed":{"date-parts":[["2018",7,28]]}}}],"schema":"https://github.com/citation-style-language/schema/raw/master/csl-citation.json"} </w:instrText>
      </w:r>
      <w:r w:rsidRPr="008B3AD6">
        <w:rPr>
          <w:color w:val="000000" w:themeColor="text1"/>
        </w:rPr>
        <w:fldChar w:fldCharType="separate"/>
      </w:r>
      <w:r w:rsidR="00025067">
        <w:rPr>
          <w:color w:val="000000" w:themeColor="text1"/>
        </w:rPr>
        <w:t>(Ribeiro-Gomes et al. 2012)</w:t>
      </w:r>
      <w:r w:rsidRPr="008B3AD6">
        <w:rPr>
          <w:color w:val="000000" w:themeColor="text1"/>
        </w:rPr>
        <w:fldChar w:fldCharType="end"/>
      </w:r>
      <w:r w:rsidRPr="008B3AD6">
        <w:rPr>
          <w:color w:val="000000" w:themeColor="text1"/>
        </w:rPr>
        <w:t xml:space="preserve">. The arrival of these cells allows for their infection by the deposited </w:t>
      </w:r>
      <w:r w:rsidRPr="008B3AD6">
        <w:rPr>
          <w:i/>
          <w:color w:val="000000" w:themeColor="text1"/>
        </w:rPr>
        <w:t>Leishmania</w:t>
      </w:r>
      <w:r w:rsidRPr="008B3AD6">
        <w:rPr>
          <w:color w:val="000000" w:themeColor="text1"/>
        </w:rPr>
        <w:t xml:space="preserve"> promastigotes. Resident dermal </w:t>
      </w:r>
      <w:r w:rsidRPr="008B3AD6">
        <w:rPr>
          <w:color w:val="000000" w:themeColor="text1"/>
        </w:rPr>
        <w:lastRenderedPageBreak/>
        <w:t xml:space="preserve">macrophages may also be targets of infection </w:t>
      </w:r>
      <w:r w:rsidRPr="008B3AD6">
        <w:rPr>
          <w:color w:val="000000" w:themeColor="text1"/>
        </w:rPr>
        <w:fldChar w:fldCharType="begin"/>
      </w:r>
      <w:r w:rsidR="00025067">
        <w:rPr>
          <w:color w:val="000000" w:themeColor="text1"/>
        </w:rPr>
        <w:instrText xml:space="preserve"> ADDIN ZOTERO_ITEM CSL_CITATION {"citationID":"KA0i8aLy","properties":{"formattedCitation":"(S. H. Lee et al. 2018)","plainCitation":"(S. H. Lee et al. 2018)","noteIndex":0},"citationItems":[{"id":3748,"uris":["http://zotero.org/users/2628971/items/45IIX9LN"],"uri":["http://zotero.org/users/2628971/items/45IIX9LN"],"itemData":{"id":3748,"type":"article-journal","title":"Mannose receptor high, M2 dermal macrophages mediate nonhealing Leishmania major infection in a Th1 immune environment","container-title":"Journal of Experimental Medicine","page":"357-375","volume":"215","issue":"1","source":"jem.rupress.org","abstract":"The origin and functional specialization of dermal macrophages in cutaneous infections have been little studied. In this paper, we show that a strain of Leishmania major (L. major Seidman [LmSd]) that produces nonhealing cutaneous lesions in conventionally resistant C57BL/6 mice was more efficiently taken up by M2-polarized bone marrow (BM)–derived macrophages (BMDMs) in vitro and by mannose receptor (MR)hi dermal macrophages in vivo compared with a healing strain (L. major Friedlin V1). Both in steady and in T helper type 1 (Th1) cell–driven inflammatory states, the MRhi dermal macrophages showed M2 characteristics. The dermal macrophages were radio resistant and not replaced by monocytes or adult BM-derived cells during infection, but were locally maintained by IL-4 and IL-10. Notably, the favored infection of M2 BMDMs by LmSd in vitro was MR dependent, and genetic deletion of MR or selective depletion of MRhi dermal macrophages by anti–CSF-1 receptor antibody reversed the nonhealing phenotype. We conclude that embryonic-derived, MRhi dermal macrophages are permissive for parasite growth even in a strong Th1-immune environment, and the preferential infection of these cells plays a crucial role in the severity of cutaneous disease.","DOI":"10.1084/jem.20171389","ISSN":"0022-1007, 1540-9538","note":"PMID: 29247046","language":"en","author":[{"family":"Lee","given":"Sang Hun"},{"family":"Charmoy","given":"Melanie"},{"family":"Romano","given":"Audrey"},{"family":"Paun","given":"Andrea"},{"family":"Chaves","given":"Mariana M."},{"family":"Cope","given":"Frederick O."},{"family":"Ralph","given":"David A."},{"family":"Sacks","given":"David L."}],"issued":{"date-parts":[["2018",1,2]]}}}],"schema":"https://github.com/citation-style-language/schema/raw/master/csl-citation.json"} </w:instrText>
      </w:r>
      <w:r w:rsidRPr="008B3AD6">
        <w:rPr>
          <w:color w:val="000000" w:themeColor="text1"/>
        </w:rPr>
        <w:fldChar w:fldCharType="separate"/>
      </w:r>
      <w:r w:rsidR="00C46DBF">
        <w:rPr>
          <w:color w:val="000000"/>
          <w:lang w:val="en-US"/>
        </w:rPr>
        <w:t>(</w:t>
      </w:r>
      <w:r w:rsidR="00025067" w:rsidRPr="00025067">
        <w:rPr>
          <w:color w:val="000000"/>
          <w:lang w:val="en-US"/>
        </w:rPr>
        <w:t>Lee et al. 201</w:t>
      </w:r>
      <w:r w:rsidR="00C46DBF">
        <w:rPr>
          <w:color w:val="000000"/>
          <w:lang w:val="en-US"/>
        </w:rPr>
        <w:t>7</w:t>
      </w:r>
      <w:r w:rsidR="00025067" w:rsidRPr="00025067">
        <w:rPr>
          <w:color w:val="000000"/>
          <w:lang w:val="en-US"/>
        </w:rPr>
        <w:t>)</w:t>
      </w:r>
      <w:r w:rsidRPr="008B3AD6">
        <w:rPr>
          <w:color w:val="000000" w:themeColor="text1"/>
        </w:rPr>
        <w:fldChar w:fldCharType="end"/>
      </w:r>
      <w:r w:rsidRPr="008B3AD6">
        <w:rPr>
          <w:color w:val="000000" w:themeColor="text1"/>
        </w:rPr>
        <w:t xml:space="preserve">. This initial infection step is crucial for the development of infection. Indeed, previous research has shown that after intradermal inoculation of </w:t>
      </w:r>
      <w:r w:rsidRPr="008B3AD6">
        <w:rPr>
          <w:i/>
          <w:color w:val="000000" w:themeColor="text1"/>
        </w:rPr>
        <w:t>L. donovani</w:t>
      </w:r>
      <w:r w:rsidRPr="008B3AD6">
        <w:rPr>
          <w:color w:val="000000" w:themeColor="text1"/>
        </w:rPr>
        <w:t xml:space="preserve"> promastigotes into hamsters no extracellular promastigotes could be seen after 12 hours </w:t>
      </w:r>
      <w:r w:rsidRPr="008B3AD6">
        <w:rPr>
          <w:color w:val="000000" w:themeColor="text1"/>
        </w:rPr>
        <w:fldChar w:fldCharType="begin"/>
      </w:r>
      <w:r w:rsidRPr="008B3AD6">
        <w:rPr>
          <w:color w:val="000000" w:themeColor="text1"/>
        </w:rPr>
        <w:instrText xml:space="preserve"> ADDIN ZOTERO_ITEM CSL_CITATION {"citationID":"5IBtvX7r","properties":{"formattedCitation":"(Wilson et al. 1987)","plainCitation":"(Wilson et al. 1987)","noteIndex":0},"citationItems":[{"id":2893,"uris":["http://zotero.org/users/2628971/items/7JCH9RB6"],"uri":["http://zotero.org/users/2628971/items/7JCH9RB6"],"itemData":{"id":2893,"type":"article-journal","title":"Early histopathology of experimental infection with Leishmania donovani in hamsters","container-title":"The Journal of Parasitology","page":"55-63","volume":"73","issue":"1","source":"PubMed","abstract":"The extracellular promastigote stage of Leishmania donovani is inoculated by a phlebotomine sandfly into the skin of a susceptible host, after which visceral dissemination and clinical disease may ensue. Using a hamster model we examined the histopathology of early infection with L. donovani after intradermal inoculation of cultured promastigotes. The initial response was a mixed polymorphonuclear (PMN)-mononuclear phagocyte infiltrate, noted between 1 and 24 hr after inoculation, which became primarily mononuclear by 48 hr. Parasites were initially found intracellularly in both PMN's and mononuclear phagocytes, but by 48 hr they had assumed amastigote-like morphology and were found exclusively in macrophages. The number of parasites per infected macrophage increased during the first week after inoculation, suggesting that intracellular replication of the organism was taking place. This was followed by the formation of granulomas between 4 and 6 wk. By 8 wk intracellular parasites were largely gone. The histologic response was consistent with early destruction of parasites in PMN's, and survival and replication of L. donovani in macrophages. Cutaneous infection with the parasite was eventually controlled locally, coincident with granuloma formation. Despite these local responses, the organism was able to disseminate and eventually produce typical visceral leishmaniasis.","ISSN":"0022-3395","note":"PMID: 3572666","journalAbbreviation":"J. Parasitol.","language":"eng","author":[{"family":"Wilson","given":"M. E."},{"family":"Innes","given":"D. J."},{"family":"Sousa","given":"A. D."},{"family":"Pearson","given":"R. D."}],"issued":{"date-parts":[["1987",2]]}}}],"schema":"https://github.com/citation-style-language/schema/raw/master/csl-citation.json"} </w:instrText>
      </w:r>
      <w:r w:rsidRPr="008B3AD6">
        <w:rPr>
          <w:color w:val="000000" w:themeColor="text1"/>
        </w:rPr>
        <w:fldChar w:fldCharType="separate"/>
      </w:r>
      <w:r w:rsidR="00025067">
        <w:rPr>
          <w:color w:val="000000" w:themeColor="text1"/>
        </w:rPr>
        <w:t>(Wilson et al. 1987)</w:t>
      </w:r>
      <w:r w:rsidRPr="008B3AD6">
        <w:rPr>
          <w:color w:val="000000" w:themeColor="text1"/>
        </w:rPr>
        <w:fldChar w:fldCharType="end"/>
      </w:r>
      <w:r w:rsidRPr="008B3AD6">
        <w:rPr>
          <w:color w:val="000000" w:themeColor="text1"/>
        </w:rPr>
        <w:t xml:space="preserve">. This infection of host cells has been shown to be a receptor dependent process which induces phagocytosis of the parasite </w:t>
      </w:r>
      <w:r w:rsidRPr="008B3AD6">
        <w:rPr>
          <w:color w:val="000000" w:themeColor="text1"/>
        </w:rPr>
        <w:fldChar w:fldCharType="begin"/>
      </w:r>
      <w:r w:rsidRPr="008B3AD6">
        <w:rPr>
          <w:color w:val="000000" w:themeColor="text1"/>
        </w:rPr>
        <w:instrText xml:space="preserve"> ADDIN ZOTERO_ITEM CSL_CITATION {"citationID":"MqAmyOXP","properties":{"formattedCitation":"(Ueno and Wilson 2012)","plainCitation":"(Ueno and Wilson 2012)","noteIndex":0},"citationItems":[{"id":2579,"uris":["http://zotero.org/users/2628971/items/GNGECV9I"],"uri":["http://zotero.org/users/2628971/items/GNGECV9I"],"itemData":{"id":2579,"type":"article-journal","title":"Receptor-mediated phagocytosis of Leishmania: implications for intracellular survival","container-title":"Trends in Parasitology","page":"335-344","volume":"28","issue":"8","source":"PubMed","abstract":"The extracellular promastigote stage of Leishmania spp. is transmitted to mammals by a sand fly vector. Leishmania promastigotes ligate host macrophage receptors, triggering phagocytosis and subsequent internalization, a crucial step for survival. Parasites transform intracellularly to the amastigote stage. Many studies document different receptors detecting promastigotes and amastigotes, but the relative importance of each interaction is ill-defined. Recent studies suggest that the macrophage receptors utilized during phagocytosis impact the intracellular fate of the parasite. This review summarizes the receptors implicated in Leishmania phagocytosis over the past 30 years. It then proceeds to weigh the evidence for or against their potential roles in intracellular parasite trafficking.","DOI":"10.1016/j.pt.2012.05.002","ISSN":"1471-5007","note":"PMID: 22726697\nPMCID: PMC3399048","shortTitle":"Receptor-mediated phagocytosis of Leishmania","journalAbbreviation":"Trends Parasitol.","language":"eng","author":[{"family":"Ueno","given":"Norikiyo"},{"family":"Wilson","given":"Mary E."}],"issued":{"date-parts":[["2012",8]]}}}],"schema":"https://github.com/citation-style-language/schema/raw/master/csl-citation.json"} </w:instrText>
      </w:r>
      <w:r w:rsidRPr="008B3AD6">
        <w:rPr>
          <w:color w:val="000000" w:themeColor="text1"/>
        </w:rPr>
        <w:fldChar w:fldCharType="separate"/>
      </w:r>
      <w:r w:rsidR="00025067">
        <w:rPr>
          <w:color w:val="000000" w:themeColor="text1"/>
        </w:rPr>
        <w:t>(Ueno and Wilson 2012)</w:t>
      </w:r>
      <w:r w:rsidRPr="008B3AD6">
        <w:rPr>
          <w:color w:val="000000" w:themeColor="text1"/>
        </w:rPr>
        <w:fldChar w:fldCharType="end"/>
      </w:r>
      <w:r w:rsidRPr="008B3AD6">
        <w:rPr>
          <w:color w:val="000000" w:themeColor="text1"/>
        </w:rPr>
        <w:t>, either promastigotes for initial infection or amastigotes for the maintenance of infection.</w:t>
      </w:r>
    </w:p>
    <w:p w14:paraId="632D48C8" w14:textId="77777777" w:rsidR="00AB3115" w:rsidRPr="008B3AD6" w:rsidRDefault="00AB3115" w:rsidP="00AB3115">
      <w:pPr>
        <w:spacing w:line="360" w:lineRule="auto"/>
        <w:jc w:val="both"/>
        <w:rPr>
          <w:color w:val="000000" w:themeColor="text1"/>
        </w:rPr>
      </w:pPr>
    </w:p>
    <w:p w14:paraId="05EF1624" w14:textId="50E8AC7B" w:rsidR="00EF467F" w:rsidRPr="008B3AD6" w:rsidRDefault="00EF467F" w:rsidP="00EF467F">
      <w:pPr>
        <w:spacing w:line="360" w:lineRule="auto"/>
        <w:jc w:val="both"/>
        <w:rPr>
          <w:color w:val="000000" w:themeColor="text1"/>
        </w:rPr>
      </w:pPr>
      <w:r w:rsidRPr="008B3AD6">
        <w:rPr>
          <w:color w:val="000000" w:themeColor="text1"/>
        </w:rPr>
        <w:t xml:space="preserve">The dissemination of </w:t>
      </w:r>
      <w:r w:rsidRPr="008B3AD6">
        <w:rPr>
          <w:i/>
          <w:color w:val="000000" w:themeColor="text1"/>
        </w:rPr>
        <w:t xml:space="preserve">Leishmania </w:t>
      </w:r>
      <w:r w:rsidRPr="008B3AD6">
        <w:rPr>
          <w:color w:val="000000" w:themeColor="text1"/>
        </w:rPr>
        <w:t xml:space="preserve">to the viscera has been postulated to occur by two main mechanisms. Parasitaemia, the presence of parasites within the blood, has been previously shown after inoculation with </w:t>
      </w:r>
      <w:r w:rsidRPr="008B3AD6">
        <w:rPr>
          <w:i/>
          <w:color w:val="000000" w:themeColor="text1"/>
        </w:rPr>
        <w:t>Leishmania</w:t>
      </w:r>
      <w:r w:rsidRPr="008B3AD6">
        <w:rPr>
          <w:color w:val="000000" w:themeColor="text1"/>
        </w:rPr>
        <w:t xml:space="preserve"> parasites </w:t>
      </w:r>
      <w:r w:rsidRPr="008B3AD6">
        <w:rPr>
          <w:color w:val="000000" w:themeColor="text1"/>
        </w:rPr>
        <w:fldChar w:fldCharType="begin"/>
      </w:r>
      <w:r w:rsidRPr="008B3AD6">
        <w:rPr>
          <w:color w:val="000000" w:themeColor="text1"/>
        </w:rPr>
        <w:instrText xml:space="preserve"> ADDIN ZOTERO_ITEM CSL_CITATION {"citationID":"3wrn8mTJ","properties":{"formattedCitation":"(Paraguai de Souza et al. 2001)","plainCitation":"(Paraguai de Souza et al. 2001)","noteIndex":0},"citationItems":[{"id":2928,"uris":["http://zotero.org/users/2628971/items/VSXPQUI5"],"uri":["http://zotero.org/users/2628971/items/VSXPQUI5"],"itemData":{"id":2928,"type":"article-journal","title":"Occurrence of Leishmania donovani parasitemia in plasma of infected hamsters","container-title":"Acta Tropica","page":"69-75","volume":"80","issue":"1","source":"PubMed","abstract":"Intracardiac transfusion of plasma, mononuclear cell fraction and blood of infected hamster donors induced visceral leishmaniasis in normal hamster receptors. At the moment of transfusion, the donors already showed all the typical signs of the disease: ascites, cachexia, as well as splenomegaly and a high parasite load in the spleen and liver. All transfused hamsters developed typical visceral leishmaniasis between 90 and 120 days, indicating that all blood products were infectious. Transfusion of the mononuclear cell fraction induced the highest values of parasitic load (spleen, 766 Leishman Donovan Units (LDU); liver, 2650 LDU), splenomegaly and hepatomegaly (spleen-liver/body relative weight: 1.130 and 6.870, respectively). Animals that received the plasma fraction also developed visceral leishmaniasis, showing similar parasitic load (spleen, 107 LDU; liver, 220 LDU) and spleen-liver/body relative weight (1.005 and 6.35, respectively) than those transfused with whole blood. The finding of typical Leishmania donovani infection in animals transfused with plasma demonstrates the possibility of the extracellular location of parasites, free in this blood fraction deprived of red and white blood cells. Fluorescence-assisted cell sorter analysis (FACS) of plasma showed the presence of particles corresponding in size to amastigotes, which fluoresced strongly with the serum of a patient with Kala-azar (73%), but not with normal serum.","ISSN":"0001-706X","note":"PMID: 11495646","journalAbbreviation":"Acta Trop.","language":"eng","author":[{"family":"Paraguai de Souza","given":"E."},{"family":"Esteves Pereira","given":"A. P."},{"family":"Machado","given":"F. C."},{"family":"Melo","given":"M. F."},{"family":"Souto-Padrón","given":"T."},{"family":"Palatnik","given":"M."},{"family":"Palatnik-de-Sousa","given":"C. B."}],"issued":{"date-parts":[["2001",9,1]]}}}],"schema":"https://github.com/citation-style-language/schema/raw/master/csl-citation.json"} </w:instrText>
      </w:r>
      <w:r w:rsidRPr="008B3AD6">
        <w:rPr>
          <w:color w:val="000000" w:themeColor="text1"/>
        </w:rPr>
        <w:fldChar w:fldCharType="separate"/>
      </w:r>
      <w:r w:rsidR="00025067">
        <w:rPr>
          <w:color w:val="000000" w:themeColor="text1"/>
        </w:rPr>
        <w:t>(Paraguai de Souza et al. 2001)</w:t>
      </w:r>
      <w:r w:rsidRPr="008B3AD6">
        <w:rPr>
          <w:color w:val="000000" w:themeColor="text1"/>
        </w:rPr>
        <w:fldChar w:fldCharType="end"/>
      </w:r>
      <w:r w:rsidRPr="008B3AD6">
        <w:rPr>
          <w:color w:val="000000" w:themeColor="text1"/>
        </w:rPr>
        <w:t xml:space="preserve">. It is possible that parasites enter the blood supply at the dermal site of infection allowing for their capture by tissue resident macrophages at distal sites and thus beginning a visceral infection. An alternative theory is that </w:t>
      </w:r>
      <w:r w:rsidRPr="008B3AD6">
        <w:rPr>
          <w:i/>
          <w:color w:val="000000" w:themeColor="text1"/>
        </w:rPr>
        <w:t>Leishmania</w:t>
      </w:r>
      <w:r w:rsidRPr="008B3AD6">
        <w:rPr>
          <w:color w:val="000000" w:themeColor="text1"/>
        </w:rPr>
        <w:t xml:space="preserve"> infected motile leukocytes act as transporters </w:t>
      </w:r>
      <w:r w:rsidRPr="008B3AD6">
        <w:rPr>
          <w:color w:val="000000" w:themeColor="text1"/>
        </w:rPr>
        <w:fldChar w:fldCharType="begin"/>
      </w:r>
      <w:r w:rsidRPr="008B3AD6">
        <w:rPr>
          <w:color w:val="000000" w:themeColor="text1"/>
        </w:rPr>
        <w:instrText xml:space="preserve"> ADDIN ZOTERO_ITEM CSL_CITATION {"citationID":"CItVTzvx","properties":{"formattedCitation":"(Ribeiro-Gomes et al. 2012)","plainCitation":"(Ribeiro-Gomes et al. 2012)","noteIndex":0},"citationItems":[{"id":2898,"uris":["http://zotero.org/users/2628971/items/9VLI65ZN"],"uri":["http://zotero.org/users/2628971/items/9VLI65ZN"],"itemData":{"id":2898,"type":"article-journal","title":"Efficient Capture of Infected Neutrophils by Dendritic Cells in the Skin Inhibits the Early Anti-Leishmania Response","container-title":"PLoS Pathogens","volume":"8","issue":"2","source":"PubMed Central","abstract":"Neutrophils and dendritic cells (DCs) converge at localized sites of acute inflammation in the skin following pathogen deposition by the bites of arthropod vectors or by needle injection. Prior studies in mice have shown that neutrophils are the predominant recruited and infected cells during the earliest stage of Leishmania major infection in the skin, and that neutrophil depletion promotes host resistance to sand fly transmitted infection. How the massive influx of neutrophils aimed at wound repair and sterilization might modulate the function of DCs in the skin has not been previously addressed. The infected neutrophils recovered from the skin expressed elevated apoptotic markers compared to uninfected neutrophils, and were preferentially captured by dermal DCs when injected back into the mouse ear dermis. Following challenge with L. major directly, the majority of the infected DCs recovered from the skin at 24 hr stained positive for neutrophil markers, indicating that they acquired their parasites via uptake of infected neutrophils. When infected, dermal DCs were recovered from neutrophil depleted mice, their expression of activation markers was markedly enhanced, as was their capacity to present Leishmania antigens ex vivo. Neutrophil depletion also enhanced the priming of L. major specific CD4+ T cells in vivo. The findings suggest that following their rapid uptake by neutrophils in the skin, L. major exploits the immunosuppressive effects associated with the apoptotic cell clearance function of DCs to inhibit the development of acquired resistance until the acute neutrophilic response is resolved., Prior studies in mice have shown that the inoculation of Leishmania major into the skin by sand fly bite or by needle provokes a massive recruitment of neutrophils that take up the parasite, and that this response somehow suppresses immunity since neutrophil depletion results in better control of the infection. We investigated how neutrophils recruited to the injection site might interact with and suppress the function of dendritic cells (DCs) in the skin. Infected neutrophils recovered from the skin expressed increased levels of apoptotic markers compared to uninfected neutrophils, and were efficiently taken up by dermal DCs when injected back into the skin. When dermal DCs were permitted to take up parasites in the absence of neutrophils, their expression of activation markers and their ability to present Leishmania antigens were enhanced. Neutrophil depletion also enhanced the activation of Leishmania specific CD4+ T cells in vivo. The results suggest that for insect borne pathogens like Leishmania that provoke a strong inflammatory response at the site of infection, the immunosuppressive effects associated with the apoptotic cell clearance function of DCs will inhibit the early development of immunity.","URL":"https://www.ncbi.nlm.nih.gov/pmc/articles/PMC3280984/","DOI":"10.1371/journal.ppat.1002536","ISSN":"1553-7366","note":"PMID: 22359507\nPMCID: PMC3280984","journalAbbreviation":"PLoS Pathog","author":[{"family":"Ribeiro-Gomes","given":"Flavia L."},{"family":"Peters","given":"Nathan C."},{"family":"Debrabant","given":"Alain"},{"family":"Sacks","given":"David L."}],"issued":{"date-parts":[["2012",2,16]]},"accessed":{"date-parts":[["2018",7,28]]}}}],"schema":"https://github.com/citation-style-language/schema/raw/master/csl-citation.json"} </w:instrText>
      </w:r>
      <w:r w:rsidRPr="008B3AD6">
        <w:rPr>
          <w:color w:val="000000" w:themeColor="text1"/>
        </w:rPr>
        <w:fldChar w:fldCharType="separate"/>
      </w:r>
      <w:r w:rsidR="00025067">
        <w:rPr>
          <w:color w:val="000000" w:themeColor="text1"/>
        </w:rPr>
        <w:t>(Ribeiro-Gomes et al. 2012)</w:t>
      </w:r>
      <w:r w:rsidRPr="008B3AD6">
        <w:rPr>
          <w:color w:val="000000" w:themeColor="text1"/>
        </w:rPr>
        <w:fldChar w:fldCharType="end"/>
      </w:r>
      <w:r w:rsidRPr="008B3AD6">
        <w:rPr>
          <w:color w:val="000000" w:themeColor="text1"/>
        </w:rPr>
        <w:t xml:space="preserve">. Subsequent transport away from the site of infection would then lead to a visceralised infection. However, the mechanism of dissemination has yet to be fully elucidated. By whichever method, the dermal inoculation of </w:t>
      </w:r>
      <w:r w:rsidRPr="008B3AD6">
        <w:rPr>
          <w:i/>
          <w:color w:val="000000" w:themeColor="text1"/>
        </w:rPr>
        <w:t>Leishmania</w:t>
      </w:r>
      <w:r w:rsidRPr="008B3AD6">
        <w:rPr>
          <w:color w:val="000000" w:themeColor="text1"/>
        </w:rPr>
        <w:t xml:space="preserve"> in human hosts eventually manifests as an ongoing infection within the viscera, with the liver as one of the key sites of infection.</w:t>
      </w:r>
    </w:p>
    <w:p w14:paraId="5A36644E" w14:textId="77777777" w:rsidR="00AB3115" w:rsidRPr="008B3AD6" w:rsidRDefault="00AB3115" w:rsidP="00AB3115">
      <w:pPr>
        <w:spacing w:line="360" w:lineRule="auto"/>
        <w:rPr>
          <w:b/>
          <w:color w:val="000000" w:themeColor="text1"/>
        </w:rPr>
      </w:pPr>
    </w:p>
    <w:p w14:paraId="73B2FB3F" w14:textId="77777777" w:rsidR="00AB3115" w:rsidRPr="008B3AD6" w:rsidRDefault="00AB3115" w:rsidP="00AB3115">
      <w:pPr>
        <w:pStyle w:val="Heading3"/>
        <w:rPr>
          <w:color w:val="000000" w:themeColor="text1"/>
        </w:rPr>
      </w:pPr>
      <w:bookmarkStart w:id="30" w:name="_Ref523316826"/>
      <w:bookmarkStart w:id="31" w:name="_Toc3716046"/>
      <w:r w:rsidRPr="008B3AD6">
        <w:rPr>
          <w:color w:val="000000" w:themeColor="text1"/>
        </w:rPr>
        <w:t>Hepatic Immune Response to Infection</w:t>
      </w:r>
      <w:bookmarkEnd w:id="30"/>
      <w:bookmarkEnd w:id="31"/>
    </w:p>
    <w:p w14:paraId="345D83D8" w14:textId="68DE6B4C" w:rsidR="00AB3115" w:rsidRPr="008B3AD6" w:rsidRDefault="00AB3115" w:rsidP="00AB3115">
      <w:pPr>
        <w:pStyle w:val="Heading4"/>
        <w:rPr>
          <w:color w:val="000000" w:themeColor="text1"/>
        </w:rPr>
      </w:pPr>
      <w:r w:rsidRPr="008B3AD6">
        <w:rPr>
          <w:color w:val="000000" w:themeColor="text1"/>
        </w:rPr>
        <w:t xml:space="preserve"> </w:t>
      </w:r>
      <w:bookmarkStart w:id="32" w:name="_Ref523921599"/>
      <w:bookmarkStart w:id="33" w:name="_Toc3716047"/>
      <w:r w:rsidRPr="008B3AD6">
        <w:rPr>
          <w:color w:val="000000" w:themeColor="text1"/>
        </w:rPr>
        <w:t>Early Infection Events</w:t>
      </w:r>
      <w:bookmarkEnd w:id="32"/>
      <w:bookmarkEnd w:id="33"/>
    </w:p>
    <w:p w14:paraId="3015E4DD" w14:textId="77777777" w:rsidR="00270093" w:rsidRPr="002D1044" w:rsidRDefault="00EF467F" w:rsidP="00B23FF8">
      <w:pPr>
        <w:spacing w:line="360" w:lineRule="auto"/>
        <w:jc w:val="both"/>
      </w:pPr>
      <w:r w:rsidRPr="008B3AD6">
        <w:rPr>
          <w:color w:val="000000" w:themeColor="text1"/>
        </w:rPr>
        <w:t xml:space="preserve">The liver is highly perfused with </w:t>
      </w:r>
      <w:r w:rsidR="00DD5152">
        <w:rPr>
          <w:color w:val="000000" w:themeColor="text1"/>
        </w:rPr>
        <w:t xml:space="preserve">low pressure vascular channels </w:t>
      </w:r>
      <w:r w:rsidRPr="008B3AD6">
        <w:rPr>
          <w:color w:val="000000" w:themeColor="text1"/>
        </w:rPr>
        <w:t xml:space="preserve">called sinusoids. Within these blood vessels one of the major cell types found is the hepatic tissue resident macrophage, also known as Kupffer cells (KCs) </w:t>
      </w:r>
      <w:r w:rsidRPr="008B3AD6">
        <w:rPr>
          <w:color w:val="000000" w:themeColor="text1"/>
        </w:rPr>
        <w:fldChar w:fldCharType="begin"/>
      </w:r>
      <w:r w:rsidRPr="008B3AD6">
        <w:rPr>
          <w:color w:val="000000" w:themeColor="text1"/>
        </w:rPr>
        <w:instrText xml:space="preserve"> ADDIN ZOTERO_ITEM CSL_CITATION {"citationID":"jZKwRHRE","properties":{"formattedCitation":"(De Leeuw, Brouwer, and Knook 1990; Du et al. 2017)","plainCitation":"(De Leeuw, Brouwer, and Knook 1990; Du et al. 2017)","noteIndex":0},"citationItems":[{"id":3078,"uris":["http://zotero.org/users/2628971/items/MFF6PEJS"],"uri":["http://zotero.org/users/2628971/items/MFF6PEJS"],"itemData":{"id":3078,"type":"article-journal","title":"Sinusoidal endothelial cells of the liver: fine structure and function in relation to age","container-title":"Journal of Electron Microscopy Technique","page":"218-236","volume":"14","issue":"3","source":"PubMed","abstract":"Liver endothelial cells form a continuous lining of the liver capillaries, or sinusoids, separating parenchymal cells and fat-storing cells from sinusoidal blood. Liver sinusoidal endothelial cells differ in fine structure from endothelial cells lining larger blood vessels and from other capillary endothelia in that they lack a distinct basement membrane and also contain open pores, or fenestrae, in the thin cytoplasmic projections which constitute the sinusoidal wall. This distinctive morphology supports the protective role played by liver endothelium, the cells forming a general barrier against pathogenic agents and serving as a selective sieve for substances passing from the blood to parenchymal and fat-storing cells, and vice versa. Sinusoidal endothelial cells, furthermore, significantly participate in the metabolic and clearance functions of the liver. They have been shown to be involved in the endocytosis and metabolism of a wide range of macromolecules, including glycoproteins, lipoproteins, extracellular matrix components, and inert colloids, establishing endothelial cells as a vital link in the complex network of cellular interactions and cooperation in the liver. Fine structural studies in combination with the development of cell isolation and culture techniques from both experimental animal and human liver have greatly contributed to the elucidation of these endothelial cell functions. Morphological and biochemical investigations have both revealed little changes with age except for an accumulation of iron ferritin and a decrease in the activities of glucose-6-phosphatase, Mg-ATPase, and in glucagon-stimulated adenylcyclase. Future studies are likely to disclose more fully the role of sinusoidal endothelial cells in the regulation of liver hemodynamics, in liver metabolism and blood clearance, in the maintenance of hepatic structure, in the pathogenesis of various liver diseases, and in the aging process in the liver.","DOI":"10.1002/jemt.1060140304","ISSN":"0741-0581","note":"PMID: 2187063","shortTitle":"Sinusoidal endothelial cells of the liver","journalAbbreviation":"J Electron Microsc Tech","language":"eng","author":[{"family":"De Leeuw","given":"A. M."},{"family":"Brouwer","given":"A."},{"family":"Knook","given":"D. L."}],"issued":{"date-parts":[["1990",3]]}}},{"id":3095,"uris":["http://zotero.org/users/2628971/items/UFUIQ29K"],"uri":["http://zotero.org/users/2628971/items/UFUIQ29K"],"itemData":{"id":3095,"type":"article-journal","title":"Mimicking liver sinusoidal structures and functions using a 3D-configured microfluidic chip","container-title":"Lab on a Chip","page":"782-794","volume":"17","issue":"5","source":"pubs.rsc.org","abstract":"Physiologically, four major types of hepatic cells – the liver sinusoidal endothelial cells, Kupffer cells, hepatic stellate cells, and hepatocytes – reside inside liver sinusoids and interact with flowing peripheral cells under blood flow. It is hard to mimic an in vivo liver sinusoid due to its complex multiple cell–cell interactions, spatiotemporal construction, and mechanical microenvironment. Here we developed an in vitro liver sinusoid chip by integrating the four types of primary murine hepatic cells into two adjacent fluid channels separated by a porous permeable membrane, replicating liver's key structures and configurations. Each type of cells was identified with its respective markers, and the assembled chip presented the liver-specific unique morphology of fenestration. The flow field in the liver chip was quantitatively analyzed by computational fluid dynamics simulations and particle tracking visualization tests. Intriguingly, co-culture and shear flow enhance albumin secretion independently or cooperatively, while shear flow alone enhances HGF production and CYP450 metabolism. Under lipopolysaccharide (LPS) stimulations, the hepatic cell co-culture facilitated neutrophil recruitment in the liver chip. Thus, this 3D-configured in vitro liver chip integrates the two key factors of shear flow and the four types of primary hepatic cells to replicate key structures, hepatic functions, and primary immune responses and provides a new in vitro model to investigate the short-duration hepatic cellular interactions under a microenvironment mimicking the physiology of a liver.","DOI":"10.1039/C6LC01374K","ISSN":"1473-0189","journalAbbreviation":"Lab Chip","language":"en","author":[{"family":"Du","given":"Yu"},{"family":"Li","given":"Ning"},{"family":"Yang","given":"Hao"},{"family":"Luo","given":"Chunhua"},{"family":"Gong","given":"Yixin"},{"family":"Tong","given":"Chunfang"},{"family":"Gao","given":"Yuxin"},{"family":"Lü","given":"Shouqin"},{"family":"Long","given":"Mian"}],"issued":{"date-parts":[["2017",2,28]]}}}],"schema":"https://github.com/citation-style-language/schema/raw/master/csl-citation.json"} </w:instrText>
      </w:r>
      <w:r w:rsidRPr="008B3AD6">
        <w:rPr>
          <w:color w:val="000000" w:themeColor="text1"/>
        </w:rPr>
        <w:fldChar w:fldCharType="separate"/>
      </w:r>
      <w:r w:rsidR="00025067">
        <w:rPr>
          <w:color w:val="000000" w:themeColor="text1"/>
        </w:rPr>
        <w:t>(De Leeuw, Brouwer, and Knook 1990; Du et al. 2017)</w:t>
      </w:r>
      <w:r w:rsidRPr="008B3AD6">
        <w:rPr>
          <w:color w:val="000000" w:themeColor="text1"/>
        </w:rPr>
        <w:fldChar w:fldCharType="end"/>
      </w:r>
      <w:r w:rsidRPr="008B3AD6">
        <w:rPr>
          <w:color w:val="000000" w:themeColor="text1"/>
        </w:rPr>
        <w:t xml:space="preserve">. </w:t>
      </w:r>
      <w:r w:rsidR="00270093" w:rsidRPr="002D1044">
        <w:rPr>
          <w:color w:val="000000" w:themeColor="text1"/>
        </w:rPr>
        <w:t xml:space="preserve">For </w:t>
      </w:r>
      <w:r w:rsidR="00270093" w:rsidRPr="00CF6F99">
        <w:t>humans, mice, and hamsters (among other species) the liver is a multilobular organ (Baratta et al., 2009;</w:t>
      </w:r>
      <w:r w:rsidR="00270093" w:rsidRPr="00CF6F99">
        <w:rPr>
          <w:rStyle w:val="Hyperlink"/>
          <w:color w:val="auto"/>
          <w:u w:val="none"/>
        </w:rPr>
        <w:t xml:space="preserve"> Abdel-Misih &amp; Bloomston, 2014; Murray, 2012</w:t>
      </w:r>
      <w:r w:rsidR="00270093" w:rsidRPr="00CF6F99">
        <w:t>) which plays a key role in filtering blood from the digestive tract, metabolising xenobiotics and removing toxins and/or waste products. Additionally, metabolic processes, such as protein synthesis and degradation (</w:t>
      </w:r>
      <w:r w:rsidR="00270093" w:rsidRPr="00CF6F99">
        <w:rPr>
          <w:rStyle w:val="Hyperlink"/>
          <w:color w:val="auto"/>
          <w:u w:val="none"/>
        </w:rPr>
        <w:t>Tavill, 1972</w:t>
      </w:r>
      <w:r w:rsidR="00270093" w:rsidRPr="00CF6F99">
        <w:t xml:space="preserve">) and </w:t>
      </w:r>
      <w:r w:rsidR="00270093" w:rsidRPr="00CF6F99">
        <w:rPr>
          <w:shd w:val="clear" w:color="auto" w:fill="FFFFFF"/>
        </w:rPr>
        <w:t>glycogenolysis</w:t>
      </w:r>
      <w:r w:rsidR="00270093" w:rsidRPr="00CF6F99">
        <w:t xml:space="preserve"> and </w:t>
      </w:r>
      <w:r w:rsidR="00270093" w:rsidRPr="00CE3C84">
        <w:t>gluconeogenesis</w:t>
      </w:r>
      <w:r w:rsidR="00270093">
        <w:t xml:space="preserve"> (Rui, 2014)</w:t>
      </w:r>
      <w:r w:rsidR="00270093" w:rsidRPr="00CE3C84">
        <w:t>, occur</w:t>
      </w:r>
      <w:r w:rsidR="00270093">
        <w:t xml:space="preserve"> within the liver.</w:t>
      </w:r>
    </w:p>
    <w:p w14:paraId="52F9B499" w14:textId="77777777" w:rsidR="00270093" w:rsidRDefault="00270093" w:rsidP="00B23FF8">
      <w:pPr>
        <w:spacing w:line="360" w:lineRule="auto"/>
        <w:jc w:val="both"/>
      </w:pPr>
    </w:p>
    <w:p w14:paraId="509221E8" w14:textId="77777777" w:rsidR="00270093" w:rsidRDefault="00270093" w:rsidP="00B23FF8">
      <w:pPr>
        <w:spacing w:line="360" w:lineRule="auto"/>
        <w:jc w:val="both"/>
      </w:pPr>
      <w:r>
        <w:t>The four major cell types found within the liver are hepatocytes, endothelial cells, Kupffer cells and stellate cells (</w:t>
      </w:r>
      <w:r w:rsidRPr="002D1044">
        <w:rPr>
          <w:color w:val="000000" w:themeColor="text1"/>
        </w:rPr>
        <w:t>Baratta et al., 2009</w:t>
      </w:r>
      <w:r>
        <w:t xml:space="preserve">), however there are still populations of leukocytes present (Markose et al., 2018). In humans, approximately 70-85% of the liver volume is </w:t>
      </w:r>
      <w:r>
        <w:lastRenderedPageBreak/>
        <w:t xml:space="preserve">made up of </w:t>
      </w:r>
      <w:r w:rsidRPr="00CF6F99">
        <w:t>hepatocytes (</w:t>
      </w:r>
      <w:r w:rsidRPr="00CF6F99">
        <w:rPr>
          <w:rStyle w:val="Hyperlink"/>
          <w:color w:val="auto"/>
          <w:u w:val="none"/>
        </w:rPr>
        <w:t>Zhou, Xu &amp; Gao, 2015</w:t>
      </w:r>
      <w:r w:rsidRPr="00CF6F99">
        <w:t>), with an estimated 52</w:t>
      </w:r>
      <w:r w:rsidRPr="002D1044">
        <w:rPr>
          <w:color w:val="000000" w:themeColor="text1"/>
        </w:rPr>
        <w:t>% of murine hepatic cells being hep</w:t>
      </w:r>
      <w:r>
        <w:t>atocytes (</w:t>
      </w:r>
      <w:r w:rsidRPr="002D1044">
        <w:rPr>
          <w:color w:val="000000" w:themeColor="text1"/>
        </w:rPr>
        <w:t>Baratta et al., 2009</w:t>
      </w:r>
      <w:r>
        <w:t xml:space="preserve">). Hepatocytes are well known to play a key role in the metabolic activities of the liver where they participate in protein synthesis, carbohydrate &amp; lipid metabolism and can also metabolise drugs and other exogenous compounds. </w:t>
      </w:r>
    </w:p>
    <w:p w14:paraId="112B9055" w14:textId="77777777" w:rsidR="00270093" w:rsidRDefault="00270093" w:rsidP="00B23FF8">
      <w:pPr>
        <w:spacing w:line="360" w:lineRule="auto"/>
        <w:jc w:val="both"/>
      </w:pPr>
    </w:p>
    <w:p w14:paraId="1CAC1CA1" w14:textId="568D4808" w:rsidR="00EF467F" w:rsidRPr="00B23FF8" w:rsidRDefault="00270093" w:rsidP="00EF467F">
      <w:pPr>
        <w:spacing w:line="360" w:lineRule="auto"/>
        <w:jc w:val="both"/>
      </w:pPr>
      <w:r>
        <w:t>Liver sinusoidal endothelial cells form a barrier between the blood components in the sinusoid lumen and the liver tissue outside (Poisson et al., 2017), in steady state conditions these cells help regulate sinusoidal pressure (Poisson et al., 2017) but also have some immune capabilities such as the expression of adhesion molecules and the presentation of antigen (McNamara &amp; Cockburn, 2016). Hepatic stellate cells under homeostatic conditions play a major role in retinoid regulation, with specific receptors for the uptake of retinoid and the retinoid-binding protein (Senoo, 2004), however activation of hepatic stellate cells causes their differentiation to proliferative myofibroblasts which significantly contribute to the production of extracellular matrix proteins which can lead to liver fibrosis (</w:t>
      </w:r>
      <w:r w:rsidRPr="001037B5">
        <w:t>Tsuchida &amp; Friedman</w:t>
      </w:r>
      <w:r>
        <w:t xml:space="preserve">, 2017). In a physiological state, leukocytes can also be found within the liver, especially non-typical T cells (McNamara &amp; Cockburn, 2016). CD8 and CD4 T cells can also be found within the steady state liver where they can have tolerance induced through interactions with liver sinusoidal endothelial cells or with immunosuppressive mediators, such as IL-10, produced by resident antigen presenting cells, such as KCs (Markose et al., 2018).  </w:t>
      </w:r>
    </w:p>
    <w:p w14:paraId="11D3067C" w14:textId="77777777" w:rsidR="00EF467F" w:rsidRPr="008B3AD6" w:rsidRDefault="00EF467F" w:rsidP="00EF467F">
      <w:pPr>
        <w:spacing w:line="360" w:lineRule="auto"/>
        <w:jc w:val="both"/>
        <w:rPr>
          <w:color w:val="000000" w:themeColor="text1"/>
        </w:rPr>
      </w:pPr>
    </w:p>
    <w:p w14:paraId="67AC8D26" w14:textId="39CBA71C" w:rsidR="00EF467F" w:rsidRPr="008B3AD6" w:rsidRDefault="00EF467F" w:rsidP="00EF467F">
      <w:pPr>
        <w:spacing w:line="360" w:lineRule="auto"/>
        <w:jc w:val="both"/>
        <w:rPr>
          <w:color w:val="000000" w:themeColor="text1"/>
        </w:rPr>
      </w:pPr>
      <w:r w:rsidRPr="008B3AD6">
        <w:rPr>
          <w:color w:val="000000" w:themeColor="text1"/>
        </w:rPr>
        <w:t xml:space="preserve">Due to their residence in the lumen of the sinusoid, KCs are able to interact with pathogens, xenobiotics, liposomes and various nanoparticles </w:t>
      </w:r>
      <w:r w:rsidRPr="008B3AD6">
        <w:rPr>
          <w:color w:val="000000" w:themeColor="text1"/>
        </w:rPr>
        <w:fldChar w:fldCharType="begin"/>
      </w:r>
      <w:r w:rsidRPr="008B3AD6">
        <w:rPr>
          <w:color w:val="000000" w:themeColor="text1"/>
        </w:rPr>
        <w:instrText xml:space="preserve"> ADDIN ZOTERO_ITEM CSL_CITATION {"citationID":"k3NiJG2h","properties":{"formattedCitation":"(Kolios, Valatas, and Kouroumalis 2006; Tan and Webster 2018)","plainCitation":"(Kolios, Valatas, and Kouroumalis 2006; Tan and Webster 2018)","noteIndex":0},"citationItems":[{"id":3039,"uris":["http://zotero.org/users/2628971/items/789IJSUQ"],"uri":["http://zotero.org/users/2628971/items/789IJSUQ"],"itemData":{"id":3039,"type":"article-journal","title":"Role of Kupffer cells in the pathogenesis of liver disease","container-title":"World Journal of Gastroenterology : WJG","page":"7413-7420","volume":"12","issue":"46","source":"PubMed Central","abstract":"Kupffer cells, the resident liver macrophages have long been considered as mostly scavenger cells responsible for removing particulate material from the portal circulation. However, evidence derived mostly from animal models, indicates that Kupffer cells may be implicated in the pathogenesis of various liver diseases including viral hepatitis, steatohepatitis, alcoholic liver disease, intrahepatic cholestasis, activation or rejection of the liver during liver transplantation and liver fibrosis. There is accumulating evidence, reviewed in this paper, suggesting that Kupffer cells may act both as effector cells in the destruction of hepatocytes by producing harmful soluble mediators as well as antigen presenting cells during viral infections of the liver. Moreover they may represent a significant source of chemoattractant molecules for cytotoxic CD8 and regulatory T cells. Their role in fibrosis is well established as they are one of the main sources of TGFβ1 production, which leads to the transformation of stellate cells into myofibroblasts. Whether all these variable functions in the liver are mediated by different Kupffer cell subpopulations remains to be evaluated. In this review we propose a model that demonstrates the role of Kupffer cells in the pathogenesis of liver disease.","DOI":"10.3748/wjg.v12.i46.7413","ISSN":"1007-9327","note":"PMID: 17167827\nPMCID: PMC4087584","journalAbbreviation":"World J Gastroenterol","author":[{"family":"Kolios","given":"George"},{"family":"Valatas","given":"Vassilis"},{"family":"Kouroumalis","given":"Elias"}],"issued":{"date-parts":[["2006",12,14]]}}},{"id":3077,"uris":["http://zotero.org/users/2628971/items/MCTJ37H4"],"uri":["http://zotero.org/users/2628971/items/MCTJ37H4"],"itemData":{"id":3077,"type":"chapter","title":"Histology, Kupffer Cell","container-title":"StatPearls","publisher":"StatPearls Publishing","publisher-place":"Treasure Island (FL)","source":"PubMed","event-place":"Treasure Island (FL)","abstract":"Kupffer cells (also known as stellate sinusoidal macrophages or Kupffer-Browicz cells) are macrophages found in the sinusoids of the liver. In fact, Kupffer cells make up 80% to 90% of all the macrophages in the entire human body. They are a component of the host immune system and are involved in the metabolism of various compounds. Once thought to be related to the endothelial cells, it is now known that the Kupffer cells descend from their own lineage of macrophages, derived from the yolk sac rather than from hematopoietic stem cells. Differentiation of Kupffer cells are regulated by macrophage colony-stimulating factors (M-CSFs) found in the serum and liver, as well as granulocyte-macrophage colony-stimulating factors (GM-CSFs). Kupffer cells can be found in both centrilobular and periportal regions of the liver, but they are typically more concentrated in the periportal regions of the liver. However, the cells in the two regions can differ in certain enzymes, receptors, and subcellular structures.","URL":"http://www.ncbi.nlm.nih.gov/books/NBK493226/","call-number":"NBK493226","note":"PMID: 29630278","language":"eng","author":[{"family":"Tan","given":"Michael L."},{"family":"Webster","given":"Daniel R."}],"issued":{"date-parts":[["2018"]]},"accessed":{"date-parts":[["2018",8,5]]}}}],"schema":"https://github.com/citation-style-language/schema/raw/master/csl-citation.json"} </w:instrText>
      </w:r>
      <w:r w:rsidRPr="008B3AD6">
        <w:rPr>
          <w:color w:val="000000" w:themeColor="text1"/>
        </w:rPr>
        <w:fldChar w:fldCharType="separate"/>
      </w:r>
      <w:r w:rsidR="00025067">
        <w:rPr>
          <w:color w:val="000000" w:themeColor="text1"/>
        </w:rPr>
        <w:t>(Kolios, Valatas, and Kouroumalis 2006; Tan and Webster 2018)</w:t>
      </w:r>
      <w:r w:rsidRPr="008B3AD6">
        <w:rPr>
          <w:color w:val="000000" w:themeColor="text1"/>
        </w:rPr>
        <w:fldChar w:fldCharType="end"/>
      </w:r>
      <w:r w:rsidRPr="008B3AD6">
        <w:rPr>
          <w:color w:val="000000" w:themeColor="text1"/>
        </w:rPr>
        <w:t xml:space="preserve"> in the blood supply. Predominantly the uptake of these entities by KCs is dependent on either phagocytosis or pinocytosis </w:t>
      </w:r>
      <w:r w:rsidRPr="008B3AD6">
        <w:rPr>
          <w:b/>
          <w:color w:val="000000" w:themeColor="text1"/>
        </w:rPr>
        <w:fldChar w:fldCharType="begin"/>
      </w:r>
      <w:r w:rsidRPr="008B3AD6">
        <w:rPr>
          <w:b/>
          <w:color w:val="000000" w:themeColor="text1"/>
        </w:rPr>
        <w:instrText xml:space="preserve"> ADDIN ZOTERO_ITEM CSL_CITATION {"citationID":"C3mk2UkT","properties":{"formattedCitation":"(Bilzer, Roggel, and Gerbes 2006; Tan and Webster 2018)","plainCitation":"(Bilzer, Roggel, and Gerbes 2006; Tan and Webster 2018)","noteIndex":0},"citationItems":[{"id":3036,"uris":["http://zotero.org/users/2628971/items/6VGCIHVQ"],"uri":["http://zotero.org/users/2628971/items/6VGCIHVQ"],"itemData":{"id":3036,"type":"article-journal","title":"Role of Kupffer cells in host defense and liver disease","container-title":"Liver International","page":"1175-1186","volume":"26","issue":"10","source":"Wiley Online Library","abstract":"Abstract: Kupffer cells (KC) constitute 80–90% of the tissue macrophages present in the body. They reside within the lumen of the liver sinusoids, and are therefore constantly exposed to gut-derived bacteria, microbial debris and bacterial endotoxins, known to activate macrophages. Upon activation KC release various products, including cytokines, prostanoides, nitric oxide and reactive oxygen species. These factors regulate the phenotype of KC themselves, and the phenotypes of neighboring cells, such as hepatocytes, stellate cells, endothelial cells and other immune cells that traffic through the liver. Therefore, KC are intimately involved in the liver's response to infection, toxins, ischemia, resection and other stresses. This review summarizes established basic concepts of KC function as well as their role in the pathogenesis of various liver diseases.","DOI":"10.1111/j.1478-3231.2006.01342.x","ISSN":"1478-3231","language":"en","author":[{"family":"Bilzer","given":"Manfred"},{"family":"Roggel","given":"Frigga"},{"family":"Gerbes","given":"Alexander L."}],"issued":{"date-parts":[["2006",12,1]]}}},{"id":3077,"uris":["http://zotero.org/users/2628971/items/MCTJ37H4"],"uri":["http://zotero.org/users/2628971/items/MCTJ37H4"],"itemData":{"id":3077,"type":"chapter","title":"Histology, Kupffer Cell","container-title":"StatPearls","publisher":"StatPearls Publishing","publisher-place":"Treasure Island (FL)","source":"PubMed","event-place":"Treasure Island (FL)","abstract":"Kupffer cells (also known as stellate sinusoidal macrophages or Kupffer-Browicz cells) are macrophages found in the sinusoids of the liver. In fact, Kupffer cells make up 80% to 90% of all the macrophages in the entire human body. They are a component of the host immune system and are involved in the metabolism of various compounds. Once thought to be related to the endothelial cells, it is now known that the Kupffer cells descend from their own lineage of macrophages, derived from the yolk sac rather than from hematopoietic stem cells. Differentiation of Kupffer cells are regulated by macrophage colony-stimulating factors (M-CSFs) found in the serum and liver, as well as granulocyte-macrophage colony-stimulating factors (GM-CSFs). Kupffer cells can be found in both centrilobular and periportal regions of the liver, but they are typically more concentrated in the periportal regions of the liver. However, the cells in the two regions can differ in certain enzymes, receptors, and subcellular structures.","URL":"http://www.ncbi.nlm.nih.gov/books/NBK493226/","call-number":"NBK493226","note":"PMID: 29630278","language":"eng","author":[{"family":"Tan","given":"Michael L."},{"family":"Webster","given":"Daniel R."}],"issued":{"date-parts":[["2018"]]},"accessed":{"date-parts":[["2018",8,5]]}}}],"schema":"https://github.com/citation-style-language/schema/raw/master/csl-citation.json"} </w:instrText>
      </w:r>
      <w:r w:rsidRPr="008B3AD6">
        <w:rPr>
          <w:b/>
          <w:color w:val="000000" w:themeColor="text1"/>
        </w:rPr>
        <w:fldChar w:fldCharType="separate"/>
      </w:r>
      <w:r w:rsidR="00025067">
        <w:rPr>
          <w:color w:val="000000"/>
          <w:lang w:val="en-US"/>
        </w:rPr>
        <w:t>(Bilzer, Roggel, and Gerbes 2006; Tan and Webster 2018)</w:t>
      </w:r>
      <w:r w:rsidRPr="008B3AD6">
        <w:rPr>
          <w:b/>
          <w:color w:val="000000" w:themeColor="text1"/>
        </w:rPr>
        <w:fldChar w:fldCharType="end"/>
      </w:r>
      <w:r w:rsidRPr="008B3AD6">
        <w:rPr>
          <w:color w:val="000000" w:themeColor="text1"/>
        </w:rPr>
        <w:t xml:space="preserve">. Processing of this absorbed material allows for the surface presentation of peptides and lipids </w:t>
      </w:r>
      <w:r w:rsidRPr="008B3AD6">
        <w:rPr>
          <w:b/>
          <w:color w:val="000000" w:themeColor="text1"/>
        </w:rPr>
        <w:fldChar w:fldCharType="begin"/>
      </w:r>
      <w:r w:rsidRPr="008B3AD6">
        <w:rPr>
          <w:b/>
          <w:color w:val="000000" w:themeColor="text1"/>
        </w:rPr>
        <w:instrText xml:space="preserve"> ADDIN ZOTERO_ITEM CSL_CITATION {"citationID":"Y21JSGgP","properties":{"formattedCitation":"(You et al. 2008)","plainCitation":"(You et al. 2008)","noteIndex":0},"citationItems":[{"id":3317,"uris":["http://zotero.org/users/2628971/items/X43MCVYN"],"uri":["http://zotero.org/users/2628971/items/X43MCVYN"],"itemData":{"id":3317,"type":"article-journal","title":"Mechanism of T cell tolerance induction by murine hepatic Kupffer cells","container-title":"Hepatology (Baltimore, Md.)","page":"978-990","volume":"48","issue":"3","source":"PubMed","abstract":"The liver is known to favor the induction of immunological tolerance rather than immunity. Although Kupffer cells (KC) have been indicated to play a role in liver tolerance to allografts and soluble antigens, the mechanisms involved remain unclear. We hypothesized that KCs could promote immune tolerance by acting as incompetent antigen-presenting cells (APC), as well as actively suppressing T cell activation induced by other potent APCs. The expression of antigen presentation-related molecules by KCs was phenotyped by flow cytometry. The abilities of KCs to act as APCs and to suppress T cell activation induced by splenic dendritic cells (DC) were examined by in vitro proliferation assays using CD4(+) OVA-TCR (ovalbumin T cell receptor) transgenic T cells. We found that, compared with DCs, KCs expressed significantly lower levels of major histocompatibility complex (MHC) II, B7-1, B7-2, and CD40. This result is consistent with our observation that KCs were not as potent as DCs in eliciting OVA-specific T cell proliferation. However, KCs isolated from polyinosinic:polycytidylic acid-treated mice expressed significantly higher levels of MHC II and costimulatory molecules than did naïve KCs and could stimulate stronger T cell responses. More importantly, we found that KCs could inhibit DC-induced OVA-specific T cell activation. Further investigation of the underlying mechanism revealed that prostaglandins produced by KCs played an important role. The results ruled out the possible involvement of interleukin-10, nitric oxide, 2,3-dioxygenase, and transforming growth factor beta in KC-mediated T cell suppression.\nCONCLUSION: Our data indicate that KCs are a tolerogenic APC population within the liver. These findings suggest that KCs may play a critical role in regulating immune reactions within the liver and contributing to liver-mediated systemic immune tolerance. (HEPATOLOGY 2008.).","DOI":"10.1002/hep.22395","ISSN":"1527-3350","note":"PMID: 18712788\nPMCID: PMC2600585","journalAbbreviation":"Hepatology","language":"eng","author":[{"family":"You","given":"Qiang"},{"family":"Cheng","given":"Linling"},{"family":"Kedl","given":"Ross M."},{"family":"Ju","given":"Cynthia"}],"issued":{"date-parts":[["2008",9]]}}}],"schema":"https://github.com/citation-style-language/schema/raw/master/csl-citation.json"} </w:instrText>
      </w:r>
      <w:r w:rsidRPr="008B3AD6">
        <w:rPr>
          <w:b/>
          <w:color w:val="000000" w:themeColor="text1"/>
        </w:rPr>
        <w:fldChar w:fldCharType="separate"/>
      </w:r>
      <w:r w:rsidR="00025067">
        <w:rPr>
          <w:color w:val="000000"/>
          <w:lang w:val="en-US"/>
        </w:rPr>
        <w:t>(You et al. 2008)</w:t>
      </w:r>
      <w:r w:rsidRPr="008B3AD6">
        <w:rPr>
          <w:b/>
          <w:color w:val="000000" w:themeColor="text1"/>
        </w:rPr>
        <w:fldChar w:fldCharType="end"/>
      </w:r>
      <w:r w:rsidRPr="008B3AD6">
        <w:rPr>
          <w:color w:val="000000" w:themeColor="text1"/>
        </w:rPr>
        <w:t xml:space="preserve">, among other compounds, on major histocompatibility complex (MHC)-encoded antigens allowing for activation of adaptive immunity </w:t>
      </w:r>
      <w:r w:rsidRPr="000C4AEE">
        <w:rPr>
          <w:color w:val="000000" w:themeColor="text1"/>
        </w:rPr>
        <w:fldChar w:fldCharType="begin"/>
      </w:r>
      <w:r w:rsidRPr="000C4AEE">
        <w:rPr>
          <w:color w:val="000000" w:themeColor="text1"/>
        </w:rPr>
        <w:instrText xml:space="preserve"> ADDIN ZOTERO_ITEM CSL_CITATION {"citationID":"iORVHV5A","properties":{"formattedCitation":"(Amprey et al. 2004; You et al. 2008)","plainCitation":"(Amprey et al. 2004; You et al. 2008)","noteIndex":0},"citationItems":[{"id":2478,"uris":["http://zotero.org/users/2628971/items/TRDFGX4B"],"uri":["http://zotero.org/users/2628971/items/TRDFGX4B"],"itemData":{"id":2478,"type":"article-journal","title":"A Subset of Liver NK T Cells Is Activated during &lt;i&gt;Leishmania donovani&lt;/i&gt; Infection by CD1d-bound Lipophosphoglycan","container-title":"The Journal of Experimental Medicine","page":"895-904","volume":"200","issue":"7","source":"CrossRef","DOI":"10.1084/jem.20040704","ISSN":"0022-1007, 1540-9538","language":"en","author":[{"family":"Amprey","given":"Joseph L."},{"family":"Im","given":"Jin S."},{"family":"Turco","given":"Salvatore J."},{"family":"Murray","given":"Henry W."},{"family":"Illarionov","given":"Petr A."},{"family":"Besra","given":"Gurdyal S."},{"family":"Porcelli","given":"Steven A."},{"family":"Späth","given":"Gerald F."}],"issued":{"date-parts":[["2004",10,4]]}}},{"id":3317,"uris":["http://zotero.org/users/2628971/items/X43MCVYN"],"uri":["http://zotero.org/users/2628971/items/X43MCVYN"],"itemData":{"id":3317,"type":"article-journal","title":"Mechanism of T cell tolerance induction by murine hepatic Kupffer cells","container-title":"Hepatology (Baltimore, Md.)","page":"978-990","volume":"48","issue":"3","source":"PubMed","abstract":"The liver is known to favor the induction of immunological tolerance rather than immunity. Although Kupffer cells (KC) have been indicated to play a role in liver tolerance to allografts and soluble antigens, the mechanisms involved remain unclear. We hypothesized that KCs could promote immune tolerance by acting as incompetent antigen-presenting cells (APC), as well as actively suppressing T cell activation induced by other potent APCs. The expression of antigen presentation-related molecules by KCs was phenotyped by flow cytometry. The abilities of KCs to act as APCs and to suppress T cell activation induced by splenic dendritic cells (DC) were examined by in vitro proliferation assays using CD4(+) OVA-TCR (ovalbumin T cell receptor) transgenic T cells. We found that, compared with DCs, KCs expressed significantly lower levels of major histocompatibility complex (MHC) II, B7-1, B7-2, and CD40. This result is consistent with our observation that KCs were not as potent as DCs in eliciting OVA-specific T cell proliferation. However, KCs isolated from polyinosinic:polycytidylic acid-treated mice expressed significantly higher levels of MHC II and costimulatory molecules than did naïve KCs and could stimulate stronger T cell responses. More importantly, we found that KCs could inhibit DC-induced OVA-specific T cell activation. Further investigation of the underlying mechanism revealed that prostaglandins produced by KCs played an important role. The results ruled out the possible involvement of interleukin-10, nitric oxide, 2,3-dioxygenase, and transforming growth factor beta in KC-mediated T cell suppression.\nCONCLUSION: Our data indicate that KCs are a tolerogenic APC population within the liver. These findings suggest that KCs may play a critical role in regulating immune reactions within the liver and contributing to liver-mediated systemic immune tolerance. (HEPATOLOGY 2008.).","DOI":"10.1002/hep.22395","ISSN":"1527-3350","note":"PMID: 18712788\nPMCID: PMC2600585","journalAbbreviation":"Hepatology","language":"eng","author":[{"family":"You","given":"Qiang"},{"family":"Cheng","given":"Linling"},{"family":"Kedl","given":"Ross M."},{"family":"Ju","given":"Cynthia"}],"issued":{"date-parts":[["2008",9]]}}}],"schema":"https://github.com/citation-style-language/schema/raw/master/csl-citation.json"} </w:instrText>
      </w:r>
      <w:r w:rsidRPr="000C4AEE">
        <w:rPr>
          <w:color w:val="000000" w:themeColor="text1"/>
        </w:rPr>
        <w:fldChar w:fldCharType="separate"/>
      </w:r>
      <w:r w:rsidR="00025067" w:rsidRPr="000C4AEE">
        <w:rPr>
          <w:color w:val="000000"/>
          <w:lang w:val="en-US"/>
        </w:rPr>
        <w:t>(Amprey et al. 2004; You et al. 2008)</w:t>
      </w:r>
      <w:r w:rsidRPr="000C4AEE">
        <w:rPr>
          <w:color w:val="000000" w:themeColor="text1"/>
        </w:rPr>
        <w:fldChar w:fldCharType="end"/>
      </w:r>
      <w:r w:rsidR="000C4AEE" w:rsidRPr="000C4AEE">
        <w:rPr>
          <w:color w:val="000000" w:themeColor="text1"/>
        </w:rPr>
        <w:t>.</w:t>
      </w:r>
      <w:r w:rsidR="00DD5152" w:rsidRPr="000C4AEE">
        <w:rPr>
          <w:color w:val="000000" w:themeColor="text1"/>
        </w:rPr>
        <w:t xml:space="preserve"> </w:t>
      </w:r>
      <w:r w:rsidR="000C4AEE" w:rsidRPr="000C4AEE">
        <w:rPr>
          <w:color w:val="000000" w:themeColor="text1"/>
        </w:rPr>
        <w:t>I</w:t>
      </w:r>
      <w:r w:rsidR="00DD5152" w:rsidRPr="000C4AEE">
        <w:rPr>
          <w:color w:val="000000" w:themeColor="text1"/>
        </w:rPr>
        <w:t>n homeostatic</w:t>
      </w:r>
      <w:r w:rsidR="00DD5152">
        <w:rPr>
          <w:color w:val="000000" w:themeColor="text1"/>
        </w:rPr>
        <w:t xml:space="preserve"> conditions</w:t>
      </w:r>
      <w:r w:rsidR="000C4AEE">
        <w:rPr>
          <w:color w:val="000000" w:themeColor="text1"/>
        </w:rPr>
        <w:t xml:space="preserve"> however,</w:t>
      </w:r>
      <w:r w:rsidR="00DD5152">
        <w:rPr>
          <w:color w:val="000000" w:themeColor="text1"/>
        </w:rPr>
        <w:t xml:space="preserve"> the </w:t>
      </w:r>
      <w:r w:rsidR="000C4AEE">
        <w:rPr>
          <w:color w:val="000000" w:themeColor="text1"/>
        </w:rPr>
        <w:t>liver favours immunotolerance to prevent the development of an inflammatory response to absorbed material from sources such as food</w:t>
      </w:r>
      <w:r w:rsidRPr="008B3AD6">
        <w:rPr>
          <w:b/>
          <w:color w:val="000000" w:themeColor="text1"/>
        </w:rPr>
        <w:t xml:space="preserve">. </w:t>
      </w:r>
      <w:r w:rsidR="000C4AEE">
        <w:rPr>
          <w:color w:val="000000" w:themeColor="text1"/>
        </w:rPr>
        <w:t xml:space="preserve">KCs are thought to play a key role in this via multiple mechanisms including the induction of IL-10 production </w:t>
      </w:r>
      <w:r w:rsidR="000C4AEE">
        <w:rPr>
          <w:color w:val="000000" w:themeColor="text1"/>
        </w:rPr>
        <w:fldChar w:fldCharType="begin"/>
      </w:r>
      <w:r w:rsidR="00C80233">
        <w:rPr>
          <w:color w:val="000000" w:themeColor="text1"/>
        </w:rPr>
        <w:instrText xml:space="preserve"> ADDIN ZOTERO_ITEM CSL_CITATION {"citationID":"BbsNBXKa","properties":{"formattedCitation":"(Breous et al. 2009)","plainCitation":"(Breous et al. 2009)","noteIndex":0},"citationItems":[{"id":3810,"uris":["http://zotero.org/users/2628971/items/6T7JLVUK"],"uri":["http://zotero.org/users/2628971/items/6T7JLVUK"],"itemData":{"id":3810,"type":"article-journal","title":"Hepatic regulatory T cells and Kupffer cells are crucial mediators of systemic T cell tolerance to antigens targeting murine liver","container-title":"Hepatology (Baltimore, Md.)","page":"612-621","volume":"50","issue":"2","source":"PubMed Central","abstract":"The mechanisms of tolerance in the liver that limit susceptibility to food allergy and that mediate the acceptance of liver transplants even with a complete MHC mismatch remain poorly defined. Here we report that in a model of liver-directed gene transfer cytotoxic T lymphocyte (CTL) responses to non-self antigens are controlled by hepatic regulatory T cells (Tregs) that secrete the immunosuppressive cytokine interleukin (IL)-10 in response to the antigen. In addition, Kupffer cells (KCs), normally thought to initiate immune responses, are rendered tolerogenic in this context. The depletion of KCs results in a complete abrogation of IL-10 production by hepatic Tregs, indicating an interaction between Tregs and KCs in the induction of tolerance.","DOI":"10.1002/hep.23043","ISSN":"0270-9139","note":"PMID: 19575456\nPMCID: PMC4380144","journalAbbreviation":"Hepatology","author":[{"family":"Breous","given":"Ekaterina"},{"family":"Somanathan","given":"Suryanarayan"},{"family":"Vandenberghe","given":"Luk H."},{"family":"Wilson","given":"James M."}],"issued":{"date-parts":[["2009",8]]}}}],"schema":"https://github.com/citation-style-language/schema/raw/master/csl-citation.json"} </w:instrText>
      </w:r>
      <w:r w:rsidR="000C4AEE">
        <w:rPr>
          <w:color w:val="000000" w:themeColor="text1"/>
        </w:rPr>
        <w:fldChar w:fldCharType="separate"/>
      </w:r>
      <w:r w:rsidR="00C80233" w:rsidRPr="00C80233">
        <w:rPr>
          <w:color w:val="000000"/>
          <w:lang w:val="en-US"/>
        </w:rPr>
        <w:t>(Breous et al. 2009)</w:t>
      </w:r>
      <w:r w:rsidR="000C4AEE">
        <w:rPr>
          <w:color w:val="000000" w:themeColor="text1"/>
        </w:rPr>
        <w:fldChar w:fldCharType="end"/>
      </w:r>
      <w:r w:rsidR="000C4AEE">
        <w:rPr>
          <w:color w:val="000000" w:themeColor="text1"/>
        </w:rPr>
        <w:fldChar w:fldCharType="begin"/>
      </w:r>
      <w:r w:rsidR="000C4AEE">
        <w:rPr>
          <w:color w:val="000000" w:themeColor="text1"/>
        </w:rPr>
        <w:instrText xml:space="preserve"> ADDIN ZOTERO_TEMP </w:instrText>
      </w:r>
      <w:r w:rsidR="000C4AEE">
        <w:rPr>
          <w:color w:val="000000" w:themeColor="text1"/>
        </w:rPr>
        <w:fldChar w:fldCharType="separate"/>
      </w:r>
      <w:r w:rsidR="000C4AEE">
        <w:rPr>
          <w:noProof/>
          <w:color w:val="000000" w:themeColor="text1"/>
        </w:rPr>
        <w:t xml:space="preserve"> </w:t>
      </w:r>
      <w:r w:rsidR="000C4AEE">
        <w:rPr>
          <w:color w:val="000000" w:themeColor="text1"/>
        </w:rPr>
        <w:fldChar w:fldCharType="end"/>
      </w:r>
      <w:r w:rsidR="000C4AEE">
        <w:rPr>
          <w:color w:val="000000" w:themeColor="text1"/>
        </w:rPr>
        <w:t xml:space="preserve"> and suppression of CD4</w:t>
      </w:r>
      <w:r w:rsidR="000C4AEE" w:rsidRPr="000C4AEE">
        <w:rPr>
          <w:color w:val="000000" w:themeColor="text1"/>
          <w:vertAlign w:val="superscript"/>
        </w:rPr>
        <w:t>+</w:t>
      </w:r>
      <w:r w:rsidR="000C4AEE">
        <w:rPr>
          <w:color w:val="000000" w:themeColor="text1"/>
        </w:rPr>
        <w:t xml:space="preserve"> T cells </w:t>
      </w:r>
      <w:r w:rsidR="000C4AEE">
        <w:rPr>
          <w:color w:val="000000" w:themeColor="text1"/>
        </w:rPr>
        <w:fldChar w:fldCharType="begin"/>
      </w:r>
      <w:r w:rsidR="00C80233">
        <w:rPr>
          <w:color w:val="000000" w:themeColor="text1"/>
        </w:rPr>
        <w:instrText xml:space="preserve"> ADDIN ZOTERO_ITEM CSL_CITATION {"citationID":"D7z0boVH","properties":{"formattedCitation":"(Heymann et al. 2015)","plainCitation":"(Heymann et al. 2015)","noteIndex":0},"citationItems":[{"id":3813,"uris":["http://zotero.org/users/2628971/items/SIR7AM3X"],"uri":["http://zotero.org/users/2628971/items/SIR7AM3X"],"itemData":{"id":3813,"type":"article-journal","title":"Liver inflammation abrogates immunological tolerance induced by Kupffer cells","container-title":"Hepatology (Baltimore, Md.)","page":"279-291","volume":"62","issue":"1","source":"PubMed","abstract":"The liver is essential for inducing immunological tolerance toward harmless antigens to maintain immune system homeostasis. However, the precise cellular mechanisms of tolerance induction against particle-bound antigens, the role of the local hepatic microenvironment, and implications for therapeutic targets in immune-mediated diseases are currently unclear. In order to elucidate cellular mechanisms of tolerance induction in healthy and injured liver, we developed a novel in vivo system combining the systemic delivery of low-dose peptide antigens coupled to inert particles, immunological readouts, and sophisticated intravital multiphoton microscopy-based imaging of liver in mice. We show that liver resident macrophages, Kupffer cells (KCs), but not hepatic monocyte-derived macrophages or dendritic cells (DCs), are the central cellular scavenger for circulating particle-associated antigens in homeostasis. KC-associated antigen presentation induces CD4 T-cell arrest, expansion of naturally occurring Foxp3(+) CD25(+) interleukin-10-producing antigen-specific regulatory T cells (Tregs) and tolerogenic immunity. Particle-associated tolerance induction in the liver protected mice from kidney inflammation in T-cell-mediated glomerulonephritis, indicating therapeutic potential of targeting KC for immune-mediated extrahepatic disorders. Liver inflammation in two independent experimental models of chronic liver injury and fibrosis abrogated tolerance induction and led to an immunogenic reprogramming of antigen-specific CD4 T cells. In injured liver, infiltrating monocyte-derived macrophages largely augment the hepatic phagocyte compartment, resulting in antigen redistribution between myeloid cell populations and, simultaneously, KCs lose signature markers of their tolerogenic phenotype.\nCONCLUSIONS: Hepatic induction of tissue-protective immunological tolerance against particulate antigens is dependent on KCs as well as on a noninflamed liver microenvironment, thereby providing mechanistic explanations for the clinical observation of immune dysfunction and tolerance break in patients with advanced liver diseases.","DOI":"10.1002/hep.27793","ISSN":"1527-3350","note":"PMID: 25810240","journalAbbreviation":"Hepatology","language":"eng","author":[{"family":"Heymann","given":"Felix"},{"family":"Peusquens","given":"Julia"},{"family":"Ludwig-Portugall","given":"Isis"},{"family":"Kohlhepp","given":"Marlene"},{"family":"Ergen","given":"Can"},{"family":"Niemietz","given":"Patricia"},{"family":"Martin","given":"Christian"},{"family":"Rooijen","given":"Nico","non-dropping-particle":"van"},{"family":"Ochando","given":"Jordi C."},{"family":"Randolph","given":"Gwendalyn J."},{"family":"Luedde","given":"Tom"},{"family":"Ginhoux","given":"Florent"},{"family":"Kurts","given":"Christian"},{"family":"Trautwein","given":"Christian"},{"family":"Tacke","given":"Frank"}],"issued":{"date-parts":[["2015",7]]}}}],"schema":"https://github.com/citation-style-language/schema/raw/master/csl-citation.json"} </w:instrText>
      </w:r>
      <w:r w:rsidR="000C4AEE">
        <w:rPr>
          <w:color w:val="000000" w:themeColor="text1"/>
        </w:rPr>
        <w:fldChar w:fldCharType="separate"/>
      </w:r>
      <w:r w:rsidR="00C80233" w:rsidRPr="00C80233">
        <w:rPr>
          <w:color w:val="000000"/>
          <w:lang w:val="en-US"/>
        </w:rPr>
        <w:t>(Heymann et al. 2015)</w:t>
      </w:r>
      <w:r w:rsidR="000C4AEE">
        <w:rPr>
          <w:color w:val="000000" w:themeColor="text1"/>
        </w:rPr>
        <w:fldChar w:fldCharType="end"/>
      </w:r>
      <w:r w:rsidR="000C4AEE">
        <w:rPr>
          <w:color w:val="000000" w:themeColor="text1"/>
        </w:rPr>
        <w:t xml:space="preserve">. </w:t>
      </w:r>
      <w:r w:rsidRPr="008B3AD6">
        <w:rPr>
          <w:color w:val="000000" w:themeColor="text1"/>
        </w:rPr>
        <w:t>Thus, KCs function as antigen presenting cells (APC)</w:t>
      </w:r>
      <w:r w:rsidR="000C4AEE">
        <w:rPr>
          <w:color w:val="000000" w:themeColor="text1"/>
        </w:rPr>
        <w:t xml:space="preserve"> but can also be tolerogenic</w:t>
      </w:r>
      <w:r w:rsidRPr="008B3AD6">
        <w:rPr>
          <w:color w:val="000000" w:themeColor="text1"/>
        </w:rPr>
        <w:t>.</w:t>
      </w:r>
    </w:p>
    <w:p w14:paraId="61AFDD4B" w14:textId="77777777" w:rsidR="00EF467F" w:rsidRPr="008B3AD6" w:rsidRDefault="00EF467F" w:rsidP="00EF467F">
      <w:pPr>
        <w:spacing w:line="360" w:lineRule="auto"/>
        <w:jc w:val="both"/>
        <w:rPr>
          <w:color w:val="000000" w:themeColor="text1"/>
        </w:rPr>
      </w:pPr>
    </w:p>
    <w:p w14:paraId="32C97511" w14:textId="28613610" w:rsidR="00EF467F" w:rsidRPr="008B3AD6" w:rsidRDefault="00EF467F" w:rsidP="00EF467F">
      <w:pPr>
        <w:spacing w:line="360" w:lineRule="auto"/>
        <w:jc w:val="both"/>
        <w:rPr>
          <w:color w:val="000000" w:themeColor="text1"/>
        </w:rPr>
      </w:pPr>
      <w:r w:rsidRPr="008B3AD6">
        <w:rPr>
          <w:color w:val="000000" w:themeColor="text1"/>
        </w:rPr>
        <w:t xml:space="preserve">Generally, KCs can be segregated into two subsets, one which is comparatively long-lived and radio-resistant, termed sessile, and another which have a rapid turnover and are radio-sensitive </w:t>
      </w:r>
      <w:r w:rsidRPr="008B3AD6">
        <w:rPr>
          <w:color w:val="000000" w:themeColor="text1"/>
        </w:rPr>
        <w:fldChar w:fldCharType="begin"/>
      </w:r>
      <w:r w:rsidRPr="008B3AD6">
        <w:rPr>
          <w:color w:val="000000" w:themeColor="text1"/>
        </w:rPr>
        <w:instrText xml:space="preserve"> ADDIN ZOTERO_ITEM CSL_CITATION {"citationID":"dQrzQVN8","properties":{"formattedCitation":"(Klein et al. 2007)","plainCitation":"(Klein et al. 2007)","noteIndex":0},"citationItems":[{"id":3106,"uris":["http://zotero.org/users/2628971/items/ZNZKCCPZ"],"uri":["http://zotero.org/users/2628971/items/ZNZKCCPZ"],"itemData":{"id":3106,"type":"article-journal","title":"Kupffer cell heterogeneity: functional properties of bone marrow–derived and sessile hepatic macrophages","container-title":"Blood","page":"4077-4085","volume":"110","issue":"12","source":"www.bloodjournal.org","abstract":"Kupffer cells form a large intravascular macrophage bed in the liver sinusoids. The differentiation history and diversity of Kupffer cells is disputed; some studies argue that they are derived from blood monocytes, whereas others support a local origin from intrahepatic precursor cells. In the present study, we used both flow cytometry and immunohistochemistry to distinguish 2 subsets of Kupffer cells that were revealed in the context both of bone marrow transplantation and of orthotopic liver transplantation. One subset was radiosensitive and rapidly replaced from hematogenous precursors, whereas the other was relatively radioresistant and long-lived. Both were phagocytic but only the former population was recruited into inflammatory foci in response to CD8+ T-cell activation. We propose the name “sessile” for the radioresistant Kupffer cells that do not participate in immunoinflammatory reactions. However, we found no evidence that these sessile Kupffer cells arise from immature intrahepatic precursors. Our conclusions resolve a long-standing controversy and explain how different experimental approaches may reveal one or both of these subsets.","DOI":"10.1182/blood-2007-02-073841","ISSN":"0006-4971, 1528-0020","note":"PMID: 17690256","shortTitle":"Kupffer cell heterogeneity","language":"en","author":[{"family":"Klein","given":"Ingo"},{"family":"Cornejo","given":"Judith C."},{"family":"Polakos","given":"Noelle K."},{"family":"John","given":"Beena"},{"family":"Wuensch","given":"Sherry A."},{"family":"Topham","given":"David J."},{"family":"Pierce","given":"Robert H."},{"family":"Crispe","given":"Ian Nicholas"}],"issued":{"date-parts":[["2007",12,1]]}}}],"schema":"https://github.com/citation-style-language/schema/raw/master/csl-citation.json"} </w:instrText>
      </w:r>
      <w:r w:rsidRPr="008B3AD6">
        <w:rPr>
          <w:color w:val="000000" w:themeColor="text1"/>
        </w:rPr>
        <w:fldChar w:fldCharType="separate"/>
      </w:r>
      <w:r w:rsidR="00025067">
        <w:rPr>
          <w:color w:val="000000" w:themeColor="text1"/>
        </w:rPr>
        <w:t>(Klein et al. 2007)</w:t>
      </w:r>
      <w:r w:rsidRPr="008B3AD6">
        <w:rPr>
          <w:color w:val="000000" w:themeColor="text1"/>
        </w:rPr>
        <w:fldChar w:fldCharType="end"/>
      </w:r>
      <w:r w:rsidRPr="008B3AD6">
        <w:rPr>
          <w:color w:val="000000" w:themeColor="text1"/>
        </w:rPr>
        <w:t xml:space="preserve">. Sessile KCs are resident macrophages that arise from the foetal liver, although some may be seeded into the liver by the embryonic yolk sac </w:t>
      </w:r>
      <w:r w:rsidRPr="008B3AD6">
        <w:rPr>
          <w:color w:val="000000" w:themeColor="text1"/>
        </w:rPr>
        <w:fldChar w:fldCharType="begin"/>
      </w:r>
      <w:r w:rsidR="00025067">
        <w:rPr>
          <w:color w:val="000000" w:themeColor="text1"/>
        </w:rPr>
        <w:instrText xml:space="preserve"> ADDIN ZOTERO_ITEM CSL_CITATION {"citationID":"njsrAzWA","properties":{"formattedCitation":"(Ginhoux and Guilliams 2016; Beattie et al. 2016)","plainCitation":"(Ginhoux and Guilliams 2016; Beattie et al. 2016)","noteIndex":0},"citationItems":[{"id":3057,"uris":["http://zotero.org/users/2628971/items/G8T7DLBY"],"uri":["http://zotero.org/users/2628971/items/G8T7DLBY"],"itemData":{"id":3057,"type":"article-journal","title":"Tissue-Resident Macrophage Ontogeny and Homeostasis","container-title":"Immunity","page":"439-449","volume":"44","issue":"3","source":"www.cell.com","DOI":"10.1016/j.immuni.2016.02.024","ISSN":"1074-7613","note":"PMID: 26982352","journalAbbreviation":"Immunity","language":"English","author":[{"family":"Ginhoux","given":"Florent"},{"family":"Guilliams","given":"Martin"}],"issued":{"date-parts":[["2016",3,15]]}}},{"id":3752,"uris":["http://zotero.org/users/2628971/items/X9CIQEFT"],"uri":["http://zotero.org/users/2628971/items/X9CIQEFT"],"itemData":{"id":3752,"type":"article-journal","title":"Bone marrow-derived and resident liver macrophages display unique transcriptomic signatures but similar biological functions","container-title":"Journal of Hepatology","page":"758-768","volume":"65","issue":"4","source":"PubMed Central","abstract":"Background &amp; Aims\nKupffer cells (KCs), the resident tissue macrophages of the liver, play a crucial role in the clearance of pathogens and other particulate materials that reach the systemic circulation. Recent studies have identified KCs as a yolk sac-derived resident macrophage population that is replenished independently of monocytes in the steady state. Although it is now established that following local tissue injury, bone marrow derived monocytes may infiltrate the tissue and differentiate into macrophages, the extent to which newly differentiated macrophages functionally resemble the KCs they have replaced has not been extensively studied.\n\nMethods\nWe studied the two populations of KCs using intravital microscopy, morphometric analysis and gene expression profiling. An ion homeostasis gene signature, including genes associated with scavenger receptor function and extracellular matrix deposition, allowed discrimination between these two KC sub-types.\n\nResults\nBone marrow derived “KCs” accumulating as a result of genotoxic injury, resemble but are not identical to their yolk sac counterparts. Reflecting the differential expression of scavenger receptors, yolk sac-derived KCs were more effective at accumulating acetylated low density lipoprotein, whereas surprisingly, they were poorer than bone marrow-derived KCs when assessed for uptake of a range of bacterial pathogens. The two KC populations were almost indistinguishable in regard to i) response to lipopolysaccharide challenge, ii) phagocytosis of effete red blood cells and iii) their ability to contain infection and direct granuloma formation against Leishmania donovani, a KC-tropic intracellular parasite.\n\nConclusions\nBone marrow-derived KCs differentiate locally to resemble yolk sac-derived KC in most but not all respects, with implications for models of infectious diseases, liver injury and bone marrow transplantation. In addition, the gene signature we describe adds to the tools available for distinguishing KC subpopulations based on their ontology.\n\nLay summary\nLiver macrophages play a major role in the control of infections in the liver and in the pathology associated with chronic liver diseases. It was recently shown that liver macrophages can have two different origins, however, the extent to which these populations are functionally distinct remains to be fully addressed. Our study demonstrates that whilst liver macrophages share many features in common, regardless of their origin, some subtle differences in function exist.\n\nData repository\nGene expression data are available from the European Bioinformatics Institute ArrayExpress data repository (accession number E-MTAB-4954).","DOI":"10.1016/j.jhep.2016.05.037","ISSN":"0168-8278","note":"PMID: 27262757\nPMCID: PMC5028381","journalAbbreviation":"J Hepatol","author":[{"family":"Beattie","given":"Lynette"},{"family":"Sawtell","given":"Amy"},{"family":"Mann","given":"Jason"},{"family":"Frame","given":"Teija C.M."},{"family":"Teal","given":"Bianca"},{"family":"Labastida Rivera","given":"Fabian","non-dropping-particle":"de"},{"family":"Brown","given":"Najmeeyah"},{"family":"Walwyn-Brown","given":"Katherine"},{"family":"Moore","given":"John W.J."},{"family":"MacDonald","given":"Sandy"},{"family":"Lim","given":"Eng-Kiat"},{"family":"Dalton","given":"Jane E."},{"family":"Engwerda","given":"Christian R."},{"family":"MacDonald","given":"Kelli P."},{"family":"Kaye","given":"Paul M."}],"issued":{"date-parts":[["2016",10]]}}}],"schema":"https://github.com/citation-style-language/schema/raw/master/csl-citation.json"} </w:instrText>
      </w:r>
      <w:r w:rsidRPr="008B3AD6">
        <w:rPr>
          <w:color w:val="000000" w:themeColor="text1"/>
        </w:rPr>
        <w:fldChar w:fldCharType="separate"/>
      </w:r>
      <w:r w:rsidR="00025067" w:rsidRPr="00025067">
        <w:rPr>
          <w:color w:val="000000"/>
          <w:lang w:val="en-US"/>
        </w:rPr>
        <w:t>(Ginhoux and Guilliams 2016; Beattie et al. 2016)</w:t>
      </w:r>
      <w:r w:rsidRPr="008B3AD6">
        <w:rPr>
          <w:color w:val="000000" w:themeColor="text1"/>
        </w:rPr>
        <w:fldChar w:fldCharType="end"/>
      </w:r>
      <w:r w:rsidRPr="008B3AD6">
        <w:rPr>
          <w:color w:val="000000" w:themeColor="text1"/>
        </w:rPr>
        <w:t xml:space="preserve">, and retain their proliferative ability to maintain a steady state population whereas non-sessile KCs are derived from blood monocyte precursors </w:t>
      </w:r>
      <w:r w:rsidRPr="008B3AD6">
        <w:rPr>
          <w:color w:val="000000" w:themeColor="text1"/>
        </w:rPr>
        <w:fldChar w:fldCharType="begin"/>
      </w:r>
      <w:r w:rsidRPr="008B3AD6">
        <w:rPr>
          <w:color w:val="000000" w:themeColor="text1"/>
        </w:rPr>
        <w:instrText xml:space="preserve"> ADDIN ZOTERO_ITEM CSL_CITATION {"citationID":"FIuT52EI","properties":{"formattedCitation":"(Dixon et al. 2013)","plainCitation":"(Dixon et al. 2013)","noteIndex":0},"citationItems":[{"id":3052,"uris":["http://zotero.org/users/2628971/items/DT9YDHTB"],"uri":["http://zotero.org/users/2628971/items/DT9YDHTB"],"itemData":{"id":3052,"type":"article-journal","title":"Kupffer Cells in the Liver","container-title":"Comprehensive Physiology","page":"785-797","volume":"3","issue":"2","source":"PubMed Central","abstract":"Kupffer cells are a critical component of the mononuclear phagocytic system and are central to both the hepatic and systemic response to pathogens. Kupffer cells are reemerging as critical mediators of both liver injury and repair. Kupffer cells exhibit a tremendous plasticity; depending on the local metabolic and immune environment, then can express a range of polarized phenotypes, from the proinflammatory M1 phenotype to the alternative/M2 phenotype. Multiple M2 phenotypes can be distinguished, each involved in the resolution of inflammation and wound healing. Here, we have provided an update on recent research that has contributed to the developing delineation of the contribution of Kupffer cells to different types of liver injury, with an emphasis on alcoholic and nonalcoholic liver diseases. These recent advances in our understanding of Kupffer cell function and regulation will likely provide new insights into the potential for therapeutic manipulation of Kupffer cells to promote the resolution of inflammation and enhance wound healing in liver disease.","DOI":"10.1002/cphy.c120026","ISSN":"2040-4603","note":"PMID: 23720329\nPMCID: PMC4748178","journalAbbreviation":"Compr Physiol","author":[{"family":"Dixon","given":"Laura J."},{"family":"Barnes","given":"Mark"},{"family":"Tang","given":"Hui"},{"family":"Pritchard","given":"Michele T."},{"family":"Nagy","given":"Laura E."}],"issued":{"date-parts":[["2013",4]]}}}],"schema":"https://github.com/citation-style-language/schema/raw/master/csl-citation.json"} </w:instrText>
      </w:r>
      <w:r w:rsidRPr="008B3AD6">
        <w:rPr>
          <w:color w:val="000000" w:themeColor="text1"/>
        </w:rPr>
        <w:fldChar w:fldCharType="separate"/>
      </w:r>
      <w:r w:rsidR="00025067">
        <w:rPr>
          <w:color w:val="000000" w:themeColor="text1"/>
        </w:rPr>
        <w:t>(Dixon et al. 2013)</w:t>
      </w:r>
      <w:r w:rsidRPr="008B3AD6">
        <w:rPr>
          <w:color w:val="000000" w:themeColor="text1"/>
        </w:rPr>
        <w:fldChar w:fldCharType="end"/>
      </w:r>
      <w:r w:rsidRPr="008B3AD6">
        <w:rPr>
          <w:color w:val="000000" w:themeColor="text1"/>
        </w:rPr>
        <w:t xml:space="preserve">. </w:t>
      </w:r>
    </w:p>
    <w:p w14:paraId="68ABE281" w14:textId="77777777" w:rsidR="00AB3115" w:rsidRPr="008B3AD6" w:rsidRDefault="00AB3115" w:rsidP="000E10DC">
      <w:pPr>
        <w:spacing w:line="360" w:lineRule="auto"/>
        <w:jc w:val="both"/>
        <w:rPr>
          <w:color w:val="000000" w:themeColor="text1"/>
        </w:rPr>
      </w:pPr>
    </w:p>
    <w:p w14:paraId="251D6ED8" w14:textId="54D6BFDA" w:rsidR="00AB3115" w:rsidRPr="008B3AD6" w:rsidRDefault="00EF467F" w:rsidP="000E10DC">
      <w:pPr>
        <w:spacing w:line="360" w:lineRule="auto"/>
        <w:jc w:val="both"/>
        <w:rPr>
          <w:color w:val="000000" w:themeColor="text1"/>
        </w:rPr>
      </w:pPr>
      <w:r w:rsidRPr="008B3AD6">
        <w:rPr>
          <w:color w:val="000000" w:themeColor="text1"/>
        </w:rPr>
        <w:t xml:space="preserve">The early infection events of the liver are not easily studied in humans, but much has been learned from </w:t>
      </w:r>
      <w:r w:rsidRPr="008B3AD6">
        <w:rPr>
          <w:i/>
          <w:color w:val="000000" w:themeColor="text1"/>
        </w:rPr>
        <w:t xml:space="preserve">in vivo </w:t>
      </w:r>
      <w:r w:rsidRPr="008B3AD6">
        <w:rPr>
          <w:color w:val="000000" w:themeColor="text1"/>
        </w:rPr>
        <w:t xml:space="preserve">models of </w:t>
      </w:r>
      <w:r w:rsidR="00F6299A">
        <w:rPr>
          <w:color w:val="000000" w:themeColor="text1"/>
        </w:rPr>
        <w:t>VL</w:t>
      </w:r>
      <w:r w:rsidRPr="008B3AD6">
        <w:rPr>
          <w:color w:val="000000" w:themeColor="text1"/>
        </w:rPr>
        <w:t>, termed experimental visceral leishmaniasis (EVL)</w:t>
      </w:r>
      <w:r w:rsidR="008F2DB0">
        <w:rPr>
          <w:color w:val="000000" w:themeColor="text1"/>
        </w:rPr>
        <w:t xml:space="preserve">, </w:t>
      </w:r>
      <w:r w:rsidR="008F2DB0" w:rsidRPr="008B3AD6">
        <w:rPr>
          <w:color w:val="000000" w:themeColor="text1"/>
        </w:rPr>
        <w:t xml:space="preserve">and </w:t>
      </w:r>
      <w:r w:rsidR="008F2DB0" w:rsidRPr="008B3AD6">
        <w:rPr>
          <w:i/>
          <w:color w:val="000000" w:themeColor="text1"/>
        </w:rPr>
        <w:t>in vitro</w:t>
      </w:r>
      <w:r w:rsidR="008F2DB0">
        <w:rPr>
          <w:color w:val="000000" w:themeColor="text1"/>
        </w:rPr>
        <w:t xml:space="preserve"> infection systems</w:t>
      </w:r>
      <w:r w:rsidRPr="008B3AD6">
        <w:rPr>
          <w:color w:val="000000" w:themeColor="text1"/>
        </w:rPr>
        <w:t xml:space="preserve">. During </w:t>
      </w:r>
      <w:r w:rsidR="008F2DB0">
        <w:rPr>
          <w:color w:val="000000" w:themeColor="text1"/>
        </w:rPr>
        <w:t>EV</w:t>
      </w:r>
      <w:r w:rsidRPr="008B3AD6">
        <w:rPr>
          <w:color w:val="000000" w:themeColor="text1"/>
        </w:rPr>
        <w:t xml:space="preserve">L, KCs act as the main host cell for parasites within the liver </w:t>
      </w:r>
      <w:r w:rsidRPr="008B3AD6">
        <w:rPr>
          <w:color w:val="000000" w:themeColor="text1"/>
        </w:rPr>
        <w:fldChar w:fldCharType="begin"/>
      </w:r>
      <w:r w:rsidRPr="008B3AD6">
        <w:rPr>
          <w:color w:val="000000" w:themeColor="text1"/>
        </w:rPr>
        <w:instrText xml:space="preserve"> ADDIN ZOTERO_ITEM CSL_CITATION {"citationID":"jBy2rRN6","properties":{"formattedCitation":"(Ridley 2013)","plainCitation":"(Ridley 2013)","noteIndex":0},"citationItems":[{"id":3319,"uris":["http://zotero.org/users/2628971/items/ZAJX4C7Q"],"uri":["http://zotero.org/users/2628971/items/ZAJX4C7Q"],"itemData":{"id":3319,"type":"book","title":"Pathogenesis of Leprosy and Related Diseases","publisher":"Elsevier","number-of-pages":"263","source":"Google Books","abstract":"Pathogenesis of Leprosy and Related Diseases provides insights into the pathology of granulomatous conditions. The book discusses topics on the factors that induce immunosuppression; immunohistological spectra of granulomatous diseases; study of cutaneous leishmaniasis; and the validity of histopathological analysis. Pathologists, immunologists, experimentalists, and researchers in the medical field will find the book interesting.","ISBN":"978-1-4831-9360-1","note":"Google-Books-ID: 2x3LBAAAQBAJ","language":"en","author":[{"family":"Ridley","given":"D. S."}],"issued":{"date-parts":[["2013",10,22]]}}}],"schema":"https://github.com/citation-style-language/schema/raw/master/csl-citation.json"} </w:instrText>
      </w:r>
      <w:r w:rsidRPr="008B3AD6">
        <w:rPr>
          <w:color w:val="000000" w:themeColor="text1"/>
        </w:rPr>
        <w:fldChar w:fldCharType="separate"/>
      </w:r>
      <w:r w:rsidR="00025067">
        <w:rPr>
          <w:color w:val="000000"/>
          <w:lang w:val="en-US"/>
        </w:rPr>
        <w:t>(Ridley 2013)</w:t>
      </w:r>
      <w:r w:rsidRPr="008B3AD6">
        <w:rPr>
          <w:color w:val="000000" w:themeColor="text1"/>
        </w:rPr>
        <w:fldChar w:fldCharType="end"/>
      </w:r>
      <w:r w:rsidRPr="008B3AD6">
        <w:rPr>
          <w:color w:val="000000" w:themeColor="text1"/>
        </w:rPr>
        <w:t xml:space="preserve"> and as they are unable to initially clear their intracellular parasites, they become foci for the hepatic granulomatous response. Injection of </w:t>
      </w:r>
      <w:r w:rsidRPr="008B3AD6">
        <w:rPr>
          <w:i/>
          <w:color w:val="000000" w:themeColor="text1"/>
        </w:rPr>
        <w:t>L. donovani</w:t>
      </w:r>
      <w:r w:rsidRPr="008B3AD6">
        <w:rPr>
          <w:color w:val="000000" w:themeColor="text1"/>
        </w:rPr>
        <w:t xml:space="preserve"> amastigotes into the bloody supply of mice results in the rapid appearance of parasites in the liver. As early as 2 hours post-injection, </w:t>
      </w:r>
      <w:r w:rsidRPr="008B3AD6">
        <w:rPr>
          <w:i/>
          <w:color w:val="000000" w:themeColor="text1"/>
        </w:rPr>
        <w:t xml:space="preserve">L. donovani </w:t>
      </w:r>
      <w:r w:rsidRPr="008B3AD6">
        <w:rPr>
          <w:color w:val="000000" w:themeColor="text1"/>
        </w:rPr>
        <w:t xml:space="preserve">- Kupffer cell interactions can be seen </w:t>
      </w:r>
      <w:r w:rsidRPr="008B3AD6">
        <w:rPr>
          <w:color w:val="000000" w:themeColor="text1"/>
        </w:rPr>
        <w:fldChar w:fldCharType="begin"/>
      </w:r>
      <w:r w:rsidR="00C80233">
        <w:rPr>
          <w:color w:val="000000" w:themeColor="text1"/>
        </w:rPr>
        <w:instrText xml:space="preserve"> ADDIN ZOTERO_ITEM CSL_CITATION {"citationID":"nukKpWwz","properties":{"formattedCitation":"(Paul M. Kaye and Beattie 2016)","plainCitation":"(Paul M. Kaye and Beattie 2016)","noteIndex":0},"citationItems":[{"id":3035,"uris":["http://zotero.org/users/2628971/items/5X5UIQ3I"],"uri":["http://zotero.org/users/2628971/items/5X5UIQ3I"],"itemData":{"id":3035,"type":"article-journal","title":"Lessons from other diseases: granulomatous inflammation in leishmaniasis","container-title":"Seminars in Immunopathology","page":"249-260","volume":"38","source":"PubMed Central","abstract":"The Leishmania granuloma shares some, though not all, properties with that formed following mycobacterial infection. As a simplified, noncaseating granuloma composed of relatively few and largely mononuclear cell populations, it provides a tractable model system to investigate intra-granuloma cellular dynamics, immune regulation, and antimicrobial resistance. Here, the occurrence of granulomatous pathology across the spectrum of leishmaniasis, in humans and animal reservoir hosts, is first described. However, this review focuses on the process of hepatic granuloma formation as studied in rodent models of visceral leishmaniasis, starting from the initial infection of Kupffer cells to the involution of the granuloma after pathogen clearance. It describes how the application of intravital imaging and the use of computational modeling have changed some of our thoughts on granuloma function, and illustrates how host-directed therapies have been used to manipulate granuloma form and function for therapeutic benefit. Where appropriate, lessons that may be equally applicable across the spectrum of granulomatous diseases are highlighted.","DOI":"10.1007/s00281-015-0548-7","ISSN":"1863-2297","note":"PMID: 26678994\nPMCID: PMC4779128","shortTitle":"Lessons from other diseases","journalAbbreviation":"Semin Immunopathol","author":[{"family":"Kaye","given":"Paul M."},{"family":"Beattie","given":"Lynette"}],"issued":{"date-parts":[["2016"]]}}}],"schema":"https://github.com/citation-style-language/schema/raw/master/csl-citation.json"} </w:instrText>
      </w:r>
      <w:r w:rsidRPr="008B3AD6">
        <w:rPr>
          <w:color w:val="000000" w:themeColor="text1"/>
        </w:rPr>
        <w:fldChar w:fldCharType="separate"/>
      </w:r>
      <w:r w:rsidR="00C80233">
        <w:rPr>
          <w:color w:val="000000" w:themeColor="text1"/>
        </w:rPr>
        <w:t>(Kaye and Beattie 2016)</w:t>
      </w:r>
      <w:r w:rsidRPr="008B3AD6">
        <w:rPr>
          <w:color w:val="000000" w:themeColor="text1"/>
        </w:rPr>
        <w:fldChar w:fldCharType="end"/>
      </w:r>
      <w:r w:rsidRPr="008B3AD6">
        <w:rPr>
          <w:color w:val="000000" w:themeColor="text1"/>
        </w:rPr>
        <w:t xml:space="preserve">. </w:t>
      </w:r>
      <w:r w:rsidRPr="008B3AD6">
        <w:rPr>
          <w:i/>
          <w:color w:val="000000" w:themeColor="text1"/>
        </w:rPr>
        <w:t>In vitro,</w:t>
      </w:r>
      <w:r w:rsidRPr="008B3AD6">
        <w:rPr>
          <w:color w:val="000000" w:themeColor="text1"/>
        </w:rPr>
        <w:t xml:space="preserve"> the incubation of </w:t>
      </w:r>
      <w:r w:rsidRPr="008B3AD6">
        <w:rPr>
          <w:i/>
          <w:color w:val="000000" w:themeColor="text1"/>
        </w:rPr>
        <w:t>L. donovani</w:t>
      </w:r>
      <w:r w:rsidRPr="008B3AD6">
        <w:rPr>
          <w:color w:val="000000" w:themeColor="text1"/>
        </w:rPr>
        <w:t xml:space="preserve"> promastigotes with isolated murine KCs results in the parasitization of the KCs with a decrease in intracellular </w:t>
      </w:r>
      <w:r w:rsidRPr="008B3AD6">
        <w:rPr>
          <w:i/>
          <w:color w:val="000000" w:themeColor="text1"/>
        </w:rPr>
        <w:t>L. donovani</w:t>
      </w:r>
      <w:r w:rsidRPr="008B3AD6">
        <w:rPr>
          <w:color w:val="000000" w:themeColor="text1"/>
        </w:rPr>
        <w:t xml:space="preserve"> numbers over 72h. Interestingly, incubation with </w:t>
      </w:r>
      <w:r w:rsidRPr="008B3AD6">
        <w:rPr>
          <w:i/>
          <w:color w:val="000000" w:themeColor="text1"/>
        </w:rPr>
        <w:t>L. donovani</w:t>
      </w:r>
      <w:r w:rsidRPr="008B3AD6">
        <w:rPr>
          <w:color w:val="000000" w:themeColor="text1"/>
        </w:rPr>
        <w:t xml:space="preserve"> amastigotes resulted in heavier levels of infection and an increase of intracellular amastigote numbers at 72hrs </w:t>
      </w:r>
      <w:r w:rsidRPr="008B3AD6">
        <w:rPr>
          <w:color w:val="000000" w:themeColor="text1"/>
        </w:rPr>
        <w:fldChar w:fldCharType="begin"/>
      </w:r>
      <w:r w:rsidRPr="008B3AD6">
        <w:rPr>
          <w:color w:val="000000" w:themeColor="text1"/>
        </w:rPr>
        <w:instrText xml:space="preserve"> ADDIN ZOTERO_ITEM CSL_CITATION {"citationID":"Wj0b6wpJ","properties":{"formattedCitation":"(Lepay et al. 1985)","plainCitation":"(Lepay et al. 1985)","noteIndex":0},"citationItems":[{"id":3080,"uris":["http://zotero.org/users/2628971/items/MTDXI7CE"],"uri":["http://zotero.org/users/2628971/items/MTDXI7CE"],"itemData":{"id":3080,"type":"article-journal","title":"Murine Kupffer cells. Mononuclear phagocytes deficient in the generation of reactive oxygen intermediates.","container-title":"Journal of Experimental Medicine","page":"1079-1096","volume":"161","issue":"5","source":"jem.rupress.org","abstract":"Murine Kupffer cells (KC) were isolated by a high yield collagenase perfusion technique. The morphology, surface markers, and secretory products were typical of macrophages in other tissues. However, KC released negligible levels of H2O2 and O-2, in contrast to peritoneal macrophages. KC oxygen consumption was not increased by agents triggering a respiratory burst in peritoneal cells. Moreover, KC capacity to secrete reactive oxygen intermediates (ROI), in contrast to Ia antigen expression, was not enhanced by exposure to lymphokines or recombinant gamma interferon. The selective defect in KC oxidative response was paralleled by impaired in vitro killing of Toxoplasma gondii trophozoites and Leishmania donovani promastigotes and amastigotes. Deficient secretion of ROI by KC might protect hepatocytes and erythrocytes from injury during endocytosis by KC, but might render the liver more susceptible to parasitization by organisms that are primarily killed through oxygen-dependent mechanisms.","DOI":"10.1084/jem.161.5.1079","ISSN":"0022-1007, 1540-9538","note":"PMID: 3921651","language":"en","author":[{"family":"Lepay","given":"D. A."},{"family":"Nathan","given":"C. F."},{"family":"Steinman","given":"R. M."},{"family":"Murray","given":"H. W."},{"family":"Cohn","given":"Z. A."}],"issued":{"date-parts":[["1985",5,1]]}}}],"schema":"https://github.com/citation-style-language/schema/raw/master/csl-citation.json"} </w:instrText>
      </w:r>
      <w:r w:rsidRPr="008B3AD6">
        <w:rPr>
          <w:color w:val="000000" w:themeColor="text1"/>
        </w:rPr>
        <w:fldChar w:fldCharType="separate"/>
      </w:r>
      <w:r w:rsidR="00025067">
        <w:rPr>
          <w:color w:val="000000" w:themeColor="text1"/>
        </w:rPr>
        <w:t>(Lepay et al. 1985)</w:t>
      </w:r>
      <w:r w:rsidRPr="008B3AD6">
        <w:rPr>
          <w:color w:val="000000" w:themeColor="text1"/>
        </w:rPr>
        <w:fldChar w:fldCharType="end"/>
      </w:r>
      <w:r w:rsidRPr="008B3AD6">
        <w:rPr>
          <w:color w:val="000000" w:themeColor="text1"/>
        </w:rPr>
        <w:t>, suggesting that amastigotes have a higher infective capability.</w:t>
      </w:r>
    </w:p>
    <w:p w14:paraId="7532113C" w14:textId="77777777" w:rsidR="00AB3115" w:rsidRPr="008B3AD6" w:rsidRDefault="00AB3115" w:rsidP="000E10DC">
      <w:pPr>
        <w:spacing w:line="360" w:lineRule="auto"/>
        <w:jc w:val="both"/>
        <w:rPr>
          <w:color w:val="000000" w:themeColor="text1"/>
        </w:rPr>
      </w:pPr>
    </w:p>
    <w:p w14:paraId="1CCC108D" w14:textId="7C62B9B3" w:rsidR="00AB3115" w:rsidRPr="008B3AD6" w:rsidRDefault="00EF467F" w:rsidP="000E10DC">
      <w:pPr>
        <w:spacing w:line="360" w:lineRule="auto"/>
        <w:jc w:val="both"/>
        <w:rPr>
          <w:color w:val="000000" w:themeColor="text1"/>
        </w:rPr>
      </w:pPr>
      <w:r w:rsidRPr="008B3AD6">
        <w:rPr>
          <w:color w:val="000000" w:themeColor="text1"/>
        </w:rPr>
        <w:t xml:space="preserve">KCs, like other macrophages, are capable of different anti-microbial responses including the oxidative response whereby </w:t>
      </w:r>
      <w:r w:rsidR="008F2DB0">
        <w:rPr>
          <w:color w:val="000000" w:themeColor="text1"/>
        </w:rPr>
        <w:t xml:space="preserve">reactive </w:t>
      </w:r>
      <w:r w:rsidRPr="008B3AD6">
        <w:rPr>
          <w:color w:val="000000" w:themeColor="text1"/>
        </w:rPr>
        <w:t xml:space="preserve">oxygen and nitrogen species are created </w:t>
      </w:r>
      <w:r w:rsidRPr="008B3AD6">
        <w:rPr>
          <w:b/>
          <w:color w:val="000000" w:themeColor="text1"/>
        </w:rPr>
        <w:fldChar w:fldCharType="begin"/>
      </w:r>
      <w:r w:rsidRPr="008B3AD6">
        <w:rPr>
          <w:b/>
          <w:color w:val="000000" w:themeColor="text1"/>
        </w:rPr>
        <w:instrText xml:space="preserve"> ADDIN ZOTERO_ITEM CSL_CITATION {"citationID":"SMhefZXw","properties":{"formattedCitation":"(Marangoni et al. 2006)","plainCitation":"(Marangoni et al. 2006)","noteIndex":0},"citationItems":[{"id":3321,"uris":["http://zotero.org/users/2628971/items/JI7HQ48M"],"uri":["http://zotero.org/users/2628971/items/JI7HQ48M"],"itemData":{"id":3321,"type":"article-journal","title":"Production of reactive oxygen species and expression of inducible nitric oxide synthase in rat isolated Kupffer cells stimulated by Leptospira interrogans and Borrelia burgdorferi","container-title":"World Journal of Gastroenterology : WJG","page":"3077-3081","volume":"12","issue":"19","source":"PubMed Central","abstract":"AIM: To evaluate the production of reactive oxygen species (ROS) and the expression of inducible nitric oxide synthase (iNOS) in rat isolated Kupffer cells (KCs) stimulated by Leptospira interrogans and Borrelia burgdorferi., METHODS: Rat Kupffer cells were separated by perfusion of the liver with 0.05% collagenase, and purified by Percoll gradients. Purified Kupffer cells were tested in vitro with alive L.interogans and B. burgdorferi preparations. The production of ROS was determined by chemiluminescence, whereas iNOS protein expression was evaluated by Western blot assay using anti-iNOS antibodies., RESULTS: B. burgdorferi and to a less extent L. interrogans induced ROS production with a peak 35 min after infection. The chemiluminescence signal progressively diminished and was undetectable by 180 min of incubation. Leptospirae and borreliae induced an increased iNOS expression in Kupffer cells that peaked at 6 hours and was still evident 22 h after infection., CONCLUSION: Both genera of spirochetes induced ROS and iNOS production in rat Kupffer cells. Since the cause of liver damage both in leptospiral as well as in borrelial infections are still unknown, we suggest that leptospira and borrelia damage of the liver can be initially mediated by oxygen radicals, and is then maintained at least in part by nitric oxide.","DOI":"10.3748/wjg.v12.i19.3077","ISSN":"1007-9327","note":"PMID: 16718791\nPMCID: PMC4124385","journalAbbreviation":"World J Gastroenterol","author":[{"family":"Marangoni","given":"Antonella"},{"family":"Accardo","given":"Silvia"},{"family":"Aldini","given":"Rita"},{"family":"Guardigli","given":"Massimo"},{"family":"Cavrini","given":"Francesca"},{"family":"Sambri","given":"Vittorio"},{"family":"Montagnani","given":"Marco"},{"family":"Roda","given":"Aldo"},{"family":"Cevenini","given":"Roberto"}],"issued":{"date-parts":[["2006",5,21]]}}}],"schema":"https://github.com/citation-style-language/schema/raw/master/csl-citation.json"} </w:instrText>
      </w:r>
      <w:r w:rsidRPr="008B3AD6">
        <w:rPr>
          <w:b/>
          <w:color w:val="000000" w:themeColor="text1"/>
        </w:rPr>
        <w:fldChar w:fldCharType="separate"/>
      </w:r>
      <w:r w:rsidR="00025067">
        <w:rPr>
          <w:color w:val="000000"/>
          <w:lang w:val="en-US"/>
        </w:rPr>
        <w:t>(Marangoni et al. 2006)</w:t>
      </w:r>
      <w:r w:rsidRPr="008B3AD6">
        <w:rPr>
          <w:b/>
          <w:color w:val="000000" w:themeColor="text1"/>
        </w:rPr>
        <w:fldChar w:fldCharType="end"/>
      </w:r>
      <w:r w:rsidRPr="008B3AD6">
        <w:rPr>
          <w:color w:val="000000" w:themeColor="text1"/>
        </w:rPr>
        <w:t xml:space="preserve"> that kill intracellular pathogens. </w:t>
      </w:r>
      <w:r w:rsidRPr="008B3AD6">
        <w:rPr>
          <w:i/>
          <w:color w:val="000000" w:themeColor="text1"/>
        </w:rPr>
        <w:t xml:space="preserve">In vitro, </w:t>
      </w:r>
      <w:r w:rsidRPr="008B3AD6">
        <w:rPr>
          <w:color w:val="000000" w:themeColor="text1"/>
        </w:rPr>
        <w:t xml:space="preserve">KCs that ingest either </w:t>
      </w:r>
      <w:r w:rsidRPr="008B3AD6">
        <w:rPr>
          <w:i/>
          <w:color w:val="000000" w:themeColor="text1"/>
        </w:rPr>
        <w:t>L. donovani</w:t>
      </w:r>
      <w:r w:rsidRPr="008B3AD6">
        <w:rPr>
          <w:color w:val="000000" w:themeColor="text1"/>
        </w:rPr>
        <w:t xml:space="preserve"> promastigotes or amastigotes have been shown to produce the super oxide anion (O</w:t>
      </w:r>
      <w:r w:rsidRPr="008B3AD6">
        <w:rPr>
          <w:color w:val="000000" w:themeColor="text1"/>
          <w:vertAlign w:val="subscript"/>
        </w:rPr>
        <w:t>2</w:t>
      </w:r>
      <w:r w:rsidRPr="008B3AD6">
        <w:rPr>
          <w:color w:val="000000" w:themeColor="text1"/>
          <w:vertAlign w:val="superscript"/>
        </w:rPr>
        <w:t>-</w:t>
      </w:r>
      <w:r w:rsidRPr="008B3AD6">
        <w:rPr>
          <w:color w:val="000000" w:themeColor="text1"/>
        </w:rPr>
        <w:t>) and hydrogen peroxide (H</w:t>
      </w:r>
      <w:r w:rsidRPr="008B3AD6">
        <w:rPr>
          <w:color w:val="000000" w:themeColor="text1"/>
          <w:vertAlign w:val="subscript"/>
        </w:rPr>
        <w:t>2</w:t>
      </w:r>
      <w:r w:rsidRPr="008B3AD6">
        <w:rPr>
          <w:color w:val="000000" w:themeColor="text1"/>
        </w:rPr>
        <w:t>O</w:t>
      </w:r>
      <w:r w:rsidRPr="008B3AD6">
        <w:rPr>
          <w:color w:val="000000" w:themeColor="text1"/>
          <w:vertAlign w:val="subscript"/>
        </w:rPr>
        <w:t>2</w:t>
      </w:r>
      <w:r w:rsidRPr="008B3AD6">
        <w:rPr>
          <w:color w:val="000000" w:themeColor="text1"/>
        </w:rPr>
        <w:t xml:space="preserve">) </w:t>
      </w:r>
      <w:r w:rsidRPr="008B3AD6">
        <w:rPr>
          <w:b/>
          <w:color w:val="000000" w:themeColor="text1"/>
        </w:rPr>
        <w:fldChar w:fldCharType="begin"/>
      </w:r>
      <w:r w:rsidRPr="008B3AD6">
        <w:rPr>
          <w:b/>
          <w:color w:val="000000" w:themeColor="text1"/>
        </w:rPr>
        <w:instrText xml:space="preserve"> ADDIN ZOTERO_ITEM CSL_CITATION {"citationID":"2NhRSL8I","properties":{"formattedCitation":"(Lepay et al. 1985)","plainCitation":"(Lepay et al. 1985)","noteIndex":0},"citationItems":[{"id":3080,"uris":["http://zotero.org/users/2628971/items/MTDXI7CE"],"uri":["http://zotero.org/users/2628971/items/MTDXI7CE"],"itemData":{"id":3080,"type":"article-journal","title":"Murine Kupffer cells. Mononuclear phagocytes deficient in the generation of reactive oxygen intermediates.","container-title":"Journal of Experimental Medicine","page":"1079-1096","volume":"161","issue":"5","source":"jem.rupress.org","abstract":"Murine Kupffer cells (KC) were isolated by a high yield collagenase perfusion technique. The morphology, surface markers, and secretory products were typical of macrophages in other tissues. However, KC released negligible levels of H2O2 and O-2, in contrast to peritoneal macrophages. KC oxygen consumption was not increased by agents triggering a respiratory burst in peritoneal cells. Moreover, KC capacity to secrete reactive oxygen intermediates (ROI), in contrast to Ia antigen expression, was not enhanced by exposure to lymphokines or recombinant gamma interferon. The selective defect in KC oxidative response was paralleled by impaired in vitro killing of Toxoplasma gondii trophozoites and Leishmania donovani promastigotes and amastigotes. Deficient secretion of ROI by KC might protect hepatocytes and erythrocytes from injury during endocytosis by KC, but might render the liver more susceptible to parasitization by organisms that are primarily killed through oxygen-dependent mechanisms.","DOI":"10.1084/jem.161.5.1079","ISSN":"0022-1007, 1540-9538","note":"PMID: 3921651","language":"en","author":[{"family":"Lepay","given":"D. A."},{"family":"Nathan","given":"C. F."},{"family":"Steinman","given":"R. M."},{"family":"Murray","given":"H. W."},{"family":"Cohn","given":"Z. A."}],"issued":{"date-parts":[["1985",5,1]]}}}],"schema":"https://github.com/citation-style-language/schema/raw/master/csl-citation.json"} </w:instrText>
      </w:r>
      <w:r w:rsidRPr="008B3AD6">
        <w:rPr>
          <w:b/>
          <w:color w:val="000000" w:themeColor="text1"/>
        </w:rPr>
        <w:fldChar w:fldCharType="separate"/>
      </w:r>
      <w:r w:rsidR="00025067">
        <w:rPr>
          <w:color w:val="000000"/>
          <w:lang w:val="en-US"/>
        </w:rPr>
        <w:t>(Lepay et al. 1985)</w:t>
      </w:r>
      <w:r w:rsidRPr="008B3AD6">
        <w:rPr>
          <w:b/>
          <w:color w:val="000000" w:themeColor="text1"/>
        </w:rPr>
        <w:fldChar w:fldCharType="end"/>
      </w:r>
      <w:r w:rsidRPr="008B3AD6">
        <w:rPr>
          <w:color w:val="000000" w:themeColor="text1"/>
        </w:rPr>
        <w:t xml:space="preserve">. </w:t>
      </w:r>
      <w:r w:rsidRPr="008B3AD6">
        <w:rPr>
          <w:i/>
          <w:color w:val="000000" w:themeColor="text1"/>
        </w:rPr>
        <w:t>In vivo</w:t>
      </w:r>
      <w:r w:rsidRPr="008B3AD6">
        <w:rPr>
          <w:color w:val="000000" w:themeColor="text1"/>
        </w:rPr>
        <w:t>, mice deficient in inducible nitric oxide synthase (</w:t>
      </w:r>
      <w:r w:rsidRPr="00E8627B">
        <w:rPr>
          <w:i/>
          <w:color w:val="000000" w:themeColor="text1"/>
        </w:rPr>
        <w:t>iNOS</w:t>
      </w:r>
      <w:r w:rsidRPr="008B3AD6">
        <w:rPr>
          <w:color w:val="000000" w:themeColor="text1"/>
        </w:rPr>
        <w:t xml:space="preserve"> null mutant mice) infected with </w:t>
      </w:r>
      <w:r w:rsidRPr="008B3AD6">
        <w:rPr>
          <w:i/>
          <w:color w:val="000000" w:themeColor="text1"/>
        </w:rPr>
        <w:t>L donovani</w:t>
      </w:r>
      <w:r w:rsidRPr="008B3AD6">
        <w:rPr>
          <w:color w:val="000000" w:themeColor="text1"/>
        </w:rPr>
        <w:t xml:space="preserve"> fail to control infection as compared to their wild-type counter parts </w:t>
      </w:r>
      <w:r w:rsidRPr="008B3AD6">
        <w:rPr>
          <w:b/>
          <w:color w:val="000000" w:themeColor="text1"/>
        </w:rPr>
        <w:fldChar w:fldCharType="begin"/>
      </w:r>
      <w:r w:rsidRPr="008B3AD6">
        <w:rPr>
          <w:b/>
          <w:color w:val="000000" w:themeColor="text1"/>
        </w:rPr>
        <w:instrText xml:space="preserve"> ADDIN ZOTERO_ITEM CSL_CITATION {"citationID":"wTlTdSop","properties":{"formattedCitation":"(H W Murray and Nathan 1999)","plainCitation":"(H W Murray and Nathan 1999)","noteIndex":0},"citationItems":[{"id":1229,"uris":["http://zotero.org/users/2628971/items/Q3C53C5V"],"uri":["http://zotero.org/users/2628971/items/Q3C53C5V"],"itemData":{"id":1229,"type":"article-journal","title":"Macrophage microbicidal mechanisms in vivo: reactive nitrogen versus oxygen intermediates in the killing of intracellular visceral Leishmania donovani.","container-title":"The Journal of experimental medicine","page":"741-6","volume":"189","issue":"4","abstract":"To determine the relative contributions of respiratory burst-derived reactive oxygen intermediates (ROI) versus reactive nitrogen intermediates (RNI) to macrophage-mediated intracellular host defense, mice genetically deficient in these mechanisms were challenged with Leishmania donovani, a protozoan that selectively parasitizes visceral tissue macrophages. During the early stage of liver infection at wk 2, both respiratory burst-deficient gp91(phox)-/- (X-linked chronic granulomatous disease [X-CGD]) mice and inducible nitric oxide synthase (iNOS) knockout (KO) mice displayed comparably increased susceptibility. Thereafter, infection was unrestrained in mice lacking iNOS but was fully controlled in X-CGD mice. Mononuclear cell influx into infected liver foci in X-CGD and iNOS KO mice was also overtly impaired at wk 2. However, granuloma assembly in parasitized tissue eventually developed in both hosts but with divergent effects: mature granulomas were functionally active (leishmanicidal) in X-CGD mice but inert in iNOS-deficient animals. These results suggest that (a) ROI and RNI probably act together in the early stage of intracellular infection to regulate both tissue recruitment of mononuclear inflammatory cells and the initial extent of microbial replication, (b) RNI alone are necessary and sufficient for eventual control of visceral infection, and (c) although mature granulomas have traditionally been associated with control of such infections, these structures fail to limit intracellular parasite replication in the absence of iNOS.","ISSN":"0022-1007","journalAbbreviation":"J Exp Med","author":[{"family":"Murray","given":"H W"},{"family":"Nathan","given":"C F"}],"issued":{"date-parts":[["1999"]]}}}],"schema":"https://github.com/citation-style-language/schema/raw/master/csl-citation.json"} </w:instrText>
      </w:r>
      <w:r w:rsidRPr="008B3AD6">
        <w:rPr>
          <w:b/>
          <w:color w:val="000000" w:themeColor="text1"/>
        </w:rPr>
        <w:fldChar w:fldCharType="separate"/>
      </w:r>
      <w:r w:rsidR="00C46DBF">
        <w:rPr>
          <w:color w:val="000000"/>
          <w:lang w:val="en-US"/>
        </w:rPr>
        <w:t>(</w:t>
      </w:r>
      <w:r w:rsidR="00025067">
        <w:rPr>
          <w:color w:val="000000"/>
          <w:lang w:val="en-US"/>
        </w:rPr>
        <w:t>Murray and Nathan 1999)</w:t>
      </w:r>
      <w:r w:rsidRPr="008B3AD6">
        <w:rPr>
          <w:b/>
          <w:color w:val="000000" w:themeColor="text1"/>
        </w:rPr>
        <w:fldChar w:fldCharType="end"/>
      </w:r>
      <w:r w:rsidRPr="008B3AD6">
        <w:rPr>
          <w:color w:val="000000" w:themeColor="text1"/>
        </w:rPr>
        <w:t xml:space="preserve">. Generally, the initial infection of KCs </w:t>
      </w:r>
      <w:r w:rsidRPr="008B3AD6">
        <w:rPr>
          <w:i/>
          <w:color w:val="000000" w:themeColor="text1"/>
        </w:rPr>
        <w:t>in vivo</w:t>
      </w:r>
      <w:r w:rsidRPr="008B3AD6">
        <w:rPr>
          <w:color w:val="000000" w:themeColor="text1"/>
        </w:rPr>
        <w:t xml:space="preserve"> stimulates them to exercise some anti-leishmanial activity. Dead parasites are then processed for the presentation of antigen on the KC surface. Additionally, infected KCs are thought to transiently produce chemokine (C-C motif) ligand 1 (CCL1), </w:t>
      </w:r>
      <w:r w:rsidR="008F2DB0">
        <w:rPr>
          <w:color w:val="000000" w:themeColor="text1"/>
        </w:rPr>
        <w:t xml:space="preserve">CCL2 </w:t>
      </w:r>
      <w:r w:rsidRPr="008B3AD6">
        <w:rPr>
          <w:color w:val="000000" w:themeColor="text1"/>
        </w:rPr>
        <w:t xml:space="preserve">and C-X-C motif chemokine 10 (CXCL10) </w:t>
      </w:r>
      <w:r w:rsidRPr="008B3AD6">
        <w:rPr>
          <w:color w:val="000000" w:themeColor="text1"/>
        </w:rPr>
        <w:fldChar w:fldCharType="begin"/>
      </w:r>
      <w:r w:rsidRPr="008B3AD6">
        <w:rPr>
          <w:color w:val="000000" w:themeColor="text1"/>
        </w:rPr>
        <w:instrText xml:space="preserve"> ADDIN ZOTERO_ITEM CSL_CITATION {"citationID":"E4B9mgEq","properties":{"formattedCitation":"(Cotterell, Engwerda, and Kaye 1999)","plainCitation":"(Cotterell, Engwerda, and Kaye 1999)","noteIndex":0},"citationItems":[{"id":2480,"uris":["http://zotero.org/users/2628971/items/8J9GZBFP"],"uri":["http://zotero.org/users/2628971/items/8J9GZBFP"],"itemData":{"id":2480,"type":"article-journal","title":"Leishmania donovani infection initiates T cell-independent chemokine responses, which are subsequently amplified in a T cell-dependent manner","container-title":"European Journal of Immunology","page":"203-214","volume":"29","issue":"1","source":"PubMed","abstract":"Control of Leishmania donovani infection in immunocompetent mice is associated with hepatic inflammation and granuloma formation, both of which are absent in severe combined immunodeficient (scid) mice. In both BALB/c and scid mice, L. donovani infection induced a rapid hepatic accumulation of mRNA encoding macrophage inflammatory protein-1alpha (MIP-(1alpha), monocyte chemoattractant protein-1 (MCP-1) and interferon-gamma inducible protein-10 (gammaIP-10). This response was not preceded by increased IL-4 production in either strain, unlike that reported in other infectious disease models. Interestingly, only gammaIP-10 mRNA was maintained at elevated levels throughout the first 7 days of infection, by mechanisms involving CD4+ and CD8+ T cells, and CD4+CD8+ cells not activated in scid mice. By in vivo depletion and reconstitution of scid mice it was demonstrated that T cells regulate the expression of all three chemokines studied, while they themselves only produce gammaIP-10 in appreciable quantities.","DOI":"10.1002/(SICI)1521-4141(199901)29:01&amp;#60;203::AID-IMMU203&amp;#62;3.0.CO;2-B","ISSN":"0014-2980","note":"PMID: 9933102","journalAbbreviation":"Eur. J. Immunol.","language":"eng","author":[{"family":"Cotterell","given":"S. E."},{"family":"Engwerda","given":"C. R."},{"family":"Kaye","given":"P. M."}],"issued":{"date-parts":[["1999",1]]}}}],"schema":"https://github.com/citation-style-language/schema/raw/master/csl-citation.json"} </w:instrText>
      </w:r>
      <w:r w:rsidRPr="008B3AD6">
        <w:rPr>
          <w:color w:val="000000" w:themeColor="text1"/>
        </w:rPr>
        <w:fldChar w:fldCharType="separate"/>
      </w:r>
      <w:r w:rsidR="00025067">
        <w:rPr>
          <w:color w:val="000000"/>
          <w:lang w:val="en-US"/>
        </w:rPr>
        <w:t>(Cotterell, Engwerda, and Kaye 1999)</w:t>
      </w:r>
      <w:r w:rsidRPr="008B3AD6">
        <w:rPr>
          <w:color w:val="000000" w:themeColor="text1"/>
        </w:rPr>
        <w:fldChar w:fldCharType="end"/>
      </w:r>
      <w:r w:rsidRPr="008B3AD6">
        <w:rPr>
          <w:color w:val="000000" w:themeColor="text1"/>
        </w:rPr>
        <w:t xml:space="preserve">. These chemokines act as attractants for various leukocyte populations, such as monocytes </w:t>
      </w:r>
      <w:r w:rsidRPr="008B3AD6">
        <w:rPr>
          <w:b/>
          <w:color w:val="000000" w:themeColor="text1"/>
        </w:rPr>
        <w:fldChar w:fldCharType="begin"/>
      </w:r>
      <w:r w:rsidRPr="008B3AD6">
        <w:rPr>
          <w:b/>
          <w:color w:val="000000" w:themeColor="text1"/>
        </w:rPr>
        <w:instrText xml:space="preserve"> ADDIN ZOTERO_ITEM CSL_CITATION {"citationID":"VkFDxhFL","properties":{"formattedCitation":"(Shi and Pamer 2011)","plainCitation":"(Shi and Pamer 2011)","noteIndex":0},"citationItems":[{"id":2744,"uris":["http://zotero.org/users/2628971/items/5GXHMJH8"],"uri":["http://zotero.org/users/2628971/items/5GXHMJH8"],"itemData":{"id":2744,"type":"article-journal","title":"Monocyte recruitment during infection and inflammation","container-title":"Nature Reviews. Immunology","page":"762-774","volume":"11","issue":"11","source":"PubMed","abstract":"Monocytes originate from progenitors in the bone marrow and traffic via the bloodstream to peripheral tissues. During both homeostasis and inflammation, circulating monocytes leave the bloodstream and migrate into tissues where, following conditioning by local growth factors, pro-inflammatory cytokines and microbial products, they differentiate into macrophage or dendritic cell populations. Recruitment of monocytes is essential for effective control and clearance of viral, bacterial, fungal and protozoal infections, but recruited monocytes also contribute to the pathogenesis of inflammatory and degenerative diseases. The mechanisms that control monocyte trafficking under homeostatic, infectious and inflammatory conditions are being unravelled and are the focus of this Review.","DOI":"10.1038/nri3070","ISSN":"1474-1741","note":"PMID: 21984070\nPMCID: PMC3947780","journalAbbreviation":"Nat. Rev. Immunol.","language":"eng","author":[{"family":"Shi","given":"Chao"},{"family":"Pamer","given":"Eric G."}],"issued":{"date-parts":[["2011",10,10]]}}}],"schema":"https://github.com/citation-style-language/schema/raw/master/csl-citation.json"} </w:instrText>
      </w:r>
      <w:r w:rsidRPr="008B3AD6">
        <w:rPr>
          <w:b/>
          <w:color w:val="000000" w:themeColor="text1"/>
        </w:rPr>
        <w:fldChar w:fldCharType="separate"/>
      </w:r>
      <w:r w:rsidR="00025067">
        <w:rPr>
          <w:color w:val="000000"/>
          <w:lang w:val="en-US"/>
        </w:rPr>
        <w:t>(Shi and Pamer 2011)</w:t>
      </w:r>
      <w:r w:rsidRPr="008B3AD6">
        <w:rPr>
          <w:b/>
          <w:color w:val="000000" w:themeColor="text1"/>
        </w:rPr>
        <w:fldChar w:fldCharType="end"/>
      </w:r>
      <w:r w:rsidRPr="008B3AD6">
        <w:rPr>
          <w:color w:val="000000" w:themeColor="text1"/>
        </w:rPr>
        <w:t xml:space="preserve">, T cells </w:t>
      </w:r>
      <w:r w:rsidRPr="008B3AD6">
        <w:rPr>
          <w:b/>
          <w:color w:val="000000" w:themeColor="text1"/>
        </w:rPr>
        <w:fldChar w:fldCharType="begin"/>
      </w:r>
      <w:r w:rsidRPr="008B3AD6">
        <w:rPr>
          <w:b/>
          <w:color w:val="000000" w:themeColor="text1"/>
        </w:rPr>
        <w:instrText xml:space="preserve"> ADDIN ZOTERO_ITEM CSL_CITATION {"citationID":"ChhHppZX","properties":{"formattedCitation":"(Norose et al. 2011)","plainCitation":"(Norose et al. 2011)","noteIndex":0},"citationItems":[{"id":3324,"uris":["http://zotero.org/users/2628971/items/FJQYLJPS"],"uri":["http://zotero.org/users/2628971/items/FJQYLJPS"],"itemData":{"id":3324,"type":"article-journal","title":"CXCL10 Is Required to Maintain T-Cell Populations and to Control Parasite Replication during Chronic Ocular Toxoplasmosis","container-title":"Investigative Ophthalmology &amp; Visual Science","page":"389-398","volume":"52","issue":"1","source":"PubMed Central","abstract":"T cells are necessary for parasite control during ocular toxoplasmosis, but little is known about the molecules that promote the T-cell response. This study identifies a critical role for CXCL10 in the maintenance of T-cell populations and control of Toxoplasma gondii in the eye.","DOI":"10.1167/iovs.10-5819","ISSN":"0146-0404","note":"PMID: 20811054\nPMCID: PMC3053287","journalAbbreviation":"Invest Ophthalmol Vis Sci","author":[{"family":"Norose","given":"Kazumi"},{"family":"Kikumura","given":"Akitoshi"},{"family":"Luster","given":"Andrew D."},{"family":"Hunter","given":"Christopher A."},{"family":"Harris","given":"Tajie H."}],"issued":{"date-parts":[["2011",1]]}}}],"schema":"https://github.com/citation-style-language/schema/raw/master/csl-citation.json"} </w:instrText>
      </w:r>
      <w:r w:rsidRPr="008B3AD6">
        <w:rPr>
          <w:b/>
          <w:color w:val="000000" w:themeColor="text1"/>
        </w:rPr>
        <w:fldChar w:fldCharType="separate"/>
      </w:r>
      <w:r w:rsidR="00025067">
        <w:rPr>
          <w:color w:val="000000"/>
          <w:lang w:val="en-US"/>
        </w:rPr>
        <w:t>(Norose et al. 2011)</w:t>
      </w:r>
      <w:r w:rsidRPr="008B3AD6">
        <w:rPr>
          <w:b/>
          <w:color w:val="000000" w:themeColor="text1"/>
        </w:rPr>
        <w:fldChar w:fldCharType="end"/>
      </w:r>
      <w:r w:rsidRPr="008B3AD6">
        <w:rPr>
          <w:color w:val="000000" w:themeColor="text1"/>
        </w:rPr>
        <w:t xml:space="preserve"> and </w:t>
      </w:r>
      <w:r w:rsidR="008F2DB0">
        <w:rPr>
          <w:color w:val="000000" w:themeColor="text1"/>
        </w:rPr>
        <w:t>natural killer (</w:t>
      </w:r>
      <w:r w:rsidRPr="008B3AD6">
        <w:rPr>
          <w:color w:val="000000" w:themeColor="text1"/>
        </w:rPr>
        <w:t>NK</w:t>
      </w:r>
      <w:r w:rsidR="008F2DB0">
        <w:rPr>
          <w:color w:val="000000" w:themeColor="text1"/>
        </w:rPr>
        <w:t>)</w:t>
      </w:r>
      <w:r w:rsidRPr="008B3AD6">
        <w:rPr>
          <w:color w:val="000000" w:themeColor="text1"/>
        </w:rPr>
        <w:t xml:space="preserve"> cells </w:t>
      </w:r>
      <w:r w:rsidRPr="008B3AD6">
        <w:rPr>
          <w:b/>
          <w:color w:val="000000" w:themeColor="text1"/>
        </w:rPr>
        <w:fldChar w:fldCharType="begin"/>
      </w:r>
      <w:r w:rsidRPr="008B3AD6">
        <w:rPr>
          <w:b/>
          <w:color w:val="000000" w:themeColor="text1"/>
        </w:rPr>
        <w:instrText xml:space="preserve"> ADDIN ZOTERO_ITEM CSL_CITATION {"citationID":"pRLhdoog","properties":{"formattedCitation":"(Morrison et al. 2003)","plainCitation":"(Morrison et al. 2003)","noteIndex":0},"citationItems":[{"id":3327,"uris":["http://zotero.org/users/2628971/items/76ITZC4N"],"uri":["http://zotero.org/users/2628971/items/76ITZC4N"],"itemData":{"id":3327,"type":"article-journal","title":"Chemokine-mediated recruitment of NK cells is a critical host defense mechanism in invasive aspergillosis","container-title":"Journal of Clinical Investigation","page":"1862-1870","volume":"112","issue":"12","source":"PubMed Central","abstract":"Invasive aspergillosis is a severe pneumonia that is usually fatal despite currently available therapy. The disease disproportionately afflicts immunocompromised patients, indicating the critical importance of the immune status of the host in this infection, but the defense mechanisms against this pathogen remain incompletely understood. In the current study, we hypothesized that the chemokine ligand monocyte chemotactic protein-1, also designated CC chemokine ligand-2 (MCP-1/CCL2) is necessary for effective host defense against invasive aspergillosis in immunocompromised hosts. We found a rapid and marked induction of MCP-1/CCL2 in the lungs of neutropenic mice with invasive aspergillosis. Neutralizing MCP-1/CCL2 resulted in twofold greater mortality and greater than threefold increase in pathogen burden in the lungs. Neutralization of MCP-1/CCL2 also resulted in reduced recruitment of NK cells to the lungs at early time points, but did not affect the number of other leukocyte effector cells in the lungs. Ab-mediated depletion of NK cells similarly resulted in impaired defenses against the infection, resulting in a greater than twofold increase in mortality and impaired clearance of the pathogen from the lungs. These data establish MCP-1/CCL2–mediated recruitment of NK cells to the lungs as a critical early host defense mechanism in invasive aspergillosis and demonstrate NK cells to be an important and previously unrecognized effector cell in this infection.","DOI":"10.1172/JCI200318125","ISSN":"0021-9738","note":"PMID: 14679181\nPMCID: PMC296992","journalAbbreviation":"J Clin Invest","author":[{"family":"Morrison","given":"Brad E."},{"family":"Park","given":"Stacy J."},{"family":"Mooney","given":"Jill M."},{"family":"Mehrad","given":"Borna"}],"issued":{"date-parts":[["2003",12,15]]}}}],"schema":"https://github.com/citation-style-language/schema/raw/master/csl-citation.json"} </w:instrText>
      </w:r>
      <w:r w:rsidRPr="008B3AD6">
        <w:rPr>
          <w:b/>
          <w:color w:val="000000" w:themeColor="text1"/>
        </w:rPr>
        <w:fldChar w:fldCharType="separate"/>
      </w:r>
      <w:r w:rsidR="00025067">
        <w:rPr>
          <w:color w:val="000000"/>
          <w:lang w:val="en-US"/>
        </w:rPr>
        <w:t xml:space="preserve">(Morrison </w:t>
      </w:r>
      <w:r w:rsidR="00025067">
        <w:rPr>
          <w:color w:val="000000"/>
          <w:lang w:val="en-US"/>
        </w:rPr>
        <w:lastRenderedPageBreak/>
        <w:t>et al. 2003)</w:t>
      </w:r>
      <w:r w:rsidRPr="008B3AD6">
        <w:rPr>
          <w:b/>
          <w:color w:val="000000" w:themeColor="text1"/>
        </w:rPr>
        <w:fldChar w:fldCharType="end"/>
      </w:r>
      <w:r w:rsidRPr="008B3AD6">
        <w:rPr>
          <w:color w:val="000000" w:themeColor="text1"/>
        </w:rPr>
        <w:t xml:space="preserve">. However, the levels of CCL1 and CCL2 drop after 24hrs, whilst remaining above the pre-infection levels, with the sustained production of CXCL10 dependent on T </w:t>
      </w:r>
      <w:r w:rsidR="000C4AEE">
        <w:rPr>
          <w:color w:val="000000" w:themeColor="text1"/>
        </w:rPr>
        <w:t>c</w:t>
      </w:r>
      <w:r w:rsidRPr="008B3AD6">
        <w:rPr>
          <w:color w:val="000000" w:themeColor="text1"/>
        </w:rPr>
        <w:t xml:space="preserve">ells </w:t>
      </w:r>
      <w:r w:rsidRPr="008B3AD6">
        <w:rPr>
          <w:b/>
          <w:color w:val="000000" w:themeColor="text1"/>
        </w:rPr>
        <w:fldChar w:fldCharType="begin"/>
      </w:r>
      <w:r w:rsidRPr="008B3AD6">
        <w:rPr>
          <w:b/>
          <w:color w:val="000000" w:themeColor="text1"/>
        </w:rPr>
        <w:instrText xml:space="preserve"> ADDIN ZOTERO_ITEM CSL_CITATION {"citationID":"6XTThZYs","properties":{"formattedCitation":"(Cotterell, Engwerda, and Kaye 1999)","plainCitation":"(Cotterell, Engwerda, and Kaye 1999)","noteIndex":0},"citationItems":[{"id":2480,"uris":["http://zotero.org/users/2628971/items/8J9GZBFP"],"uri":["http://zotero.org/users/2628971/items/8J9GZBFP"],"itemData":{"id":2480,"type":"article-journal","title":"Leishmania donovani infection initiates T cell-independent chemokine responses, which are subsequently amplified in a T cell-dependent manner","container-title":"European Journal of Immunology","page":"203-214","volume":"29","issue":"1","source":"PubMed","abstract":"Control of Leishmania donovani infection in immunocompetent mice is associated with hepatic inflammation and granuloma formation, both of which are absent in severe combined immunodeficient (scid) mice. In both BALB/c and scid mice, L. donovani infection induced a rapid hepatic accumulation of mRNA encoding macrophage inflammatory protein-1alpha (MIP-(1alpha), monocyte chemoattractant protein-1 (MCP-1) and interferon-gamma inducible protein-10 (gammaIP-10). This response was not preceded by increased IL-4 production in either strain, unlike that reported in other infectious disease models. Interestingly, only gammaIP-10 mRNA was maintained at elevated levels throughout the first 7 days of infection, by mechanisms involving CD4+ and CD8+ T cells, and CD4+CD8+ cells not activated in scid mice. By in vivo depletion and reconstitution of scid mice it was demonstrated that T cells regulate the expression of all three chemokines studied, while they themselves only produce gammaIP-10 in appreciable quantities.","DOI":"10.1002/(SICI)1521-4141(199901)29:01&amp;#60;203::AID-IMMU203&amp;#62;3.0.CO;2-B","ISSN":"0014-2980","note":"PMID: 9933102","journalAbbreviation":"Eur. J. Immunol.","language":"eng","author":[{"family":"Cotterell","given":"S. E."},{"family":"Engwerda","given":"C. R."},{"family":"Kaye","given":"P. M."}],"issued":{"date-parts":[["1999",1]]}}}],"schema":"https://github.com/citation-style-language/schema/raw/master/csl-citation.json"} </w:instrText>
      </w:r>
      <w:r w:rsidRPr="008B3AD6">
        <w:rPr>
          <w:b/>
          <w:color w:val="000000" w:themeColor="text1"/>
        </w:rPr>
        <w:fldChar w:fldCharType="separate"/>
      </w:r>
      <w:r w:rsidR="00025067">
        <w:rPr>
          <w:color w:val="000000"/>
          <w:lang w:val="en-US"/>
        </w:rPr>
        <w:t>(Cotterell, Engwerda, and Kaye 1999)</w:t>
      </w:r>
      <w:r w:rsidRPr="008B3AD6">
        <w:rPr>
          <w:b/>
          <w:color w:val="000000" w:themeColor="text1"/>
        </w:rPr>
        <w:fldChar w:fldCharType="end"/>
      </w:r>
      <w:r w:rsidRPr="008B3AD6">
        <w:rPr>
          <w:color w:val="000000" w:themeColor="text1"/>
        </w:rPr>
        <w:t xml:space="preserve">. In addition to this, infected KCs may also attract local uninfected KCs to their location where cellular fusion can occur </w:t>
      </w:r>
      <w:r w:rsidRPr="008B3AD6">
        <w:rPr>
          <w:color w:val="000000" w:themeColor="text1"/>
        </w:rPr>
        <w:fldChar w:fldCharType="begin"/>
      </w:r>
      <w:r w:rsidR="00025067">
        <w:rPr>
          <w:color w:val="000000" w:themeColor="text1"/>
        </w:rPr>
        <w:instrText xml:space="preserve"> ADDIN ZOTERO_ITEM CSL_CITATION {"citationID":"2OG1H5nY","properties":{"formattedCitation":"(McElrath, Murray, and Cohn 1988; Beattie, Peltan, et al. 2010a)","plainCitation":"(McElrath, Murray, and Cohn 1988; Beattie, Peltan, et al. 2010a)","noteIndex":0},"citationItems":[{"id":3104,"uris":["http://zotero.org/users/2628971/items/YSYKCRUQ"],"uri":["http://zotero.org/users/2628971/items/YSYKCRUQ"],"itemData":{"id":3104,"type":"article-journal","title":"The dynamics of granuloma formation in experimental visceral leishmaniasis","container-title":"The Journal of Experimental Medicine","page":"1927-1937","volume":"167","issue":"6","source":"PubMed","abstract":"We have examined the temporal sequence of events leading to the formation of hepatic granulomas after the intravenous injection of L. donovani amastigotes into BALB/c mice. Parasite ingestion by permissive Kupffer cells (KC) occurred promptly, and local KC aggregations were the foci about which granulomas were subsequently formed. Infected KC were recognized by the uptake of colloidal carbon and the expression of the macrophage-specific antigen recognized by F4/80 mAb. Peroxidase-positive granulocytes migrated rapidly and were followed by monocytes and L3T4+ T cells that enclosed the infected KC. Thereafter, Ly-2+ T cells were prominent members of the granulomatous lymphoid population. Parasites multiplied until 4 wk, and then a prompt reduction in infected cells occurred. This was associated with a sharp decline in the L3T4+ T cells of the granulomas and the maintenance of the Ly-2+ subset. In comparison, athymic nu/nu mice developed smaller, more slowly appearing granulomas that contained granulocytes and monocytes and exhibited progressive parasite replication. Upon rechallenge, the entire process was completed in 2 wk, and infected KC in the euthymic mice were never observed. We hypothesize that the effectiveness of the granulomatous response requires the destruction of parasitized host cells (KC), in a lymphokine rich environment. We further suggest that the Ly-2+ T cell serves as an important effector cell in this process, either by direct cytotoxicity or by supporting the cytotoxic potential of other cell types in the granuloma.","ISSN":"0022-1007","note":"PMID: 3290381\nPMCID: PMC2189681","journalAbbreviation":"J. Exp. Med.","language":"eng","author":[{"family":"McElrath","given":"M. J."},{"family":"Murray","given":"H. W."},{"family":"Cohn","given":"Z. A."}],"issued":{"date-parts":[["1988",6,1]]}}},{"id":2505,"uris":["http://zotero.org/users/2628971/items/6C2KJJIV"],"uri":["http://zotero.org/users/2628971/items/6C2KJJIV"],"itemData":{"id":2505,"type":"article-journal","title":"Dynamic Imaging of Experimental Leishmania donovani-Induced Hepatic Granulomas Detects Kupffer Cell-Restricted Antigen Presentation to Antigen-Specific CD8+ T Cells","container-title":"PLOS Pathogens","page":"e1000805","volume":"6","issue":"3","source":"PLoS Journals","abstract":"Kupffer cells (KCs) represent the major phagocytic population within the liver and provide an intracellular niche for the survival of a number of important human pathogens. Although KCs have been extensively studied in vitro, little is known of their in vivo response to infection and their capacity to directly interact with antigen-specific CD8+ T cells. Here, using a combination of approaches including whole mount and thin section confocal microscopy, adoptive cell transfer and intra-vital 2-photon microscopy, we demonstrate that KCs represent the only detectable population of mononuclear phagocytes within granulomas induced by Leishmania donovani infection that are capable of presenting parasite-derived peptide to effector CD8+ T cells. This restriction of antigen presentation to KCs within the Leishmania granuloma has important implications for the identification of new candidate vaccine antigens and for the design of novel immuno-therapeutic interventions.","DOI":"10.1371/journal.ppat.1000805","ISSN":"1553-7374","journalAbbreviation":"PLOS Pathogens","language":"en","author":[{"family":"Beattie","given":"Lynette"},{"family":"Peltan","given":"Adam"},{"family":"Maroof","given":"Asher"},{"family":"Kirby","given":"Alun"},{"family":"Brown","given":"Najmeeyah"},{"family":"Coles","given":"Mark"},{"family":"Smith","given":"Deborah F."},{"family":"Kaye","given":"Paul M."}],"issued":{"date-parts":[["2010",3,12]]}}}],"schema":"https://github.com/citation-style-language/schema/raw/master/csl-citation.json"} </w:instrText>
      </w:r>
      <w:r w:rsidRPr="008B3AD6">
        <w:rPr>
          <w:color w:val="000000" w:themeColor="text1"/>
        </w:rPr>
        <w:fldChar w:fldCharType="separate"/>
      </w:r>
      <w:r w:rsidR="00C80233">
        <w:rPr>
          <w:color w:val="000000" w:themeColor="text1"/>
          <w:lang w:val="en-US"/>
        </w:rPr>
        <w:t>(McElrath, Murray, and Cohn 1988; Beattie et al. 2010)</w:t>
      </w:r>
      <w:r w:rsidRPr="008B3AD6">
        <w:rPr>
          <w:color w:val="000000" w:themeColor="text1"/>
        </w:rPr>
        <w:fldChar w:fldCharType="end"/>
      </w:r>
      <w:r w:rsidRPr="008B3AD6">
        <w:rPr>
          <w:color w:val="000000" w:themeColor="text1"/>
        </w:rPr>
        <w:t>.</w:t>
      </w:r>
    </w:p>
    <w:p w14:paraId="5BA3BE79" w14:textId="77777777" w:rsidR="00AB3115" w:rsidRPr="008B3AD6" w:rsidRDefault="00AB3115" w:rsidP="000E10DC">
      <w:pPr>
        <w:spacing w:line="360" w:lineRule="auto"/>
        <w:jc w:val="both"/>
        <w:rPr>
          <w:color w:val="000000" w:themeColor="text1"/>
        </w:rPr>
      </w:pPr>
    </w:p>
    <w:p w14:paraId="33CF0C36" w14:textId="58C4C47D" w:rsidR="00AB3115" w:rsidRPr="008B3AD6" w:rsidRDefault="00A0509F" w:rsidP="000E10DC">
      <w:pPr>
        <w:spacing w:line="360" w:lineRule="auto"/>
        <w:jc w:val="both"/>
        <w:rPr>
          <w:color w:val="000000" w:themeColor="text1"/>
        </w:rPr>
      </w:pPr>
      <w:r w:rsidRPr="008B3AD6">
        <w:rPr>
          <w:color w:val="000000" w:themeColor="text1"/>
        </w:rPr>
        <w:t xml:space="preserve">For KCs and </w:t>
      </w:r>
      <w:r w:rsidRPr="008B3AD6">
        <w:rPr>
          <w:i/>
          <w:color w:val="000000" w:themeColor="text1"/>
        </w:rPr>
        <w:t>Leishmania,</w:t>
      </w:r>
      <w:r w:rsidRPr="008B3AD6">
        <w:rPr>
          <w:color w:val="000000" w:themeColor="text1"/>
        </w:rPr>
        <w:t xml:space="preserve"> a well-described route of antigen presentation is via the surface protein CD1d, a non-classical </w:t>
      </w:r>
      <w:r w:rsidR="00E8627B" w:rsidRPr="00E8627B">
        <w:rPr>
          <w:color w:val="000000" w:themeColor="text1"/>
        </w:rPr>
        <w:t>major histocompatibility complex (MHC)</w:t>
      </w:r>
      <w:r w:rsidRPr="008B3AD6">
        <w:rPr>
          <w:color w:val="000000" w:themeColor="text1"/>
        </w:rPr>
        <w:t xml:space="preserve"> protein. CD1d is used to present glycolipids of </w:t>
      </w:r>
      <w:r w:rsidRPr="008B3AD6">
        <w:rPr>
          <w:i/>
          <w:color w:val="000000" w:themeColor="text1"/>
        </w:rPr>
        <w:t>Leishmania</w:t>
      </w:r>
      <w:r w:rsidRPr="008B3AD6">
        <w:rPr>
          <w:color w:val="000000" w:themeColor="text1"/>
        </w:rPr>
        <w:t xml:space="preserve"> </w:t>
      </w:r>
      <w:r w:rsidRPr="008B3AD6">
        <w:rPr>
          <w:color w:val="000000" w:themeColor="text1"/>
        </w:rPr>
        <w:fldChar w:fldCharType="begin"/>
      </w:r>
      <w:r w:rsidRPr="008B3AD6">
        <w:rPr>
          <w:color w:val="000000" w:themeColor="text1"/>
        </w:rPr>
        <w:instrText xml:space="preserve"> ADDIN ZOTERO_ITEM CSL_CITATION {"citationID":"PTFzmZQB","properties":{"formattedCitation":"(Zamora-Chimal, Hern\\uc0\\u225{}ndez-Ruiz, and Becker 2017)","plainCitation":"(Zamora-Chimal, Hernández-Ruiz, and Becker 2017)","noteIndex":0},"citationItems":[{"id":3047,"uris":["http://zotero.org/users/2628971/items/CVA3W7NK"],"uri":["http://zotero.org/users/2628971/items/CVA3W7NK"],"itemData":{"id":3047,"type":"article-journal","title":"NKT cells in leishmaniasis","container-title":"Immunobiology","page":"641-646","volume":"222","issue":"4","source":"ScienceDirect","abstract":"The role of NKT cells in the resistance or susceptibility towards Leishmania infections remains to be defined, since controversial data persist. The response of these cells seems to depend on many variables such as the infection site, the number of infecting parasites, the virulence of the strain and the Leishmania species. We here revise the activation pathways leading to NKT cell activation. NKT cells can be activated by the direct pathway, in which Leishmania glycolipids are presented by CD1d molecules on antigen presenting cells, such as dendritic cells (DC), leading to the secretion of diverse cytokines by NKT. NKT cells can also be activated by the indirect pathway, in which Leishmania glycolipids, such as LPG, stimulate TLR2 in DC, inducing their IL-12 production, which in turn activates NKT cells. The review further analyzes the role of NKT cells in disease development, both in humans as in mouse models. Finally we propose the activation of NKT cells for controlling Leishmania infections.","DOI":"10.1016/j.imbio.2016.11.014","ISSN":"0171-2985","journalAbbreviation":"Immunobiology","author":[{"family":"Zamora-Chimal","given":"Jaime"},{"family":"Hernández-Ruiz","given":"Joselín"},{"family":"Becker","given":"Ingeborg"}],"issued":{"date-parts":[["2017",4,1]]}}}],"schema":"https://github.com/citation-style-language/schema/raw/master/csl-citation.json"} </w:instrText>
      </w:r>
      <w:r w:rsidRPr="008B3AD6">
        <w:rPr>
          <w:color w:val="000000" w:themeColor="text1"/>
        </w:rPr>
        <w:fldChar w:fldCharType="separate"/>
      </w:r>
      <w:r w:rsidR="00025067" w:rsidRPr="00025067">
        <w:rPr>
          <w:color w:val="000000"/>
          <w:lang w:val="en-US"/>
        </w:rPr>
        <w:t>(Zamora-Chimal, Hernández-Ruiz, and Becker 2017)</w:t>
      </w:r>
      <w:r w:rsidRPr="008B3AD6">
        <w:rPr>
          <w:color w:val="000000" w:themeColor="text1"/>
        </w:rPr>
        <w:fldChar w:fldCharType="end"/>
      </w:r>
      <w:r w:rsidRPr="008B3AD6">
        <w:rPr>
          <w:color w:val="000000" w:themeColor="text1"/>
        </w:rPr>
        <w:t xml:space="preserve"> which directly interacts with </w:t>
      </w:r>
      <w:r w:rsidR="00E8627B">
        <w:rPr>
          <w:color w:val="000000" w:themeColor="text1"/>
        </w:rPr>
        <w:t>natural killer T (NKT)</w:t>
      </w:r>
      <w:r w:rsidRPr="008B3AD6">
        <w:rPr>
          <w:color w:val="000000" w:themeColor="text1"/>
        </w:rPr>
        <w:t xml:space="preserve"> cells and activates them </w:t>
      </w:r>
      <w:r w:rsidRPr="008B3AD6">
        <w:rPr>
          <w:color w:val="000000" w:themeColor="text1"/>
        </w:rPr>
        <w:fldChar w:fldCharType="begin"/>
      </w:r>
      <w:r w:rsidRPr="008B3AD6">
        <w:rPr>
          <w:color w:val="000000" w:themeColor="text1"/>
        </w:rPr>
        <w:instrText xml:space="preserve"> ADDIN ZOTERO_ITEM CSL_CITATION {"citationID":"EgcLA8UY","properties":{"formattedCitation":"(Amprey et al. 2004; Beattie, Svensson, et al. 2010; Karmakar et al. 2012, 4; Zamora-Chimal, Hern\\uc0\\u225{}ndez-Ruiz, and Becker 2017)","plainCitation":"(Amprey et al. 2004; Beattie, Svensson, et al. 2010; Karmakar et al. 2012, 4; Zamora-Chimal, Hernández-Ruiz, and Becker 2017)","noteIndex":0},"citationItems":[{"id":2478,"uris":["http://zotero.org/users/2628971/items/TRDFGX4B"],"uri":["http://zotero.org/users/2628971/items/TRDFGX4B"],"itemData":{"id":2478,"type":"article-journal","title":"A Subset of Liver NK T Cells Is Activated during &lt;i&gt;Leishmania donovani&lt;/i&gt; Infection by CD1d-bound Lipophosphoglycan","container-title":"The Journal of Experimental Medicine","page":"895-904","volume":"200","issue":"7","source":"CrossRef","DOI":"10.1084/jem.20040704","ISSN":"0022-1007, 1540-9538","language":"en","author":[{"family":"Amprey","given":"Joseph L."},{"family":"Im","given":"Jin S."},{"family":"Turco","given":"Salvatore J."},{"family":"Murray","given":"Henry W."},{"family":"Illarionov","given":"Petr A."},{"family":"Besra","given":"Gurdyal S."},{"family":"Porcelli","given":"Steven A."},{"family":"Späth","given":"Gerald F."}],"issued":{"date-parts":[["2004",10,4]]}}},{"id":3068,"uris":["http://zotero.org/users/2628971/items/J8C2BTYG"],"uri":["http://zotero.org/users/2628971/items/J8C2BTYG"],"itemData":{"id":3068,"type":"article-journal","title":"Leishmania donovani-induced expression of signal regulatory protein α on Kupffer cells enhances hepatic invariant NKT-cell activation","container-title":"European Journal of Immunology","page":"117-123","volume":"40","issue":"1","source":"PubMed Central","abstract":"Signal regulatory protein α (SIRPα) and its cognate ligand CD47 have been documented to have a broad range of cellular functions in development and immunity. Here, we investigated the role of SIRPα–CD47 signalling in invariant NKT (iNKT) cell responses. We found that CD47 was required for the optimal production of IFN-γ from splenic iNKT cells following exposure to the αGalCer analogue PBS-57 and in vivo infection of mice with Leishmania donovani. Surprisingly, although SIRPα was undetectable in the liver of uninfected mice, the hepatic iNKT-cell response to infection was also impaired in CD47−/− mice. However, we found that SIRPα was rapidly induced on Kupffer cells following L. donovani infection, via a mechanism involving G-protein-coupled receptors. Thus, we describe a novel amplification pathway affecting cytokine production by hepatic iNKT cells, which may facilitate the breakdown of hepatic tolerance after infection.","DOI":"10.1002/eji.200939863","ISSN":"0014-2980","note":"PMID: 19877019\nPMCID: PMC2909397","journalAbbreviation":"Eur J Immunol","author":[{"family":"Beattie","given":"Lynette"},{"family":"Svensson","given":"Mattias"},{"family":"Bune","given":"Alison"},{"family":"Brown","given":"Najmeeyah"},{"family":"Maroof","given":"Asher"},{"family":"Zubairi","given":"Soombul"},{"family":"Smith","given":"Katharine R"},{"family":"Kaye","given":"Paul M"}],"issued":{"date-parts":[["2010",1]]}}},{"id":3043,"uris":["http://zotero.org/users/2628971/items/9JAD6NUL"],"uri":["http://zotero.org/users/2628971/items/9JAD6NUL"],"itemData":{"id":3043,"type":"article-journal","title":"TLR4 and NKT Cell Synergy in Immunotherapy against Visceral Leishmaniasis","container-title":"PLOS Pathogens","volume":"8","issue":"4","source":"PLoS Journals","abstract":"NKT cells play an important role in autoimmune diseases, tumor surveillance, and infectious diseases, providing in most cases protection against infection. NKT cells are reactive to CD1d presented glycolipid antigens. They can modulate immune responses by promoting the secretion of type 1, type 2, or immune regulatory cytokines. Pathogen-derived signals to dendritic cells mediated via Toll like Receptors (TLR) can be modulated by activated invariant Natural Killer T (iNKT) cells. The terminal β-(1–4)-galactose residues of glycans can modulate host responsiveness in a T helper type-1 direction via IFN-γ and TLRs. We have attempted to develop a defined immunotherapeutic, based on the cooperative action of a TLR ligand and iNKT cell using a mouse model of visceral leishmaniasis. We evaluated the anti-Leishmania immune responses and the protective efficacy of the β-(1–4)-galactose terminal NKT cell ligand glycosphingophospholipid (GSPL) antigen of L. donovani parasites. Our results suggest that TLR4 can function as an upstream sensor for GSPL and provoke intracellular inflammatory signaling necessary for parasite killing. Treatment with GSPL was able to induce a strong effective T cell response that contributed to effective control of acute parasite burden and led to undetectable parasite persistence in the infected animals. These studies for the first time demonstrate the interactions between a TLR ligand and iNKT cell activation in visceral leishmaniasis immunotherapeutic.","URL":"http://journals.plos.org/plospathogens/article?id=10.1371/journal.ppat.1002646","DOI":"10.1371/journal.ppat.1002646","ISSN":"1553-7374","journalAbbreviation":"PLOS Pathogens","language":"en","author":[{"family":"Karmakar","given":"Subir"},{"family":"Bhaumik","given":"Siddhartha Kumar"},{"family":"Paul","given":"Joydeep"},{"family":"De","given":"Tripti"}],"issued":{"date-parts":[["2012",4,12]]},"accessed":{"date-parts":[["2018",8,7]]}},"locator":"4"},{"id":3047,"uris":["http://zotero.org/users/2628971/items/CVA3W7NK"],"uri":["http://zotero.org/users/2628971/items/CVA3W7NK"],"itemData":{"id":3047,"type":"article-journal","title":"NKT cells in leishmaniasis","container-title":"Immunobiology","page":"641-646","volume":"222","issue":"4","source":"ScienceDirect","abstract":"The role of NKT cells in the resistance or susceptibility towards Leishmania infections remains to be defined, since controversial data persist. The response of these cells seems to depend on many variables such as the infection site, the number of infecting parasites, the virulence of the strain and the Leishmania species. We here revise the activation pathways leading to NKT cell activation. NKT cells can be activated by the direct pathway, in which Leishmania glycolipids are presented by CD1d molecules on antigen presenting cells, such as dendritic cells (DC), leading to the secretion of diverse cytokines by NKT. NKT cells can also be activated by the indirect pathway, in which Leishmania glycolipids, such as LPG, stimulate TLR2 in DC, inducing their IL-12 production, which in turn activates NKT cells. The review further analyzes the role of NKT cells in disease development, both in humans as in mouse models. Finally we propose the activation of NKT cells for controlling Leishmania infections.","DOI":"10.1016/j.imbio.2016.11.014","ISSN":"0171-2985","journalAbbreviation":"Immunobiology","author":[{"family":"Zamora-Chimal","given":"Jaime"},{"family":"Hernández-Ruiz","given":"Joselín"},{"family":"Becker","given":"Ingeborg"}],"issued":{"date-parts":[["2017",4,1]]}}}],"schema":"https://github.com/citation-style-language/schema/raw/master/csl-citation.json"} </w:instrText>
      </w:r>
      <w:r w:rsidRPr="008B3AD6">
        <w:rPr>
          <w:color w:val="000000" w:themeColor="text1"/>
        </w:rPr>
        <w:fldChar w:fldCharType="separate"/>
      </w:r>
      <w:r w:rsidR="00C46DBF">
        <w:rPr>
          <w:color w:val="000000"/>
          <w:lang w:val="en-US"/>
        </w:rPr>
        <w:t xml:space="preserve">(Amprey et al. 2004; Beattie </w:t>
      </w:r>
      <w:r w:rsidR="00C80233" w:rsidRPr="00C80233">
        <w:rPr>
          <w:color w:val="000000"/>
          <w:lang w:val="en-US"/>
        </w:rPr>
        <w:t>et</w:t>
      </w:r>
      <w:r w:rsidR="00C46DBF">
        <w:rPr>
          <w:color w:val="000000"/>
          <w:lang w:val="en-US"/>
        </w:rPr>
        <w:t xml:space="preserve"> al. 2010; Karmakar et al. 2012</w:t>
      </w:r>
      <w:r w:rsidR="00C80233" w:rsidRPr="00C80233">
        <w:rPr>
          <w:color w:val="000000"/>
          <w:lang w:val="en-US"/>
        </w:rPr>
        <w:t>; Zamora-Chimal, Hernández-Ruiz, and Becker 2017)</w:t>
      </w:r>
      <w:r w:rsidRPr="008B3AD6">
        <w:rPr>
          <w:color w:val="000000" w:themeColor="text1"/>
        </w:rPr>
        <w:fldChar w:fldCharType="end"/>
      </w:r>
      <w:r w:rsidRPr="008B3AD6">
        <w:rPr>
          <w:color w:val="000000" w:themeColor="text1"/>
        </w:rPr>
        <w:t>. For indirect activation, dendritic cells that recognise leishmanial glycolipids w</w:t>
      </w:r>
      <w:r w:rsidR="00E8627B">
        <w:rPr>
          <w:color w:val="000000" w:themeColor="text1"/>
        </w:rPr>
        <w:t>ill produce interleukin (IL)-12</w:t>
      </w:r>
      <w:r w:rsidRPr="008B3AD6">
        <w:rPr>
          <w:color w:val="000000" w:themeColor="text1"/>
        </w:rPr>
        <w:t xml:space="preserve">, a cytokine that stimulates the growth and function of T cells </w:t>
      </w:r>
      <w:r w:rsidRPr="008B3AD6">
        <w:rPr>
          <w:b/>
          <w:color w:val="000000" w:themeColor="text1"/>
        </w:rPr>
        <w:fldChar w:fldCharType="begin"/>
      </w:r>
      <w:r w:rsidRPr="008B3AD6">
        <w:rPr>
          <w:b/>
          <w:color w:val="000000" w:themeColor="text1"/>
        </w:rPr>
        <w:instrText xml:space="preserve"> ADDIN ZOTERO_ITEM CSL_CITATION {"citationID":"a1R26bcW","properties":{"formattedCitation":"(Hsieh et al. 1993)","plainCitation":"(Hsieh et al. 1993)","noteIndex":0},"citationItems":[{"id":3330,"uris":["http://zotero.org/users/2628971/items/4ZTY683G"],"uri":["http://zotero.org/users/2628971/items/4ZTY683G"],"itemData":{"id":3330,"type":"article-journal","title":"Development of TH1 CD4+ T cells through IL-12 produced by Listeria-induced macrophages","container-title":"Science (New York, N.Y.)","page":"547-549","volume":"260","issue":"5107","source":"PubMed","abstract":"Development of the appropriate CD4+ T helper (TH) subset during an immune response is important for disease resolution. With the use of naïve, ovalbumin-specific alpha beta T cell receptor transgenic T cell, it was found that heat-killed Listeria monocytogenes induced TH1 development in vitro through macrophage production of interleukin-12 (IL-12). Moreover, inhibition of macrophage production of IL-12 may explain the ability of IL-10 to suppress TH1 development. Murine immune responses to L. monocytogenes in vivo are of the appropriate TH1 phenotype. Therefore, this regulatory pathway may have evolved to enable innate immune cells, through interactions with microbial pathogens, to direct development of specific immunity toward the appropriate TH phenotype.","ISSN":"0036-8075","note":"PMID: 8097338","journalAbbreviation":"Science","language":"eng","author":[{"family":"Hsieh","given":"C. S."},{"family":"Macatonia","given":"S. E."},{"family":"Tripp","given":"C. S."},{"family":"Wolf","given":"S. F."},{"family":"O'Garra","given":"A."},{"family":"Murphy","given":"K. M."}],"issued":{"date-parts":[["1993",4,23]]}}}],"schema":"https://github.com/citation-style-language/schema/raw/master/csl-citation.json"} </w:instrText>
      </w:r>
      <w:r w:rsidRPr="008B3AD6">
        <w:rPr>
          <w:b/>
          <w:color w:val="000000" w:themeColor="text1"/>
        </w:rPr>
        <w:fldChar w:fldCharType="separate"/>
      </w:r>
      <w:r w:rsidR="00025067">
        <w:rPr>
          <w:color w:val="000000"/>
          <w:lang w:val="en-US"/>
        </w:rPr>
        <w:t>(Hsieh et al. 1993)</w:t>
      </w:r>
      <w:r w:rsidRPr="008B3AD6">
        <w:rPr>
          <w:b/>
          <w:color w:val="000000" w:themeColor="text1"/>
        </w:rPr>
        <w:fldChar w:fldCharType="end"/>
      </w:r>
      <w:r w:rsidRPr="008B3AD6">
        <w:rPr>
          <w:color w:val="000000" w:themeColor="text1"/>
        </w:rPr>
        <w:t xml:space="preserve">, allowing them to indirectly activate NKTs </w:t>
      </w:r>
      <w:r w:rsidRPr="008B3AD6">
        <w:rPr>
          <w:color w:val="000000" w:themeColor="text1"/>
        </w:rPr>
        <w:fldChar w:fldCharType="begin"/>
      </w:r>
      <w:r w:rsidRPr="008B3AD6">
        <w:rPr>
          <w:color w:val="000000" w:themeColor="text1"/>
        </w:rPr>
        <w:instrText xml:space="preserve"> ADDIN ZOTERO_ITEM CSL_CITATION {"citationID":"Lno8bLsj","properties":{"formattedCitation":"(Zamora-Chimal, Hern\\uc0\\u225{}ndez-Ruiz, and Becker 2017)","plainCitation":"(Zamora-Chimal, Hernández-Ruiz, and Becker 2017)","noteIndex":0},"citationItems":[{"id":3047,"uris":["http://zotero.org/users/2628971/items/CVA3W7NK"],"uri":["http://zotero.org/users/2628971/items/CVA3W7NK"],"itemData":{"id":3047,"type":"article-journal","title":"NKT cells in leishmaniasis","container-title":"Immunobiology","page":"641-646","volume":"222","issue":"4","source":"ScienceDirect","abstract":"The role of NKT cells in the resistance or susceptibility towards Leishmania infections remains to be defined, since controversial data persist. The response of these cells seems to depend on many variables such as the infection site, the number of infecting parasites, the virulence of the strain and the Leishmania species. We here revise the activation pathways leading to NKT cell activation. NKT cells can be activated by the direct pathway, in which Leishmania glycolipids are presented by CD1d molecules on antigen presenting cells, such as dendritic cells (DC), leading to the secretion of diverse cytokines by NKT. NKT cells can also be activated by the indirect pathway, in which Leishmania glycolipids, such as LPG, stimulate TLR2 in DC, inducing their IL-12 production, which in turn activates NKT cells. The review further analyzes the role of NKT cells in disease development, both in humans as in mouse models. Finally we propose the activation of NKT cells for controlling Leishmania infections.","DOI":"10.1016/j.imbio.2016.11.014","ISSN":"0171-2985","journalAbbreviation":"Immunobiology","author":[{"family":"Zamora-Chimal","given":"Jaime"},{"family":"Hernández-Ruiz","given":"Joselín"},{"family":"Becker","given":"Ingeborg"}],"issued":{"date-parts":[["2017",4,1]]}}}],"schema":"https://github.com/citation-style-language/schema/raw/master/csl-citation.json"} </w:instrText>
      </w:r>
      <w:r w:rsidRPr="008B3AD6">
        <w:rPr>
          <w:color w:val="000000" w:themeColor="text1"/>
        </w:rPr>
        <w:fldChar w:fldCharType="separate"/>
      </w:r>
      <w:r w:rsidR="00025067" w:rsidRPr="00025067">
        <w:rPr>
          <w:color w:val="000000"/>
          <w:lang w:val="en-US"/>
        </w:rPr>
        <w:t>(Zamora-Chimal, Hernández-Ruiz, and Becker 2017)</w:t>
      </w:r>
      <w:r w:rsidRPr="008B3AD6">
        <w:rPr>
          <w:color w:val="000000" w:themeColor="text1"/>
        </w:rPr>
        <w:fldChar w:fldCharType="end"/>
      </w:r>
      <w:r w:rsidRPr="008B3AD6">
        <w:rPr>
          <w:color w:val="000000" w:themeColor="text1"/>
        </w:rPr>
        <w:t>.</w:t>
      </w:r>
    </w:p>
    <w:p w14:paraId="29144ECF" w14:textId="77777777" w:rsidR="00AB3115" w:rsidRPr="008B3AD6" w:rsidRDefault="00AB3115" w:rsidP="000E10DC">
      <w:pPr>
        <w:spacing w:line="360" w:lineRule="auto"/>
        <w:jc w:val="both"/>
        <w:rPr>
          <w:color w:val="000000" w:themeColor="text1"/>
        </w:rPr>
      </w:pPr>
    </w:p>
    <w:p w14:paraId="0B2010DA" w14:textId="1B03CD54" w:rsidR="00AB3115" w:rsidRPr="008B3AD6" w:rsidRDefault="00A0509F" w:rsidP="000E10DC">
      <w:pPr>
        <w:spacing w:line="360" w:lineRule="auto"/>
        <w:jc w:val="both"/>
        <w:rPr>
          <w:color w:val="000000" w:themeColor="text1"/>
        </w:rPr>
      </w:pPr>
      <w:r w:rsidRPr="008B3AD6">
        <w:rPr>
          <w:color w:val="000000" w:themeColor="text1"/>
        </w:rPr>
        <w:t xml:space="preserve">NKT cells are a subset of T cells that rapidly respond to activation with the production of an array of cytokines </w:t>
      </w:r>
      <w:r w:rsidRPr="008B3AD6">
        <w:rPr>
          <w:b/>
          <w:color w:val="000000" w:themeColor="text1"/>
        </w:rPr>
        <w:fldChar w:fldCharType="begin"/>
      </w:r>
      <w:r w:rsidRPr="008B3AD6">
        <w:rPr>
          <w:b/>
          <w:color w:val="000000" w:themeColor="text1"/>
        </w:rPr>
        <w:instrText xml:space="preserve"> ADDIN ZOTERO_ITEM CSL_CITATION {"citationID":"t4hG88NO","properties":{"formattedCitation":"(Zlotnik et al. 1992; Liao, Zimmer, and Wang 2013; Bernin et al. 2016)","plainCitation":"(Zlotnik et al. 1992; Liao, Zimmer, and Wang 2013; Bernin et al. 2016)","noteIndex":0},"citationItems":[{"id":3332,"uris":["http://zotero.org/users/2628971/items/DIUFU8N7"],"uri":["http://zotero.org/users/2628971/items/DIUFU8N7"],"itemData":{"id":3332,"type":"article-journal","title":"Cytokine production by mature and immature CD4-CD8- T cells. Alpha beta-T cell receptor+ CD4-CD8- T cells produce IL-4","container-title":"Journal of Immunology (Baltimore, Md.: 1950)","page":"1211-1215","volume":"149","issue":"4","source":"PubMed","abstract":"This study follows our previous investigation describing the production of four cytokines (IL-2, IL-4, IFN-gamma, and TNF-alpha) by subsets of thymocytes defined by the expression of CD3, 4, 8, and 25. Here we investigate in greater detail subpopulations of CD4-CD8- double negative (DN) thymocytes. First we divided immature CD25-CD4-CD8-CD3- (CD25- triple negative) (TN) thymocytes into CD44+ and CD44- subsets. The CD44+ population includes very immature precursor T cells and produced high titers of IL-2, TNF-alpha, and IFN-gamma upon activation with calcium ionophore and phorbol ester. In contrast, the CD44- subset of CD25- TN thymocytes did not produce any of the cytokines studied under similar activation conditions. This observation indicates that the latter subset, which differentiates spontaneously in vitro into CD4+CD8+, already resembles CD4+CD8+ thymocytes (which do not produce any of the tested cytokines). We also subdivided the more mature CD3+ DN thymocytes into TCR-alpha beta- and TCR-gamma delta-bearing subsets. These cells produced cytokines upon activation with solid phase anti-CD3 mAb. gamma delta TCR+ DN thymocytes produced IL-2, IFN-gamma and TNF-alpha, whereas alpha beta TCR+ DN thymocytes produced IL-4, IFN-gamma, and TNF-alpha but not IL-2. We then studied alpha beta TCR+ DN T cells isolated from the spleen and found a similar cytokine production profile. Furthermore, splenic alpha beta TCR+ DN cells showed a TCR V beta gene expression profile reminiscent of alpha beta TCR+ DN thymocytes (predominant use of V beta 8.2). These observations suggest that at least some alpha beta TCR+ DN splenocytes are derived from alpha beta TCR+ DN thymocytes and also raises the possibility that these cells may play a role in the development of Th2 responses through their production of IL-4.","ISSN":"0022-1767","note":"PMID: 1386860","journalAbbreviation":"J. Immunol.","language":"eng","author":[{"family":"Zlotnik","given":"A."},{"family":"Godfrey","given":"D. I."},{"family":"Fischer","given":"M."},{"family":"Suda","given":"T."}],"issued":{"date-parts":[["1992",8,15]]}}},{"id":3053,"uris":["http://zotero.org/users/2628971/items/E9RFX7RC"],"uri":["http://zotero.org/users/2628971/items/E9RFX7RC"],"itemData":{"id":3053,"type":"article-journal","title":"The Functions of Type I and Type II Natural Killer T (NKT) Cells in Inflammatory Bowel Diseases","container-title":"Inflammatory bowel diseases","page":"1330-1338","volume":"19","issue":"6","source":"PubMed Central","abstract":"CD1d-restricted natural killer T (NKT) cells are a distinct subset of T cells that rapidly produce an array of cytokines upon activation and play a critical role in regulating various immune responses. NKT cells are classified into two groups based on differences in T cell receptor (TCR) usage. Type I NKT cells have an invariant TCRα-chain and are readily detectable by α-galactosylceramide (α-GalCer)-loaded CD1d tetramers. Type II NKT cells have a more diverse TCR repertoire and cannot be directly identified. Both types of NKT cells as well as multiple CD1d-expressing cell types are present in the intestine and their interactions are likely to be modulated by pathogenic and commensal microbes, which in turn contribute to the intestinal immune responses in health and disease. Indeed, in several animal models of inflammatory bowel disease (IBD), Type I NKT cells have been shown to make both protective and pathogenic contributions to disease. In contrast, in human patients suffering from ulcerative colitis (UC), and a mouse model in which both CD1d expression and the frequency of Type II NKT cells are increased, Type II NKT cells appear to promote intestinal inflammation. In this review, we summarize present knowledge on the antigen recognition, activation and function of NKT cells with a particular focus on their role in IBD, and discuss factors that may influence the functional outcome of NKT cell responses in intestinal inflammation.","DOI":"10.1097/MIB.0b013e318280b1e3","ISSN":"1078-0998","note":"PMID: 23518808\nPMCID: PMC3694171","journalAbbreviation":"Inflamm Bowel Dis","author":[{"family":"Liao","given":"Chia-Min"},{"family":"Zimmer","given":"Michael I."},{"family":"Wang","given":"Chyung-Ru"}],"issued":{"date-parts":[["2013",5]]}}},{"id":3090,"uris":["http://zotero.org/users/2628971/items/TBS2IJH5"],"uri":["http://zotero.org/users/2628971/items/TBS2IJH5"],"itemData":{"id":3090,"type":"article-journal","title":"The cytokine profile of human NKT cells and PBMCs is dependent on donor sex and stimulus","container-title":"Medical Microbiology and Immunology","page":"321-332","volume":"205","issue":"4","source":"link.springer.com","abstract":"Sex-related variations in natural killer T (NKT) cells may influence immunoregulation and outcome of infectious and autoimmune diseases. We analyzed sex-specific differences in peripheral blood NKTs and peripheral blood mononuclear cells (PBMCs) from men and women and determined the frequencies of NKT cells and their subpopulations [CD4+; CD8+; double negative (DN)] and the levels of cytokine production following stimulation with the NKT cell ligands α-Galactosylceramide (αGalCer) and Entamoeba histolytica lipopeptidephosphoglycan (Lotter et al. in PLoS Pathog 5(5):e1000434, 2009). Total and DN NKT cells were more abundant in women than in men. In women, αGalCer induced higher production of intracellular IFNγ, IL-4, IL-17 and TNF by CD4+ and DN+NKT cells. Both ligands induced expression of multiple cytokines in PBMCs and influenced the ratio of NKT cell subpopulations during long-term culture. Although the sex-specific differences in frequencies of NKT cells and their subpopulations were marginal, the significant sex-specific differences in cytokine production might influence disease outcomes.","DOI":"10.1007/s00430-016-0449-y","ISSN":"0300-8584, 1432-1831","journalAbbreviation":"Med Microbiol Immunol","language":"en","author":[{"family":"Bernin","given":"Hannah"},{"family":"Fehling","given":"Helena"},{"family":"Marggraff","given":"Claudia"},{"family":"Tannich","given":"Egbert"},{"family":"Lotter","given":"Hannelore"}],"issued":{"date-parts":[["2016",8,1]]}}}],"schema":"https://github.com/citation-style-language/schema/raw/master/csl-citation.json"} </w:instrText>
      </w:r>
      <w:r w:rsidRPr="008B3AD6">
        <w:rPr>
          <w:b/>
          <w:color w:val="000000" w:themeColor="text1"/>
        </w:rPr>
        <w:fldChar w:fldCharType="separate"/>
      </w:r>
      <w:r w:rsidR="00025067">
        <w:rPr>
          <w:color w:val="000000"/>
          <w:lang w:val="en-US"/>
        </w:rPr>
        <w:t>(Zlotnik et al. 1992; Liao, Zimmer, and Wang 2013; Bernin et al. 2016)</w:t>
      </w:r>
      <w:r w:rsidRPr="008B3AD6">
        <w:rPr>
          <w:b/>
          <w:color w:val="000000" w:themeColor="text1"/>
        </w:rPr>
        <w:fldChar w:fldCharType="end"/>
      </w:r>
      <w:r w:rsidRPr="008B3AD6">
        <w:rPr>
          <w:color w:val="000000" w:themeColor="text1"/>
        </w:rPr>
        <w:t xml:space="preserve">. These NKT cells share some similarities with both NK cells and T cells, such as surface marker expression </w:t>
      </w:r>
      <w:r w:rsidRPr="008B3AD6">
        <w:rPr>
          <w:b/>
          <w:color w:val="000000" w:themeColor="text1"/>
        </w:rPr>
        <w:fldChar w:fldCharType="begin"/>
      </w:r>
      <w:r w:rsidRPr="008B3AD6">
        <w:rPr>
          <w:b/>
          <w:color w:val="000000" w:themeColor="text1"/>
        </w:rPr>
        <w:instrText xml:space="preserve"> ADDIN ZOTERO_ITEM CSL_CITATION {"citationID":"7wO3QJhm","properties":{"formattedCitation":"(Godfrey et al. 2004)","plainCitation":"(Godfrey et al. 2004)","noteIndex":0},"citationItems":[{"id":3082,"uris":["http://zotero.org/users/2628971/items/N5R92UW6"],"uri":["http://zotero.org/users/2628971/items/N5R92UW6"],"itemData":{"id":3082,"type":"article-journal","title":"NKT cells: what's in a name?","container-title":"Nature Reviews Immunology","page":"231-237","volume":"4","issue":"3","source":"www.nature.com","abstract":"Recent years have seen so-called natural killer T (NKT) cells emerge as important regulators of the immune response. The existence of NKT-cell subsets, and other types of T cell that resemble NKT cells, is an ongoing source of confusion in the literature. This perspective article seeks to clarify which cells fall under the NKT-cell umbrella, and which might be best considered as separate.","DOI":"10.1038/nri1309","ISSN":"1474-1741","shortTitle":"NKT cells","language":"en","author":[{"family":"Godfrey","given":"Dale I."},{"family":"MacDonald","given":"H. Robson"},{"family":"Kronenberg","given":"Mitchell"},{"family":"Smyth","given":"Mark J."},{"family":"Kaer","given":"Luc Van"}],"issued":{"date-parts":[["2004",3]]}}}],"schema":"https://github.com/citation-style-language/schema/raw/master/csl-citation.json"} </w:instrText>
      </w:r>
      <w:r w:rsidRPr="008B3AD6">
        <w:rPr>
          <w:b/>
          <w:color w:val="000000" w:themeColor="text1"/>
        </w:rPr>
        <w:fldChar w:fldCharType="separate"/>
      </w:r>
      <w:r w:rsidR="00025067">
        <w:rPr>
          <w:color w:val="000000"/>
          <w:lang w:val="en-US"/>
        </w:rPr>
        <w:t>(Godfrey et al. 2004)</w:t>
      </w:r>
      <w:r w:rsidRPr="008B3AD6">
        <w:rPr>
          <w:b/>
          <w:color w:val="000000" w:themeColor="text1"/>
        </w:rPr>
        <w:fldChar w:fldCharType="end"/>
      </w:r>
      <w:r w:rsidRPr="008B3AD6">
        <w:rPr>
          <w:color w:val="000000" w:themeColor="text1"/>
        </w:rPr>
        <w:t>, and are characterised into two classes (Type I &amp; II). Murine type I NKT cells</w:t>
      </w:r>
      <w:r w:rsidR="008F2DB0">
        <w:rPr>
          <w:color w:val="000000" w:themeColor="text1"/>
        </w:rPr>
        <w:t xml:space="preserve"> (also known as invariant natural killer T cells [iNKT])</w:t>
      </w:r>
      <w:r w:rsidRPr="008B3AD6">
        <w:rPr>
          <w:color w:val="000000" w:themeColor="text1"/>
        </w:rPr>
        <w:t xml:space="preserve"> express an invariant Vα14/Jα18 T</w:t>
      </w:r>
      <w:r w:rsidR="008F2DB0">
        <w:rPr>
          <w:color w:val="000000" w:themeColor="text1"/>
        </w:rPr>
        <w:t xml:space="preserve"> cell receptor (TCR) </w:t>
      </w:r>
      <w:r w:rsidRPr="008B3AD6">
        <w:rPr>
          <w:color w:val="000000" w:themeColor="text1"/>
        </w:rPr>
        <w:t xml:space="preserve">α chain paired with a limited set of TCRβ chains </w:t>
      </w:r>
      <w:r w:rsidRPr="008B3AD6">
        <w:rPr>
          <w:color w:val="000000" w:themeColor="text1"/>
        </w:rPr>
        <w:fldChar w:fldCharType="begin"/>
      </w:r>
      <w:r w:rsidRPr="008B3AD6">
        <w:rPr>
          <w:color w:val="000000" w:themeColor="text1"/>
        </w:rPr>
        <w:instrText xml:space="preserve"> ADDIN ZOTERO_ITEM CSL_CITATION {"citationID":"GM1n0MVR","properties":{"formattedCitation":"(Liao, Zimmer, and Wang 2013)","plainCitation":"(Liao, Zimmer, and Wang 2013)","noteIndex":0},"citationItems":[{"id":3053,"uris":["http://zotero.org/users/2628971/items/E9RFX7RC"],"uri":["http://zotero.org/users/2628971/items/E9RFX7RC"],"itemData":{"id":3053,"type":"article-journal","title":"The Functions of Type I and Type II Natural Killer T (NKT) Cells in Inflammatory Bowel Diseases","container-title":"Inflammatory bowel diseases","page":"1330-1338","volume":"19","issue":"6","source":"PubMed Central","abstract":"CD1d-restricted natural killer T (NKT) cells are a distinct subset of T cells that rapidly produce an array of cytokines upon activation and play a critical role in regulating various immune responses. NKT cells are classified into two groups based on differences in T cell receptor (TCR) usage. Type I NKT cells have an invariant TCRα-chain and are readily detectable by α-galactosylceramide (α-GalCer)-loaded CD1d tetramers. Type II NKT cells have a more diverse TCR repertoire and cannot be directly identified. Both types of NKT cells as well as multiple CD1d-expressing cell types are present in the intestine and their interactions are likely to be modulated by pathogenic and commensal microbes, which in turn contribute to the intestinal immune responses in health and disease. Indeed, in several animal models of inflammatory bowel disease (IBD), Type I NKT cells have been shown to make both protective and pathogenic contributions to disease. In contrast, in human patients suffering from ulcerative colitis (UC), and a mouse model in which both CD1d expression and the frequency of Type II NKT cells are increased, Type II NKT cells appear to promote intestinal inflammation. In this review, we summarize present knowledge on the antigen recognition, activation and function of NKT cells with a particular focus on their role in IBD, and discuss factors that may influence the functional outcome of NKT cell responses in intestinal inflammation.","DOI":"10.1097/MIB.0b013e318280b1e3","ISSN":"1078-0998","note":"PMID: 23518808\nPMCID: PMC3694171","journalAbbreviation":"Inflamm Bowel Dis","author":[{"family":"Liao","given":"Chia-Min"},{"family":"Zimmer","given":"Michael I."},{"family":"Wang","given":"Chyung-Ru"}],"issued":{"date-parts":[["2013",5]]}}}],"schema":"https://github.com/citation-style-language/schema/raw/master/csl-citation.json"} </w:instrText>
      </w:r>
      <w:r w:rsidRPr="008B3AD6">
        <w:rPr>
          <w:color w:val="000000" w:themeColor="text1"/>
        </w:rPr>
        <w:fldChar w:fldCharType="separate"/>
      </w:r>
      <w:r w:rsidR="00025067">
        <w:rPr>
          <w:color w:val="000000" w:themeColor="text1"/>
          <w:lang w:val="en-US"/>
        </w:rPr>
        <w:t>(Liao, Zimmer, and Wang 2013)</w:t>
      </w:r>
      <w:r w:rsidRPr="008B3AD6">
        <w:rPr>
          <w:color w:val="000000" w:themeColor="text1"/>
        </w:rPr>
        <w:fldChar w:fldCharType="end"/>
      </w:r>
      <w:r w:rsidRPr="008B3AD6">
        <w:rPr>
          <w:color w:val="000000" w:themeColor="text1"/>
        </w:rPr>
        <w:t xml:space="preserve"> whereas type II NKTs display higher levels of TCRβ chain variability </w:t>
      </w:r>
      <w:r w:rsidRPr="008B3AD6">
        <w:rPr>
          <w:color w:val="000000" w:themeColor="text1"/>
        </w:rPr>
        <w:fldChar w:fldCharType="begin"/>
      </w:r>
      <w:r w:rsidRPr="008B3AD6">
        <w:rPr>
          <w:color w:val="000000" w:themeColor="text1"/>
        </w:rPr>
        <w:instrText xml:space="preserve"> ADDIN ZOTERO_ITEM CSL_CITATION {"citationID":"uME9gKHS","properties":{"formattedCitation":"(Godfrey et al. 2004)","plainCitation":"(Godfrey et al. 2004)","noteIndex":0},"citationItems":[{"id":3082,"uris":["http://zotero.org/users/2628971/items/N5R92UW6"],"uri":["http://zotero.org/users/2628971/items/N5R92UW6"],"itemData":{"id":3082,"type":"article-journal","title":"NKT cells: what's in a name?","container-title":"Nature Reviews Immunology","page":"231-237","volume":"4","issue":"3","source":"www.nature.com","abstract":"Recent years have seen so-called natural killer T (NKT) cells emerge as important regulators of the immune response. The existence of NKT-cell subsets, and other types of T cell that resemble NKT cells, is an ongoing source of confusion in the literature. This perspective article seeks to clarify which cells fall under the NKT-cell umbrella, and which might be best considered as separate.","DOI":"10.1038/nri1309","ISSN":"1474-1741","shortTitle":"NKT cells","language":"en","author":[{"family":"Godfrey","given":"Dale I."},{"family":"MacDonald","given":"H. Robson"},{"family":"Kronenberg","given":"Mitchell"},{"family":"Smyth","given":"Mark J."},{"family":"Kaer","given":"Luc Van"}],"issued":{"date-parts":[["2004",3]]}}}],"schema":"https://github.com/citation-style-language/schema/raw/master/csl-citation.json"} </w:instrText>
      </w:r>
      <w:r w:rsidRPr="008B3AD6">
        <w:rPr>
          <w:color w:val="000000" w:themeColor="text1"/>
        </w:rPr>
        <w:fldChar w:fldCharType="separate"/>
      </w:r>
      <w:r w:rsidR="00025067">
        <w:rPr>
          <w:color w:val="000000" w:themeColor="text1"/>
          <w:lang w:val="en-US"/>
        </w:rPr>
        <w:t>(Godfrey et al. 2004)</w:t>
      </w:r>
      <w:r w:rsidRPr="008B3AD6">
        <w:rPr>
          <w:color w:val="000000" w:themeColor="text1"/>
        </w:rPr>
        <w:fldChar w:fldCharType="end"/>
      </w:r>
      <w:r w:rsidRPr="008B3AD6">
        <w:rPr>
          <w:color w:val="000000" w:themeColor="text1"/>
        </w:rPr>
        <w:t>. Once activated NKTs produce chemokines associated with both a Th</w:t>
      </w:r>
      <w:r w:rsidRPr="00E8627B">
        <w:rPr>
          <w:color w:val="000000" w:themeColor="text1"/>
          <w:vertAlign w:val="subscript"/>
        </w:rPr>
        <w:t>1</w:t>
      </w:r>
      <w:r w:rsidRPr="008B3AD6">
        <w:rPr>
          <w:color w:val="000000" w:themeColor="text1"/>
        </w:rPr>
        <w:t xml:space="preserve"> and Th</w:t>
      </w:r>
      <w:r w:rsidRPr="00E8627B">
        <w:rPr>
          <w:color w:val="000000" w:themeColor="text1"/>
          <w:vertAlign w:val="subscript"/>
        </w:rPr>
        <w:t>2</w:t>
      </w:r>
      <w:r w:rsidRPr="008B3AD6">
        <w:rPr>
          <w:color w:val="000000" w:themeColor="text1"/>
        </w:rPr>
        <w:t xml:space="preserve"> response </w:t>
      </w:r>
      <w:r w:rsidRPr="008B3AD6">
        <w:rPr>
          <w:color w:val="000000" w:themeColor="text1"/>
        </w:rPr>
        <w:fldChar w:fldCharType="begin"/>
      </w:r>
      <w:r w:rsidRPr="008B3AD6">
        <w:rPr>
          <w:color w:val="000000" w:themeColor="text1"/>
        </w:rPr>
        <w:instrText xml:space="preserve"> ADDIN ZOTERO_ITEM CSL_CITATION {"citationID":"ysYldrKi","properties":{"formattedCitation":"(Coquet et al. 2008; Bernin et al. 2016)","plainCitation":"(Coquet et al. 2008; Bernin et al. 2016)","noteIndex":0},"citationItems":[{"id":3079,"uris":["http://zotero.org/users/2628971/items/MMSHG2P7"],"uri":["http://zotero.org/users/2628971/items/MMSHG2P7"],"itemData":{"id":3079,"type":"article-journal","title":"Diverse cytokine production by NKT cell subsets and identification of an IL-17–producing CD4−NK1.1− NKT cell population","container-title":"Proceedings of the National Academy of Sciences","page":"11287-11292","volume":"105","issue":"32","source":"www.pnas.org","abstract":"NKT cell subsets can be divided based on CD4 and NK1.1 expression and tissue of origin, but the developmental and functional relationships between the different subsets still are poorly understood. A comprehensive study of 19 cytokines across different NKT cell subsets revealed that no two NKT subpopulations exhibited the same cytokine profile, and, remarkably, the amounts of each cytokine produced varied by up to 100-fold or more among subsets. This study also revealed the existence of a population of CD4−NK1.1− NKT cells that produce high levels of the proinflammatory cytokine IL-17 within 2–3 h of activation. On intrathymic transfer these cells develop into mature CD4−NK1.1+ but not into CD4+NK1.1+ NKT cells, indicating that CD4−NK1.1− NKT cells include an IL-17–producing subpopulation, and also mark the elusive branch point for CD4+ and CD4− NKT cell sublineages.","DOI":"10.1073/pnas.0801631105","ISSN":"0027-8424, 1091-6490","note":"PMID: 18685112","journalAbbreviation":"PNAS","language":"en","author":[{"family":"Coquet","given":"Jonathan M."},{"family":"Chakravarti","given":"Sumone"},{"family":"Kyparissoudis","given":"Konstantinos"},{"family":"McNab","given":"Finlay W."},{"family":"Pitt","given":"Lauren A."},{"family":"McKenzie","given":"Brent S."},{"family":"Berzins","given":"Stuart P."},{"family":"Smyth","given":"Mark J."},{"family":"Godfrey","given":"Dale I."}],"issued":{"date-parts":[["2008",8,12]]}}},{"id":3090,"uris":["http://zotero.org/users/2628971/items/TBS2IJH5"],"uri":["http://zotero.org/users/2628971/items/TBS2IJH5"],"itemData":{"id":3090,"type":"article-journal","title":"The cytokine profile of human NKT cells and PBMCs is dependent on donor sex and stimulus","container-title":"Medical Microbiology and Immunology","page":"321-332","volume":"205","issue":"4","source":"link.springer.com","abstract":"Sex-related variations in natural killer T (NKT) cells may influence immunoregulation and outcome of infectious and autoimmune diseases. We analyzed sex-specific differences in peripheral blood NKTs and peripheral blood mononuclear cells (PBMCs) from men and women and determined the frequencies of NKT cells and their subpopulations [CD4+; CD8+; double negative (DN)] and the levels of cytokine production following stimulation with the NKT cell ligands α-Galactosylceramide (αGalCer) and Entamoeba histolytica lipopeptidephosphoglycan (Lotter et al. in PLoS Pathog 5(5):e1000434, 2009). Total and DN NKT cells were more abundant in women than in men. In women, αGalCer induced higher production of intracellular IFNγ, IL-4, IL-17 and TNF by CD4+ and DN+NKT cells. Both ligands induced expression of multiple cytokines in PBMCs and influenced the ratio of NKT cell subpopulations during long-term culture. Although the sex-specific differences in frequencies of NKT cells and their subpopulations were marginal, the significant sex-specific differences in cytokine production might influence disease outcomes.","DOI":"10.1007/s00430-016-0449-y","ISSN":"0300-8584, 1432-1831","journalAbbreviation":"Med Microbiol Immunol","language":"en","author":[{"family":"Bernin","given":"Hannah"},{"family":"Fehling","given":"Helena"},{"family":"Marggraff","given":"Claudia"},{"family":"Tannich","given":"Egbert"},{"family":"Lotter","given":"Hannelore"}],"issued":{"date-parts":[["2016",8,1]]}}}],"schema":"https://github.com/citation-style-language/schema/raw/master/csl-citation.json"} </w:instrText>
      </w:r>
      <w:r w:rsidRPr="008B3AD6">
        <w:rPr>
          <w:color w:val="000000" w:themeColor="text1"/>
        </w:rPr>
        <w:fldChar w:fldCharType="separate"/>
      </w:r>
      <w:r w:rsidR="00025067">
        <w:rPr>
          <w:color w:val="000000" w:themeColor="text1"/>
          <w:lang w:val="en-US"/>
        </w:rPr>
        <w:t>(Coquet et al. 2008; Bernin et al. 2016)</w:t>
      </w:r>
      <w:r w:rsidRPr="008B3AD6">
        <w:rPr>
          <w:color w:val="000000" w:themeColor="text1"/>
        </w:rPr>
        <w:fldChar w:fldCharType="end"/>
      </w:r>
      <w:r w:rsidRPr="008B3AD6">
        <w:rPr>
          <w:color w:val="000000" w:themeColor="text1"/>
        </w:rPr>
        <w:t xml:space="preserve"> including the Th</w:t>
      </w:r>
      <w:r w:rsidRPr="008F2DB0">
        <w:rPr>
          <w:color w:val="000000" w:themeColor="text1"/>
          <w:vertAlign w:val="subscript"/>
        </w:rPr>
        <w:t>1</w:t>
      </w:r>
      <w:r w:rsidRPr="008B3AD6">
        <w:rPr>
          <w:color w:val="000000" w:themeColor="text1"/>
        </w:rPr>
        <w:t xml:space="preserve">-associated chemokine </w:t>
      </w:r>
      <w:r w:rsidR="008F2DB0">
        <w:rPr>
          <w:color w:val="000000" w:themeColor="text1"/>
        </w:rPr>
        <w:t xml:space="preserve">interferon </w:t>
      </w:r>
      <w:r w:rsidRPr="008B3AD6">
        <w:rPr>
          <w:color w:val="000000" w:themeColor="text1"/>
        </w:rPr>
        <w:sym w:font="Symbol" w:char="F067"/>
      </w:r>
      <w:r w:rsidR="008F2DB0">
        <w:rPr>
          <w:color w:val="000000" w:themeColor="text1"/>
        </w:rPr>
        <w:t xml:space="preserve"> (IFN</w:t>
      </w:r>
      <w:r w:rsidR="008F2DB0" w:rsidRPr="008B3AD6">
        <w:rPr>
          <w:color w:val="000000" w:themeColor="text1"/>
        </w:rPr>
        <w:sym w:font="Symbol" w:char="F067"/>
      </w:r>
      <w:r w:rsidR="008F2DB0">
        <w:rPr>
          <w:color w:val="000000" w:themeColor="text1"/>
        </w:rPr>
        <w:t>)</w:t>
      </w:r>
      <w:r w:rsidRPr="008B3AD6">
        <w:rPr>
          <w:color w:val="000000" w:themeColor="text1"/>
        </w:rPr>
        <w:t xml:space="preserve">, a key player in host protection </w:t>
      </w:r>
      <w:r w:rsidRPr="008B3AD6">
        <w:rPr>
          <w:color w:val="000000" w:themeColor="text1"/>
        </w:rPr>
        <w:fldChar w:fldCharType="begin"/>
      </w:r>
      <w:r w:rsidRPr="008B3AD6">
        <w:rPr>
          <w:color w:val="000000" w:themeColor="text1"/>
        </w:rPr>
        <w:instrText xml:space="preserve"> ADDIN ZOTERO_ITEM CSL_CITATION {"citationID":"HijU4HcO","properties":{"formattedCitation":"(Squires et al. 1989; H. W. Murray 1990)","plainCitation":"(Squires et al. 1989; H. W. Murray 1990)","noteIndex":0},"citationItems":[{"id":2438,"uris":["http://zotero.org/users/2628971/items/MKESU8SF"],"uri":["http://zotero.org/users/2628971/items/MKESU8SF"],"itemData":{"id":2438,"type":"article-journal","title":"Experimental visceral leishmaniasis: role of endogenous IFN-gamma in host defense and tissue granulomatous response","container-title":"Journal of Immunology (Baltimore, Md.: 1950)","page":"4244-4249","volume":"143","issue":"12","source":"PubMed","abstract":"The capacity of BALB/c mice to acquire resistance to and eliminate intracellular visceral Leishmania donovani is T cell dependent, associated with a granulomatous tissue reaction, and correlates with the ability to secrete the macrophage-activating lymphokine, IFN-gamma. These responses appear by 4 wk after infection and are fully established by 8 wk. To examine the role of endogenous IFN-gamma, BALB/c mice were injected with anti-IFN-gamma mAb before and for 8 wk after infection. At 4 wk, mAb treatment inhibited the acquisition of resistance to L. donovani and abolished mature granuloma formation. Although liver parasite burdens in mAb-treated mice were fivefold higher than in controls at 8 wk, continually treated mice nevertheless began for form tissue granulomas and decreased their parasite loads by 50% from peak values. The levels of anti-IFN-gamma antibody in the serum of mice injected for 8 wk were appreciably reduced, thus raising the possibilities of either insufficient neutralization of endogenous IFN-gamma at this time point or a pathway independent of IFN-gamma. Although the role of IFN-gamma and the potential effect of an IFN-gamma-independent mechanism in the resolution of visceral infection remain to be defined, these results indicate that IFN-gamma plays a critical role in the early immune response that both optimally controls L. donovani infection and induces the tissue granuloma.","ISSN":"0022-1767","note":"PMID: 2512353","shortTitle":"Experimental visceral leishmaniasis","journalAbbreviation":"J. Immunol.","language":"eng","author":[{"family":"Squires","given":"K. E."},{"family":"Schreiber","given":"R. D."},{"family":"McElrath","given":"M. J."},{"family":"Rubin","given":"B. Y."},{"family":"Anderson","given":"S. L."},{"family":"Murray","given":"H. W."}],"issued":{"date-parts":[["1989",12,15]]}}},{"id":3048,"uris":["http://zotero.org/users/2628971/items/DI8JAPVE"],"uri":["http://zotero.org/users/2628971/items/DI8JAPVE"],"itemData":{"id":3048,"type":"article-journal","title":"Effect of continuous administration of interferon-gamma in experimental visceral leishmaniasis","container-title":"The Journal of Infectious Diseases","page":"992-994","volume":"161","issue":"5","source":"PubMed","abstract":"In experimental visceral leishmaniasis, intermittently administered interferon-gamma (IFN-gamma) induces antileishmanial activity, which is primarily microbistatic. To determine if the efficacy of IFN-gamma immunotherapy could be enhanced by continuous delivery, Leishmania donovani-infected mice were treated using a subcutaneous osmotic pump. Once-daily intraperitoneal injections of 10(5) or 10(6) units of IFN-gamma inhibited the replication of L. donovani within liver macrophages but overall did not reduce liver parasite burdens. In contrast, a comparable dose of IFN-gamma (2.4 x 10(5) units/day) administered continuously induced an enhanced effect and reduced liver burdens by almost 50%. Although pump delivery did not similarly increase the efficacy of antimony chemotherapy in infected mice, continuous treatment with IFN-gamma plus antimony produced an additive antileishmanial effect. These results suggest that continuous infusions of macrophage-activating lymphokines such as IFN-gamma (used alone or in combination with chemotherapy) may be required to optimize in vivo antimicrobial effects.","ISSN":"0022-1899","note":"PMID: 2157773","journalAbbreviation":"J. Infect. Dis.","language":"eng","author":[{"family":"Murray","given":"H. W."}],"issued":{"date-parts":[["1990",5]]}}}],"schema":"https://github.com/citation-style-language/schema/raw/master/csl-citation.json"} </w:instrText>
      </w:r>
      <w:r w:rsidRPr="008B3AD6">
        <w:rPr>
          <w:color w:val="000000" w:themeColor="text1"/>
        </w:rPr>
        <w:fldChar w:fldCharType="separate"/>
      </w:r>
      <w:r w:rsidR="00025067">
        <w:rPr>
          <w:color w:val="000000"/>
          <w:lang w:val="en-US"/>
        </w:rPr>
        <w:t>(Squires et al. 1989; Murray 1990)</w:t>
      </w:r>
      <w:r w:rsidRPr="008B3AD6">
        <w:rPr>
          <w:color w:val="000000" w:themeColor="text1"/>
        </w:rPr>
        <w:fldChar w:fldCharType="end"/>
      </w:r>
      <w:r w:rsidRPr="008B3AD6">
        <w:rPr>
          <w:color w:val="000000" w:themeColor="text1"/>
        </w:rPr>
        <w:t>.</w:t>
      </w:r>
    </w:p>
    <w:p w14:paraId="683330C4" w14:textId="77777777" w:rsidR="00AB3115" w:rsidRPr="008B3AD6" w:rsidRDefault="00AB3115" w:rsidP="000E10DC">
      <w:pPr>
        <w:spacing w:line="360" w:lineRule="auto"/>
        <w:jc w:val="both"/>
        <w:rPr>
          <w:color w:val="000000" w:themeColor="text1"/>
        </w:rPr>
      </w:pPr>
    </w:p>
    <w:p w14:paraId="0EE2CA8A" w14:textId="641007F4" w:rsidR="00AB3115" w:rsidRDefault="00A0509F" w:rsidP="000E10DC">
      <w:pPr>
        <w:spacing w:line="360" w:lineRule="auto"/>
        <w:jc w:val="both"/>
        <w:rPr>
          <w:color w:val="000000" w:themeColor="text1"/>
        </w:rPr>
      </w:pPr>
      <w:r w:rsidRPr="008B3AD6">
        <w:rPr>
          <w:color w:val="000000" w:themeColor="text1"/>
        </w:rPr>
        <w:t>IFN</w:t>
      </w:r>
      <w:r w:rsidRPr="008B3AD6">
        <w:rPr>
          <w:color w:val="000000" w:themeColor="text1"/>
        </w:rPr>
        <w:sym w:font="Symbol" w:char="F067"/>
      </w:r>
      <w:r w:rsidRPr="008B3AD6">
        <w:rPr>
          <w:color w:val="000000" w:themeColor="text1"/>
        </w:rPr>
        <w:t xml:space="preserve"> production by iNKT cells is required for the sustained production of CXCL10 described above. In this way, iNKTs act as potentiators of the immune response. However, iNKTs are not themselves critical for resolving </w:t>
      </w:r>
      <w:r w:rsidRPr="008B3AD6">
        <w:rPr>
          <w:i/>
          <w:color w:val="000000" w:themeColor="text1"/>
        </w:rPr>
        <w:t>Leishmania</w:t>
      </w:r>
      <w:r w:rsidRPr="008B3AD6">
        <w:rPr>
          <w:color w:val="000000" w:themeColor="text1"/>
        </w:rPr>
        <w:t xml:space="preserve"> infections, as iNKT deficient mice infected with </w:t>
      </w:r>
      <w:r w:rsidRPr="008B3AD6">
        <w:rPr>
          <w:i/>
          <w:color w:val="000000" w:themeColor="text1"/>
        </w:rPr>
        <w:t>L. donovani</w:t>
      </w:r>
      <w:r w:rsidRPr="008B3AD6">
        <w:rPr>
          <w:color w:val="000000" w:themeColor="text1"/>
        </w:rPr>
        <w:t xml:space="preserve"> still show similar hepatic parasite loads as wild-type counterparts at 8 weeks post-infection </w:t>
      </w:r>
      <w:r w:rsidRPr="008B3AD6">
        <w:rPr>
          <w:color w:val="000000" w:themeColor="text1"/>
        </w:rPr>
        <w:fldChar w:fldCharType="begin"/>
      </w:r>
      <w:r w:rsidRPr="008B3AD6">
        <w:rPr>
          <w:color w:val="000000" w:themeColor="text1"/>
        </w:rPr>
        <w:instrText xml:space="preserve"> ADDIN ZOTERO_ITEM CSL_CITATION {"citationID":"xjpK5gTl","properties":{"formattedCitation":"(Amprey et al. 2004)","plainCitation":"(Amprey et al. 2004)","noteIndex":0},"citationItems":[{"id":2478,"uris":["http://zotero.org/users/2628971/items/TRDFGX4B"],"uri":["http://zotero.org/users/2628971/items/TRDFGX4B"],"itemData":{"id":2478,"type":"article-journal","title":"A Subset of Liver NK T Cells Is Activated during &lt;i&gt;Leishmania donovani&lt;/i&gt; Infection by CD1d-bound Lipophosphoglycan","container-title":"The Journal of Experimental Medicine","page":"895-904","volume":"200","issue":"7","source":"CrossRef","DOI":"10.1084/jem.20040704","ISSN":"0022-1007, 1540-9538","language":"en","author":[{"family":"Amprey","given":"Joseph L."},{"family":"Im","given":"Jin S."},{"family":"Turco","given":"Salvatore J."},{"family":"Murray","given":"Henry W."},{"family":"Illarionov","given":"Petr A."},{"family":"Besra","given":"Gurdyal S."},{"family":"Porcelli","given":"Steven A."},{"family":"Späth","given":"Gerald F."}],"issued":{"date-parts":[["2004",10,4]]}}}],"schema":"https://github.com/citation-style-language/schema/raw/master/csl-citation.json"} </w:instrText>
      </w:r>
      <w:r w:rsidRPr="008B3AD6">
        <w:rPr>
          <w:color w:val="000000" w:themeColor="text1"/>
        </w:rPr>
        <w:fldChar w:fldCharType="separate"/>
      </w:r>
      <w:r w:rsidR="00025067">
        <w:rPr>
          <w:color w:val="000000"/>
          <w:lang w:val="en-US"/>
        </w:rPr>
        <w:t>(Amprey et al. 2004)</w:t>
      </w:r>
      <w:r w:rsidRPr="008B3AD6">
        <w:rPr>
          <w:color w:val="000000" w:themeColor="text1"/>
        </w:rPr>
        <w:fldChar w:fldCharType="end"/>
      </w:r>
      <w:r w:rsidRPr="008B3AD6">
        <w:rPr>
          <w:color w:val="000000" w:themeColor="text1"/>
        </w:rPr>
        <w:t>. However, the production of the initial cytokines and chemokines following KC infection and iNKT activation helps orchestrate granuloma formation.</w:t>
      </w:r>
    </w:p>
    <w:p w14:paraId="560E18B2" w14:textId="77777777" w:rsidR="000C4AEE" w:rsidRPr="008B3AD6" w:rsidRDefault="000C4AEE" w:rsidP="000E10DC">
      <w:pPr>
        <w:spacing w:line="360" w:lineRule="auto"/>
        <w:jc w:val="both"/>
        <w:rPr>
          <w:color w:val="000000" w:themeColor="text1"/>
        </w:rPr>
      </w:pPr>
    </w:p>
    <w:p w14:paraId="3FC04AA3" w14:textId="2A6164C1" w:rsidR="00AB3115" w:rsidRPr="008B3AD6" w:rsidRDefault="00AB3115" w:rsidP="000E10DC">
      <w:pPr>
        <w:pStyle w:val="Heading4"/>
        <w:jc w:val="both"/>
        <w:rPr>
          <w:color w:val="000000" w:themeColor="text1"/>
        </w:rPr>
      </w:pPr>
      <w:r w:rsidRPr="008B3AD6">
        <w:rPr>
          <w:color w:val="000000" w:themeColor="text1"/>
        </w:rPr>
        <w:t xml:space="preserve"> </w:t>
      </w:r>
      <w:bookmarkStart w:id="34" w:name="_Ref523921602"/>
      <w:bookmarkStart w:id="35" w:name="_Toc3716048"/>
      <w:r w:rsidRPr="008B3AD6">
        <w:rPr>
          <w:color w:val="000000" w:themeColor="text1"/>
        </w:rPr>
        <w:t>Granuloma Formation</w:t>
      </w:r>
      <w:bookmarkEnd w:id="34"/>
      <w:r w:rsidR="004C0876" w:rsidRPr="008B3AD6">
        <w:rPr>
          <w:color w:val="000000" w:themeColor="text1"/>
        </w:rPr>
        <w:t xml:space="preserve"> &amp; Maturation</w:t>
      </w:r>
      <w:bookmarkEnd w:id="35"/>
    </w:p>
    <w:p w14:paraId="0AE42838" w14:textId="4D8AF080" w:rsidR="00A0509F" w:rsidRPr="008B3AD6" w:rsidRDefault="00A0509F" w:rsidP="00A0509F">
      <w:pPr>
        <w:spacing w:line="360" w:lineRule="auto"/>
        <w:jc w:val="both"/>
        <w:rPr>
          <w:color w:val="000000" w:themeColor="text1"/>
        </w:rPr>
      </w:pPr>
      <w:r w:rsidRPr="008B3AD6">
        <w:rPr>
          <w:color w:val="000000" w:themeColor="text1"/>
        </w:rPr>
        <w:t>The developing hepatic granulomatous response during VL can be classified into four “maturation” states, based largely on morphology in thin tissue sections: infected KCs with no surrounding inflammatory cells; an immature granuloma, with small numbers of leu</w:t>
      </w:r>
      <w:r w:rsidR="008F2DB0">
        <w:rPr>
          <w:color w:val="000000" w:themeColor="text1"/>
        </w:rPr>
        <w:t>k</w:t>
      </w:r>
      <w:r w:rsidRPr="008B3AD6">
        <w:rPr>
          <w:color w:val="000000" w:themeColor="text1"/>
        </w:rPr>
        <w:t>ocytes associated with an infected KC; a mature granuloma, containing a florid inflammatory response of multiple leu</w:t>
      </w:r>
      <w:r w:rsidR="00E8627B">
        <w:rPr>
          <w:color w:val="000000" w:themeColor="text1"/>
        </w:rPr>
        <w:t>k</w:t>
      </w:r>
      <w:r w:rsidRPr="008B3AD6">
        <w:rPr>
          <w:color w:val="000000" w:themeColor="text1"/>
        </w:rPr>
        <w:t xml:space="preserve">ocyte subsets; and an apparently sterile granuloma free of visible parasites </w:t>
      </w:r>
      <w:r w:rsidRPr="008B3AD6">
        <w:rPr>
          <w:b/>
          <w:color w:val="000000" w:themeColor="text1"/>
        </w:rPr>
        <w:fldChar w:fldCharType="begin"/>
      </w:r>
      <w:r w:rsidRPr="008B3AD6">
        <w:rPr>
          <w:b/>
          <w:color w:val="000000" w:themeColor="text1"/>
        </w:rPr>
        <w:instrText xml:space="preserve"> ADDIN ZOTERO_ITEM CSL_CITATION {"citationID":"OWCdEhYI","properties":{"formattedCitation":"(H. Murray 2001; Moore et al. 2013a; Salguero et al. 2018)","plainCitation":"(H. Murray 2001; Moore et al. 2013a; Salguero et al. 2018)","noteIndex":0},"citationItems":[{"id":1110,"uris":["http://zotero.org/users/2628971/items/57TG9NVJ"],"uri":["http://zotero.org/users/2628971/items/57TG9NVJ"],"itemData":{"id":1110,"type":"webpage","title":"Tissue granuloma structure-function in experimental visceral leishmaniasis.","container-title":"Int J Exp Pathol","abstract":"In experimental visceral leishmaniasis in normal mice (BALB/c, C57BL/6) acquired resistance to Leishmania donovani, a protozoan which targets tissue macrophages, depends upon T cells, Th1 cell-type cytokine generation and activated mononuclear phagocytes. In the intact host, initial control and eventual resolution of L. donovani hepatic infection in normal mice is expressed by and accomplished within well-formed, mature tissue granulomas. In the liver, these immunologically active, inflammatory structures are assembled around a core of fused, parasitized resident macrophages (Kupffer cells) which come to be encircled by both cytokine-secreting T cells and influxing leishmanicidal blood monocytes. This pro-host defense granuloma structure-function relationship, in which histologically mature granulomas provide the microenvironment for intracellular L. donovani killing, however, is only one of seven which have been identified through experimental modifications in this model. This report reviews these structure-function relationships and illustrates the broad spectrum of additional possible responses. These responses range from structurally intact granulomas which provide no antileishmanial function (the 'ineffective' granuloma), to enlarged granulomas which show enhanced parasite killing (the 'hypertrophied' granuloma), to effective antileishmanial activity in the absence of any tissue reaction (the 'invisible' granuloma)., (C) 2001 Blackwell Science Ltd.","author":[{"family":"Murray","given":"Henry"}],"issued":{"date-parts":[["2001"]]}}},{"id":2468,"uris":["http://zotero.org/users/2628971/items/VE23BRVU"],"uri":["http://zotero.org/users/2628971/items/VE23BRVU"],"itemData":{"id":2468,"type":"article-journal","title":"Functional complexity of the Leishmania granuloma and the potential of in silico modeling","container-title":"Frontiers in Immunology","volume":"4","source":"CrossRef","URL":"http://journal.frontiersin.org/article/10.3389/fimmu.2013.00035/abstract","DOI":"10.3389/fimmu.2013.00035","ISSN":"1664-3224","author":[{"family":"Moore","given":"John W. J."},{"family":"Moyo","given":"Daniel"},{"family":"Beattie","given":"Lynette"},{"family":"Andrews","given":"Paul S."},{"family":"Timmis","given":"Jon"},{"family":"Kaye","given":"Paul M."}],"issued":{"date-parts":[["2013"]]},"accessed":{"date-parts":[["2017",5,23]]}}},{"id":3049,"uris":["http://zotero.org/users/2628971/items/DNUUHXKU"],"uri":["http://zotero.org/users/2628971/items/DNUUHXKU"],"itemData":{"id":3049,"type":"article-journal","title":"Histopathological and immunohistochemical characterisation of hepatic granulomas in Leishmania donovani-infected BALB/c mice: a time-course study","container-title":"Parasites &amp; Vectors","page":"73","volume":"11","issue":"1","source":"BioMed Central","abstract":"Visceral leishmaniasis (VL) is a neglected tropical disease (NTD), caused by the intracellular protozoan parasites Leishmania donovani and Leishmania infantum. Symptomatic VL is considered fatal when left untreated. At present, there is no effective vaccine licensed for human use and available chemotherapies have limitations. Understanding the local immune mechanisms required for the control of infection is a key factor for developing effective vaccines and therapeutics.","DOI":"10.1186/s13071-018-2624-z","ISSN":"1756-3305","shortTitle":"Histopathological and immunohistochemical characterisation of hepatic granulomas in Leishmania donovani-infected BALB/c mice","journalAbbreviation":"Parasites &amp; Vectors","author":[{"family":"Salguero","given":"Francisco J."},{"family":"Garcia-Jimenez","given":"Waldo L."},{"family":"Lima","given":"Isadora"},{"family":"Seifert","given":"Karin"}],"issued":{"date-parts":[["2018",1,31]]}}}],"schema":"https://github.com/citation-style-language/schema/raw/master/csl-citation.json"} </w:instrText>
      </w:r>
      <w:r w:rsidRPr="008B3AD6">
        <w:rPr>
          <w:b/>
          <w:color w:val="000000" w:themeColor="text1"/>
        </w:rPr>
        <w:fldChar w:fldCharType="separate"/>
      </w:r>
      <w:r w:rsidR="00C80233">
        <w:rPr>
          <w:color w:val="000000"/>
          <w:lang w:val="en-US"/>
        </w:rPr>
        <w:t>(</w:t>
      </w:r>
      <w:r w:rsidR="00C46DBF">
        <w:rPr>
          <w:color w:val="000000"/>
          <w:lang w:val="en-US"/>
        </w:rPr>
        <w:t>Murray 2001; Moore et al. 2013</w:t>
      </w:r>
      <w:r w:rsidR="00C80233">
        <w:rPr>
          <w:color w:val="000000"/>
          <w:lang w:val="en-US"/>
        </w:rPr>
        <w:t>; Salguero et al. 2018)</w:t>
      </w:r>
      <w:r w:rsidRPr="008B3AD6">
        <w:rPr>
          <w:b/>
          <w:color w:val="000000" w:themeColor="text1"/>
        </w:rPr>
        <w:fldChar w:fldCharType="end"/>
      </w:r>
      <w:r w:rsidRPr="008B3AD6">
        <w:rPr>
          <w:color w:val="000000" w:themeColor="text1"/>
        </w:rPr>
        <w:t xml:space="preserve">.  Granuloma development is asynchronous, as evidenced by co-existence of granulomas at varying stages of maturation throughout the time course of infection. At 1 week post-infection, infected foci with no granulomatous response represent ~92% of total infection foci </w:t>
      </w:r>
      <w:r w:rsidRPr="008B3AD6">
        <w:rPr>
          <w:color w:val="000000" w:themeColor="text1"/>
        </w:rPr>
        <w:fldChar w:fldCharType="begin"/>
      </w:r>
      <w:r w:rsidRPr="008B3AD6">
        <w:rPr>
          <w:color w:val="000000" w:themeColor="text1"/>
        </w:rPr>
        <w:instrText xml:space="preserve"> ADDIN ZOTERO_ITEM CSL_CITATION {"citationID":"qCUdsoE5","properties":{"formattedCitation":"(H. Murray 2001)","plainCitation":"(H. Murray 2001)","noteIndex":0},"citationItems":[{"id":1110,"uris":["http://zotero.org/users/2628971/items/57TG9NVJ"],"uri":["http://zotero.org/users/2628971/items/57TG9NVJ"],"itemData":{"id":1110,"type":"webpage","title":"Tissue granuloma structure-function in experimental visceral leishmaniasis.","container-title":"Int J Exp Pathol","abstract":"In experimental visceral leishmaniasis in normal mice (BALB/c, C57BL/6) acquired resistance to Leishmania donovani, a protozoan which targets tissue macrophages, depends upon T cells, Th1 cell-type cytokine generation and activated mononuclear phagocytes. In the intact host, initial control and eventual resolution of L. donovani hepatic infection in normal mice is expressed by and accomplished within well-formed, mature tissue granulomas. In the liver, these immunologically active, inflammatory structures are assembled around a core of fused, parasitized resident macrophages (Kupffer cells) which come to be encircled by both cytokine-secreting T cells and influxing leishmanicidal blood monocytes. This pro-host defense granuloma structure-function relationship, in which histologically mature granulomas provide the microenvironment for intracellular L. donovani killing, however, is only one of seven which have been identified through experimental modifications in this model. This report reviews these structure-function relationships and illustrates the broad spectrum of additional possible responses. These responses range from structurally intact granulomas which provide no antileishmanial function (the 'ineffective' granuloma), to enlarged granulomas which show enhanced parasite killing (the 'hypertrophied' granuloma), to effective antileishmanial activity in the absence of any tissue reaction (the 'invisible' granuloma)., (C) 2001 Blackwell Science Ltd.","author":[{"family":"Murray","given":"Henry"}],"issued":{"date-parts":[["2001"]]}}}],"schema":"https://github.com/citation-style-language/schema/raw/master/csl-citation.json"} </w:instrText>
      </w:r>
      <w:r w:rsidRPr="008B3AD6">
        <w:rPr>
          <w:color w:val="000000" w:themeColor="text1"/>
        </w:rPr>
        <w:fldChar w:fldCharType="separate"/>
      </w:r>
      <w:r w:rsidR="00025067">
        <w:rPr>
          <w:color w:val="000000" w:themeColor="text1"/>
          <w:lang w:val="en-US"/>
        </w:rPr>
        <w:t>(Murray 2001)</w:t>
      </w:r>
      <w:r w:rsidRPr="008B3AD6">
        <w:rPr>
          <w:color w:val="000000" w:themeColor="text1"/>
        </w:rPr>
        <w:fldChar w:fldCharType="end"/>
      </w:r>
      <w:r w:rsidRPr="008B3AD6">
        <w:rPr>
          <w:color w:val="000000" w:themeColor="text1"/>
        </w:rPr>
        <w:t xml:space="preserve">, but this figure drops to between 9-26% at 2 weeks post-infection </w:t>
      </w:r>
      <w:r w:rsidRPr="008B3AD6">
        <w:rPr>
          <w:color w:val="000000" w:themeColor="text1"/>
        </w:rPr>
        <w:fldChar w:fldCharType="begin"/>
      </w:r>
      <w:r w:rsidRPr="008B3AD6">
        <w:rPr>
          <w:color w:val="000000" w:themeColor="text1"/>
        </w:rPr>
        <w:instrText xml:space="preserve"> ADDIN ZOTERO_ITEM CSL_CITATION {"citationID":"w8DD9V5r","properties":{"formattedCitation":"(H. Murray 2000, 2001)","plainCitation":"(H. Murray 2000, 2001)","dontUpdate":true,"noteIndex":0},"citationItems":[{"id":3064,"uris":["http://zotero.org/users/2628971/items/IGN3VNJ7"],"uri":["http://zotero.org/users/2628971/items/IGN3VNJ7"],"itemData":{"id":3064,"type":"article-journal","title":"Mononuclear Cell Recruitment, Granuloma Assembly, and Response to Treatment in Experimental Visceral Leishmaniasis: Intracellular Adhesion Molecule 1-Dependent and -Independent Regulation","container-title":"Infection and Immunity","page":"6294-6299","volume":"68","issue":"11","source":"PubMed Central","abstract":"In experimental visceral leishmaniasis, acquired resistance to intracellular Leishmania donovani is Th1 cell cytokine dependent and largely mediated by gamma interferon (IFN-γ); the same response also permits conventional antimony (Sb) chemotherapy to express its leishmanicidal effect. Since the influxing blood monocyte (which utilizes endothelial cell ICAM-1 for adhesion and tissue entry) is a primary effector target cell for this cytokine mechanism, we tested the monocyte's role in host responsiveness to chemotherapy in mice with ICAM-1 gene disruptions. Mutant animals failed to develop any early granulomatous tissue response in the liver, initially supported high-level visceral parasite replication, and showed no killing after Sb treatment; the leishmanicidal response to a directly acting, alternative chemotherapeutic probe, amphotericin B, was intact. However, mutant mice proceeded to express a compensatory, ICAM-1-independent response leading to mononuclear cell influx and granuloma assembly, control over visceral infection, and the capacity to respond to Sb. Together, these results point to the recruitment of emigrant monocytes and mononuclear cell granuloma formation, mediated by ICAM-1-dependent and -independent pathways, as critical determinants of host responsiveness to conventional antileishmanial chemotherapy.","ISSN":"0019-9567","note":"PMID: 11035738\nPMCID: PMC97712","shortTitle":"Mononuclear Cell Recruitment, Granuloma Assembly, and Response to Treatment in Experimental Visceral Leishmaniasis","journalAbbreviation":"Infect Immun","author":[{"family":"Murray","given":"Henry"}],"issued":{"date-parts":[["2000",11]]}}},{"id":1110,"uris":["http://zotero.org/users/2628971/items/57TG9NVJ"],"uri":["http://zotero.org/users/2628971/items/57TG9NVJ"],"itemData":{"id":1110,"type":"webpage","title":"Tissue granuloma structure-function in experimental visceral leishmaniasis.","container-title":"Int J Exp Pathol","abstract":"In experimental visceral leishmaniasis in normal mice (BALB/c, C57BL/6) acquired resistance to Leishmania donovani, a protozoan which targets tissue macrophages, depends upon T cells, Th1 cell-type cytokine generation and activated mononuclear phagocytes. In the intact host, initial control and eventual resolution of L. donovani hepatic infection in normal mice is expressed by and accomplished within well-formed, mature tissue granulomas. In the liver, these immunologically active, inflammatory structures are assembled around a core of fused, parasitized resident macrophages (Kupffer cells) which come to be encircled by both cytokine-secreting T cells and influxing leishmanicidal blood monocytes. This pro-host defense granuloma structure-function relationship, in which histologically mature granulomas provide the microenvironment for intracellular L. donovani killing, however, is only one of seven which have been identified through experimental modifications in this model. This report reviews these structure-function relationships and illustrates the broad spectrum of additional possible responses. These responses range from structurally intact granulomas which provide no antileishmanial function (the 'ineffective' granuloma), to enlarged granulomas which show enhanced parasite killing (the 'hypertrophied' granuloma), to effective antileishmanial activity in the absence of any tissue reaction (the 'invisible' granuloma)., (C) 2001 Blackwell Science Ltd.","author":[{"family":"Murray","given":"Henry"}],"issued":{"date-parts":[["2001"]]}}}],"schema":"https://github.com/citation-style-language/schema/raw/master/csl-citation.json"} </w:instrText>
      </w:r>
      <w:r w:rsidRPr="008B3AD6">
        <w:rPr>
          <w:color w:val="000000" w:themeColor="text1"/>
        </w:rPr>
        <w:fldChar w:fldCharType="separate"/>
      </w:r>
      <w:r w:rsidRPr="008B3AD6">
        <w:rPr>
          <w:color w:val="000000" w:themeColor="text1"/>
          <w:lang w:val="en-US"/>
        </w:rPr>
        <w:t>(Murray 2000, 2001)</w:t>
      </w:r>
      <w:r w:rsidRPr="008B3AD6">
        <w:rPr>
          <w:color w:val="000000" w:themeColor="text1"/>
        </w:rPr>
        <w:fldChar w:fldCharType="end"/>
      </w:r>
      <w:r w:rsidRPr="008B3AD6">
        <w:rPr>
          <w:color w:val="000000" w:themeColor="text1"/>
        </w:rPr>
        <w:t>.</w:t>
      </w:r>
    </w:p>
    <w:p w14:paraId="6DE7A789" w14:textId="77777777" w:rsidR="00A0509F" w:rsidRPr="008B3AD6" w:rsidRDefault="00A0509F" w:rsidP="00A0509F">
      <w:pPr>
        <w:spacing w:line="360" w:lineRule="auto"/>
        <w:jc w:val="both"/>
        <w:rPr>
          <w:color w:val="000000" w:themeColor="text1"/>
        </w:rPr>
      </w:pPr>
    </w:p>
    <w:p w14:paraId="5D9160EF" w14:textId="5FA3936A" w:rsidR="00AB3115" w:rsidRPr="008B3AD6" w:rsidRDefault="00A0509F" w:rsidP="000E10DC">
      <w:pPr>
        <w:spacing w:line="360" w:lineRule="auto"/>
        <w:jc w:val="both"/>
        <w:rPr>
          <w:color w:val="000000" w:themeColor="text1"/>
        </w:rPr>
      </w:pPr>
      <w:r w:rsidRPr="008B3AD6">
        <w:rPr>
          <w:color w:val="000000" w:themeColor="text1"/>
        </w:rPr>
        <w:t xml:space="preserve">Infected foci with no granulomatous response progress to form immature granulomas. These are classed as either singular or fused infected KCs that are surrounded by loosely organised mononuclear cells and these loosely organised mononuclear cells are typically composed of T cells, B cells, monocytes and neutrophils </w:t>
      </w:r>
      <w:r w:rsidRPr="008B3AD6">
        <w:rPr>
          <w:color w:val="000000" w:themeColor="text1"/>
        </w:rPr>
        <w:fldChar w:fldCharType="begin"/>
      </w:r>
      <w:r w:rsidRPr="008B3AD6">
        <w:rPr>
          <w:color w:val="000000" w:themeColor="text1"/>
        </w:rPr>
        <w:instrText xml:space="preserve"> ADDIN ZOTERO_ITEM CSL_CITATION {"citationID":"C7AYuffD","properties":{"formattedCitation":"(Smelt et al. 2000; Stanley and Engwerda 2006; Moore et al. 2012; Salguero et al. 2018)","plainCitation":"(Smelt et al. 2000; Stanley and Engwerda 2006; Moore et al. 2012; Salguero et al. 2018)","noteIndex":0},"citationItems":[{"id":2274,"uris":["http://zotero.org/users/2628971/items/J6DP55EK"],"uri":["http://zotero.org/users/2628971/items/J6DP55EK"],"itemData":{"id":2274,"type":"article-journal","title":"B Cell-Deficient Mice Are Highly Resistant to Leishmania donovani Infection, but Develop Neutrophil-Mediated Tissue Pathology","container-title":"The Journal of Immunology","page":"3681-3688","volume":"164","issue":"7","source":"www.jimmunol.org","abstract":"Resolution of Leishmania infection is T cell-dependent, and B lymphocytes have been considered to play a minimal role in host defense. In this study, the contribution of B lymphocytes to the response against Leishmania donovani was investigated using genetically modified IgM transmembrane domain (μMT) mutant mice, which lack mature B lymphocytes. When compared with wild-type mice, μMT mice cleared parasites more rapidly from the liver, and infection failed to establish in the spleen. The rapid clearance of parasites in μMT mice was associated with accelerated and more extensive hepatic granuloma formation compared with wild-type mice. However, the liver of infected μMT mice also showed signs of destructive pathology, associated with the presence of increased numbers of neutrophils. The role of neutrophils in controlling parasite growth in the viscera was determined by depletion with the mAb RB6-8C5. This treatment led to a dramatic enhancement of parasite growth in both the liver and spleen of μMT and wild-type mice. As assessed by transfer of both normal and chronic-infection serum, Ig protects μMT mice from destructive hepatic pathology, but minimally alters their resistance compared with wild-type mice. However, adoptive transfer of CD4+ and CD8+ T cells into recombinase activating gene 1 (RAG1−/−) recipients, suggested that T cell function was not altered by maturation in a B cell-deficient environment. Taken together, these data suggest an inhibitory role for B lymphocytes in resistance to L. donovani unrelated to the presence or absence of Ig. However, Ig protects μMT mice from the exaggerated pathology that occurs during infection.","DOI":"10.4049/jimmunol.164.7.3681","ISSN":"0022-1767, 1550-6606","note":"PMID: 10725726","journalAbbreviation":"J Immunol","language":"en","author":[{"family":"Smelt","given":"Sara C."},{"family":"Cotterell","given":"Sara E. J."},{"family":"Engwerda","given":"Christian R."},{"family":"Kaye","given":"Paul M."}],"issued":{"date-parts":[["2000",4,1]]}}},{"id":172,"uris":["http://zotero.org/users/2628971/items/ICJ2M52F"],"uri":["http://zotero.org/users/2628971/items/ICJ2M52F"],"itemData":{"id":172,"type":"article-journal","title":"Balancing immunity and pathology in visceral leishmaniasis","container-title":"Immunology and Cell Biology","page":"138-147","volume":"85","issue":"2","source":"www.nature.com","abstract":"Experimental visceral leishmaniasis (VL) caused by infection with Leishmania donovani results in the development of organ-specific immunity in the two main target tissues of infection, the spleen and the liver. The liver is the site of an acute resolving infection associated with the development of inflammatory granulomas around infected Kupffer cells, and resistance to reinfection. Paradoxically, the spleen is an initial site for the generation of cell-mediated immune responses, but ultimately becomes a site of parasite persistence with associated immunopathological changes. These include splenomegaly and a breakdown in tissue architecture that is postulated to contribute to the immunocompromized status of the host. The progressive development of splenic pathology is largely associated with high levels of TNF and interleukin (IL)-10. Follicular dendritic cell (DC) networks are lost, whereas TNF mediates the destruction of marginal zone macrophages and gp38+ stromal cells, and IL-10 promotes impaired DC migration into T-cell areas with consequent ineffective T-cell priming. Splenic stromal cell function is also altered, promoting the selective development of IL-10-producing DC with immunoregulatory properties. Ultimately, a fine immunological balance determines responses that effectively promote parasite clearance in the liver and those that promote pathology in the spleen, and future investigation aims to separate these responses to offer further means of parasite control in chronically infected VL patients.","DOI":"10.1038/sj.icb7100011","ISSN":"0818-9641","journalAbbreviation":"Immunol Cell Biol","language":"en","author":[{"family":"Stanley","given":"Amanda C."},{"family":"Engwerda","given":"Christian R."}],"issued":{"date-parts":[["2006",12,5]]}}},{"id":3336,"uris":["http://zotero.org/users/2628971/items/M28YGX4F"],"uri":["http://zotero.org/users/2628971/items/M28YGX4F"],"itemData":{"id":3336,"type":"article-journal","title":"B Cell: T Cell Interactions Occur within Hepatic Granulomas during Experimental Visceral Leishmaniasis","container-title":"PLOS ONE","page":"e34143","volume":"7","issue":"3","source":"PLoS Journals","abstract":"Hepatic resistance to Leishmania donovani infection in mice is associated with the development of granulomas, in which a variety of lymphoid and non-lymphoid populations accumulate. Although previous studies have identified B cells in hepatic granulomas and functional studies in B cell-deficient mice have suggested a role for B cells in the control of experimental visceral leishmaniasis, little is known about the behaviour of B cells in the granuloma microenvironment. Here, we first compared the hepatic B cell population in infected mice, where ≈60% of B cells are located within granulomas, with that of naïve mice. In infected mice, there was a small increase in mIgMlomIgD+ mature B2 cells, but no enrichment of B cells with regulatory phenotype or function compared to the naïve hepatic B cell population, as assessed by CD1d and CD5 expression and by IL-10 production. Using 2-photon microscopy to quantify the entire intra-granuloma B cell population, in conjunction with the adoptive transfer of polyclonal and HEL-specific BCR-transgenic B cells isolated from L. donovani-infected mice, we demonstrated that B cells accumulate in granulomas over time in an antigen-independent manner. Intra-vital dynamic imaging was used to demonstrate that within the polyclonal B cell population obtained from L. donovani-infected mice, the frequency of B cells that made multiple long contacts with endogenous T cells was greater than that observed using HEL-specific B cells obtained from the same inflammatory environment. These data indicate, therefore, that a subset of this polyclonal B cell population is capable of making cognate interactions with T cells within this unique environment, and provide the first insights into the dynamics of B cells within an inflammatory site.","DOI":"10.1371/journal.pone.0034143","ISSN":"1932-6203","shortTitle":"B Cell","journalAbbreviation":"PLOS ONE","language":"en","author":[{"family":"Moore","given":"John W. J."},{"family":"Beattie","given":"Lynette"},{"family":"Dalton","given":"Jane E."},{"family":"Owens","given":"Benjamin M. J."},{"family":"Maroof","given":"Asher"},{"family":"Coles","given":"Mark C."},{"family":"Kaye","given":"Paul M."}],"issued":{"date-parts":[["2012",3,30]]}}},{"id":3049,"uris":["http://zotero.org/users/2628971/items/DNUUHXKU"],"uri":["http://zotero.org/users/2628971/items/DNUUHXKU"],"itemData":{"id":3049,"type":"article-journal","title":"Histopathological and immunohistochemical characterisation of hepatic granulomas in Leishmania donovani-infected BALB/c mice: a time-course study","container-title":"Parasites &amp; Vectors","page":"73","volume":"11","issue":"1","source":"BioMed Central","abstract":"Visceral leishmaniasis (VL) is a neglected tropical disease (NTD), caused by the intracellular protozoan parasites Leishmania donovani and Leishmania infantum. Symptomatic VL is considered fatal when left untreated. At present, there is no effective vaccine licensed for human use and available chemotherapies have limitations. Understanding the local immune mechanisms required for the control of infection is a key factor for developing effective vaccines and therapeutics.","DOI":"10.1186/s13071-018-2624-z","ISSN":"1756-3305","shortTitle":"Histopathological and immunohistochemical characterisation of hepatic granulomas in Leishmania donovani-infected BALB/c mice","journalAbbreviation":"Parasites &amp; Vectors","author":[{"family":"Salguero","given":"Francisco J."},{"family":"Garcia-Jimenez","given":"Waldo L."},{"family":"Lima","given":"Isadora"},{"family":"Seifert","given":"Karin"}],"issued":{"date-parts":[["2018",1,31]]}}}],"schema":"https://github.com/citation-style-language/schema/raw/master/csl-citation.json"} </w:instrText>
      </w:r>
      <w:r w:rsidRPr="008B3AD6">
        <w:rPr>
          <w:color w:val="000000" w:themeColor="text1"/>
        </w:rPr>
        <w:fldChar w:fldCharType="separate"/>
      </w:r>
      <w:r w:rsidR="00025067">
        <w:rPr>
          <w:color w:val="000000"/>
          <w:lang w:val="en-US"/>
        </w:rPr>
        <w:t>(Smelt et al. 2000; Stanley and Engwerda 2006; Moore et al. 2012; Salguero et al. 2018)</w:t>
      </w:r>
      <w:r w:rsidRPr="008B3AD6">
        <w:rPr>
          <w:color w:val="000000" w:themeColor="text1"/>
        </w:rPr>
        <w:fldChar w:fldCharType="end"/>
      </w:r>
      <w:r w:rsidRPr="008B3AD6">
        <w:rPr>
          <w:color w:val="000000" w:themeColor="text1"/>
        </w:rPr>
        <w:t>. It is possible their appearance around infected foci may be due to local repositioning or as a result of migration into the liver. Regardless of the mechanism, the emergence of immature granulomas is cytokine and chemokine dependent.</w:t>
      </w:r>
      <w:r w:rsidR="00E8627B">
        <w:rPr>
          <w:color w:val="000000" w:themeColor="text1"/>
        </w:rPr>
        <w:t xml:space="preserve"> </w:t>
      </w:r>
      <w:r w:rsidR="00BF7AD6">
        <w:rPr>
          <w:color w:val="000000" w:themeColor="text1"/>
        </w:rPr>
        <w:t>N</w:t>
      </w:r>
      <w:r w:rsidR="00AB3115" w:rsidRPr="008B3AD6">
        <w:rPr>
          <w:color w:val="000000" w:themeColor="text1"/>
        </w:rPr>
        <w:t>ull mutant mice ha</w:t>
      </w:r>
      <w:r w:rsidR="00BF7AD6">
        <w:rPr>
          <w:color w:val="000000" w:themeColor="text1"/>
        </w:rPr>
        <w:t>ve</w:t>
      </w:r>
      <w:r w:rsidR="00AB3115" w:rsidRPr="008B3AD6">
        <w:rPr>
          <w:color w:val="000000" w:themeColor="text1"/>
        </w:rPr>
        <w:t xml:space="preserve"> been used to show </w:t>
      </w:r>
      <w:r w:rsidR="00BF7AD6">
        <w:rPr>
          <w:color w:val="000000" w:themeColor="text1"/>
        </w:rPr>
        <w:t xml:space="preserve">how </w:t>
      </w:r>
      <w:r w:rsidR="00AB3115" w:rsidRPr="008B3AD6">
        <w:rPr>
          <w:color w:val="000000" w:themeColor="text1"/>
        </w:rPr>
        <w:t>the absence of a variety of cytokines and chemokines impacts the formation of granulomas in initial stages of infection. Loss of IL-2, IL-12, IFN</w:t>
      </w:r>
      <w:r w:rsidR="001A70D2" w:rsidRPr="008B3AD6">
        <w:rPr>
          <w:color w:val="000000" w:themeColor="text1"/>
        </w:rPr>
        <w:sym w:font="Symbol" w:char="F067"/>
      </w:r>
      <w:r w:rsidR="00AB3115" w:rsidRPr="008B3AD6">
        <w:rPr>
          <w:color w:val="000000" w:themeColor="text1"/>
        </w:rPr>
        <w:t xml:space="preserve">, tumour necrosis factor (TNF) and granulocyte-macrophage colony-stimulating factor (GM-CSF) resulted in a ‘no response’ (referring to the granulomatous response) phenotype in either BALB/c or C57BL/6 mice </w:t>
      </w:r>
      <w:r w:rsidR="00AB3115" w:rsidRPr="008B3AD6">
        <w:rPr>
          <w:color w:val="000000" w:themeColor="text1"/>
        </w:rPr>
        <w:fldChar w:fldCharType="begin"/>
      </w:r>
      <w:r w:rsidR="00E664D4" w:rsidRPr="008B3AD6">
        <w:rPr>
          <w:color w:val="000000" w:themeColor="text1"/>
        </w:rPr>
        <w:instrText xml:space="preserve"> ADDIN ZOTERO_ITEM CSL_CITATION {"citationID":"6FvNfOXb","properties":{"formattedCitation":"(H. Murray 2001)","plainCitation":"(H. Murray 2001)","dontUpdate":true,"noteIndex":0},"citationItems":[{"id":1110,"uris":["http://zotero.org/users/2628971/items/57TG9NVJ"],"uri":["http://zotero.org/users/2628971/items/57TG9NVJ"],"itemData":{"id":1110,"type":"webpage","title":"Tissue granuloma structure-function in experimental visceral leishmaniasis.","container-title":"Int J Exp Pathol","abstract":"In experimental visceral leishmaniasis in normal mice (BALB/c, C57BL/6) acquired resistance to Leishmania donovani, a protozoan which targets tissue macrophages, depends upon T cells, Th1 cell-type cytokine generation and activated mononuclear phagocytes. In the intact host, initial control and eventual resolution of L. donovani hepatic infection in normal mice is expressed by and accomplished within well-formed, mature tissue granulomas. In the liver, these immunologically active, inflammatory structures are assembled around a core of fused, parasitized resident macrophages (Kupffer cells) which come to be encircled by both cytokine-secreting T cells and influxing leishmanicidal blood monocytes. This pro-host defense granuloma structure-function relationship, in which histologically mature granulomas provide the microenvironment for intracellular L. donovani killing, however, is only one of seven which have been identified through experimental modifications in this model. This report reviews these structure-function relationships and illustrates the broad spectrum of additional possible responses. These responses range from structurally intact granulomas which provide no antileishmanial function (the 'ineffective' granuloma), to enlarged granulomas which show enhanced parasite killing (the 'hypertrophied' granuloma), to effective antileishmanial activity in the absence of any tissue reaction (the 'invisible' granuloma)., (C) 2001 Blackwell Science Ltd.","author":[{"family":"Murray","given":"Henry"}],"issued":{"date-parts":[["2001"]]}}}],"schema":"https://github.com/citation-style-language/schema/raw/master/csl-citation.json"} </w:instrText>
      </w:r>
      <w:r w:rsidR="00AB3115" w:rsidRPr="008B3AD6">
        <w:rPr>
          <w:color w:val="000000" w:themeColor="text1"/>
        </w:rPr>
        <w:fldChar w:fldCharType="separate"/>
      </w:r>
      <w:r w:rsidR="00A145DF" w:rsidRPr="008B3AD6">
        <w:rPr>
          <w:color w:val="000000" w:themeColor="text1"/>
          <w:lang w:val="en-US"/>
        </w:rPr>
        <w:t>(</w:t>
      </w:r>
      <w:r w:rsidR="00812605" w:rsidRPr="008B3AD6">
        <w:rPr>
          <w:color w:val="000000" w:themeColor="text1"/>
          <w:lang w:val="en-US"/>
        </w:rPr>
        <w:t>Murray 2001)</w:t>
      </w:r>
      <w:r w:rsidR="00AB3115" w:rsidRPr="008B3AD6">
        <w:rPr>
          <w:color w:val="000000" w:themeColor="text1"/>
        </w:rPr>
        <w:fldChar w:fldCharType="end"/>
      </w:r>
      <w:r w:rsidR="00E8627B">
        <w:rPr>
          <w:color w:val="000000" w:themeColor="text1"/>
        </w:rPr>
        <w:t xml:space="preserve">. </w:t>
      </w:r>
      <w:r w:rsidR="00AB3115" w:rsidRPr="008B3AD6">
        <w:rPr>
          <w:color w:val="000000" w:themeColor="text1"/>
        </w:rPr>
        <w:t xml:space="preserve">Additionally, CXCL10, </w:t>
      </w:r>
      <w:r w:rsidR="00E8627B" w:rsidRPr="00E8627B">
        <w:rPr>
          <w:color w:val="000000" w:themeColor="text1"/>
        </w:rPr>
        <w:t>C-</w:t>
      </w:r>
      <w:r w:rsidR="00E8627B">
        <w:rPr>
          <w:color w:val="000000" w:themeColor="text1"/>
        </w:rPr>
        <w:t>X</w:t>
      </w:r>
      <w:r w:rsidR="00E8627B" w:rsidRPr="00E8627B">
        <w:rPr>
          <w:color w:val="000000" w:themeColor="text1"/>
        </w:rPr>
        <w:t xml:space="preserve">-C chemokine receptor </w:t>
      </w:r>
      <w:r w:rsidR="00E8627B">
        <w:rPr>
          <w:color w:val="000000" w:themeColor="text1"/>
        </w:rPr>
        <w:t>(</w:t>
      </w:r>
      <w:r w:rsidR="00AB3115" w:rsidRPr="008B3AD6">
        <w:rPr>
          <w:color w:val="000000" w:themeColor="text1"/>
        </w:rPr>
        <w:t>CXCR</w:t>
      </w:r>
      <w:r w:rsidR="00E8627B">
        <w:rPr>
          <w:color w:val="000000" w:themeColor="text1"/>
        </w:rPr>
        <w:t xml:space="preserve">) </w:t>
      </w:r>
      <w:r w:rsidR="00AB3115" w:rsidRPr="008B3AD6">
        <w:rPr>
          <w:color w:val="000000" w:themeColor="text1"/>
        </w:rPr>
        <w:t xml:space="preserve">3, CCL2, and CCL5 null mutant mice all showed deficient initial granuloma assembly upon infection with </w:t>
      </w:r>
      <w:r w:rsidR="00AB3115" w:rsidRPr="008B3AD6">
        <w:rPr>
          <w:i/>
          <w:color w:val="000000" w:themeColor="text1"/>
        </w:rPr>
        <w:t>L</w:t>
      </w:r>
      <w:r w:rsidR="001A70D2" w:rsidRPr="008B3AD6">
        <w:rPr>
          <w:i/>
          <w:color w:val="000000" w:themeColor="text1"/>
        </w:rPr>
        <w:t>.</w:t>
      </w:r>
      <w:r w:rsidR="00AB3115" w:rsidRPr="008B3AD6">
        <w:rPr>
          <w:i/>
          <w:color w:val="000000" w:themeColor="text1"/>
        </w:rPr>
        <w:t xml:space="preserve"> donovani</w:t>
      </w:r>
      <w:r w:rsidR="00AB3115" w:rsidRPr="008B3AD6">
        <w:rPr>
          <w:color w:val="000000" w:themeColor="text1"/>
        </w:rPr>
        <w:t xml:space="preserve"> </w:t>
      </w:r>
      <w:r w:rsidR="00AB3115" w:rsidRPr="008B3AD6">
        <w:rPr>
          <w:color w:val="000000" w:themeColor="text1"/>
        </w:rPr>
        <w:fldChar w:fldCharType="begin"/>
      </w:r>
      <w:r w:rsidR="00E664D4" w:rsidRPr="008B3AD6">
        <w:rPr>
          <w:color w:val="000000" w:themeColor="text1"/>
        </w:rPr>
        <w:instrText xml:space="preserve"> ADDIN ZOTERO_ITEM CSL_CITATION {"citationID":"LItbgqwX","properties":{"formattedCitation":"(Henry W. Murray et al. 2017)","plainCitation":"(Henry W. Murray et al. 2017)","dontUpdate":true,"noteIndex":0},"citationItems":[{"id":3087,"uris":["http://zotero.org/users/2628971/items/SD48RV3N"],"uri":["http://zotero.org/users/2628971/items/SD48RV3N"],"itemData":{"id":3087,"type":"article-journal","title":"Gamma Interferon-Regulated Chemokines in Leishmania donovani Infection in the Liver","container-title":"Infection and Immunity","page":"e00824-16","volume":"85","issue":"1","source":"iai.asm.org","abstract":"In the livers of C57BL/6 mice, gamma interferon (IFN-γ) controls intracellular Leishmania donovani infection and the efficacy of antimony (Sb) chemotherapy. Since both responses usually correlate with granulomatous inflammation, we tested six prominently expressed, IFN-γ-regulated chemokines—CXCL9, CXCL10, CXCL13, CXCL16, CCL2, and CCL5—for their roles in (i) mononuclear cell recruitment and granuloma assembly and maturation, (ii) initial control of infection and self-cure, and (iii) responsiveness to Sb treatment. Together, the results for the L. donovani-infected livers of chemokine-deficient mice (CXCR6−/− mice were used as CXCL16-deficient surrogates) indicated that individual IFN-γ-induced chemokines have diverse affects and (i) may be entirely dispensable (CXCL13, CXCL16), (ii) may promote (CXCL10, CCL2, CCL5) or downregulate (CXCL9) initial granuloma assembly, (iii) may enhance (CCL2, CCL5) or hinder (CXCL10) early parasite control, (iv) may promote granuloma maturation (CCL2, CCL5), (v) may exert a granuloma-independent action that enables self-cure (CCL5), and (vi) may have no role in responsiveness to chemotherapy. Despite the near absence of tissue inflammation in early-stage infection, parasite replication could be controlled (in CXCL10−/− mice) and Sb was fully active (in CXCL10−/−, CCL2−/−, and CCL5−/− mice). These results characterize chemokine action in the response to L. donovani and also reemphasize that (i) recruited mononuclear cells and granulomas are not required to control infection or respond to Sb chemotherapy, (ii) granuloma assembly, control of infection, and Sb's efficacy are not invariably linked expressions of the same T cell-dependent, cytokine-mediated antileishmanial mechanism, and (iii) granulomas are not necessarily hallmarks of protective antileishmanial immunity.","DOI":"10.1128/IAI.00824-16","ISSN":"0019-9567, 1098-5522","note":"PMID: 27795366","journalAbbreviation":"Infect. Immun.","language":"en","author":[{"family":"Murray","given":"Henry W."},{"family":"Luster","given":"Andrew D."},{"family":"Zheng","given":"Hua"},{"family":"Ma","given":"Xiaojing"}],"issued":{"date-parts":[["2017",1,1]]}}}],"schema":"https://github.com/citation-style-language/schema/raw/master/csl-citation.json"} </w:instrText>
      </w:r>
      <w:r w:rsidR="00AB3115" w:rsidRPr="008B3AD6">
        <w:rPr>
          <w:color w:val="000000" w:themeColor="text1"/>
        </w:rPr>
        <w:fldChar w:fldCharType="separate"/>
      </w:r>
      <w:r w:rsidR="00A145DF" w:rsidRPr="008B3AD6">
        <w:rPr>
          <w:color w:val="000000" w:themeColor="text1"/>
          <w:lang w:val="en-US"/>
        </w:rPr>
        <w:t>(</w:t>
      </w:r>
      <w:r w:rsidR="00812605" w:rsidRPr="008B3AD6">
        <w:rPr>
          <w:color w:val="000000" w:themeColor="text1"/>
          <w:lang w:val="en-US"/>
        </w:rPr>
        <w:t>Murray et al. 2017)</w:t>
      </w:r>
      <w:r w:rsidR="00AB3115" w:rsidRPr="008B3AD6">
        <w:rPr>
          <w:color w:val="000000" w:themeColor="text1"/>
        </w:rPr>
        <w:fldChar w:fldCharType="end"/>
      </w:r>
      <w:r w:rsidR="00AB3115" w:rsidRPr="008B3AD6">
        <w:rPr>
          <w:color w:val="000000" w:themeColor="text1"/>
        </w:rPr>
        <w:t xml:space="preserve">. </w:t>
      </w:r>
    </w:p>
    <w:p w14:paraId="2D409BF9" w14:textId="77777777" w:rsidR="00AB3115" w:rsidRPr="008B3AD6" w:rsidRDefault="00AB3115" w:rsidP="000E10DC">
      <w:pPr>
        <w:spacing w:line="360" w:lineRule="auto"/>
        <w:jc w:val="both"/>
        <w:rPr>
          <w:color w:val="000000" w:themeColor="text1"/>
        </w:rPr>
      </w:pPr>
    </w:p>
    <w:p w14:paraId="22AC6F8F" w14:textId="2DE878C8" w:rsidR="00AB3115" w:rsidRPr="008B3AD6" w:rsidRDefault="00350AB3" w:rsidP="000E10DC">
      <w:pPr>
        <w:spacing w:line="360" w:lineRule="auto"/>
        <w:jc w:val="both"/>
        <w:rPr>
          <w:color w:val="000000" w:themeColor="text1"/>
        </w:rPr>
      </w:pPr>
      <w:r w:rsidRPr="008B3AD6">
        <w:rPr>
          <w:color w:val="000000" w:themeColor="text1"/>
        </w:rPr>
        <w:t xml:space="preserve">Although granulomas are generally regarded as predominantly mononuclear in composition, neutrophils have been described in hepatic granulomas following </w:t>
      </w:r>
      <w:r w:rsidRPr="008B3AD6">
        <w:rPr>
          <w:i/>
          <w:color w:val="000000" w:themeColor="text1"/>
        </w:rPr>
        <w:t>L. donovani</w:t>
      </w:r>
      <w:r w:rsidRPr="008B3AD6">
        <w:rPr>
          <w:color w:val="000000" w:themeColor="text1"/>
        </w:rPr>
        <w:t xml:space="preserve"> infection. Neutrophils are a fundamental cell type within the innate immune response, highly abundant in circulating blood </w:t>
      </w:r>
      <w:r w:rsidRPr="008B3AD6">
        <w:rPr>
          <w:color w:val="000000" w:themeColor="text1"/>
        </w:rPr>
        <w:fldChar w:fldCharType="begin"/>
      </w:r>
      <w:r w:rsidRPr="008B3AD6">
        <w:rPr>
          <w:color w:val="000000" w:themeColor="text1"/>
        </w:rPr>
        <w:instrText xml:space="preserve"> ADDIN ZOTERO_ITEM CSL_CITATION {"citationID":"dBEmgK61","properties":{"formattedCitation":"(Rosales et al. 2016)","plainCitation":"(Rosales et al. 2016)","noteIndex":0},"citationItems":[{"id":3093,"uris":["http://zotero.org/users/2628971/items/TXHR5W9J"],"uri":["http://zotero.org/users/2628971/items/TXHR5W9J"],"itemData":{"id":3093,"type":"article-journal","title":"Neutrophils: Their Role in Innate and Adaptive Immunity","container-title":"Journal of Immunology Research","volume":"2016","source":"PubMed Central","URL":"https://www.ncbi.nlm.nih.gov/pmc/articles/PMC4783580/","DOI":"10.1155/2016/1469780","ISSN":"2314-8861","note":"PMID: 27006954\nPMCID: PMC4783580","shortTitle":"Neutrophils","journalAbbreviation":"J Immunol Res","author":[{"family":"Rosales","given":"Carlos"},{"family":"Demaurex","given":"Nicolas"},{"family":"Lowell","given":"Clifford A."},{"family":"Uribe-Querol","given":"Eileen"}],"issued":{"date-parts":[["2016"]]},"accessed":{"date-parts":[["2018",8,8]]}}}],"schema":"https://github.com/citation-style-language/schema/raw/master/csl-citation.json"} </w:instrText>
      </w:r>
      <w:r w:rsidRPr="008B3AD6">
        <w:rPr>
          <w:color w:val="000000" w:themeColor="text1"/>
        </w:rPr>
        <w:fldChar w:fldCharType="separate"/>
      </w:r>
      <w:r w:rsidR="00025067">
        <w:rPr>
          <w:color w:val="000000" w:themeColor="text1"/>
          <w:lang w:val="en-US"/>
        </w:rPr>
        <w:t>(Rosales et al. 2016)</w:t>
      </w:r>
      <w:r w:rsidRPr="008B3AD6">
        <w:rPr>
          <w:color w:val="000000" w:themeColor="text1"/>
        </w:rPr>
        <w:fldChar w:fldCharType="end"/>
      </w:r>
      <w:r w:rsidRPr="008B3AD6">
        <w:rPr>
          <w:color w:val="000000" w:themeColor="text1"/>
        </w:rPr>
        <w:t xml:space="preserve"> they quickly migrate in response to inflammatory stimuli and can immediately kill pathogens without a need for previous exposure </w:t>
      </w:r>
      <w:r w:rsidRPr="008B3AD6">
        <w:rPr>
          <w:color w:val="000000" w:themeColor="text1"/>
        </w:rPr>
        <w:fldChar w:fldCharType="begin"/>
      </w:r>
      <w:r w:rsidRPr="008B3AD6">
        <w:rPr>
          <w:color w:val="000000" w:themeColor="text1"/>
        </w:rPr>
        <w:instrText xml:space="preserve"> ADDIN ZOTERO_ITEM CSL_CITATION {"citationID":"L1mDU1aP","properties":{"formattedCitation":"(Kobayashi and DeLeo 2009)","plainCitation":"(Kobayashi and DeLeo 2009)","noteIndex":0},"citationItems":[{"id":3097,"uris":["http://zotero.org/users/2628971/items/W7B8QZJD"],"uri":["http://zotero.org/users/2628971/items/W7B8QZJD"],"itemData":{"id":3097,"type":"article-journal","title":"Role of neutrophils in innate immunity: a systems biology-level approach","container-title":"Wiley Interdisciplinary Reviews. Systems Biology and Medicine","page":"309-333","volume":"1","issue":"3","source":"PubMed","abstract":"The innate immune system is the first line of host defense against invading microorganisms. Polymorphonuclear leukocytes (PMNs or neutrophils) are the most abundant leukocyte in humans and essential to the innate immune response against invading pathogens. Compared with the acquired immune response, which requires time to develop and is dependent on previous interaction with specific microbes, the ability of neutrophils to kill microorganisms is immediate, non-specific, and not dependent on previous exposure to microorganisms. Historically, studies on PMN-pathogen interaction focused on the events leading to killing of microorganisms, such as recruitment/chemotaxis, transmigration, phagocytosis, and activation, whereas post-phagocytosis sequelae were infrequently considered. In addition, it was widely accepted that human neutrophils possessed limited capacity for new gene transcription and thus, relatively little biosynthetic capacity. This notion has changed dramatically within the past decade. Further, there is now more effort directed to understand the events occurring in PMNs after killing of microbes. Herein we review the systems biology-level approaches that have been used to gain an enhanced view of the role of neutrophils during host-pathogen interaction. We anticipate that these and future systems-level studies will ultimately provide information critical to our understanding, treatment, and control of diseases caused by pathogenic microorganisms.","DOI":"10.1002/wsbm.32","ISSN":"1939-005X","note":"PMID: 20836000\nPMCID: PMC3501127","shortTitle":"Role of neutrophils in innate immunity","journalAbbreviation":"Wiley Interdiscip Rev Syst Biol Med","language":"eng","author":[{"family":"Kobayashi","given":"Scott D."},{"family":"DeLeo","given":"Frank R."}],"issued":{"date-parts":[["2009",12]]}}}],"schema":"https://github.com/citation-style-language/schema/raw/master/csl-citation.json"} </w:instrText>
      </w:r>
      <w:r w:rsidRPr="008B3AD6">
        <w:rPr>
          <w:color w:val="000000" w:themeColor="text1"/>
        </w:rPr>
        <w:fldChar w:fldCharType="separate"/>
      </w:r>
      <w:r w:rsidR="00025067">
        <w:rPr>
          <w:color w:val="000000" w:themeColor="text1"/>
          <w:lang w:val="en-US"/>
        </w:rPr>
        <w:t>(Kobayashi and DeLeo 2009)</w:t>
      </w:r>
      <w:r w:rsidRPr="008B3AD6">
        <w:rPr>
          <w:color w:val="000000" w:themeColor="text1"/>
        </w:rPr>
        <w:fldChar w:fldCharType="end"/>
      </w:r>
      <w:r w:rsidRPr="008B3AD6">
        <w:rPr>
          <w:color w:val="000000" w:themeColor="text1"/>
        </w:rPr>
        <w:t xml:space="preserve">. There is scant evidence for the role of neutrophils in granuloma formation however their presence in immature, mature and sterilised granulomas has previously been </w:t>
      </w:r>
      <w:r w:rsidRPr="008B3AD6">
        <w:rPr>
          <w:color w:val="000000" w:themeColor="text1"/>
        </w:rPr>
        <w:lastRenderedPageBreak/>
        <w:t xml:space="preserve">described </w:t>
      </w:r>
      <w:r w:rsidRPr="008B3AD6">
        <w:rPr>
          <w:color w:val="000000" w:themeColor="text1"/>
        </w:rPr>
        <w:fldChar w:fldCharType="begin"/>
      </w:r>
      <w:r w:rsidR="00025067">
        <w:rPr>
          <w:color w:val="000000" w:themeColor="text1"/>
        </w:rPr>
        <w:instrText xml:space="preserve"> ADDIN ZOTERO_ITEM CSL_CITATION {"citationID":"RTfdc8TK","properties":{"formattedCitation":"(Smelt et al. 2000; Salguero et al. 2018)","plainCitation":"(Smelt et al. 2000; Salguero et al. 2018)","noteIndex":0},"citationItems":[{"id":2274,"uris":["http://zotero.org/users/2628971/items/J6DP55EK"],"uri":["http://zotero.org/users/2628971/items/J6DP55EK"],"itemData":{"id":2274,"type":"article-journal","title":"B Cell-Deficient Mice Are Highly Resistant to Leishmania donovani Infection, but Develop Neutrophil-Mediated Tissue Pathology","container-title":"The Journal of Immunology","page":"3681-3688","volume":"164","issue":"7","source":"www.jimmunol.org","abstract":"Resolution of Leishmania infection is T cell-dependent, and B lymphocytes have been considered to play a minimal role in host defense. In this study, the contribution of B lymphocytes to the response against Leishmania donovani was investigated using genetically modified IgM transmembrane domain (μMT) mutant mice, which lack mature B lymphocytes. When compared with wild-type mice, μMT mice cleared parasites more rapidly from the liver, and infection failed to establish in the spleen. The rapid clearance of parasites in μMT mice was associated with accelerated and more extensive hepatic granuloma formation compared with wild-type mice. However, the liver of infected μMT mice also showed signs of destructive pathology, associated with the presence of increased numbers of neutrophils. The role of neutrophils in controlling parasite growth in the viscera was determined by depletion with the mAb RB6-8C5. This treatment led to a dramatic enhancement of parasite growth in both the liver and spleen of μMT and wild-type mice. As assessed by transfer of both normal and chronic-infection serum, Ig protects μMT mice from destructive hepatic pathology, but minimally alters their resistance compared with wild-type mice. However, adoptive transfer of CD4+ and CD8+ T cells into recombinase activating gene 1 (RAG1−/−) recipients, suggested that T cell function was not altered by maturation in a B cell-deficient environment. Taken together, these data suggest an inhibitory role for B lymphocytes in resistance to L. donovani unrelated to the presence or absence of Ig. However, Ig protects μMT mice from the exaggerated pathology that occurs during infection.","DOI":"10.4049/jimmunol.164.7.3681","ISSN":"0022-1767, 1550-6606","note":"PMID: 10725726","journalAbbreviation":"J Immunol","language":"en","author":[{"family":"Smelt","given":"Sara C."},{"family":"Cotterell","given":"Sara E. J."},{"family":"Engwerda","given":"Christian R."},{"family":"Kaye","given":"Paul M."}],"issued":{"date-parts":[["2000",4,1]]}}},{"id":3049,"uris":["http://zotero.org/users/2628971/items/DNUUHXKU"],"uri":["http://zotero.org/users/2628971/items/DNUUHXKU"],"itemData":{"id":3049,"type":"article-journal","title":"Histopathological and immunohistochemical characterisation of hepatic granulomas in Leishmania donovani-infected BALB/c mice: a time-course study","container-title":"Parasites &amp; Vectors","page":"73","volume":"11","issue":"1","source":"BioMed Central","abstract":"Visceral leishmaniasis (VL) is a neglected tropical disease (NTD), caused by the intracellular protozoan parasites Leishmania donovani and Leishmania infantum. Symptomatic VL is considered fatal when left untreated. At present, there is no effective vaccine licensed for human use and available chemotherapies have limitations. Understanding the local immune mechanisms required for the control of infection is a key factor for developing effective vaccines and therapeutics.","DOI":"10.1186/s13071-018-2624-z","ISSN":"1756-3305","shortTitle":"Histopathological and immunohistochemical characterisation of hepatic granulomas in Leishmania donovani-infected BALB/c mice","journalAbbreviation":"Parasites &amp; Vectors","author":[{"family":"Salguero","given":"Francisco J."},{"family":"Garcia-Jimenez","given":"Waldo L."},{"family":"Lima","given":"Isadora"},{"family":"Seifert","given":"Karin"}],"issued":{"date-parts":[["2018",1,31]]}}}],"schema":"https://github.com/citation-style-language/schema/raw/master/csl-citation.json"} </w:instrText>
      </w:r>
      <w:r w:rsidRPr="008B3AD6">
        <w:rPr>
          <w:color w:val="000000" w:themeColor="text1"/>
        </w:rPr>
        <w:fldChar w:fldCharType="separate"/>
      </w:r>
      <w:r w:rsidR="00025067" w:rsidRPr="00025067">
        <w:rPr>
          <w:color w:val="000000"/>
          <w:lang w:val="en-US"/>
        </w:rPr>
        <w:t>(Smelt et al. 2000; Salguero et al. 2018)</w:t>
      </w:r>
      <w:r w:rsidRPr="008B3AD6">
        <w:rPr>
          <w:color w:val="000000" w:themeColor="text1"/>
        </w:rPr>
        <w:fldChar w:fldCharType="end"/>
      </w:r>
      <w:r w:rsidRPr="008B3AD6">
        <w:rPr>
          <w:color w:val="000000" w:themeColor="text1"/>
        </w:rPr>
        <w:t xml:space="preserve">. In contrast, during the pulmonary immune response to infection with </w:t>
      </w:r>
      <w:r w:rsidRPr="008B3AD6">
        <w:rPr>
          <w:i/>
          <w:color w:val="000000" w:themeColor="text1"/>
        </w:rPr>
        <w:t>Mycobacterium tuberculosis</w:t>
      </w:r>
      <w:r w:rsidRPr="008B3AD6">
        <w:rPr>
          <w:color w:val="000000" w:themeColor="text1"/>
        </w:rPr>
        <w:t xml:space="preserve">, neutrophils readily accumulate within the lung of susceptible mice </w:t>
      </w:r>
      <w:r w:rsidRPr="008B3AD6">
        <w:rPr>
          <w:color w:val="000000" w:themeColor="text1"/>
        </w:rPr>
        <w:fldChar w:fldCharType="begin"/>
      </w:r>
      <w:r w:rsidRPr="008B3AD6">
        <w:rPr>
          <w:color w:val="000000" w:themeColor="text1"/>
        </w:rPr>
        <w:instrText xml:space="preserve"> ADDIN ZOTERO_ITEM CSL_CITATION {"citationID":"DXdWdujc","properties":{"formattedCitation":"(Eruslanov et al. 2005)","plainCitation":"(Eruslanov et al. 2005)","noteIndex":0},"citationItems":[{"id":3054,"uris":["http://zotero.org/users/2628971/items/EZH6IUI7"],"uri":["http://zotero.org/users/2628971/items/EZH6IUI7"],"itemData":{"id":3054,"type":"article-journal","title":"Neutrophil Responses to Mycobacterium tuberculosis Infection in Genetically Susceptible and Resistant Mice","container-title":"Infection and Immunity","page":"1744-1753","volume":"73","issue":"3","source":"PubMed Central","abstract":"The role of neutrophils in tuberculosis (TB) resistance and pathology is poorly understood. Neutrophil reactions are meant to target the offending pathogen but may lead to destruction of the host lung tissue, making the defending cells an enemy. Here, we show that mice of the I/St strain which are genetically susceptible to TB show an unusually high and prolonged neutrophil accumulation in their lungs after intratracheal infection. Compared to neutrophils from more resistant A/Sn mice, I/St neutrophils display an increased mobility and tissue influx, prolonged lifespan, low expression of the CD95 (Fas) apoptotic receptor, relative resistance to apoptosis, and an increased phagocytic capacity for mycobacteria. Segregation genetic analysis in (I/St × A/Sn)F2 hybrids indicates that the alleles of I/St origin at the chromosome 3 and 17 quantitative trait loci which are involved in the control of TB severity also determine a high level of neutrophil influx. These features, along with the poor ability of neutrophils to restrict mycobacterial growth compared to that of lung macrophages, indicate that the prevalence of neutrophils in TB inflammation contributes to the development of pathology, rather than protection of the host, and that neutrophils may play the role of a “Trojan horse” for mycobacteria.","DOI":"10.1128/IAI.73.3.1744-1753.2005","ISSN":"0019-9567","note":"PMID: 15731075\nPMCID: PMC1064912","journalAbbreviation":"Infect Immun","author":[{"family":"Eruslanov","given":"Evgenyi B."},{"family":"Lyadova","given":"Irina V."},{"family":"Kondratieva","given":"Tatiana K."},{"family":"Majorov","given":"Konstantin B."},{"family":"Scheglov","given":"Ilya V."},{"family":"Orlova","given":"Marianna O."},{"family":"Apt","given":"Alexander S."}],"issued":{"date-parts":[["2005",3]]}}}],"schema":"https://github.com/citation-style-language/schema/raw/master/csl-citation.json"} </w:instrText>
      </w:r>
      <w:r w:rsidRPr="008B3AD6">
        <w:rPr>
          <w:color w:val="000000" w:themeColor="text1"/>
        </w:rPr>
        <w:fldChar w:fldCharType="separate"/>
      </w:r>
      <w:r w:rsidR="00025067">
        <w:rPr>
          <w:color w:val="000000" w:themeColor="text1"/>
          <w:lang w:val="en-US"/>
        </w:rPr>
        <w:t>(Eruslanov et al. 2005)</w:t>
      </w:r>
      <w:r w:rsidRPr="008B3AD6">
        <w:rPr>
          <w:color w:val="000000" w:themeColor="text1"/>
        </w:rPr>
        <w:fldChar w:fldCharType="end"/>
      </w:r>
      <w:r w:rsidRPr="008B3AD6">
        <w:rPr>
          <w:color w:val="000000" w:themeColor="text1"/>
        </w:rPr>
        <w:t>.</w:t>
      </w:r>
      <w:r w:rsidR="00AB3115" w:rsidRPr="008B3AD6">
        <w:rPr>
          <w:color w:val="000000" w:themeColor="text1"/>
        </w:rPr>
        <w:t xml:space="preserve"> </w:t>
      </w:r>
    </w:p>
    <w:p w14:paraId="4C407B18" w14:textId="77777777" w:rsidR="00AB3115" w:rsidRPr="008B3AD6" w:rsidRDefault="00AB3115" w:rsidP="000E10DC">
      <w:pPr>
        <w:spacing w:line="360" w:lineRule="auto"/>
        <w:jc w:val="both"/>
        <w:rPr>
          <w:color w:val="000000" w:themeColor="text1"/>
        </w:rPr>
      </w:pPr>
    </w:p>
    <w:p w14:paraId="65C38BC6" w14:textId="2F504240" w:rsidR="00AB3115" w:rsidRPr="008B3AD6" w:rsidRDefault="000C71E1" w:rsidP="000E10DC">
      <w:pPr>
        <w:spacing w:line="360" w:lineRule="auto"/>
        <w:jc w:val="both"/>
        <w:rPr>
          <w:color w:val="000000" w:themeColor="text1"/>
        </w:rPr>
      </w:pPr>
      <w:r w:rsidRPr="008B3AD6">
        <w:rPr>
          <w:color w:val="000000" w:themeColor="text1"/>
        </w:rPr>
        <w:t xml:space="preserve">Monocytes are mononuclear cells that develop in the bone marrow from where they are released into the blood stream and subsequently enter tissue compartments </w:t>
      </w:r>
      <w:r w:rsidRPr="008B3AD6">
        <w:rPr>
          <w:color w:val="000000" w:themeColor="text1"/>
        </w:rPr>
        <w:fldChar w:fldCharType="begin"/>
      </w:r>
      <w:r w:rsidRPr="008B3AD6">
        <w:rPr>
          <w:color w:val="000000" w:themeColor="text1"/>
        </w:rPr>
        <w:instrText xml:space="preserve"> ADDIN ZOTERO_ITEM CSL_CITATION {"citationID":"Yg6DiYep","properties":{"formattedCitation":"(Geissmann, Jung, and Littman 2003; Patel et al. 2017)","plainCitation":"(Geissmann, Jung, and Littman 2003; Patel et al. 2017)","noteIndex":0},"citationItems":[{"id":3061,"uris":["http://zotero.org/users/2628971/items/HC57J5XV"],"uri":["http://zotero.org/users/2628971/items/HC57J5XV"],"itemData":{"id":3061,"type":"article-journal","title":"Blood Monocytes Consist of Two Principal Subsets with Distinct Migratory Properties","container-title":"Immunity","page":"71-82","volume":"19","issue":"1","source":"ScienceDirect","abstract":"Peripheral blood monocytes are a heterogeneous population of circulating leukocytes. Using a murine adoptive transfer system to probe monocyte homing and differentiation in vivo, we identified two functional subsets among murine blood monocytes: a short-lived CX3CR1loCCR2+Gr1+ subset that is actively recruited to inflamed tissues and a CX3CR1hiCCR2−Gr1− subset characterized by CX3CR1-dependent recruitment to noninflamed tissues. Both subsets have the potential to differentiate into dendritic cells in vivo. The level of CX3CR1 expression also defines the two major human monocyte subsets, the CD14+CD16− and CD14loCD16+ monocytes, which share phenotype and homing potential with the mouse subsets. These findings raise the potential for novel therapeutic strategies in inflammatory diseases.","DOI":"10.1016/S1074-7613(03)00174-2","ISSN":"1074-7613","journalAbbreviation":"Immunity","author":[{"family":"Geissmann","given":"Frederic"},{"family":"Jung","given":"Steffen"},{"family":"Littman","given":"Dan R."}],"issued":{"date-parts":[["2003",7,1]]}}},{"id":2618,"uris":["http://zotero.org/users/2628971/items/YCS6T4B9"],"uri":["http://zotero.org/users/2628971/items/YCS6T4B9"],"itemData":{"id":2618,"type":"article-journal","title":"The fate and lifespan of human monocyte subsets in steady state and systemic inflammation","container-title":"The Journal of Experimental Medicine","page":"1913-1923","volume":"214","issue":"7","source":"PubMed","abstract":"In humans, the monocyte pool comprises three subsets (classical, intermediate, and nonclassical) that circulate in dynamic equilibrium. The kinetics underlying their generation, differentiation, and disappearance are critical to understanding both steady-state homeostasis and inflammatory responses. Here, using human in vivo deuterium labeling, we demonstrate that classical monocytes emerge first from marrow, after a postmitotic interval of 1.6 d, and circulate for a day. Subsequent labeling of intermediate and nonclassical monocytes is consistent with a model of sequential transition. Intermediate and nonclassical monocytes have longer circulating lifespans (</w:instrText>
      </w:r>
      <w:r w:rsidRPr="008B3AD6">
        <w:rPr>
          <w:rFonts w:ascii="Cambria Math" w:hAnsi="Cambria Math" w:cs="Cambria Math"/>
          <w:color w:val="000000" w:themeColor="text1"/>
        </w:rPr>
        <w:instrText>∼</w:instrText>
      </w:r>
      <w:r w:rsidRPr="008B3AD6">
        <w:rPr>
          <w:color w:val="000000" w:themeColor="text1"/>
        </w:rPr>
        <w:instrText xml:space="preserve">4 and </w:instrText>
      </w:r>
      <w:r w:rsidRPr="008B3AD6">
        <w:rPr>
          <w:rFonts w:ascii="Cambria Math" w:hAnsi="Cambria Math" w:cs="Cambria Math"/>
          <w:color w:val="000000" w:themeColor="text1"/>
        </w:rPr>
        <w:instrText>∼</w:instrText>
      </w:r>
      <w:r w:rsidRPr="008B3AD6">
        <w:rPr>
          <w:color w:val="000000" w:themeColor="text1"/>
        </w:rPr>
        <w:instrText xml:space="preserve">7 d, respectively). In a human experimental endotoxemia model, a transient but profound monocytopenia was observed; restoration of circulating monocytes was achieved by the early release of classical monocytes from bone marrow. The sequence of repopulation recapitulated the order of maturation in healthy homeostasis. This developmental relationship between monocyte subsets was verified by fate mapping grafted human classical monocytes into humanized mice, which were able to differentiate sequentially into intermediate and nonclassical cells.","DOI":"10.1084/jem.20170355","ISSN":"1540-9538","note":"PMID: 28606987\nPMCID: PMC5502436","journalAbbreviation":"J. Exp. Med.","language":"eng","author":[{"family":"Patel","given":"Amit A."},{"family":"Zhang","given":"Yan"},{"family":"Fullerton","given":"James N."},{"family":"Boelen","given":"Lies"},{"family":"Rongvaux","given":"Anthony"},{"family":"Maini","given":"Alexander A."},{"family":"Bigley","given":"Venetia"},{"family":"Flavell","given":"Richard A."},{"family":"Gilroy","given":"Derek W."},{"family":"Asquith","given":"Becca"},{"family":"Macallan","given":"Derek"},{"family":"Yona","given":"Simon"}],"issued":{"date-parts":[["2017",7,3]]}}}],"schema":"https://github.com/citation-style-language/schema/raw/master/csl-citation.json"} </w:instrText>
      </w:r>
      <w:r w:rsidRPr="008B3AD6">
        <w:rPr>
          <w:color w:val="000000" w:themeColor="text1"/>
        </w:rPr>
        <w:fldChar w:fldCharType="separate"/>
      </w:r>
      <w:r w:rsidR="00025067">
        <w:rPr>
          <w:color w:val="000000" w:themeColor="text1"/>
          <w:lang w:val="en-US"/>
        </w:rPr>
        <w:t>(Geissmann, Jung, and Littman 2003; Patel et al. 2017)</w:t>
      </w:r>
      <w:r w:rsidRPr="008B3AD6">
        <w:rPr>
          <w:color w:val="000000" w:themeColor="text1"/>
        </w:rPr>
        <w:fldChar w:fldCharType="end"/>
      </w:r>
      <w:r w:rsidRPr="008B3AD6">
        <w:rPr>
          <w:color w:val="000000" w:themeColor="text1"/>
        </w:rPr>
        <w:t>. In humans, three subsets of monocyte have been characterised: classical (classified as CD14</w:t>
      </w:r>
      <w:r w:rsidRPr="008B3AD6">
        <w:rPr>
          <w:color w:val="000000" w:themeColor="text1"/>
          <w:vertAlign w:val="superscript"/>
        </w:rPr>
        <w:t>++</w:t>
      </w:r>
      <w:r w:rsidRPr="008B3AD6">
        <w:rPr>
          <w:color w:val="000000" w:themeColor="text1"/>
        </w:rPr>
        <w:t>, CD16</w:t>
      </w:r>
      <w:r w:rsidRPr="008B3AD6">
        <w:rPr>
          <w:color w:val="000000" w:themeColor="text1"/>
          <w:vertAlign w:val="superscript"/>
        </w:rPr>
        <w:t>−</w:t>
      </w:r>
      <w:r w:rsidRPr="008B3AD6">
        <w:rPr>
          <w:color w:val="000000" w:themeColor="text1"/>
        </w:rPr>
        <w:t>, CCR2</w:t>
      </w:r>
      <w:r w:rsidRPr="008B3AD6">
        <w:rPr>
          <w:color w:val="000000" w:themeColor="text1"/>
          <w:vertAlign w:val="superscript"/>
        </w:rPr>
        <w:t>hi</w:t>
      </w:r>
      <w:r w:rsidRPr="008B3AD6">
        <w:rPr>
          <w:color w:val="000000" w:themeColor="text1"/>
        </w:rPr>
        <w:t xml:space="preserve"> and CX</w:t>
      </w:r>
      <w:r w:rsidRPr="008B3AD6">
        <w:rPr>
          <w:color w:val="000000" w:themeColor="text1"/>
          <w:vertAlign w:val="subscript"/>
        </w:rPr>
        <w:t>3</w:t>
      </w:r>
      <w:r w:rsidRPr="008B3AD6">
        <w:rPr>
          <w:color w:val="000000" w:themeColor="text1"/>
        </w:rPr>
        <w:t>CR1</w:t>
      </w:r>
      <w:r w:rsidRPr="008B3AD6">
        <w:rPr>
          <w:color w:val="000000" w:themeColor="text1"/>
          <w:vertAlign w:val="superscript"/>
        </w:rPr>
        <w:t>lo</w:t>
      </w:r>
      <w:r w:rsidRPr="008B3AD6">
        <w:rPr>
          <w:color w:val="000000" w:themeColor="text1"/>
        </w:rPr>
        <w:t>), intermediate (classified as CD14</w:t>
      </w:r>
      <w:r w:rsidRPr="008B3AD6">
        <w:rPr>
          <w:color w:val="000000" w:themeColor="text1"/>
          <w:vertAlign w:val="superscript"/>
        </w:rPr>
        <w:t>++</w:t>
      </w:r>
      <w:r w:rsidRPr="008B3AD6">
        <w:rPr>
          <w:color w:val="000000" w:themeColor="text1"/>
        </w:rPr>
        <w:t>, CD16</w:t>
      </w:r>
      <w:r w:rsidRPr="008B3AD6">
        <w:rPr>
          <w:color w:val="000000" w:themeColor="text1"/>
          <w:vertAlign w:val="superscript"/>
        </w:rPr>
        <w:t>+</w:t>
      </w:r>
      <w:r w:rsidRPr="008B3AD6">
        <w:rPr>
          <w:color w:val="000000" w:themeColor="text1"/>
        </w:rPr>
        <w:t>, CCR2</w:t>
      </w:r>
      <w:r w:rsidRPr="008B3AD6">
        <w:rPr>
          <w:color w:val="000000" w:themeColor="text1"/>
          <w:vertAlign w:val="superscript"/>
        </w:rPr>
        <w:t>hi</w:t>
      </w:r>
      <w:r w:rsidRPr="008B3AD6">
        <w:rPr>
          <w:color w:val="000000" w:themeColor="text1"/>
        </w:rPr>
        <w:t xml:space="preserve"> and CX</w:t>
      </w:r>
      <w:r w:rsidRPr="008B3AD6">
        <w:rPr>
          <w:color w:val="000000" w:themeColor="text1"/>
          <w:vertAlign w:val="subscript"/>
        </w:rPr>
        <w:t>3</w:t>
      </w:r>
      <w:r w:rsidRPr="008B3AD6">
        <w:rPr>
          <w:color w:val="000000" w:themeColor="text1"/>
        </w:rPr>
        <w:t>CR1</w:t>
      </w:r>
      <w:r w:rsidRPr="008B3AD6">
        <w:rPr>
          <w:color w:val="000000" w:themeColor="text1"/>
          <w:vertAlign w:val="superscript"/>
        </w:rPr>
        <w:t>lo</w:t>
      </w:r>
      <w:r w:rsidRPr="008B3AD6">
        <w:rPr>
          <w:color w:val="000000" w:themeColor="text1"/>
        </w:rPr>
        <w:t>) and non-classical (classified as CD14</w:t>
      </w:r>
      <w:r w:rsidRPr="008B3AD6">
        <w:rPr>
          <w:color w:val="000000" w:themeColor="text1"/>
          <w:vertAlign w:val="superscript"/>
        </w:rPr>
        <w:t>+</w:t>
      </w:r>
      <w:r w:rsidRPr="008B3AD6">
        <w:rPr>
          <w:color w:val="000000" w:themeColor="text1"/>
        </w:rPr>
        <w:t>, CD16</w:t>
      </w:r>
      <w:r w:rsidRPr="008B3AD6">
        <w:rPr>
          <w:color w:val="000000" w:themeColor="text1"/>
          <w:vertAlign w:val="superscript"/>
        </w:rPr>
        <w:t>++</w:t>
      </w:r>
      <w:r w:rsidRPr="008B3AD6">
        <w:rPr>
          <w:color w:val="000000" w:themeColor="text1"/>
        </w:rPr>
        <w:t>, CCR2</w:t>
      </w:r>
      <w:r w:rsidRPr="008B3AD6">
        <w:rPr>
          <w:color w:val="000000" w:themeColor="text1"/>
          <w:vertAlign w:val="superscript"/>
        </w:rPr>
        <w:t>hi</w:t>
      </w:r>
      <w:r w:rsidRPr="008B3AD6">
        <w:rPr>
          <w:color w:val="000000" w:themeColor="text1"/>
        </w:rPr>
        <w:t xml:space="preserve"> and CX</w:t>
      </w:r>
      <w:r w:rsidRPr="008B3AD6">
        <w:rPr>
          <w:color w:val="000000" w:themeColor="text1"/>
          <w:vertAlign w:val="subscript"/>
        </w:rPr>
        <w:t>3</w:t>
      </w:r>
      <w:r w:rsidRPr="008B3AD6">
        <w:rPr>
          <w:color w:val="000000" w:themeColor="text1"/>
        </w:rPr>
        <w:t>CR1</w:t>
      </w:r>
      <w:r w:rsidRPr="008B3AD6">
        <w:rPr>
          <w:color w:val="000000" w:themeColor="text1"/>
          <w:vertAlign w:val="superscript"/>
        </w:rPr>
        <w:t>lo</w:t>
      </w:r>
      <w:r w:rsidRPr="008B3AD6">
        <w:rPr>
          <w:color w:val="000000" w:themeColor="text1"/>
        </w:rPr>
        <w:t xml:space="preserve">) </w:t>
      </w:r>
      <w:r w:rsidRPr="008B3AD6">
        <w:rPr>
          <w:color w:val="000000" w:themeColor="text1"/>
        </w:rPr>
        <w:fldChar w:fldCharType="begin"/>
      </w:r>
      <w:r w:rsidRPr="008B3AD6">
        <w:rPr>
          <w:color w:val="000000" w:themeColor="text1"/>
        </w:rPr>
        <w:instrText xml:space="preserve"> ADDIN ZOTERO_ITEM CSL_CITATION {"citationID":"AWdOJ7ah","properties":{"formattedCitation":"(Strauss-Ayali, Conrad, and Mosser 2007; Shi and Pamer 2011)","plainCitation":"(Strauss-Ayali, Conrad, and Mosser 2007; Shi and Pamer 2011)","noteIndex":0},"citationItems":[{"id":3100,"uris":["http://zotero.org/users/2628971/items/XH79NQWS"],"uri":["http://zotero.org/users/2628971/items/XH79NQWS"],"itemData":{"id":3100,"type":"article-journal","title":"Monocyte subpopulations and their differentiation patterns during infection","container-title":"Journal of Leukocyte Biology","page":"244-252","volume":"82","issue":"2","source":"PubMed","abstract":"The term \"monocyte\" implies a single, homogenous population of cells with uniform physiology. Recent evidence from a number of laboratories indicates that it is likely that blood monocytes may consist of several subpopulations of cells, which differ in size, nuclear morphology, granularity, and functionality. The aim of this review is to give a summary of the new findings in the emerging field of monocyte heterogeneity. We provide a short description of the differentiation patterns of blood monocyte subpopulations, with an emphasis on how these subpopulations can be influenced by infection. We provide a comparison among the main monocyte subpopulations in humans, mice, and rats and illustrate some of the common features of these cells and some of the important interspecies distinctions. We will also discuss the bone marrow precursors of these cells and the differentiation patterns of these subsets in different tissues in response to infection. Most of the data about monocyte trafficking during infection are necessarily derived from murine models, and comparisons between mouse and man must be made with caution. However, these models may provide interesting springboards to permit us to speculate about the topic of monocyte heterogeneity in humans.","DOI":"10.1189/jlb.0307191","ISSN":"0741-5400","note":"PMID: 17475785","journalAbbreviation":"J. Leukoc. Biol.","language":"eng","author":[{"family":"Strauss-Ayali","given":"Dalit"},{"family":"Conrad","given":"Sean M."},{"family":"Mosser","given":"David M."}],"issued":{"date-parts":[["2007",8]]}}},{"id":2744,"uris":["http://zotero.org/users/2628971/items/5GXHMJH8"],"uri":["http://zotero.org/users/2628971/items/5GXHMJH8"],"itemData":{"id":2744,"type":"article-journal","title":"Monocyte recruitment during infection and inflammation","container-title":"Nature Reviews. Immunology","page":"762-774","volume":"11","issue":"11","source":"PubMed","abstract":"Monocytes originate from progenitors in the bone marrow and traffic via the bloodstream to peripheral tissues. During both homeostasis and inflammation, circulating monocytes leave the bloodstream and migrate into tissues where, following conditioning by local growth factors, pro-inflammatory cytokines and microbial products, they differentiate into macrophage or dendritic cell populations. Recruitment of monocytes is essential for effective control and clearance of viral, bacterial, fungal and protozoal infections, but recruited monocytes also contribute to the pathogenesis of inflammatory and degenerative diseases. The mechanisms that control monocyte trafficking under homeostatic, infectious and inflammatory conditions are being unravelled and are the focus of this Review.","DOI":"10.1038/nri3070","ISSN":"1474-1741","note":"PMID: 21984070\nPMCID: PMC3947780","journalAbbreviation":"Nat. Rev. Immunol.","language":"eng","author":[{"family":"Shi","given":"Chao"},{"family":"Pamer","given":"Eric G."}],"issued":{"date-parts":[["2011",10,10]]}}}],"schema":"https://github.com/citation-style-language/schema/raw/master/csl-citation.json"} </w:instrText>
      </w:r>
      <w:r w:rsidRPr="008B3AD6">
        <w:rPr>
          <w:color w:val="000000" w:themeColor="text1"/>
        </w:rPr>
        <w:fldChar w:fldCharType="separate"/>
      </w:r>
      <w:r w:rsidR="00025067">
        <w:rPr>
          <w:color w:val="000000" w:themeColor="text1"/>
          <w:lang w:val="en-US"/>
        </w:rPr>
        <w:t>(Strauss-Ayali, Conrad, and Mosser 2007; Shi and Pamer 2011)</w:t>
      </w:r>
      <w:r w:rsidRPr="008B3AD6">
        <w:rPr>
          <w:color w:val="000000" w:themeColor="text1"/>
        </w:rPr>
        <w:fldChar w:fldCharType="end"/>
      </w:r>
      <w:r w:rsidRPr="008B3AD6">
        <w:rPr>
          <w:color w:val="000000" w:themeColor="text1"/>
        </w:rPr>
        <w:t>. In mice, there are two main monocyte subsets Ly6C</w:t>
      </w:r>
      <w:r w:rsidRPr="008B3AD6">
        <w:rPr>
          <w:color w:val="000000" w:themeColor="text1"/>
          <w:vertAlign w:val="superscript"/>
        </w:rPr>
        <w:t>hi</w:t>
      </w:r>
      <w:r w:rsidRPr="008B3AD6">
        <w:rPr>
          <w:color w:val="000000" w:themeColor="text1"/>
        </w:rPr>
        <w:t xml:space="preserve"> and Ly6C</w:t>
      </w:r>
      <w:r w:rsidRPr="008B3AD6">
        <w:rPr>
          <w:color w:val="000000" w:themeColor="text1"/>
          <w:vertAlign w:val="superscript"/>
        </w:rPr>
        <w:t>lo</w:t>
      </w:r>
      <w:r w:rsidRPr="008B3AD6">
        <w:rPr>
          <w:color w:val="000000" w:themeColor="text1"/>
        </w:rPr>
        <w:t>, characterised as CD11b</w:t>
      </w:r>
      <w:r w:rsidRPr="008B3AD6">
        <w:rPr>
          <w:color w:val="000000" w:themeColor="text1"/>
          <w:vertAlign w:val="superscript"/>
        </w:rPr>
        <w:t>+</w:t>
      </w:r>
      <w:r w:rsidRPr="008B3AD6">
        <w:rPr>
          <w:color w:val="000000" w:themeColor="text1"/>
        </w:rPr>
        <w:t>, CD115</w:t>
      </w:r>
      <w:r w:rsidRPr="008B3AD6">
        <w:rPr>
          <w:color w:val="000000" w:themeColor="text1"/>
          <w:vertAlign w:val="superscript"/>
        </w:rPr>
        <w:t>+</w:t>
      </w:r>
      <w:r w:rsidRPr="008B3AD6">
        <w:rPr>
          <w:color w:val="000000" w:themeColor="text1"/>
        </w:rPr>
        <w:t>, Ly6C</w:t>
      </w:r>
      <w:r w:rsidRPr="008B3AD6">
        <w:rPr>
          <w:color w:val="000000" w:themeColor="text1"/>
          <w:vertAlign w:val="superscript"/>
        </w:rPr>
        <w:t>hi</w:t>
      </w:r>
      <w:r w:rsidRPr="008B3AD6">
        <w:rPr>
          <w:color w:val="000000" w:themeColor="text1"/>
        </w:rPr>
        <w:t>, CCR2</w:t>
      </w:r>
      <w:r w:rsidRPr="008B3AD6">
        <w:rPr>
          <w:color w:val="000000" w:themeColor="text1"/>
          <w:vertAlign w:val="superscript"/>
        </w:rPr>
        <w:t>hi</w:t>
      </w:r>
      <w:r w:rsidRPr="008B3AD6">
        <w:rPr>
          <w:color w:val="000000" w:themeColor="text1"/>
        </w:rPr>
        <w:t xml:space="preserve"> &amp; CX</w:t>
      </w:r>
      <w:r w:rsidRPr="008B3AD6">
        <w:rPr>
          <w:color w:val="000000" w:themeColor="text1"/>
          <w:vertAlign w:val="superscript"/>
        </w:rPr>
        <w:t>3</w:t>
      </w:r>
      <w:r w:rsidRPr="008B3AD6">
        <w:rPr>
          <w:color w:val="000000" w:themeColor="text1"/>
        </w:rPr>
        <w:t>CR1</w:t>
      </w:r>
      <w:r w:rsidRPr="008B3AD6">
        <w:rPr>
          <w:color w:val="000000" w:themeColor="text1"/>
          <w:vertAlign w:val="superscript"/>
        </w:rPr>
        <w:t>lo</w:t>
      </w:r>
      <w:r w:rsidRPr="008B3AD6">
        <w:rPr>
          <w:color w:val="000000" w:themeColor="text1"/>
        </w:rPr>
        <w:t xml:space="preserve"> and CD11b</w:t>
      </w:r>
      <w:r w:rsidRPr="008B3AD6">
        <w:rPr>
          <w:color w:val="000000" w:themeColor="text1"/>
          <w:vertAlign w:val="superscript"/>
        </w:rPr>
        <w:t>+</w:t>
      </w:r>
      <w:r w:rsidRPr="008B3AD6">
        <w:rPr>
          <w:color w:val="000000" w:themeColor="text1"/>
        </w:rPr>
        <w:t>, CD115</w:t>
      </w:r>
      <w:r w:rsidRPr="008B3AD6">
        <w:rPr>
          <w:color w:val="000000" w:themeColor="text1"/>
          <w:vertAlign w:val="superscript"/>
        </w:rPr>
        <w:t>+</w:t>
      </w:r>
      <w:r w:rsidRPr="008B3AD6">
        <w:rPr>
          <w:color w:val="000000" w:themeColor="text1"/>
        </w:rPr>
        <w:t>, Ly6C</w:t>
      </w:r>
      <w:r w:rsidRPr="008B3AD6">
        <w:rPr>
          <w:color w:val="000000" w:themeColor="text1"/>
          <w:vertAlign w:val="superscript"/>
        </w:rPr>
        <w:t>lo</w:t>
      </w:r>
      <w:r w:rsidRPr="008B3AD6">
        <w:rPr>
          <w:color w:val="000000" w:themeColor="text1"/>
        </w:rPr>
        <w:t>, CCR2</w:t>
      </w:r>
      <w:r w:rsidRPr="008B3AD6">
        <w:rPr>
          <w:color w:val="000000" w:themeColor="text1"/>
          <w:vertAlign w:val="superscript"/>
        </w:rPr>
        <w:t>lo</w:t>
      </w:r>
      <w:r w:rsidRPr="008B3AD6">
        <w:rPr>
          <w:color w:val="000000" w:themeColor="text1"/>
        </w:rPr>
        <w:t xml:space="preserve"> &amp; CX</w:t>
      </w:r>
      <w:r w:rsidRPr="008B3AD6">
        <w:rPr>
          <w:color w:val="000000" w:themeColor="text1"/>
          <w:vertAlign w:val="subscript"/>
        </w:rPr>
        <w:t>3</w:t>
      </w:r>
      <w:r w:rsidRPr="008B3AD6">
        <w:rPr>
          <w:color w:val="000000" w:themeColor="text1"/>
        </w:rPr>
        <w:t>CR1</w:t>
      </w:r>
      <w:r w:rsidRPr="008B3AD6">
        <w:rPr>
          <w:color w:val="000000" w:themeColor="text1"/>
          <w:vertAlign w:val="superscript"/>
        </w:rPr>
        <w:t>hi</w:t>
      </w:r>
      <w:r w:rsidRPr="008B3AD6">
        <w:rPr>
          <w:color w:val="000000" w:themeColor="text1"/>
        </w:rPr>
        <w:t xml:space="preserve"> respectively </w:t>
      </w:r>
      <w:r w:rsidRPr="008B3AD6">
        <w:rPr>
          <w:color w:val="000000" w:themeColor="text1"/>
        </w:rPr>
        <w:fldChar w:fldCharType="begin"/>
      </w:r>
      <w:r w:rsidRPr="008B3AD6">
        <w:rPr>
          <w:color w:val="000000" w:themeColor="text1"/>
        </w:rPr>
        <w:instrText xml:space="preserve"> ADDIN ZOTERO_ITEM CSL_CITATION {"citationID":"KhoQbEEN","properties":{"formattedCitation":"(Geissmann, Jung, and Littman 2003; Shi and Pamer 2011)","plainCitation":"(Geissmann, Jung, and Littman 2003; Shi and Pamer 2011)","noteIndex":0},"citationItems":[{"id":3061,"uris":["http://zotero.org/users/2628971/items/HC57J5XV"],"uri":["http://zotero.org/users/2628971/items/HC57J5XV"],"itemData":{"id":3061,"type":"article-journal","title":"Blood Monocytes Consist of Two Principal Subsets with Distinct Migratory Properties","container-title":"Immunity","page":"71-82","volume":"19","issue":"1","source":"ScienceDirect","abstract":"Peripheral blood monocytes are a heterogeneous population of circulating leukocytes. Using a murine adoptive transfer system to probe monocyte homing and differentiation in vivo, we identified two functional subsets among murine blood monocytes: a short-lived CX3CR1loCCR2+Gr1+ subset that is actively recruited to inflamed tissues and a CX3CR1hiCCR2−Gr1− subset characterized by CX3CR1-dependent recruitment to noninflamed tissues. Both subsets have the potential to differentiate into dendritic cells in vivo. The level of CX3CR1 expression also defines the two major human monocyte subsets, the CD14+CD16− and CD14loCD16+ monocytes, which share phenotype and homing potential with the mouse subsets. These findings raise the potential for novel therapeutic strategies in inflammatory diseases.","DOI":"10.1016/S1074-7613(03)00174-2","ISSN":"1074-7613","journalAbbreviation":"Immunity","author":[{"family":"Geissmann","given":"Frederic"},{"family":"Jung","given":"Steffen"},{"family":"Littman","given":"Dan R."}],"issued":{"date-parts":[["2003",7,1]]}}},{"id":2744,"uris":["http://zotero.org/users/2628971/items/5GXHMJH8"],"uri":["http://zotero.org/users/2628971/items/5GXHMJH8"],"itemData":{"id":2744,"type":"article-journal","title":"Monocyte recruitment during infection and inflammation","container-title":"Nature Reviews. Immunology","page":"762-774","volume":"11","issue":"11","source":"PubMed","abstract":"Monocytes originate from progenitors in the bone marrow and traffic via the bloodstream to peripheral tissues. During both homeostasis and inflammation, circulating monocytes leave the bloodstream and migrate into tissues where, following conditioning by local growth factors, pro-inflammatory cytokines and microbial products, they differentiate into macrophage or dendritic cell populations. Recruitment of monocytes is essential for effective control and clearance of viral, bacterial, fungal and protozoal infections, but recruited monocytes also contribute to the pathogenesis of inflammatory and degenerative diseases. The mechanisms that control monocyte trafficking under homeostatic, infectious and inflammatory conditions are being unravelled and are the focus of this Review.","DOI":"10.1038/nri3070","ISSN":"1474-1741","note":"PMID: 21984070\nPMCID: PMC3947780","journalAbbreviation":"Nat. Rev. Immunol.","language":"eng","author":[{"family":"Shi","given":"Chao"},{"family":"Pamer","given":"Eric G."}],"issued":{"date-parts":[["2011",10,10]]}}}],"schema":"https://github.com/citation-style-language/schema/raw/master/csl-citation.json"} </w:instrText>
      </w:r>
      <w:r w:rsidRPr="008B3AD6">
        <w:rPr>
          <w:color w:val="000000" w:themeColor="text1"/>
        </w:rPr>
        <w:fldChar w:fldCharType="separate"/>
      </w:r>
      <w:r w:rsidR="00025067">
        <w:rPr>
          <w:color w:val="000000" w:themeColor="text1"/>
          <w:lang w:val="en-US"/>
        </w:rPr>
        <w:t>(Geissmann, Jung, and Littman 2003; Shi and Pamer 2011)</w:t>
      </w:r>
      <w:r w:rsidRPr="008B3AD6">
        <w:rPr>
          <w:color w:val="000000" w:themeColor="text1"/>
        </w:rPr>
        <w:fldChar w:fldCharType="end"/>
      </w:r>
      <w:r w:rsidRPr="008B3AD6">
        <w:rPr>
          <w:color w:val="000000" w:themeColor="text1"/>
        </w:rPr>
        <w:t>.  In the context of granuloma formation, monocytes respond to toll-like receptor (TLR) stimulation by parasite antigens as well as activation by IFN</w:t>
      </w:r>
      <w:r w:rsidRPr="008B3AD6">
        <w:rPr>
          <w:color w:val="000000" w:themeColor="text1"/>
        </w:rPr>
        <w:sym w:font="Symbol" w:char="F067"/>
      </w:r>
      <w:r w:rsidRPr="008B3AD6">
        <w:rPr>
          <w:color w:val="000000" w:themeColor="text1"/>
        </w:rPr>
        <w:t xml:space="preserve"> </w:t>
      </w:r>
      <w:r w:rsidRPr="008B3AD6">
        <w:rPr>
          <w:color w:val="000000" w:themeColor="text1"/>
        </w:rPr>
        <w:fldChar w:fldCharType="begin"/>
      </w:r>
      <w:r w:rsidRPr="008B3AD6">
        <w:rPr>
          <w:color w:val="000000" w:themeColor="text1"/>
        </w:rPr>
        <w:instrText xml:space="preserve"> ADDIN ZOTERO_ITEM CSL_CITATION {"citationID":"8J32uMRh","properties":{"formattedCitation":"(Cervia, Rosen, and Murray 1993; Terrazas et al. 2017a)","plainCitation":"(Cervia, Rosen, and Murray 1993; Terrazas et al. 2017a)","noteIndex":0},"citationItems":[{"id":2465,"uris":["http://zotero.org/users/2628971/items/3S65WDHG"],"uri":["http://zotero.org/users/2628971/items/3S65WDHG"],"itemData":{"id":2465,"type":"article-journal","title":"Effector role of blood monocytes in experimental visceral leishmaniasis","container-title":"Infection and Immunity","page":"1330-1333","volume":"61","issue":"4","source":"PubMed","abstract":"In BALB/c mice, liver granulomas provoked by visceral infection with intracellular Leishmania donovani are rapidly populated by influxing blood monocytes. To determine the host defense effector role of these mononuclear phagocytes, we treated three populations of infected animals with 5C6, an anti-type 3 complement receptor monoclonal antibody (MAb), which inhibits monocyte recruitment into inflamed tissues. In naive BALB/c mice, injections of 5C6 impaired the initial acquisition of antileishmanial resistance and arrested the development of mature liver granulomas. In sensitized mice with established immunity, both resistance to rechallenge and accelerated granuloma formation were similarly inhibited by MAb administration. Finally, in naive mice, 5C6 MAb also abolished the antileishmanial activity induced by treatment with the macrophage-activating lymphokine gamma interferon. Together, these results suggest a key effector role for the influxing blood monocyte in both initial and established antileishmanial defense and granuloma assembly and in the infected liver as the mononuclear phagocyte target for the antimicrobial effects of gamma interferon.","ISSN":"0019-9567","note":"PMID: 8454335\nPMCID: PMC281366","journalAbbreviation":"Infect. Immun.","language":"eng","author":[{"family":"Cervia","given":"J. S."},{"family":"Rosen","given":"H."},{"family":"Murray","given":"H. W."}],"issued":{"date-parts":[["1993",4]]}}},{"id":2611,"uris":["http://zotero.org/users/2628971/items/W4GCPYY8"],"uri":["http://zotero.org/users/2628971/items/W4GCPYY8"],"itemData":{"id":2611,"type":"article-journal","title":"Ly6C hi inflammatory monocytes promote susceptibility to Leishmania donovani infection","container-title":"Scientific Reports","page":"14693","volume":"7","issue":"1","source":"www.nature.com","abstract":"Ly6Chi inflammatory monocytes (iMO) are critical for host defense against toxoplasmosis and malaria but their role in leishmaniasis is unclear. In this study, we report a detrimental role of Ly6Chi iMOs in visceral leishmaniasis (VL) caused by Leishmania donovani. We demonstrate that Ly6Chi iMOs are continuously recruited into the spleen and liver during L. donovani infection and they are preferential targets for the parasite. Using microarray-based gene expression profiling, we show that Ly6Chi iMOs isolated from the infected liver and spleen have distinct phenotypic and activation profiles. Furthermore, we demonstrate that blocking the recruitment of Ly6Chi iMOs into the liver and spleen during L. donovani infection using a CCR2 antagonist reduces the frequency of the pathogenic IFN-γ/IL10 dual producer CD4+ T cells in the spleen and leads to a significant reduction in parasite loads in the liver and spleen. Using STAT1−/− mice we show that STAT1 is critical for mediating the recruitment of Ly6Chi iMOs into organs during L. donovani infection, and adaptive transfer of wild type Ly6Chi iMOs into STAT1−/− recipients renders them susceptible to disease. Our findings reveal an unexpected pathogenic role for Ly6Chi iMOs in promoting parasite survival in VL and open the possibility of targeting this population for host-directed therapy during VL.","DOI":"10.1038/s41598-017-14935-3","ISSN":"2045-2322","language":"en","author":[{"family":"Terrazas","given":"Cesar"},{"family":"Varikuti","given":"Sanjay"},{"family":"Oghumu","given":"Steve"},{"family":"Steinkamp","given":"Heidi M."},{"family":"Ardic","given":"Nurittin"},{"family":"Kimble","given":"Jennifer"},{"family":"Nakhasi","given":"Hira"},{"family":"Satoskar","given":"Abhay R."}],"issued":{"date-parts":[["2017",10,31]]}}}],"schema":"https://github.com/citation-style-language/schema/raw/master/csl-citation.json"} </w:instrText>
      </w:r>
      <w:r w:rsidRPr="008B3AD6">
        <w:rPr>
          <w:color w:val="000000" w:themeColor="text1"/>
        </w:rPr>
        <w:fldChar w:fldCharType="separate"/>
      </w:r>
      <w:r w:rsidR="00C80233">
        <w:rPr>
          <w:color w:val="000000"/>
          <w:lang w:val="en-US"/>
        </w:rPr>
        <w:t>(Cervia, Rosen, and Murray 1993; Terrazas et al. 2017)</w:t>
      </w:r>
      <w:r w:rsidRPr="008B3AD6">
        <w:rPr>
          <w:color w:val="000000" w:themeColor="text1"/>
        </w:rPr>
        <w:fldChar w:fldCharType="end"/>
      </w:r>
      <w:r w:rsidRPr="008B3AD6">
        <w:rPr>
          <w:color w:val="000000" w:themeColor="text1"/>
        </w:rPr>
        <w:t xml:space="preserve">. Monocyte activation typically leads to the production of reactive nitrogen species as well as pro-inflammatory signals such as TNF </w:t>
      </w:r>
      <w:r w:rsidRPr="008B3AD6">
        <w:rPr>
          <w:color w:val="000000" w:themeColor="text1"/>
        </w:rPr>
        <w:fldChar w:fldCharType="begin"/>
      </w:r>
      <w:r w:rsidRPr="008B3AD6">
        <w:rPr>
          <w:color w:val="000000" w:themeColor="text1"/>
        </w:rPr>
        <w:instrText xml:space="preserve"> ADDIN ZOTERO_ITEM CSL_CITATION {"citationID":"DvG8Xq4i","properties":{"formattedCitation":"(Terrazas et al. 2017a)","plainCitation":"(Terrazas et al. 2017a)","dontUpdate":true,"noteIndex":0},"citationItems":[{"id":2611,"uris":["http://zotero.org/users/2628971/items/W4GCPYY8"],"uri":["http://zotero.org/users/2628971/items/W4GCPYY8"],"itemData":{"id":2611,"type":"article-journal","title":"Ly6C hi inflammatory monocytes promote susceptibility to Leishmania donovani infection","container-title":"Scientific Reports","page":"14693","volume":"7","issue":"1","source":"www.nature.com","abstract":"Ly6Chi inflammatory monocytes (iMO) are critical for host defense against toxoplasmosis and malaria but their role in leishmaniasis is unclear. In this study, we report a detrimental role of Ly6Chi iMOs in visceral leishmaniasis (VL) caused by Leishmania donovani. We demonstrate that Ly6Chi iMOs are continuously recruited into the spleen and liver during L. donovani infection and they are preferential targets for the parasite. Using microarray-based gene expression profiling, we show that Ly6Chi iMOs isolated from the infected liver and spleen have distinct phenotypic and activation profiles. Furthermore, we demonstrate that blocking the recruitment of Ly6Chi iMOs into the liver and spleen during L. donovani infection using a CCR2 antagonist reduces the frequency of the pathogenic IFN-γ/IL10 dual producer CD4+ T cells in the spleen and leads to a significant reduction in parasite loads in the liver and spleen. Using STAT1−/− mice we show that STAT1 is critical for mediating the recruitment of Ly6Chi iMOs into organs during L. donovani infection, and adaptive transfer of wild type Ly6Chi iMOs into STAT1−/− recipients renders them susceptible to disease. Our findings reveal an unexpected pathogenic role for Ly6Chi iMOs in promoting parasite survival in VL and open the possibility of targeting this population for host-directed therapy during VL.","DOI":"10.1038/s41598-017-14935-3","ISSN":"2045-2322","language":"en","author":[{"family":"Terrazas","given":"Cesar"},{"family":"Varikuti","given":"Sanjay"},{"family":"Oghumu","given":"Steve"},{"family":"Steinkamp","given":"Heidi M."},{"family":"Ardic","given":"Nurittin"},{"family":"Kimble","given":"Jennifer"},{"family":"Nakhasi","given":"Hira"},{"family":"Satoskar","given":"Abhay R."}],"issued":{"date-parts":[["2017",10,31]]}}}],"schema":"https://github.com/citation-style-language/schema/raw/master/csl-citation.json"} </w:instrText>
      </w:r>
      <w:r w:rsidRPr="008B3AD6">
        <w:rPr>
          <w:color w:val="000000" w:themeColor="text1"/>
        </w:rPr>
        <w:fldChar w:fldCharType="separate"/>
      </w:r>
      <w:r w:rsidRPr="008B3AD6">
        <w:rPr>
          <w:color w:val="000000" w:themeColor="text1"/>
          <w:lang w:val="en-US"/>
        </w:rPr>
        <w:t>(Terrazas et al. 2017)</w:t>
      </w:r>
      <w:r w:rsidRPr="008B3AD6">
        <w:rPr>
          <w:color w:val="000000" w:themeColor="text1"/>
        </w:rPr>
        <w:fldChar w:fldCharType="end"/>
      </w:r>
      <w:r w:rsidRPr="008B3AD6">
        <w:rPr>
          <w:color w:val="000000" w:themeColor="text1"/>
        </w:rPr>
        <w:t xml:space="preserve">. Depletion of monocytes during EVL was shown to delay granuloma development and resulted in a significantly increased hepatic parasite burden at 4 weeks post-infection </w:t>
      </w:r>
      <w:r w:rsidRPr="008B3AD6">
        <w:rPr>
          <w:b/>
          <w:color w:val="000000" w:themeColor="text1"/>
        </w:rPr>
        <w:fldChar w:fldCharType="begin"/>
      </w:r>
      <w:r w:rsidRPr="008B3AD6">
        <w:rPr>
          <w:b/>
          <w:color w:val="000000" w:themeColor="text1"/>
        </w:rPr>
        <w:instrText xml:space="preserve"> ADDIN ZOTERO_ITEM CSL_CITATION {"citationID":"btJlfvj6","properties":{"formattedCitation":"(Cervia, Rosen, and Murray 1993)","plainCitation":"(Cervia, Rosen, and Murray 1993)","noteIndex":0},"citationItems":[{"id":2465,"uris":["http://zotero.org/users/2628971/items/3S65WDHG"],"uri":["http://zotero.org/users/2628971/items/3S65WDHG"],"itemData":{"id":2465,"type":"article-journal","title":"Effector role of blood monocytes in experimental visceral leishmaniasis","container-title":"Infection and Immunity","page":"1330-1333","volume":"61","issue":"4","source":"PubMed","abstract":"In BALB/c mice, liver granulomas provoked by visceral infection with intracellular Leishmania donovani are rapidly populated by influxing blood monocytes. To determine the host defense effector role of these mononuclear phagocytes, we treated three populations of infected animals with 5C6, an anti-type 3 complement receptor monoclonal antibody (MAb), which inhibits monocyte recruitment into inflamed tissues. In naive BALB/c mice, injections of 5C6 impaired the initial acquisition of antileishmanial resistance and arrested the development of mature liver granulomas. In sensitized mice with established immunity, both resistance to rechallenge and accelerated granuloma formation were similarly inhibited by MAb administration. Finally, in naive mice, 5C6 MAb also abolished the antileishmanial activity induced by treatment with the macrophage-activating lymphokine gamma interferon. Together, these results suggest a key effector role for the influxing blood monocyte in both initial and established antileishmanial defense and granuloma assembly and in the infected liver as the mononuclear phagocyte target for the antimicrobial effects of gamma interferon.","ISSN":"0019-9567","note":"PMID: 8454335\nPMCID: PMC281366","journalAbbreviation":"Infect. Immun.","language":"eng","author":[{"family":"Cervia","given":"J. S."},{"family":"Rosen","given":"H."},{"family":"Murray","given":"H. W."}],"issued":{"date-parts":[["1993",4]]}}}],"schema":"https://github.com/citation-style-language/schema/raw/master/csl-citation.json"} </w:instrText>
      </w:r>
      <w:r w:rsidRPr="008B3AD6">
        <w:rPr>
          <w:b/>
          <w:color w:val="000000" w:themeColor="text1"/>
        </w:rPr>
        <w:fldChar w:fldCharType="separate"/>
      </w:r>
      <w:r w:rsidR="00025067">
        <w:rPr>
          <w:color w:val="000000"/>
          <w:lang w:val="en-US"/>
        </w:rPr>
        <w:t>(Cervia, Rosen, and Murray 1993)</w:t>
      </w:r>
      <w:r w:rsidRPr="008B3AD6">
        <w:rPr>
          <w:b/>
          <w:color w:val="000000" w:themeColor="text1"/>
        </w:rPr>
        <w:fldChar w:fldCharType="end"/>
      </w:r>
      <w:r w:rsidRPr="008B3AD6">
        <w:rPr>
          <w:b/>
          <w:color w:val="000000" w:themeColor="text1"/>
        </w:rPr>
        <w:t>.</w:t>
      </w:r>
      <w:r w:rsidRPr="008B3AD6">
        <w:rPr>
          <w:color w:val="000000" w:themeColor="text1"/>
        </w:rPr>
        <w:t xml:space="preserve"> Optimal influx of monocytes is T cell dependent but additionally migratory factors such as</w:t>
      </w:r>
      <w:r w:rsidR="00E8627B">
        <w:rPr>
          <w:color w:val="000000" w:themeColor="text1"/>
        </w:rPr>
        <w:t xml:space="preserve"> </w:t>
      </w:r>
      <w:r w:rsidR="00E8627B" w:rsidRPr="00E8627B">
        <w:rPr>
          <w:color w:val="000000" w:themeColor="text1"/>
        </w:rPr>
        <w:t>C-C chemokine receptor</w:t>
      </w:r>
      <w:r w:rsidRPr="008B3AD6">
        <w:rPr>
          <w:color w:val="000000" w:themeColor="text1"/>
        </w:rPr>
        <w:t xml:space="preserve"> </w:t>
      </w:r>
      <w:r w:rsidR="00E8627B">
        <w:rPr>
          <w:color w:val="000000" w:themeColor="text1"/>
        </w:rPr>
        <w:t>(</w:t>
      </w:r>
      <w:r w:rsidRPr="008B3AD6">
        <w:rPr>
          <w:color w:val="000000" w:themeColor="text1"/>
        </w:rPr>
        <w:t>CCR</w:t>
      </w:r>
      <w:r w:rsidR="00E8627B">
        <w:rPr>
          <w:color w:val="000000" w:themeColor="text1"/>
        </w:rPr>
        <w:t xml:space="preserve">) </w:t>
      </w:r>
      <w:r w:rsidRPr="008B3AD6">
        <w:rPr>
          <w:color w:val="000000" w:themeColor="text1"/>
        </w:rPr>
        <w:t xml:space="preserve">2 and GM-CSF are crucial for granuloma formation and reduction in parasite load </w:t>
      </w:r>
      <w:r w:rsidRPr="008B3AD6">
        <w:rPr>
          <w:color w:val="000000" w:themeColor="text1"/>
        </w:rPr>
        <w:fldChar w:fldCharType="begin"/>
      </w:r>
      <w:r w:rsidRPr="008B3AD6">
        <w:rPr>
          <w:color w:val="000000" w:themeColor="text1"/>
        </w:rPr>
        <w:instrText xml:space="preserve"> ADDIN ZOTERO_ITEM CSL_CITATION {"citationID":"W8XorfqO","properties":{"formattedCitation":"(Wynn et al. 2001; Bunn et al. 2014a)","plainCitation":"(Wynn et al. 2001; Bunn et al. 2014a)","noteIndex":0},"citationItems":[{"id":2778,"uris":["http://zotero.org/users/2628971/items/YDRRZFQU"],"uri":["http://zotero.org/users/2628971/items/YDRRZFQU"],"itemData":{"id":2778,"type":"article-journal","title":"Role of granulocyte/macrophage colony-stimulating factor in zymocel-induced hepatic granuloma formation","container-title":"The American Journal of Pathology","page":"131-145","volume":"158","issue":"1","source":"PubMed","abstract":"To examine the role of granulocyte/macrophage colony-stimulating factor (GM-CSF) in inflammatory granuloma formation, we injected GM-CSF-deficient (GM-CSF(-/-)) mice and wild-type (GM-CSF(+/+)) mice intravenously with 2 mg of zymocel, and mice were killed at various intervals for examination. In GM-CSF(-/-) mice, we demonstrated a marked delay of zymocel-induced hepatic granuloma formation until 5 days after zymocel injection with a rapid reduction in numbers of granulomas at 10 days until their disappearance. In the early phase of granuloma formation, monocyte infiltration and differentiation of monocytes into macrophages were impaired in GM-CSF(-/-) mice compared with GM-CSF(+/+) mice. The percentages of [(3)H]thymidine-labeled macrophages at 2 days after zymocel injection were lower in the GM-CSF(-/-) mice than in the GM-CSF(+/+) mice. The DNA nick-end-labeling method demonstrated increased numbers of apoptotic cells in and around hepatic granulomas of GM-CSF(-/-) mice from 8 days after zymocel injection, and electron microscopy detected apoptotic bodies. Granuloma macrophage digestion of glucan particles and activation of macrophages were similar in the two types of mice. In situ hybridization demonstrated expression of GM-CSF mRNA in the endothelial cells, hepatocytes, and some granuloma cells in the GM-CSF(+/+) mice but not in the GM-CSF(-/-) mice. These results provide evidence that GM-CSF is important for the influx of monocytes into hepatic granulomas, for differentiation of monocytes into macrophages, and for proliferation and survival of macrophages within hepatic granulomas.","DOI":"10.1016/S0002-9440(10)63951-X","ISSN":"0002-9440","note":"PMID: 11141486\nPMCID: PMC1850246","journalAbbreviation":"Am. J. Pathol.","language":"eng","author":[{"family":"Wynn","given":"A. A."},{"family":"Miyakawa","given":"K."},{"family":"Miyata","given":"E."},{"family":"Dranoff","given":"G."},{"family":"Takeya","given":"M."},{"family":"Takahashi","given":"K."}],"issued":{"date-parts":[["2001",1]]}}},{"id":2551,"uris":["http://zotero.org/users/2628971/items/5Z2UUKXA"],"uri":["http://zotero.org/users/2628971/items/5Z2UUKXA"],"itemData":{"id":2551,"type":"article-journal","title":"Tissue requirements for establishing long-term CD4+ T cell-mediated immunity following Leishmania donovani infection","container-title":"Journal of Immunology (Baltimore, Md.: 1950)","page":"3709-3718","volume":"192","issue":"8","source":"PubMed","abstract":"Organ-specific immunity is a feature of many infectious diseases, including visceral leishmaniasis caused by Leishmania donovani. Experimental visceral leishmaniasis in genetically susceptible mice is characterized by an acute, resolving infection in the liver and chronic infection in the spleen. CD4+ T cell responses are critical for the establishment and maintenance of hepatic immunity in this disease model, but their role in chronically infected spleens remains unclear. In this study, we show that dendritic cells are critical for CD4+ T cell activation and expansion in all tissue sites examined. We found that FTY720-mediated blockade of T cell trafficking early in infection prevented Ag-specific CD4+ T cells from appearing in lymph nodes, but not the spleen and liver, suggesting that early CD4+ T cell priming does not occur in liver-draining lymph nodes. Extended treatment with FTY720 over the first month of infection increased parasite burdens, although this associated with blockade of lymphocyte egress from secondary lymphoid tissue, as well as with more generalized splenic lymphopenia. Importantly, we demonstrate that CD4+ T cells are required for the establishment and maintenance of antiparasitic immunity in the liver, as well as for immune surveillance and suppression of parasite outgrowth in chronically infected spleens. Finally, although early CD4+ T cell priming appeared to occur most effectively in the spleen, we unexpectedly revealed that protective CD4+ T cell-mediated hepatic immunity could be generated in the complete absence of all secondary lymphoid tissues.","DOI":"10.4049/jimmunol.1300768","ISSN":"1550-6606","note":"PMID: 24634490","journalAbbreviation":"J. Immunol.","language":"eng","author":[{"family":"Bunn","given":"Patrick T."},{"family":"Stanley","given":"Amanda C."},{"family":"Labastida Rivera","given":"Fabian","non-dropping-particle":"de"},{"family":"Mulherin","given":"Alexander"},{"family":"Sheel","given":"Meru"},{"family":"Alexander","given":"Clare E."},{"family":"Faleiro","given":"Rebecca J."},{"family":"Amante","given":"Fiona H."},{"family":"Montes De Oca","given":"Marcela"},{"family":"Best","given":"Shannon E."},{"family":"James","given":"Kylie R."},{"family":"Kaye","given":"Paul M."},{"family":"Haque","given":"Ashraful"},{"family":"Engwerda","given":"Christian R."}],"issued":{"date-parts":[["2014",4,15]]}}}],"schema":"https://github.com/citation-style-language/schema/raw/master/csl-citation.json"} </w:instrText>
      </w:r>
      <w:r w:rsidRPr="008B3AD6">
        <w:rPr>
          <w:color w:val="000000" w:themeColor="text1"/>
        </w:rPr>
        <w:fldChar w:fldCharType="separate"/>
      </w:r>
      <w:r w:rsidR="00C80233">
        <w:rPr>
          <w:color w:val="000000"/>
          <w:lang w:val="en-US"/>
        </w:rPr>
        <w:t>(Wyn</w:t>
      </w:r>
      <w:r w:rsidR="00C46DBF">
        <w:rPr>
          <w:color w:val="000000"/>
          <w:lang w:val="en-US"/>
        </w:rPr>
        <w:t>n et al. 2001; Bunn et al. 2014</w:t>
      </w:r>
      <w:r w:rsidR="00C80233">
        <w:rPr>
          <w:color w:val="000000"/>
          <w:lang w:val="en-US"/>
        </w:rPr>
        <w:t>)</w:t>
      </w:r>
      <w:r w:rsidRPr="008B3AD6">
        <w:rPr>
          <w:color w:val="000000" w:themeColor="text1"/>
        </w:rPr>
        <w:fldChar w:fldCharType="end"/>
      </w:r>
      <w:r w:rsidRPr="008B3AD6">
        <w:rPr>
          <w:color w:val="000000" w:themeColor="text1"/>
        </w:rPr>
        <w:t>.</w:t>
      </w:r>
    </w:p>
    <w:p w14:paraId="19D61688" w14:textId="77777777" w:rsidR="00AB3115" w:rsidRPr="008B3AD6" w:rsidRDefault="00AB3115" w:rsidP="000E10DC">
      <w:pPr>
        <w:spacing w:line="360" w:lineRule="auto"/>
        <w:jc w:val="both"/>
        <w:rPr>
          <w:color w:val="000000" w:themeColor="text1"/>
        </w:rPr>
      </w:pPr>
    </w:p>
    <w:p w14:paraId="431A7B81" w14:textId="1D9CE9C4" w:rsidR="00AB3115" w:rsidRPr="008B3AD6" w:rsidRDefault="00B3072D" w:rsidP="000E10DC">
      <w:pPr>
        <w:spacing w:line="360" w:lineRule="auto"/>
        <w:jc w:val="both"/>
        <w:rPr>
          <w:color w:val="000000" w:themeColor="text1"/>
        </w:rPr>
      </w:pPr>
      <w:r w:rsidRPr="008B3AD6">
        <w:rPr>
          <w:color w:val="000000" w:themeColor="text1"/>
        </w:rPr>
        <w:t>T cells are a critical component of the adaptive immune response and carry out cell-mediated immune responses. Beginning life as bone-marrow derived progenitors which migrate to the thymus, T cells mature in the thymus after undergoing selective processes that broadly determine if they will be CD4</w:t>
      </w:r>
      <w:r w:rsidRPr="008B3AD6">
        <w:rPr>
          <w:color w:val="000000" w:themeColor="text1"/>
          <w:vertAlign w:val="superscript"/>
        </w:rPr>
        <w:t>+</w:t>
      </w:r>
      <w:r w:rsidRPr="008B3AD6">
        <w:rPr>
          <w:color w:val="000000" w:themeColor="text1"/>
        </w:rPr>
        <w:t xml:space="preserve"> or CD8</w:t>
      </w:r>
      <w:r w:rsidRPr="008B3AD6">
        <w:rPr>
          <w:color w:val="000000" w:themeColor="text1"/>
          <w:vertAlign w:val="superscript"/>
        </w:rPr>
        <w:t>+</w:t>
      </w:r>
      <w:r w:rsidRPr="008B3AD6">
        <w:rPr>
          <w:color w:val="000000" w:themeColor="text1"/>
        </w:rPr>
        <w:t xml:space="preserve"> T cells </w:t>
      </w:r>
      <w:r w:rsidRPr="008B3AD6">
        <w:rPr>
          <w:color w:val="000000" w:themeColor="text1"/>
          <w:lang w:val="en-US"/>
        </w:rPr>
        <w:t>(Alberts et al. 2002; Zúñiga-Pflücker 2004; Broek, Borghans, and Wijk 2018)</w:t>
      </w:r>
      <w:r w:rsidRPr="008B3AD6">
        <w:rPr>
          <w:color w:val="000000" w:themeColor="text1"/>
        </w:rPr>
        <w:fldChar w:fldCharType="begin"/>
      </w:r>
      <w:r w:rsidRPr="008B3AD6">
        <w:rPr>
          <w:color w:val="000000" w:themeColor="text1"/>
        </w:rPr>
        <w:instrText xml:space="preserve"> ADDIN ZOTERO_ITEM CSL_CITATION {"citationID":"2czPyWYF","properties":{"formattedCitation":"(Alberts et al. 2002; Z\\uc0\\u250{}\\uc0\\u241{}iga-Pfl\\uc0\\u252{}cker 2004; Broek, Borghans, and Wijk 2018)","plainCitation":"","noteIndex":0},"citationItems":[{"id":3023,"uris":["http://zotero.org/users/2628971/items/NNARQSZU"],"uri":["http://zotero.org/users/2628971/items/NNARQSZU"],"itemData":{"id":3023,"type":"article-journal","title":"The Adaptive Immune System","container-title":"Molecular Biology of the Cell. 4th edition","source":"www.ncbi.nlm.nih.gov","abstract":"Our adaptive immune system saves us from certain death by infection. An infant born with a severely defective adaptive immune system will soon die unless extraordinary measures are taken to isolate it from a host of infectious agents, including bacteria, viruses, fungi, and parasites. Indeed, all multicellular organisms need to defend themselves against infection by such potentially harmful invaders, collectively called pathogens. Invertebrates use relatively simple defense strategies that rely chiefly on protective barriers, toxic molecules, and phagocytic cells that ingest and destroy invading microorganisms (microbes) and larger parasites (such as worms). Vertebrates, too, depend on such innate immune responses as a first line of defense (discussed in Chapter 25), but they can also mount much more sophisticated defenses, called adaptive immune responses. The innate responses call the adaptive immune responses into play, and both work together to eliminate the pathogens (Figure 24-1). Unlike innate immune responses, the adaptive responses are highly specific to the particular pathogen that induced them. They can also provide long-lasting protection. A person who recovers from measles, for example, is protected for life against measles by the adaptive immune system, although not against other common viruses, such as those that cause mumps or chickenpox. In this chapter, we focus mainly on adaptive immune responses, and, unless we indicate otherwise, the term immune responses refers to them. We discuss innate immune responses in detail in Chapter 25.Figure 24-1Innate and adaptive immune responsesInnate immune responses are activated directly by pathogens and defend all multicellular organisms against infection. In vertebrates, pathogens, together with the innate immune responses they activate, stimulate adaptive immune responses, which then help fight the infection.","URL":"https://www.ncbi.nlm.nih.gov/books/NBK21070/","language":"en","author":[{"family":"Alberts","given":"Bruce"},{"family":"Johnson","given":"Alexander"},{"family":"Lewis","given":"Julian"},{"family":"Raff","given":"Martin"},{"family":"Roberts","given":"Keith"},{"family":"Walter","given":"Peter"}],"issued":{"date-parts":[["2002"]]},"accessed":{"date-parts":[["2018",8,9]]}}},{"id":3029,"uris":["http://zotero.org/users/2628971/items/XEK9RJBQ"],"uri":["http://zotero.org/users/2628971/items/XEK9RJBQ"],"itemData":{"id":3029,"type":"article-journal","title":"T-cell development made simple","container-title":"Nature Reviews Immunology","page":"67","volume":"4","journalAbbreviation":"Nature Reviews Immunology","author":[{"family":"Zúñiga-Pflücker","given":"Juan Carlos"}],"issued":{"date-parts":[["2004",1,1]]}}},{"id":3024,"uris":["http://zotero.org/users/2628971/items/3FX6VQIP"],"uri":["http://zotero.org/users/2628971/items/3FX6VQIP"],"itemData":{"id":3024,"type":"article-journal","title":"The full spectrum of human naive T cells","container-title":"Nature Reviews Immunology","page":"363-373","volume":"18","issue":"6","source":"www.nature.com","abstract":"Evidence is increasing that naive T cells are heterogeneous in phenotype, function, dynamics and differentiation status. Here, van den Broek et al. provide a revised view of the naive T cell compartment and then discuss the implications for ageing, neonatal immunity and T cell reconstitution following haematopoietic stem cell transplantation.","DOI":"10.1038/s41577-018-0001-y","ISSN":"1474-1741","language":"en","author":[{"family":"Broek","given":"Theo","dropping-particle":"van den"},{"family":"Borghans","given":"José A. M."},{"family":"Wijk","given":"Femke","dropping-particle":"van"}],"issued":{"date-parts":[["2018",6]]}}}],"schema":"https://github.com/citation-style-language/schema/raw/master/csl-citation.json"} </w:instrText>
      </w:r>
      <w:r w:rsidRPr="008B3AD6">
        <w:rPr>
          <w:color w:val="000000" w:themeColor="text1"/>
        </w:rPr>
        <w:fldChar w:fldCharType="end"/>
      </w:r>
      <w:r w:rsidRPr="008B3AD6">
        <w:rPr>
          <w:color w:val="000000" w:themeColor="text1"/>
        </w:rPr>
        <w:t>. CD4</w:t>
      </w:r>
      <w:r w:rsidRPr="008B3AD6">
        <w:rPr>
          <w:color w:val="000000" w:themeColor="text1"/>
          <w:vertAlign w:val="superscript"/>
        </w:rPr>
        <w:t>+</w:t>
      </w:r>
      <w:r w:rsidRPr="008B3AD6">
        <w:rPr>
          <w:color w:val="000000" w:themeColor="text1"/>
        </w:rPr>
        <w:t xml:space="preserve"> T cells, also denoted as T helper cells, are one of the two main T cell subsets. These CD4</w:t>
      </w:r>
      <w:r w:rsidRPr="008B3AD6">
        <w:rPr>
          <w:color w:val="000000" w:themeColor="text1"/>
          <w:vertAlign w:val="superscript"/>
        </w:rPr>
        <w:t>+</w:t>
      </w:r>
      <w:r w:rsidRPr="008B3AD6">
        <w:rPr>
          <w:color w:val="000000" w:themeColor="text1"/>
        </w:rPr>
        <w:t xml:space="preserve"> T cells can further be broadly divided into 4 subsets: T helper 1 (Th</w:t>
      </w:r>
      <w:r w:rsidRPr="008B3AD6">
        <w:rPr>
          <w:color w:val="000000" w:themeColor="text1"/>
          <w:vertAlign w:val="subscript"/>
        </w:rPr>
        <w:t>1</w:t>
      </w:r>
      <w:r w:rsidRPr="008B3AD6">
        <w:rPr>
          <w:color w:val="000000" w:themeColor="text1"/>
        </w:rPr>
        <w:t>), T helper 2 (Th</w:t>
      </w:r>
      <w:r w:rsidRPr="008B3AD6">
        <w:rPr>
          <w:color w:val="000000" w:themeColor="text1"/>
          <w:vertAlign w:val="subscript"/>
        </w:rPr>
        <w:t>2</w:t>
      </w:r>
      <w:r w:rsidRPr="008B3AD6">
        <w:rPr>
          <w:color w:val="000000" w:themeColor="text1"/>
        </w:rPr>
        <w:t>), T helper 17 (Th</w:t>
      </w:r>
      <w:r w:rsidRPr="008B3AD6">
        <w:rPr>
          <w:color w:val="000000" w:themeColor="text1"/>
          <w:vertAlign w:val="subscript"/>
        </w:rPr>
        <w:t>17</w:t>
      </w:r>
      <w:r w:rsidRPr="008B3AD6">
        <w:rPr>
          <w:color w:val="000000" w:themeColor="text1"/>
        </w:rPr>
        <w:t>) and T regulatory cells (T</w:t>
      </w:r>
      <w:r w:rsidRPr="008B3AD6">
        <w:rPr>
          <w:color w:val="000000" w:themeColor="text1"/>
          <w:vertAlign w:val="subscript"/>
        </w:rPr>
        <w:t>reg</w:t>
      </w:r>
      <w:r w:rsidRPr="008B3AD6">
        <w:rPr>
          <w:color w:val="000000" w:themeColor="text1"/>
        </w:rPr>
        <w:t xml:space="preserve">) </w:t>
      </w:r>
      <w:r w:rsidRPr="008B3AD6">
        <w:rPr>
          <w:color w:val="000000" w:themeColor="text1"/>
        </w:rPr>
        <w:fldChar w:fldCharType="begin"/>
      </w:r>
      <w:r w:rsidRPr="008B3AD6">
        <w:rPr>
          <w:color w:val="000000" w:themeColor="text1"/>
        </w:rPr>
        <w:instrText xml:space="preserve"> ADDIN ZOTERO_ITEM CSL_CITATION {"citationID":"bPy8KmZh","properties":{"formattedCitation":"(Luckheeram et al. 2012)","plainCitation":"(Luckheeram et al. 2012)","noteIndex":0},"citationItems":[{"id":3257,"uris":["http://zotero.org/users/2628971/items/64V36S2U"],"uri":["http://zotero.org/users/2628971/items/64V36S2U"],"itemData":{"id":3257,"type":"article-journal","title":"CD4</w:instrText>
      </w:r>
      <w:r w:rsidRPr="008B3AD6">
        <w:rPr>
          <w:rFonts w:ascii="Cambria Math" w:hAnsi="Cambria Math" w:cs="Cambria Math"/>
          <w:color w:val="000000" w:themeColor="text1"/>
        </w:rPr>
        <w:instrText>⁺</w:instrText>
      </w:r>
      <w:r w:rsidRPr="008B3AD6">
        <w:rPr>
          <w:color w:val="000000" w:themeColor="text1"/>
        </w:rPr>
        <w:instrText>T cells: differentiation and functions","container-title":"Clinical &amp; Developmental Immunology","page":"925135","volume":"2012","source":"PubMed","abstract":"CD4</w:instrText>
      </w:r>
      <w:r w:rsidRPr="008B3AD6">
        <w:rPr>
          <w:rFonts w:ascii="Cambria Math" w:hAnsi="Cambria Math" w:cs="Cambria Math"/>
          <w:color w:val="000000" w:themeColor="text1"/>
        </w:rPr>
        <w:instrText>⁺</w:instrText>
      </w:r>
      <w:r w:rsidRPr="008B3AD6">
        <w:rPr>
          <w:color w:val="000000" w:themeColor="text1"/>
        </w:rPr>
        <w:instrText>T cells are crucial in achieving a regulated effective immune response to pathogens. Naive CD4</w:instrText>
      </w:r>
      <w:r w:rsidRPr="008B3AD6">
        <w:rPr>
          <w:rFonts w:ascii="Cambria Math" w:hAnsi="Cambria Math" w:cs="Cambria Math"/>
          <w:color w:val="000000" w:themeColor="text1"/>
        </w:rPr>
        <w:instrText>⁺</w:instrText>
      </w:r>
      <w:r w:rsidRPr="008B3AD6">
        <w:rPr>
          <w:color w:val="000000" w:themeColor="text1"/>
        </w:rPr>
        <w:instrText>T cells are activated after interaction with antigen-MHC complex and differentiate into specific subtypes depending mainly on the cytokine milieu of the microenvironment. Besides the classical T-helper 1 and T-helper 2, other subsets have been identified, including T-helper 17, regulatory T cell, follicular helper T cell, and T-helper 9, each with a characteristic cytokine profile. For a particular phenotype to be differentiated, a set of cytokine signaling pathways coupled with activation of lineage-specific transcription factors and epigenetic modifications at appropriate genes are required. The effector functions of these cells are mediated by the cytokines secreted by the differentiated cells. This paper will focus on the cytokine-signaling and the network of transcription factors responsible for the differentiation of naive CD4</w:instrText>
      </w:r>
      <w:r w:rsidRPr="008B3AD6">
        <w:rPr>
          <w:rFonts w:ascii="Cambria Math" w:hAnsi="Cambria Math" w:cs="Cambria Math"/>
          <w:color w:val="000000" w:themeColor="text1"/>
        </w:rPr>
        <w:instrText>⁺</w:instrText>
      </w:r>
      <w:r w:rsidRPr="008B3AD6">
        <w:rPr>
          <w:color w:val="000000" w:themeColor="text1"/>
        </w:rPr>
        <w:instrText>T cells.","DOI":"10.1155/2012/925135","ISSN":"1740-2530","note":"PMID: 22474485\nPMCID: PMC3312336","shortTitle":"CD4</w:instrText>
      </w:r>
      <w:r w:rsidRPr="008B3AD6">
        <w:rPr>
          <w:rFonts w:ascii="Cambria Math" w:hAnsi="Cambria Math" w:cs="Cambria Math"/>
          <w:color w:val="000000" w:themeColor="text1"/>
        </w:rPr>
        <w:instrText>⁺</w:instrText>
      </w:r>
      <w:r w:rsidRPr="008B3AD6">
        <w:rPr>
          <w:color w:val="000000" w:themeColor="text1"/>
        </w:rPr>
        <w:instrText xml:space="preserve">T cells","journalAbbreviation":"Clin. Dev. Immunol.","language":"eng","author":[{"family":"Luckheeram","given":"Rishi Vishal"},{"family":"Zhou","given":"Rui"},{"family":"Verma","given":"Asha Devi"},{"family":"Xia","given":"Bing"}],"issued":{"date-parts":[["2012"]]}}}],"schema":"https://github.com/citation-style-language/schema/raw/master/csl-citation.json"} </w:instrText>
      </w:r>
      <w:r w:rsidRPr="008B3AD6">
        <w:rPr>
          <w:color w:val="000000" w:themeColor="text1"/>
        </w:rPr>
        <w:fldChar w:fldCharType="separate"/>
      </w:r>
      <w:r w:rsidR="00025067">
        <w:rPr>
          <w:color w:val="000000" w:themeColor="text1"/>
          <w:lang w:val="en-US"/>
        </w:rPr>
        <w:t>(Luckheeram et al. 2012)</w:t>
      </w:r>
      <w:r w:rsidRPr="008B3AD6">
        <w:rPr>
          <w:color w:val="000000" w:themeColor="text1"/>
        </w:rPr>
        <w:fldChar w:fldCharType="end"/>
      </w:r>
      <w:r w:rsidRPr="008B3AD6">
        <w:rPr>
          <w:color w:val="000000" w:themeColor="text1"/>
        </w:rPr>
        <w:t>. Th</w:t>
      </w:r>
      <w:r w:rsidRPr="008B3AD6">
        <w:rPr>
          <w:color w:val="000000" w:themeColor="text1"/>
          <w:vertAlign w:val="subscript"/>
        </w:rPr>
        <w:t>1</w:t>
      </w:r>
      <w:r w:rsidRPr="008B3AD6">
        <w:rPr>
          <w:color w:val="000000" w:themeColor="text1"/>
        </w:rPr>
        <w:t xml:space="preserve"> and Th</w:t>
      </w:r>
      <w:r w:rsidRPr="008B3AD6">
        <w:rPr>
          <w:color w:val="000000" w:themeColor="text1"/>
          <w:vertAlign w:val="subscript"/>
        </w:rPr>
        <w:t>2</w:t>
      </w:r>
      <w:r w:rsidRPr="008B3AD6">
        <w:rPr>
          <w:color w:val="000000" w:themeColor="text1"/>
        </w:rPr>
        <w:t xml:space="preserve"> responses, typically characterised by the production of different </w:t>
      </w:r>
      <w:r w:rsidR="00BF7AD6">
        <w:rPr>
          <w:color w:val="000000" w:themeColor="text1"/>
        </w:rPr>
        <w:t>ranges</w:t>
      </w:r>
      <w:r w:rsidRPr="008B3AD6">
        <w:rPr>
          <w:color w:val="000000" w:themeColor="text1"/>
        </w:rPr>
        <w:t xml:space="preserve"> of </w:t>
      </w:r>
      <w:r w:rsidR="00E8627B">
        <w:rPr>
          <w:color w:val="000000" w:themeColor="text1"/>
        </w:rPr>
        <w:t xml:space="preserve">cytokines, </w:t>
      </w:r>
      <w:r w:rsidRPr="008B3AD6">
        <w:rPr>
          <w:color w:val="000000" w:themeColor="text1"/>
        </w:rPr>
        <w:t>chemokine</w:t>
      </w:r>
      <w:r w:rsidR="00E8627B">
        <w:rPr>
          <w:color w:val="000000" w:themeColor="text1"/>
        </w:rPr>
        <w:t xml:space="preserve"> and/or transcription factors</w:t>
      </w:r>
      <w:r w:rsidRPr="008B3AD6">
        <w:rPr>
          <w:color w:val="000000" w:themeColor="text1"/>
        </w:rPr>
        <w:t xml:space="preserve">, are the main T helper cell groups associated with the outcome of VL </w:t>
      </w:r>
      <w:r w:rsidRPr="008B3AD6">
        <w:rPr>
          <w:b/>
          <w:color w:val="000000" w:themeColor="text1"/>
        </w:rPr>
        <w:fldChar w:fldCharType="begin"/>
      </w:r>
      <w:r w:rsidRPr="008B3AD6">
        <w:rPr>
          <w:b/>
          <w:color w:val="000000" w:themeColor="text1"/>
        </w:rPr>
        <w:instrText xml:space="preserve"> ADDIN ZOTERO_ITEM CSL_CITATION {"citationID":"d4OqbSx2","properties":{"formattedCitation":"(M. Kemp et al. 1993; Miralles et al. 1994; H W Murray, Hariprashad, and Coffman 1997; K. Kemp et al. 1999)","plainCitation":"(M. Kemp et al. 1993; Miralles et al. 1994; H W Murray, Hariprashad, and Coffman 1997; K. Kemp et al. 1999)","noteIndex":0},"citationItems":[{"id":3285,"uris":["http://zotero.org/users/2628971/items/AZFPF6AI"],"uri":["http://zotero.org/users/2628971/items/AZFPF6AI"],"itemData":{"id":3285,"type":"article-journal","title":"Leishmania donovani-reactive Th1- and Th2-like T-cell clones from individuals who have recovered from visceral leishmaniasis.","container-title":"Infection and Immunity","page":"1069-1073","volume":"61","issue":"3","source":"iai.asm.org","abstract":"Infections in humans by Leishmania donovani parasites can result in a fatal disease, visceral leishmaniasis (VL), or in a self-limiting asymptomatic infection. In murine models of the infection employing Leishmania major, the course of the disease can be directed into a VL-like syndrome by interleukin-4 (IL-4)-producing Th2 cells, or cure may result by Th1 cells secreting gamma interferon (IFN-gamma). The present study examined the potential of human T cells to generate Th1 or Th2 responses to L. donovani. The profiles of IFN-gamma, IL-4, and lymphotoxin secretion after antigen stimulation were analyzed in a panel of L. donovani-reactive CD4+ human T-cell clones generated from individuals who had recovered from VL after antimonial treatment. Two of the T-cell clones produced large amounts of IL-4 without production of IFN-gamma, seven clones produced both IFN-gamma and IL-4, and eight produced only IFN-gamma. This is the first report of a Th1- and Th2-type response in human leishmaniasis. These results suggest that in analogy with murine models, there is a dichotomy in the human T-cell response to L. donovani infections. Preferential activation of IL-4-producing Th2-like cells may be involved in the exacerbation of human VL, whereas activation of IFN-gamma-producing Th1 cells may protect the host from severe disease. Identification of leishmanial antigens activating one or the other type of T cells will be important in the development of vaccines against leishmaniasis.","ISSN":"0019-9567, 1098-5522","note":"PMID: 8432588","journalAbbreviation":"Infect. Immun.","language":"en","author":[{"family":"Kemp","given":"M."},{"family":"Kurtzhals","given":"J. A."},{"family":"Bendtzen","given":"K."},{"family":"Poulsen","given":"L. K."},{"family":"Hansen","given":"M. B."},{"family":"Koech","given":"D. K."},{"family":"Kharazmi","given":"A."},{"family":"Theander","given":"T. G."}],"issued":{"date-parts":[["1993",3,1]]}},"label":"page"},{"id":3259,"uris":["http://zotero.org/users/2628971/items/NCG9NVBT"],"uri":["http://zotero.org/users/2628971/items/NCG9NVBT"],"itemData":{"id":3259,"type":"article-journal","title":"Th1 and Th2 cell-associated cytokines in experimental visceral leishmaniasis.","container-title":"Infection and Immunity","page":"1058-1063","volume":"62","issue":"3","source":"iai.asm.org","abstract":"In experimental Leishmania donovani infection in BALB/c mice, initial susceptibility gives way to T-cell-dependent acquired resistance and eventual control over visceral infection. Since various cytokines appear to underlie the host response to Leishmania infection, we examined infected liver tissue for gene expression of cytokines associated with Th1 (gamma interferon [IFN-gamma] and interleukin-2 [IL-2]) and Th2 cells (IL-4 and IL-10). By Northern (RNA) blot analysis, only IFN-gamma mRNA expression was detected in livers of infected euthymic mice. To determine whether activation of Th1 cells develops selectively in this model, qualitative PCR analysis was used. These results indicated that mRNAs for IFN-gamma, IL-2, IL-4, and IL-10 were all induced by L. donovani infection. The potentially negative Th2 cell-associated response did not appear to play a functional role, however, since resistance was acquired, anti-IL-4 monoclonal antibody treatment did not accelerate control over visceral infection, and serum immunoglobulin E levels remained low. As judged by PCR analysis, IL-4 and IL-10 mRNAs were also expressed under three other conditions without apparent effect: in naive euthymic mice treated with IL-2, which induces leishmanicidal activity; in rechallenged immune mice, which resist reinfection; and in nude mice, which fail to control L. donovani. These results suggest that, like other Leishmania species, L. donovani infection may trigger a potentially suppressive Th2 cell-associated cytokine response. However, in T-cell-intact mice able to control L. donovani, this response either is insufficient to influence outcome or more likely is overshadowed by the Th1 cell response.","ISSN":"0019-9567, 1098-5522","note":"PMID: 8112840","journalAbbreviation":"Infect. Immun.","language":"en","author":[{"family":"Miralles","given":"G. D."},{"family":"Stoeckle","given":"M. Y."},{"family":"McDermott","given":"D. F."},{"family":"Finkelman","given":"F. D."},{"family":"Murray","given":"H. W."}],"issued":{"date-parts":[["1994",3,1]]}},"label":"page"},{"id":1235,"uris":["http://zotero.org/users/2628971/items/9T7IQB9Z"],"uri":["http://zotero.org/users/2628971/items/9T7IQB9Z"],"itemData":{"id":1235,"type":"article-journal","title":"Behavior of visceral Leishmania donovani in an experimentally induced T helper cell 2 (Th2)-associated response model.","container-title":"The Journal of experimental medicine","page":"867-74","volume":"185","issue":"5","abstract":"Although implicated in the clinical expression of human visceral leishmaniasis, a disease-exacerbating T helper cell 2 (Th2)-associated immune response involving interleukin-4 (IL-4) and/ or IL-10 is not readily detectable in experimental visceral infection. To overcome this obstacle to analyzing visceral Leishmania donovani in this relevant immunopathogenetic environment, we sought a model in which a Th2 response induces noncuring infection. Four initial approaches were tested primarily in BALB/c mice which control intracellular L. donovani via an IL-12- and interferon-gamma (IFN-gamma)-dependent Th1 mechanism: (a) modifying the cytokine milieu when the parasite is first encountered (treatment with exogenous IL-4 or anti-IL-12), (b) providing sustained endogenous exposure to a Th2 cytokine (infection of IL-4 transgenic mice), (c) increasing the parasite challenge inoculum, and (d) injecting heat-killed L. major promastigotes (HKLMP) to induce a cross-reactive Th2 response to live L. donovani. Only the last approach generated a functional Th2-type response that induced disease exacerbation accompanied by inhibition of tissue granuloma assembly. In HKLMP-primed BALB/c mice, prophylaxis with anti-IL-4, anti-IL-10, or exogenous IL-12 (but not IFN-gamma) readily restored resistance. In primed mice with established visceral infection, treatment with either IL-12 or IFN-gamma also successfully induced antileishmanial activity. The results in this model (a) suggest that rather than acting alone, IL-4 and IL-10 may act in concert to prevent acquisition of resistance to L. donovani, (b) reemphasize the capacity of IL-12 to reverse early Th2-related effects, and (c) demonstrate that Th1 cytokines (IL-12, IFN-gamma) have therapeutic action in an established systemic infection despite the presence of a disease-exacerbating Th2-type response.","ISSN":"0022-1007","journalAbbreviation":"J Exp Med","author":[{"family":"Murray","given":"H W"},{"family":"Hariprashad","given":"J"},{"family":"Coffman","given":"R L"}],"issued":{"date-parts":[["1997"]]}},"label":"page"},{"id":2559,"uris":["http://zotero.org/users/2628971/items/8PBAQTB2"],"uri":["http://zotero.org/users/2628971/items/8PBAQTB2"],"itemData":{"id":2559,"type":"article-journal","title":"Leishmania-specific T cells expressing interferon-gamma (IFN-γ) and IL-10 upon activation are expanded in individuals cured of visceral leishmaniasis","container-title":"Clinical and Experimental Immunology","page":"500-504","volume":"116","issue":"3","source":"PubMed Central","abstract":"Peripheral blood mononuclear cells (PBMC) from patients who have recovered from visceral leishmaniasis often respond to Leishmania antigens in vitro by production of both IL-4, IFN-γ and IL-10. In order to establish the cellular sources of these cytokines, we activated cells from individuals with a history of visceral leishmaniasis with Leishmania antigen for 6 days in culture, and identified cytokine production at the single-cell level by flow cytometry. The cytokines were only found in CD3+ cells and among these mainly within the CD4+ subset. The percentage of cytokine-producing cells was compared in Leishmania-activated PBMC cultures from the previous patients and from individuals living in a village where leishmaniasis does not occur. The percentage of IL-10- and IFN-γ-containing cells was significantly higher in the previous patients than in the controls, indicating that Leishmania-specific T cells producing IL-10 and/or IFN-γ had been expanded as a result of the infection. The cytokine-producing cells in the previous patients could be divided into three types: (i) cells producing IFN-γ only; (ii) cells producing IL-4 only; and (iii) cells producing IFN-γ and IL-10 simultaneously. The first and second group of cells can be described as Th1- and Th2-type cells, respectively. The third group could be a regulatory subset of T cells important for maintaining a balance between Th1- and Th2-type cells in these individuals.","DOI":"10.1046/j.1365-2249.1999.00918.x","ISSN":"0009-9104","note":"PMID: 10361241\nPMCID: PMC1905302","journalAbbreviation":"Clin Exp Immunol","author":[{"family":"Kemp","given":"K"},{"family":"Kemp","given":"M"},{"family":"Kharazmi","given":"A"},{"family":"Ismail","given":"A"},{"family":"Kurtzhals","given":"J A L"},{"family":"Hviid","given":"L"},{"family":"Theander","given":"T G"}],"issued":{"date-parts":[["1999",6]]}},"label":"page"}],"schema":"https://github.com/citation-style-language/schema/raw/master/csl-citation.json"} </w:instrText>
      </w:r>
      <w:r w:rsidRPr="008B3AD6">
        <w:rPr>
          <w:b/>
          <w:color w:val="000000" w:themeColor="text1"/>
        </w:rPr>
        <w:fldChar w:fldCharType="separate"/>
      </w:r>
      <w:r w:rsidR="00025067">
        <w:rPr>
          <w:color w:val="000000"/>
          <w:lang w:val="en-US"/>
        </w:rPr>
        <w:t>(Kemp et al. 1993; Miralles et al. 1994; Murray, Hariprashad, and Coffman 1997;</w:t>
      </w:r>
      <w:r w:rsidR="003C0805">
        <w:rPr>
          <w:color w:val="000000"/>
          <w:lang w:val="en-US"/>
        </w:rPr>
        <w:t xml:space="preserve"> </w:t>
      </w:r>
      <w:r w:rsidR="00025067">
        <w:rPr>
          <w:color w:val="000000"/>
          <w:lang w:val="en-US"/>
        </w:rPr>
        <w:t>Kemp et al. 1999)</w:t>
      </w:r>
      <w:r w:rsidRPr="008B3AD6">
        <w:rPr>
          <w:b/>
          <w:color w:val="000000" w:themeColor="text1"/>
        </w:rPr>
        <w:fldChar w:fldCharType="end"/>
      </w:r>
      <w:r w:rsidRPr="008B3AD6">
        <w:rPr>
          <w:color w:val="000000" w:themeColor="text1"/>
        </w:rPr>
        <w:t>.</w:t>
      </w:r>
    </w:p>
    <w:p w14:paraId="6A00D8FB" w14:textId="77777777" w:rsidR="00AB3115" w:rsidRPr="008B3AD6" w:rsidRDefault="00AB3115" w:rsidP="000E10DC">
      <w:pPr>
        <w:spacing w:line="360" w:lineRule="auto"/>
        <w:jc w:val="both"/>
      </w:pPr>
    </w:p>
    <w:p w14:paraId="3D90FC36" w14:textId="27C0D294" w:rsidR="00AB3115" w:rsidRPr="008B3AD6" w:rsidRDefault="00B3072D" w:rsidP="000E10DC">
      <w:pPr>
        <w:spacing w:line="360" w:lineRule="auto"/>
        <w:jc w:val="both"/>
      </w:pPr>
      <w:r w:rsidRPr="008B3AD6">
        <w:t>Th</w:t>
      </w:r>
      <w:r w:rsidRPr="008B3AD6">
        <w:rPr>
          <w:vertAlign w:val="subscript"/>
        </w:rPr>
        <w:t>1</w:t>
      </w:r>
      <w:r w:rsidRPr="008B3AD6">
        <w:t xml:space="preserve"> cells predominantly mediate immune responses against intracellular pathogens </w:t>
      </w:r>
      <w:r w:rsidRPr="008B3AD6">
        <w:fldChar w:fldCharType="begin"/>
      </w:r>
      <w:r w:rsidRPr="008B3AD6">
        <w:instrText xml:space="preserve"> ADDIN ZOTERO_ITEM CSL_CITATION {"citationID":"qmhu6iJ8","properties":{"formattedCitation":"(Luckheeram et al. 2012)","plainCitation":"(Luckheeram et al. 2012)","noteIndex":0},"citationItems":[{"id":3257,"uris":["http://zotero.org/users/2628971/items/64V36S2U"],"uri":["http://zotero.org/users/2628971/items/64V36S2U"],"itemData":{"id":3257,"type":"article-journal","title":"CD4</w:instrText>
      </w:r>
      <w:r w:rsidRPr="008B3AD6">
        <w:rPr>
          <w:rFonts w:ascii="Cambria Math" w:hAnsi="Cambria Math" w:cs="Cambria Math"/>
        </w:rPr>
        <w:instrText>⁺</w:instrText>
      </w:r>
      <w:r w:rsidRPr="008B3AD6">
        <w:instrText>T cells: differentiation and functions","container-title":"Clinical &amp; Developmental Immunology","page":"925135","volume":"2012","source":"PubMed","abstract":"CD4</w:instrText>
      </w:r>
      <w:r w:rsidRPr="008B3AD6">
        <w:rPr>
          <w:rFonts w:ascii="Cambria Math" w:hAnsi="Cambria Math" w:cs="Cambria Math"/>
        </w:rPr>
        <w:instrText>⁺</w:instrText>
      </w:r>
      <w:r w:rsidRPr="008B3AD6">
        <w:instrText>T cells are crucial in achieving a regulated effective immune response to pathogens. Naive CD4</w:instrText>
      </w:r>
      <w:r w:rsidRPr="008B3AD6">
        <w:rPr>
          <w:rFonts w:ascii="Cambria Math" w:hAnsi="Cambria Math" w:cs="Cambria Math"/>
        </w:rPr>
        <w:instrText>⁺</w:instrText>
      </w:r>
      <w:r w:rsidRPr="008B3AD6">
        <w:instrText>T cells are activated after interaction with antigen-MHC complex and differentiate into specific subtypes depending mainly on the cytokine milieu of the microenvironment. Besides the classical T-helper 1 and T-helper 2, other subsets have been identified, including T-helper 17, regulatory T cell, follicular helper T cell, and T-helper 9, each with a characteristic cytokine profile. For a particular phenotype to be differentiated, a set of cytokine signaling pathways coupled with activation of lineage-specific transcription factors and epigenetic modifications at appropriate genes are required. The effector functions of these cells are mediated by the cytokines secreted by the differentiated cells. This paper will focus on the cytokine-signaling and the network of transcription factors responsible for the differentiation of naive CD4</w:instrText>
      </w:r>
      <w:r w:rsidRPr="008B3AD6">
        <w:rPr>
          <w:rFonts w:ascii="Cambria Math" w:hAnsi="Cambria Math" w:cs="Cambria Math"/>
        </w:rPr>
        <w:instrText>⁺</w:instrText>
      </w:r>
      <w:r w:rsidRPr="008B3AD6">
        <w:instrText>T cells.","DOI":"10.1155/2012/925135","ISSN":"1740-2530","note":"PMID: 22474485\nPMCID: PMC3312336","shortTitle":"CD4</w:instrText>
      </w:r>
      <w:r w:rsidRPr="008B3AD6">
        <w:rPr>
          <w:rFonts w:ascii="Cambria Math" w:hAnsi="Cambria Math" w:cs="Cambria Math"/>
        </w:rPr>
        <w:instrText>⁺</w:instrText>
      </w:r>
      <w:r w:rsidRPr="008B3AD6">
        <w:instrText xml:space="preserve">T cells","journalAbbreviation":"Clin. Dev. Immunol.","language":"eng","author":[{"family":"Luckheeram","given":"Rishi Vishal"},{"family":"Zhou","given":"Rui"},{"family":"Verma","given":"Asha Devi"},{"family":"Xia","given":"Bing"}],"issued":{"date-parts":[["2012"]]}}}],"schema":"https://github.com/citation-style-language/schema/raw/master/csl-citation.json"} </w:instrText>
      </w:r>
      <w:r w:rsidRPr="008B3AD6">
        <w:fldChar w:fldCharType="separate"/>
      </w:r>
      <w:r w:rsidR="00025067">
        <w:rPr>
          <w:lang w:val="en-US"/>
        </w:rPr>
        <w:t>(Luckheeram et al. 2012)</w:t>
      </w:r>
      <w:r w:rsidRPr="008B3AD6">
        <w:fldChar w:fldCharType="end"/>
      </w:r>
      <w:r w:rsidRPr="008B3AD6">
        <w:t xml:space="preserve">. They are derived from naïve T cells by their expression of the master transcription factor T-box transcription factor (T-bet) </w:t>
      </w:r>
      <w:r w:rsidRPr="008B3AD6">
        <w:fldChar w:fldCharType="begin"/>
      </w:r>
      <w:r w:rsidRPr="008B3AD6">
        <w:instrText xml:space="preserve"> ADDIN ZOTERO_ITEM CSL_CITATION {"citationID":"wc3DhPFY","properties":{"formattedCitation":"(Luckheeram et al. 2012; Kanhere et al. 2012)","plainCitation":"(Luckheeram et al. 2012; Kanhere et al. 2012)","noteIndex":0},"citationItems":[{"id":3257,"uris":["http://zotero.org/users/2628971/items/64V36S2U"],"uri":["http://zotero.org/users/2628971/items/64V36S2U"],"itemData":{"id":3257,"type":"article-journal","title":"CD4</w:instrText>
      </w:r>
      <w:r w:rsidRPr="008B3AD6">
        <w:rPr>
          <w:rFonts w:ascii="Cambria Math" w:hAnsi="Cambria Math" w:cs="Cambria Math"/>
        </w:rPr>
        <w:instrText>⁺</w:instrText>
      </w:r>
      <w:r w:rsidRPr="008B3AD6">
        <w:instrText>T cells: differentiation and functions","container-title":"Clinical &amp; Developmental Immunology","page":"925135","volume":"2012","source":"PubMed","abstract":"CD4</w:instrText>
      </w:r>
      <w:r w:rsidRPr="008B3AD6">
        <w:rPr>
          <w:rFonts w:ascii="Cambria Math" w:hAnsi="Cambria Math" w:cs="Cambria Math"/>
        </w:rPr>
        <w:instrText>⁺</w:instrText>
      </w:r>
      <w:r w:rsidRPr="008B3AD6">
        <w:instrText>T cells are crucial in achieving a regulated effective immune response to pathogens. Naive CD4</w:instrText>
      </w:r>
      <w:r w:rsidRPr="008B3AD6">
        <w:rPr>
          <w:rFonts w:ascii="Cambria Math" w:hAnsi="Cambria Math" w:cs="Cambria Math"/>
        </w:rPr>
        <w:instrText>⁺</w:instrText>
      </w:r>
      <w:r w:rsidRPr="008B3AD6">
        <w:instrText>T cells are activated after interaction with antigen-MHC complex and differentiate into specific subtypes depending mainly on the cytokine milieu of the microenvironment. Besides the classical T-helper 1 and T-helper 2, other subsets have been identified, including T-helper 17, regulatory T cell, follicular helper T cell, and T-helper 9, each with a characteristic cytokine profile. For a particular phenotype to be differentiated, a set of cytokine signaling pathways coupled with activation of lineage-specific transcription factors and epigenetic modifications at appropriate genes are required. The effector functions of these cells are mediated by the cytokines secreted by the differentiated cells. This paper will focus on the cytokine-signaling and the network of transcription factors responsible for the differentiation of naive CD4</w:instrText>
      </w:r>
      <w:r w:rsidRPr="008B3AD6">
        <w:rPr>
          <w:rFonts w:ascii="Cambria Math" w:hAnsi="Cambria Math" w:cs="Cambria Math"/>
        </w:rPr>
        <w:instrText>⁺</w:instrText>
      </w:r>
      <w:r w:rsidRPr="008B3AD6">
        <w:instrText>T cells.","DOI":"10.1155/2012/925135","ISSN":"1740-2530","note":"PMID: 22474485\nPMCID: PMC3312336","shortTitle":"CD4</w:instrText>
      </w:r>
      <w:r w:rsidRPr="008B3AD6">
        <w:rPr>
          <w:rFonts w:ascii="Cambria Math" w:hAnsi="Cambria Math" w:cs="Cambria Math"/>
        </w:rPr>
        <w:instrText>⁺</w:instrText>
      </w:r>
      <w:r w:rsidRPr="008B3AD6">
        <w:instrText xml:space="preserve">T cells","journalAbbreviation":"Clin. Dev. Immunol.","language":"eng","author":[{"family":"Luckheeram","given":"Rishi Vishal"},{"family":"Zhou","given":"Rui"},{"family":"Verma","given":"Asha Devi"},{"family":"Xia","given":"Bing"}],"issued":{"date-parts":[["2012"]]}}},{"id":3339,"uris":["http://zotero.org/users/2628971/items/RPAD8SBJ"],"uri":["http://zotero.org/users/2628971/items/RPAD8SBJ"],"itemData":{"id":3339,"type":"article-journal","title":"T-bet and GATA3 orchestrate Th1 and Th2 differentiation through lineage-specific targeting of distal regulatory elements","container-title":"Nature Communications","page":"1268","volume":"3","source":"www.nature.com","abstract":"T-bet and GATA3 regulate the CD4+ T cell Th1/Th2 cell fate decision but little is known about the interplay between these factors outside of the murine Ifng and Il4/Il5/Il13 loci. Here we show that T-bet and GATA3 bind to multiple distal sites at immune regulatory genes in human effector T cells. These sites display markers of functional elements, act as enhancers in reporter assays and are associated with a requirement for T-bet and GATA3. Furthermore, we demonstrate that both factors bind distal sites at Tbx21 and that T-bet directly activates its own expression. We also show that in Th1 cells, GATA3 is distributed away from Th2 genes, instead occupying T-bet binding sites at Th1 genes, and that T-bet is sufficient to induce GATA3 binding at these sites. We propose these aspects of T-bet and GATA3 function are important for Th1/Th2 differentiation and for understanding transcription factor interactions in other T cell lineage decisions.","DOI":"10.1038/ncomms2260","ISSN":"2041-1723","language":"en","author":[{"family":"Kanhere","given":"Aditi"},{"family":"Hertweck","given":"Arnulf"},{"family":"Bhatia","given":"Urvashi"},{"family":"Gökmen","given":"M. Refik"},{"family":"Perucha","given":"Esperanza"},{"family":"Jackson","given":"Ian"},{"family":"Lord","given":"Graham M."},{"family":"Jenner","given":"Richard G."}],"issued":{"date-parts":[["2012",12,11]]}}}],"schema":"https://github.com/citation-style-language/schema/raw/master/csl-citation.json"} </w:instrText>
      </w:r>
      <w:r w:rsidRPr="008B3AD6">
        <w:fldChar w:fldCharType="separate"/>
      </w:r>
      <w:r w:rsidR="00025067">
        <w:rPr>
          <w:lang w:val="en-US"/>
        </w:rPr>
        <w:t>(Luckheeram et al. 2012; Kanhere et al. 2012)</w:t>
      </w:r>
      <w:r w:rsidRPr="008B3AD6">
        <w:fldChar w:fldCharType="end"/>
      </w:r>
      <w:r w:rsidRPr="008B3AD6">
        <w:t>. T-bet expression is mediated by responsiveness to IL-12 and IFN</w:t>
      </w:r>
      <w:r w:rsidRPr="008B3AD6">
        <w:sym w:font="Symbol" w:char="F067"/>
      </w:r>
      <w:r w:rsidRPr="008B3AD6">
        <w:t xml:space="preserve"> </w:t>
      </w:r>
      <w:r w:rsidRPr="008B3AD6">
        <w:fldChar w:fldCharType="begin"/>
      </w:r>
      <w:r w:rsidRPr="008B3AD6">
        <w:instrText xml:space="preserve"> ADDIN ZOTERO_ITEM CSL_CITATION {"citationID":"o1m8f9Js","properties":{"formattedCitation":"(Lighvani et al. 2001; Ylikoski et al. 2005)","plainCitation":"(Lighvani et al. 2001; Ylikoski et al. 2005)","noteIndex":0},"citationItems":[{"id":3345,"uris":["http://zotero.org/users/2628971/items/SPZG6ARJ"],"uri":["http://zotero.org/users/2628971/items/SPZG6ARJ"],"itemData":{"id":3345,"type":"article-journal","title":"T-bet is rapidly induced by interferon-gamma in lymphoid and myeloid cells","container-title":"Proceedings of the National Academy of Sciences of the United States of America","page":"15137-15142","volume":"98","issue":"26","source":"PubMed","abstract":"Differentiation of naive CD4(+) T cells into IFN-gamma-producing T helper 1 (T(H)1) cells is pivotal for protective immune responses against intracellular pathogens. T-bet, a recently discovered member of the T-box transcription factor family, has been reported to play a critical role in this process, promoting IFN-gamma production. Although terminal T(H)1 differentiation occurs over days, we now show that challenge of mice with a prototypical T(H)1-inducing stimulus, Toxoplasma gondii soluble extract, rapidly induced IFN-gamma and T-bet; T-bet induction was substantially lower in IFN-gamma-deficient mice. Naive T cells expressed little T-bet, but this transcription factor was induced markedly by the combination of IFN-gamma and cognate antigen. Human myeloid antigen-presenting cells showed T-bet induction after IFN-gamma stimulation alone, and this induction was antagonized by IL-4 and granulocyte/macrophage colony-stimulating factor. Although T-bet was induced rapidly and directly by IFN-gamma, it was not induced by IFN-alpha, lipopolysaccharide, or IL-1, indicating that this action of IFN-gamma was specific. Moreover, T-bet induction was dependent on Stat1 but not Stat4. These data argue for a model in which IFN-gamma gene regulation involves an autocrine loop, whereby the cytokine regulates a transcription factor that promotes its own production. These findings substantially alter the current view of T-bet in IFN-gamma regulation and promotion of cell-mediated immune responses.","DOI":"10.1073/pnas.261570598","ISSN":"0027-8424","note":"PMID: 11752460\nPMCID: PMC64996","journalAbbreviation":"Proc. Natl. Acad. Sci. U.S.A.","language":"eng","author":[{"family":"Lighvani","given":"A. A."},{"family":"Frucht","given":"D. M."},{"family":"Jankovic","given":"D."},{"family":"Yamane","given":"H."},{"family":"Aliberti","given":"J."},{"family":"Hissong","given":"B. D."},{"family":"Nguyen","given":"B. V."},{"family":"Gadina","given":"M."},{"family":"Sher","given":"A."},{"family":"Paul","given":"W. E."},{"family":"O'Shea","given":"J. J."}],"issued":{"date-parts":[["2001",12,18]]}}},{"id":3347,"uris":["http://zotero.org/users/2628971/items/26ZTZZVY"],"uri":["http://zotero.org/users/2628971/items/26ZTZZVY"],"itemData":{"id":3347,"type":"article-journal","title":"IL-12 up-regulates T-bet independently of IFN-gamma in human CD4+ T cells","container-title":"European Journal of Immunology","page":"3297-3306","volume":"35","issue":"11","source":"PubMed","abstract":"T-bet is an important Th1 driving transcription factor regulated by IFN-gamma/STAT1 pathway. T-bet turns on IFN-gamma transcription in CD4+ T cells and T-bet-deficient cells fail to differentiate to Th1 direction. Previous reports have characterized function of T-bet mainly in murine cells and very little is known about its functions in human cells. Here, we studied T-bet expression kinetics in parallel with GATA3 during Th1/Th2 polarization. We demonstrate that in addition to CD3/CD28 activation, cytokines IL-12 and IFN-alpha in the presence of neutralizing anti-IFN-gamma enhanced T-bet mRNA and protein expression in human CD4+ cells. T-bet is known to be a potent inducer of IFN-gamma. Even though IFN-gamma and IL-12 stimulation induced similar levels of T-bet protein in human CD4+ cells, IFN-gamma-treated cells produced considerably less IFN-gamma than cells treated with IL-12. Therefore, high T-bet protein expression does not necessarily correlate with IFN-gamma production. In addition, we show that the immunosuppressive cytokine TGF-beta inhibits T-bet and GATA3 protein expression only if it is present prior to primary T cell activation and is maintained in the cultures during the early polarization of Th1/Th2 cells. In conclusion, we report new insights into the cytokine regulation of T-bet in human CD4+ T cells.","DOI":"10.1002/eji.200526101","ISSN":"0014-2980","note":"PMID: 16220539","journalAbbreviation":"Eur. J. Immunol.","language":"eng","author":[{"family":"Ylikoski","given":"Emmi"},{"family":"Lund","given":"Riikka"},{"family":"Kyläniemi","given":"Minna"},{"family":"Filén","given":"Sanna"},{"family":"Kilpeläinen","given":"Maritta"},{"family":"Savolainen","given":"Johannes"},{"family":"Lahesmaa","given":"Riitta"}],"issued":{"date-parts":[["2005",11]]}}}],"schema":"https://github.com/citation-style-language/schema/raw/master/csl-citation.json"} </w:instrText>
      </w:r>
      <w:r w:rsidRPr="008B3AD6">
        <w:fldChar w:fldCharType="separate"/>
      </w:r>
      <w:r w:rsidR="00025067">
        <w:rPr>
          <w:lang w:val="en-US"/>
        </w:rPr>
        <w:t>(Lighvani et al. 2001; Ylikoski et al. 2005)</w:t>
      </w:r>
      <w:r w:rsidRPr="008B3AD6">
        <w:fldChar w:fldCharType="end"/>
      </w:r>
      <w:r w:rsidRPr="008B3AD6">
        <w:t>. Upon differentiation into Th</w:t>
      </w:r>
      <w:r w:rsidRPr="008B3AD6">
        <w:rPr>
          <w:vertAlign w:val="subscript"/>
        </w:rPr>
        <w:t>1</w:t>
      </w:r>
      <w:r w:rsidRPr="008B3AD6">
        <w:t xml:space="preserve"> there is a significantly enhanced production of IFN</w:t>
      </w:r>
      <w:r w:rsidRPr="008B3AD6">
        <w:sym w:font="Symbol" w:char="F067"/>
      </w:r>
      <w:r w:rsidRPr="008B3AD6">
        <w:t xml:space="preserve"> by the Th</w:t>
      </w:r>
      <w:r w:rsidRPr="008B3AD6">
        <w:rPr>
          <w:vertAlign w:val="subscript"/>
        </w:rPr>
        <w:t>1</w:t>
      </w:r>
      <w:r w:rsidRPr="008B3AD6">
        <w:t xml:space="preserve"> cells which induces anti-microbicidal activity by phagocytes (discussed in Parasite Clearance). In the livers of BALB/c mice infected with </w:t>
      </w:r>
      <w:r w:rsidRPr="008B3AD6">
        <w:rPr>
          <w:i/>
        </w:rPr>
        <w:t>L. donovani</w:t>
      </w:r>
      <w:r w:rsidRPr="008B3AD6">
        <w:t>, IFN</w:t>
      </w:r>
      <w:r w:rsidRPr="008B3AD6">
        <w:sym w:font="Symbol" w:char="F067"/>
      </w:r>
      <w:r w:rsidRPr="008B3AD6">
        <w:t xml:space="preserve"> mRNA was readily detected by both Northern blot and qPCR </w:t>
      </w:r>
      <w:r w:rsidRPr="008B3AD6">
        <w:fldChar w:fldCharType="begin"/>
      </w:r>
      <w:r w:rsidRPr="008B3AD6">
        <w:instrText xml:space="preserve"> ADDIN ZOTERO_ITEM CSL_CITATION {"citationID":"ogPXSKdf","properties":{"formattedCitation":"(Miralles et al. 1994)","plainCitation":"(Miralles et al. 1994)","noteIndex":0},"citationItems":[{"id":3259,"uris":["http://zotero.org/users/2628971/items/NCG9NVBT"],"uri":["http://zotero.org/users/2628971/items/NCG9NVBT"],"itemData":{"id":3259,"type":"article-journal","title":"Th1 and Th2 cell-associated cytokines in experimental visceral leishmaniasis.","container-title":"Infection and Immunity","page":"1058-1063","volume":"62","issue":"3","source":"iai.asm.org","abstract":"In experimental Leishmania donovani infection in BALB/c mice, initial susceptibility gives way to T-cell-dependent acquired resistance and eventual control over visceral infection. Since various cytokines appear to underlie the host response to Leishmania infection, we examined infected liver tissue for gene expression of cytokines associated with Th1 (gamma interferon [IFN-gamma] and interleukin-2 [IL-2]) and Th2 cells (IL-4 and IL-10). By Northern (RNA) blot analysis, only IFN-gamma mRNA expression was detected in livers of infected euthymic mice. To determine whether activation of Th1 cells develops selectively in this model, qualitative PCR analysis was used. These results indicated that mRNAs for IFN-gamma, IL-2, IL-4, and IL-10 were all induced by L. donovani infection. The potentially negative Th2 cell-associated response did not appear to play a functional role, however, since resistance was acquired, anti-IL-4 monoclonal antibody treatment did not accelerate control over visceral infection, and serum immunoglobulin E levels remained low. As judged by PCR analysis, IL-4 and IL-10 mRNAs were also expressed under three other conditions without apparent effect: in naive euthymic mice treated with IL-2, which induces leishmanicidal activity; in rechallenged immune mice, which resist reinfection; and in nude mice, which fail to control L. donovani. These results suggest that, like other Leishmania species, L. donovani infection may trigger a potentially suppressive Th2 cell-associated cytokine response. However, in T-cell-intact mice able to control L. donovani, this response either is insufficient to influence outcome or more likely is overshadowed by the Th1 cell response.","ISSN":"0019-9567, 1098-5522","note":"PMID: 8112840","journalAbbreviation":"Infect. Immun.","language":"en","author":[{"family":"Miralles","given":"G. D."},{"family":"Stoeckle","given":"M. Y."},{"family":"McDermott","given":"D. F."},{"family":"Finkelman","given":"F. D."},{"family":"Murray","given":"H. W."}],"issued":{"date-parts":[["1994",3,1]]}}}],"schema":"https://github.com/citation-style-language/schema/raw/master/csl-citation.json"} </w:instrText>
      </w:r>
      <w:r w:rsidRPr="008B3AD6">
        <w:fldChar w:fldCharType="separate"/>
      </w:r>
      <w:r w:rsidR="00025067">
        <w:rPr>
          <w:lang w:val="en-US"/>
        </w:rPr>
        <w:t>(Miralles et al. 1994)</w:t>
      </w:r>
      <w:r w:rsidRPr="008B3AD6">
        <w:fldChar w:fldCharType="end"/>
      </w:r>
      <w:r w:rsidRPr="008B3AD6">
        <w:t>, suggesting a Th</w:t>
      </w:r>
      <w:r w:rsidRPr="008B3AD6">
        <w:rPr>
          <w:vertAlign w:val="subscript"/>
        </w:rPr>
        <w:t>1</w:t>
      </w:r>
      <w:r w:rsidRPr="008B3AD6">
        <w:t xml:space="preserve"> response. A later study found approximately 70% of CD4</w:t>
      </w:r>
      <w:r w:rsidRPr="00BF7AD6">
        <w:rPr>
          <w:vertAlign w:val="superscript"/>
        </w:rPr>
        <w:t>+</w:t>
      </w:r>
      <w:r w:rsidRPr="008B3AD6">
        <w:t xml:space="preserve"> T cells within infected murine livers showed an activated phenotype with roughly 30-40% of these have the capacity to production IFN</w:t>
      </w:r>
      <w:r w:rsidRPr="008B3AD6">
        <w:sym w:font="Symbol" w:char="F067"/>
      </w:r>
      <w:r w:rsidRPr="008B3AD6">
        <w:t xml:space="preserve"> further confirming a degree of Th</w:t>
      </w:r>
      <w:r w:rsidRPr="00B23FF8">
        <w:rPr>
          <w:vertAlign w:val="subscript"/>
        </w:rPr>
        <w:t>1</w:t>
      </w:r>
      <w:r w:rsidRPr="008B3AD6">
        <w:t xml:space="preserve"> response. However, in human blood IFN</w:t>
      </w:r>
      <w:r w:rsidRPr="008B3AD6">
        <w:sym w:font="Symbol" w:char="F067"/>
      </w:r>
      <w:r w:rsidRPr="008B3AD6">
        <w:t xml:space="preserve"> was detectable in only 53% of VL patients compared to 56% showing IL-10 detection, typically associated with a Th</w:t>
      </w:r>
      <w:r w:rsidRPr="008B3AD6">
        <w:rPr>
          <w:vertAlign w:val="subscript"/>
        </w:rPr>
        <w:t>2</w:t>
      </w:r>
      <w:r w:rsidRPr="008B3AD6">
        <w:t xml:space="preserve"> response. Th</w:t>
      </w:r>
      <w:r w:rsidRPr="008B3AD6">
        <w:rPr>
          <w:vertAlign w:val="subscript"/>
        </w:rPr>
        <w:t>2</w:t>
      </w:r>
      <w:r w:rsidRPr="008B3AD6">
        <w:t xml:space="preserve"> cells mediate the host response to extracellular pathogens, such as helminths </w:t>
      </w:r>
      <w:r w:rsidRPr="008B3AD6">
        <w:fldChar w:fldCharType="begin"/>
      </w:r>
      <w:r w:rsidRPr="008B3AD6">
        <w:instrText xml:space="preserve"> ADDIN ZOTERO_ITEM CSL_CITATION {"citationID":"CpT3PnhP","properties":{"formattedCitation":"(Luckheeram et al. 2012)","plainCitation":"(Luckheeram et al. 2012)","noteIndex":0},"citationItems":[{"id":3257,"uris":["http://zotero.org/users/2628971/items/64V36S2U"],"uri":["http://zotero.org/users/2628971/items/64V36S2U"],"itemData":{"id":3257,"type":"article-journal","title":"CD4</w:instrText>
      </w:r>
      <w:r w:rsidRPr="008B3AD6">
        <w:rPr>
          <w:rFonts w:ascii="Cambria Math" w:hAnsi="Cambria Math" w:cs="Cambria Math"/>
        </w:rPr>
        <w:instrText>⁺</w:instrText>
      </w:r>
      <w:r w:rsidRPr="008B3AD6">
        <w:instrText>T cells: differentiation and functions","container-title":"Clinical &amp; Developmental Immunology","page":"925135","volume":"2012","source":"PubMed","abstract":"CD4</w:instrText>
      </w:r>
      <w:r w:rsidRPr="008B3AD6">
        <w:rPr>
          <w:rFonts w:ascii="Cambria Math" w:hAnsi="Cambria Math" w:cs="Cambria Math"/>
        </w:rPr>
        <w:instrText>⁺</w:instrText>
      </w:r>
      <w:r w:rsidRPr="008B3AD6">
        <w:instrText>T cells are crucial in achieving a regulated effective immune response to pathogens. Naive CD4</w:instrText>
      </w:r>
      <w:r w:rsidRPr="008B3AD6">
        <w:rPr>
          <w:rFonts w:ascii="Cambria Math" w:hAnsi="Cambria Math" w:cs="Cambria Math"/>
        </w:rPr>
        <w:instrText>⁺</w:instrText>
      </w:r>
      <w:r w:rsidRPr="008B3AD6">
        <w:instrText>T cells are activated after interaction with antigen-MHC complex and differentiate into specific subtypes depending mainly on the cytokine milieu of the microenvironment. Besides the classical T-helper 1 and T-helper 2, other subsets have been identified, including T-helper 17, regulatory T cell, follicular helper T cell, and T-helper 9, each with a characteristic cytokine profile. For a particular phenotype to be differentiated, a set of cytokine signaling pathways coupled with activation of lineage-specific transcription factors and epigenetic modifications at appropriate genes are required. The effector functions of these cells are mediated by the cytokines secreted by the differentiated cells. This paper will focus on the cytokine-signaling and the network of transcription factors responsible for the differentiation of naive CD4</w:instrText>
      </w:r>
      <w:r w:rsidRPr="008B3AD6">
        <w:rPr>
          <w:rFonts w:ascii="Cambria Math" w:hAnsi="Cambria Math" w:cs="Cambria Math"/>
        </w:rPr>
        <w:instrText>⁺</w:instrText>
      </w:r>
      <w:r w:rsidRPr="008B3AD6">
        <w:instrText>T cells.","DOI":"10.1155/2012/925135","ISSN":"1740-2530","note":"PMID: 22474485\nPMCID: PMC3312336","shortTitle":"CD4</w:instrText>
      </w:r>
      <w:r w:rsidRPr="008B3AD6">
        <w:rPr>
          <w:rFonts w:ascii="Cambria Math" w:hAnsi="Cambria Math" w:cs="Cambria Math"/>
        </w:rPr>
        <w:instrText>⁺</w:instrText>
      </w:r>
      <w:r w:rsidRPr="008B3AD6">
        <w:instrText xml:space="preserve">T cells","journalAbbreviation":"Clin. Dev. Immunol.","language":"eng","author":[{"family":"Luckheeram","given":"Rishi Vishal"},{"family":"Zhou","given":"Rui"},{"family":"Verma","given":"Asha Devi"},{"family":"Xia","given":"Bing"}],"issued":{"date-parts":[["2012"]]}}}],"schema":"https://github.com/citation-style-language/schema/raw/master/csl-citation.json"} </w:instrText>
      </w:r>
      <w:r w:rsidRPr="008B3AD6">
        <w:fldChar w:fldCharType="separate"/>
      </w:r>
      <w:r w:rsidR="00025067">
        <w:rPr>
          <w:lang w:val="en-US"/>
        </w:rPr>
        <w:t>(Luckheeram et al. 2012)</w:t>
      </w:r>
      <w:r w:rsidRPr="008B3AD6">
        <w:fldChar w:fldCharType="end"/>
      </w:r>
      <w:r w:rsidRPr="008B3AD6">
        <w:t>, but also play</w:t>
      </w:r>
      <w:r w:rsidR="003C0805">
        <w:t>s</w:t>
      </w:r>
      <w:r w:rsidRPr="008B3AD6">
        <w:t xml:space="preserve"> a role in asthma </w:t>
      </w:r>
      <w:r w:rsidRPr="008B3AD6">
        <w:fldChar w:fldCharType="begin"/>
      </w:r>
      <w:r w:rsidRPr="008B3AD6">
        <w:instrText xml:space="preserve"> ADDIN ZOTERO_ITEM CSL_CITATION {"citationID":"WQwrzE6a","properties":{"formattedCitation":"(Barnes 2001)","plainCitation":"(Barnes 2001)","noteIndex":0},"citationItems":[{"id":3342,"uris":["http://zotero.org/users/2628971/items/GRZDBSAX"],"uri":["http://zotero.org/users/2628971/items/GRZDBSAX"],"itemData":{"id":3342,"type":"article-journal","title":"Th2 cytokines and asthma: an introduction","container-title":"Respiratory Research","page":"64-65","volume":"2","issue":"2","source":"PubMed Central","DOI":"10.1186/rr39","ISSN":"1465-9921","note":"PMID: 11686866\nPMCID: PMC59569","shortTitle":"Th2 cytokines and asthma","journalAbbreviation":"Respir Res","author":[{"family":"Barnes","given":"Peter J"}],"issued":{"date-parts":[["2001"]]}}}],"schema":"https://github.com/citation-style-language/schema/raw/master/csl-citation.json"} </w:instrText>
      </w:r>
      <w:r w:rsidRPr="008B3AD6">
        <w:fldChar w:fldCharType="separate"/>
      </w:r>
      <w:r w:rsidR="00025067">
        <w:rPr>
          <w:lang w:val="en-US"/>
        </w:rPr>
        <w:t>(Barnes 2001)</w:t>
      </w:r>
      <w:r w:rsidRPr="008B3AD6">
        <w:fldChar w:fldCharType="end"/>
      </w:r>
      <w:r w:rsidRPr="008B3AD6">
        <w:t>. IL-4 and IL-2 are key cytokines in the development of a Th</w:t>
      </w:r>
      <w:r w:rsidRPr="008B3AD6">
        <w:rPr>
          <w:vertAlign w:val="subscript"/>
        </w:rPr>
        <w:t>2</w:t>
      </w:r>
      <w:r w:rsidRPr="008B3AD6">
        <w:t xml:space="preserve"> response leading to expression of IL-4 induced STAT6 which in turn upregulates expressions of the master regulator GATA-binding protein 3 (GATA3) </w:t>
      </w:r>
      <w:r w:rsidRPr="008B3AD6">
        <w:fldChar w:fldCharType="begin"/>
      </w:r>
      <w:r w:rsidRPr="008B3AD6">
        <w:instrText xml:space="preserve"> ADDIN ZOTERO_ITEM CSL_CITATION {"citationID":"ViuMxfk3","properties":{"formattedCitation":"(Luckheeram et al. 2012; Kanhere et al. 2012)","plainCitation":"(Luckheeram et al. 2012; Kanhere et al. 2012)","noteIndex":0},"citationItems":[{"id":3257,"uris":["http://zotero.org/users/2628971/items/64V36S2U"],"uri":["http://zotero.org/users/2628971/items/64V36S2U"],"itemData":{"id":3257,"type":"article-journal","title":"CD4</w:instrText>
      </w:r>
      <w:r w:rsidRPr="008B3AD6">
        <w:rPr>
          <w:rFonts w:ascii="Cambria Math" w:hAnsi="Cambria Math" w:cs="Cambria Math"/>
        </w:rPr>
        <w:instrText>⁺</w:instrText>
      </w:r>
      <w:r w:rsidRPr="008B3AD6">
        <w:instrText>T cells: differentiation and functions","container-title":"Clinical &amp; Developmental Immunology","page":"925135","volume":"2012","source":"PubMed","abstract":"CD4</w:instrText>
      </w:r>
      <w:r w:rsidRPr="008B3AD6">
        <w:rPr>
          <w:rFonts w:ascii="Cambria Math" w:hAnsi="Cambria Math" w:cs="Cambria Math"/>
        </w:rPr>
        <w:instrText>⁺</w:instrText>
      </w:r>
      <w:r w:rsidRPr="008B3AD6">
        <w:instrText>T cells are crucial in achieving a regulated effective immune response to pathogens. Naive CD4</w:instrText>
      </w:r>
      <w:r w:rsidRPr="008B3AD6">
        <w:rPr>
          <w:rFonts w:ascii="Cambria Math" w:hAnsi="Cambria Math" w:cs="Cambria Math"/>
        </w:rPr>
        <w:instrText>⁺</w:instrText>
      </w:r>
      <w:r w:rsidRPr="008B3AD6">
        <w:instrText>T cells are activated after interaction with antigen-MHC complex and differentiate into specific subtypes depending mainly on the cytokine milieu of the microenvironment. Besides the classical T-helper 1 and T-helper 2, other subsets have been identified, including T-helper 17, regulatory T cell, follicular helper T cell, and T-helper 9, each with a characteristic cytokine profile. For a particular phenotype to be differentiated, a set of cytokine signaling pathways coupled with activation of lineage-specific transcription factors and epigenetic modifications at appropriate genes are required. The effector functions of these cells are mediated by the cytokines secreted by the differentiated cells. This paper will focus on the cytokine-signaling and the network of transcription factors responsible for the differentiation of naive CD4</w:instrText>
      </w:r>
      <w:r w:rsidRPr="008B3AD6">
        <w:rPr>
          <w:rFonts w:ascii="Cambria Math" w:hAnsi="Cambria Math" w:cs="Cambria Math"/>
        </w:rPr>
        <w:instrText>⁺</w:instrText>
      </w:r>
      <w:r w:rsidRPr="008B3AD6">
        <w:instrText>T cells.","DOI":"10.1155/2012/925135","ISSN":"1740-2530","note":"PMID: 22474485\nPMCID: PMC3312336","shortTitle":"CD4</w:instrText>
      </w:r>
      <w:r w:rsidRPr="008B3AD6">
        <w:rPr>
          <w:rFonts w:ascii="Cambria Math" w:hAnsi="Cambria Math" w:cs="Cambria Math"/>
        </w:rPr>
        <w:instrText>⁺</w:instrText>
      </w:r>
      <w:r w:rsidRPr="008B3AD6">
        <w:instrText xml:space="preserve">T cells","journalAbbreviation":"Clin. Dev. Immunol.","language":"eng","author":[{"family":"Luckheeram","given":"Rishi Vishal"},{"family":"Zhou","given":"Rui"},{"family":"Verma","given":"Asha Devi"},{"family":"Xia","given":"Bing"}],"issued":{"date-parts":[["2012"]]}}},{"id":3339,"uris":["http://zotero.org/users/2628971/items/RPAD8SBJ"],"uri":["http://zotero.org/users/2628971/items/RPAD8SBJ"],"itemData":{"id":3339,"type":"article-journal","title":"T-bet and GATA3 orchestrate Th1 and Th2 differentiation through lineage-specific targeting of distal regulatory elements","container-title":"Nature Communications","page":"1268","volume":"3","source":"www.nature.com","abstract":"T-bet and GATA3 regulate the CD4+ T cell Th1/Th2 cell fate decision but little is known about the interplay between these factors outside of the murine Ifng and Il4/Il5/Il13 loci. Here we show that T-bet and GATA3 bind to multiple distal sites at immune regulatory genes in human effector T cells. These sites display markers of functional elements, act as enhancers in reporter assays and are associated with a requirement for T-bet and GATA3. Furthermore, we demonstrate that both factors bind distal sites at Tbx21 and that T-bet directly activates its own expression. We also show that in Th1 cells, GATA3 is distributed away from Th2 genes, instead occupying T-bet binding sites at Th1 genes, and that T-bet is sufficient to induce GATA3 binding at these sites. We propose these aspects of T-bet and GATA3 function are important for Th1/Th2 differentiation and for understanding transcription factor interactions in other T cell lineage decisions.","DOI":"10.1038/ncomms2260","ISSN":"2041-1723","language":"en","author":[{"family":"Kanhere","given":"Aditi"},{"family":"Hertweck","given":"Arnulf"},{"family":"Bhatia","given":"Urvashi"},{"family":"Gökmen","given":"M. Refik"},{"family":"Perucha","given":"Esperanza"},{"family":"Jackson","given":"Ian"},{"family":"Lord","given":"Graham M."},{"family":"Jenner","given":"Richard G."}],"issued":{"date-parts":[["2012",12,11]]}}}],"schema":"https://github.com/citation-style-language/schema/raw/master/csl-citation.json"} </w:instrText>
      </w:r>
      <w:r w:rsidRPr="008B3AD6">
        <w:fldChar w:fldCharType="separate"/>
      </w:r>
      <w:r w:rsidR="00025067">
        <w:rPr>
          <w:lang w:val="en-US"/>
        </w:rPr>
        <w:t>(Luckheeram et al. 2012; Kanhere et al. 2012)</w:t>
      </w:r>
      <w:r w:rsidRPr="008B3AD6">
        <w:fldChar w:fldCharType="end"/>
      </w:r>
      <w:r w:rsidRPr="008B3AD6">
        <w:t>. A typical Th</w:t>
      </w:r>
      <w:r w:rsidRPr="008B3AD6">
        <w:rPr>
          <w:vertAlign w:val="subscript"/>
        </w:rPr>
        <w:t>2</w:t>
      </w:r>
      <w:r w:rsidRPr="008B3AD6">
        <w:t xml:space="preserve"> cytokine signature is the production of IL-4 and IL-10, with the later cytokine being able to suppress the development of a Th</w:t>
      </w:r>
      <w:r w:rsidRPr="008B3AD6">
        <w:rPr>
          <w:vertAlign w:val="subscript"/>
        </w:rPr>
        <w:t>1</w:t>
      </w:r>
      <w:r w:rsidRPr="008B3AD6">
        <w:t xml:space="preserve"> response </w:t>
      </w:r>
      <w:r w:rsidRPr="008B3AD6">
        <w:fldChar w:fldCharType="begin"/>
      </w:r>
      <w:r w:rsidRPr="008B3AD6">
        <w:instrText xml:space="preserve"> ADDIN ZOTERO_ITEM CSL_CITATION {"citationID":"mgflmRLF","properties":{"formattedCitation":"(Couper, Blount, and Riley 2008)","plainCitation":"(Couper, Blount, and Riley 2008)","noteIndex":0},"citationItems":[{"id":3349,"uris":["http://zotero.org/users/2628971/items/LHEJWIDA"],"uri":["http://zotero.org/users/2628971/items/LHEJWIDA"],"itemData":{"id":3349,"type":"article-journal","title":"IL-10: The Master Regulator of Immunity to Infection","container-title":"The Journal of Immunology","page":"5771-5777","volume":"180","issue":"9","source":"www.jimmunol.org","abstract":"IL-10 is an anti-inflammatory cytokine. During infection it inhibits the activity of Th1 cells, NK cells, and macrophages, all of which are required for optimal pathogen clearance but also contribute to tissue damage. In consequence, IL-10 can both impede pathogen clearance and ameliorate immunopathology. Many different types of cells can produce IL-10, with the major source of IL-10 varying in different tissues or during acute or chronic stages of the same infection. The priming of these various IL-10-producing populations during infections is not well understood and it is not clear whether the cellular source of IL-10 during infection dictates its cellular target and thus its outcome. In this article we review the biology of IL-10, its cellular sources, and its role in viral, bacterial, and protozoal infections.","DOI":"10.4049/jimmunol.180.9.5771","ISSN":"0022-1767, 1550-6606","note":"PMID: 18424693","shortTitle":"IL-10","language":"en","author":[{"family":"Couper","given":"Kevin N."},{"family":"Blount","given":"Daniel G."},{"family":"Riley","given":"Eleanor M."}],"issued":{"date-parts":[["2008",5,1]]}}}],"schema":"https://github.com/citation-style-language/schema/raw/master/csl-citation.json"} </w:instrText>
      </w:r>
      <w:r w:rsidRPr="008B3AD6">
        <w:fldChar w:fldCharType="separate"/>
      </w:r>
      <w:r w:rsidR="00025067">
        <w:rPr>
          <w:lang w:val="en-US"/>
        </w:rPr>
        <w:t>(Couper, Blount, and Riley 2008)</w:t>
      </w:r>
      <w:r w:rsidRPr="008B3AD6">
        <w:fldChar w:fldCharType="end"/>
      </w:r>
      <w:r w:rsidRPr="008B3AD6">
        <w:t>. Whilst Th</w:t>
      </w:r>
      <w:r w:rsidRPr="008B3AD6">
        <w:rPr>
          <w:vertAlign w:val="subscript"/>
        </w:rPr>
        <w:t>1</w:t>
      </w:r>
      <w:r w:rsidRPr="008B3AD6">
        <w:t xml:space="preserve"> lymphocyte responses are often associated with a reduction in parasite load in VL, cardinal Th</w:t>
      </w:r>
      <w:r w:rsidRPr="008B3AD6">
        <w:rPr>
          <w:vertAlign w:val="subscript"/>
        </w:rPr>
        <w:t>2</w:t>
      </w:r>
      <w:r w:rsidRPr="008B3AD6">
        <w:t xml:space="preserve"> cytokines such as IL-4 and IL-13 are required for optimal granuloma assembly </w:t>
      </w:r>
      <w:r w:rsidRPr="008B3AD6">
        <w:fldChar w:fldCharType="begin"/>
      </w:r>
      <w:r w:rsidR="00025067">
        <w:instrText xml:space="preserve"> ADDIN ZOTERO_ITEM CSL_CITATION {"citationID":"8KPlBeu7","properties":{"formattedCitation":"(St\\uc0\\u228{}ger et al. 2003; McFarlane et al. 2011, 13)","plainCitation":"(Stäger et al. 2003; McFarlane et al. 2011, 13)","noteIndex":0},"citationItems":[{"id":3757,"uris":["http://zotero.org/users/2628971/items/V8UVL6PK"],"uri":["http://zotero.org/users/2628971/items/V8UVL6PK"],"itemData":{"id":3757,"type":"article-journal","title":"Both Interleukin-4 (IL-4) and IL-4 Receptor α Signaling Contribute to the Development of Hepatic Granulomas with Optimal Antileishmanial Activity","container-title":"Infection and Immunity","page":"4804-4807","volume":"71","issue":"8","source":"PubMed Central","abstract":"The roles of interleukin-4 (IL-4) and IL-13 in the regulation of immunity to Leishmania donovani infection are still poorly understood. Here we show that the increased parasite load observed in IL-4−/− and IL-4 receptor α−/− mice correlates with retarded granuloma maturation and antileishmanial activity and that the increased parasite load observed in IL-4 receptor α−/− mice correlates with increased NOS2 expression and decreased serum gamma interferon levels. IL-4 and IL-13 appear to play little role in regulating collagen deposition in L. donovani-induced granulomas.","DOI":"10.1128/IAI.71.8.4804-4807.2003","ISSN":"0019-9567","note":"PMID: 12874364\nPMCID: PMC166035","journalAbbreviation":"Infect Immun","author":[{"family":"Stäger","given":"Simona"},{"family":"Alexander","given":"James"},{"family":"Carter","given":"K. Christine"},{"family":"Brombacher","given":"Frank"},{"family":"Kaye","given":"Paul M."}],"issued":{"date-parts":[["2003",8]]}}},{"id":3754,"uris":["http://zotero.org/users/2628971/items/3KUVXIJE"],"uri":["http://zotero.org/users/2628971/items/3KUVXIJE"],"itemData":{"id":3754,"type":"article-journal","title":"Endogenous IL-13 Plays a Crucial Role in Liver Granuloma Maturation During Leishmania donovani Infection, Independent of IL-4Rα–Responsive Macrophages and Neutrophils","container-title":"The Journal of Infectious Diseases","page":"36-43","volume":"204","issue":"1","source":"PubMed Central","abstract":"Previous studies comparing interleukin 4 receptor α (IL-4Rα)-/- and interleukin 4 (IL-4)-/- BALB/c mice have indicated that interleukin 13 (IL-13), whose receptor shares the IL-4Rα subunit with IL-4, plays a protective role during visceral leishmaniasis. We demonstrate that IL-13-/- BALB/c mice were less able to control hepatic growth of Leishmania donovani compared with wild-type mice. This correlated with significantly retarded granuloma maturation in IL-13-/- mice, defective interferon γ (IFN-γ) production, and elevated IL-4 and interleukin 10 (IL-10) levels. L. donovani–infected IL-13-/- mice also responded poorly to sodium stibogluconate-mediated chemotherapy compared with wild-type BALB/c mice. Because murine lymphocytes do not have IL-13 receptors, we examined the ability of macrophage/neutrophil-specific IL-4Rα-/- mice to control primary infection with L. donovani and to respond to chemotherapy. Macrophage/neutrophil-specific IL-4Rα-/- mice were as resistant to leishmaniasis as wild-type mice, and chemotherapy retained its efficacy. Consequently, in L. donovani infected BALB/c mice, IL-13 promotes hepatic granuloma formation and controls parasite burdens independently of direct effects on macrophages/neutrophils.","DOI":"10.1093/infdis/jir080","ISSN":"0022-1899","note":"PMID: 21628656\nPMCID: PMC3105032","journalAbbreviation":"J Infect Dis","author":[{"family":"McFarlane","given":"Emma"},{"family":"Carter","given":"Katharine C."},{"family":"McKenzie","given":"Andrew N."},{"family":"Kaye","given":"Paul M."},{"family":"Brombacher","given":"Frank"},{"family":"Alexander","given":"James"}],"issued":{"date-parts":[["2011",7,1]]}},"locator":"-13"}],"schema":"https://github.com/citation-style-language/schema/raw/master/csl-citation.json"} </w:instrText>
      </w:r>
      <w:r w:rsidRPr="008B3AD6">
        <w:fldChar w:fldCharType="separate"/>
      </w:r>
      <w:r w:rsidR="00025067" w:rsidRPr="00025067">
        <w:rPr>
          <w:lang w:val="en-US"/>
        </w:rPr>
        <w:t>(Stäger et al. 2003; McFarlane et al. 2011, 13)</w:t>
      </w:r>
      <w:r w:rsidRPr="008B3AD6">
        <w:fldChar w:fldCharType="end"/>
      </w:r>
      <w:r w:rsidRPr="008B3AD6">
        <w:t>.</w:t>
      </w:r>
      <w:r w:rsidR="00AB3115" w:rsidRPr="008B3AD6">
        <w:t xml:space="preserve"> </w:t>
      </w:r>
    </w:p>
    <w:p w14:paraId="7E287416" w14:textId="77777777" w:rsidR="00AB3115" w:rsidRPr="008B3AD6" w:rsidRDefault="00AB3115" w:rsidP="000E10DC">
      <w:pPr>
        <w:tabs>
          <w:tab w:val="left" w:pos="6735"/>
        </w:tabs>
        <w:spacing w:line="360" w:lineRule="auto"/>
        <w:jc w:val="both"/>
      </w:pPr>
    </w:p>
    <w:p w14:paraId="49C16730" w14:textId="6950B93D" w:rsidR="009523E8" w:rsidRPr="008B3AD6" w:rsidRDefault="009523E8" w:rsidP="009523E8">
      <w:pPr>
        <w:tabs>
          <w:tab w:val="left" w:pos="6735"/>
        </w:tabs>
        <w:spacing w:line="360" w:lineRule="auto"/>
        <w:jc w:val="both"/>
      </w:pPr>
      <w:r w:rsidRPr="008B3AD6">
        <w:t>CD8</w:t>
      </w:r>
      <w:r w:rsidRPr="00BF7AD6">
        <w:rPr>
          <w:vertAlign w:val="superscript"/>
        </w:rPr>
        <w:t>+</w:t>
      </w:r>
      <w:r w:rsidRPr="008B3AD6">
        <w:t xml:space="preserve"> T cells, also known as cytotoxic T cells (T</w:t>
      </w:r>
      <w:r w:rsidRPr="008B3AD6">
        <w:rPr>
          <w:vertAlign w:val="subscript"/>
        </w:rPr>
        <w:t>c</w:t>
      </w:r>
      <w:r w:rsidRPr="008B3AD6">
        <w:t xml:space="preserve">), are also associated with granuloma formation </w:t>
      </w:r>
      <w:r w:rsidRPr="008B3AD6">
        <w:fldChar w:fldCharType="begin"/>
      </w:r>
      <w:r w:rsidRPr="008B3AD6">
        <w:instrText xml:space="preserve"> ADDIN ZOTERO_ITEM CSL_CITATION {"citationID":"1dmm1oen","properties":{"formattedCitation":"(Stern et al. 1988)","plainCitation":"(Stern et al. 1988)","noteIndex":0},"citationItems":[{"id":3267,"uris":["http://zotero.org/users/2628971/items/42FTXI6N"],"uri":["http://zotero.org/users/2628971/items/42FTXI6N"],"itemData":{"id":3267,"type":"article-journal","title":"Role of L3T4+ and LyT-2+ cells in experimental visceral leishmaniasis","container-title":"Journal of Immunology (Baltimore, Md.: 1950)","page":"3971-3977","volume":"140","issue":"11","source":"PubMed","abstract":"In contrast to euthymic (nu/+) BALB/c mice, athymic nude (nu/nu) BALB/c mice fail to control the visceral intracellular replication of Leishmania donovani, do not generate the macrophage-activating lymphokine IFN-gamma, and show little or no granulomatous tissue response. To characterize the T cell requirement for successful defense against L. donovani, nude mice were first reconstituted with unfractionated nu/+ immune spleen cells, which readily conferred the capacity to control and eliminate visceral (hepatic) L. donovani. In reconstituted mice, acquired resistance was paralleled by the ability of spleen cells to generate high levels of leishmanial Ag-stimulated IFN-gamma and the development of well formed liver granulomas. In contrast, nude mice reconstituted with either L3T4+- or Lyt-2+-enriched immune spleen cells alone failed to control visceral parasite replication and did not develop effective granulomas despite the finding that transfer of L3T4+ cells largely and Lyt-2+ cells partially restored the capacity to secrete IFN-gamma. To determine whether both T cell subsets were also required in a normal host, nu/+ BALB/c mice were treated with cell-depleting anti-L3T4 and anti-Lyt-2 mAb. Depletion of either T cell subset inhibited the acquisition of resistance to L. donovani and impaired the tissue granulomatous response. Thus, successful T cell-dependent host defense towards intracellular L. donovani and the tissue expression (granulomas) of this mechanism appear to require both L3T4+ and Lyt-2+ cells. A primary role for the L3T4+ cell may be IFN-gamma production; the role of the Lyt-2+ cell and the precise interaction of the two T cell subsets remain to be identified.","ISSN":"0022-1767","note":"PMID: 3131421","journalAbbreviation":"J. Immunol.","language":"eng","author":[{"family":"Stern","given":"J. J."},{"family":"Oca","given":"M. J."},{"family":"Rubin","given":"B. Y."},{"family":"Anderson","given":"S. L."},{"family":"Murray","given":"H. W."}],"issued":{"date-parts":[["1988",6,1]]}}}],"schema":"https://github.com/citation-style-language/schema/raw/master/csl-citation.json"} </w:instrText>
      </w:r>
      <w:r w:rsidRPr="008B3AD6">
        <w:fldChar w:fldCharType="separate"/>
      </w:r>
      <w:r w:rsidR="00025067">
        <w:rPr>
          <w:lang w:val="en-US"/>
        </w:rPr>
        <w:t>(Stern et al. 1988)</w:t>
      </w:r>
      <w:r w:rsidRPr="008B3AD6">
        <w:fldChar w:fldCharType="end"/>
      </w:r>
      <w:r w:rsidRPr="008B3AD6">
        <w:t>. T</w:t>
      </w:r>
      <w:r w:rsidRPr="008B3AD6">
        <w:rPr>
          <w:vertAlign w:val="subscript"/>
        </w:rPr>
        <w:t>c</w:t>
      </w:r>
      <w:r w:rsidRPr="008B3AD6">
        <w:t xml:space="preserve"> cells recognise antigens presented on MHC I molecules </w:t>
      </w:r>
      <w:r w:rsidRPr="008B3AD6">
        <w:fldChar w:fldCharType="begin"/>
      </w:r>
      <w:r w:rsidRPr="008B3AD6">
        <w:instrText xml:space="preserve"> ADDIN ZOTERO_ITEM CSL_CITATION {"citationID":"JpcOWvQf","properties":{"formattedCitation":"(Janeway et al. 2001)","plainCitation":"(Janeway et al. 2001)","noteIndex":0},"citationItems":[{"id":3353,"uris":["http://zotero.org/users/2628971/items/CBEEU6NL"],"uri":["http://zotero.org/users/2628971/items/CBEEU6NL"],"itemData":{"id":3353,"type":"article-journal","title":"T cell-mediated cytotoxicity","container-title":"Immunobiology: The Immune System in Health and Disease. 5th edition","source":"www.ncbi.nlm.nih.gov","abstract":"All viruses, and some bacteria, multiply in the cytoplasm of infected cells; indeed, the virus is a highly sophisticated parasite that has no biosynthetic or metabolic apparatus of its own and, in consequence, can replicate only inside cells. Once inside cells, these pathogens are not accessible to antibodies and can be eliminated only by the destruction or modification of the infected cells on which they depend. This role in host defense is fulfilled by cytotoxic CD8 T cells. The critical role of cytotoxic T cells in limiting such infections is seen in the increased susceptibility of animals artificially depleted of these T cells, or of mice or humans that lack the MHC class I molecules that present antigen to CD8 T cells. As well as controlling infection by viruses and cytoplasmic bacteria, CD8 T cells are important in controlling some protozoan infections and are crucial, for example, in host defense against the protozoan Toxoplasma gondii, a vesicular parasite that exports peptides from the infected vesicles to the cytosol, from which they enter the MHC class I processing pathway. The elimination of infected cells without the destruction of healthy tissue requires the cytotoxic mechanisms of CD8 T cells to be both powerful and accurately targeted.","URL":"https://www.ncbi.nlm.nih.gov/books/NBK27101/","language":"en","author":[{"family":"Janeway","given":"Charles A. J."},{"family":"Travers","given":"Paul"},{"family":"Walport","given":"Mark"},{"family":"Shlomchik","given":"Mark J."}],"issued":{"date-parts":[["2001"]]},"accessed":{"date-parts":[["2018",8,12]]}}}],"schema":"https://github.com/citation-style-language/schema/raw/master/csl-citation.json"} </w:instrText>
      </w:r>
      <w:r w:rsidRPr="008B3AD6">
        <w:fldChar w:fldCharType="separate"/>
      </w:r>
      <w:r w:rsidR="00025067">
        <w:rPr>
          <w:lang w:val="en-US"/>
        </w:rPr>
        <w:t>(Janeway et al. 2001)</w:t>
      </w:r>
      <w:r w:rsidRPr="008B3AD6">
        <w:fldChar w:fldCharType="end"/>
      </w:r>
      <w:r w:rsidRPr="008B3AD6">
        <w:t>. Once antigenically stimulated, naïve T</w:t>
      </w:r>
      <w:r w:rsidRPr="008B3AD6">
        <w:rPr>
          <w:vertAlign w:val="subscript"/>
        </w:rPr>
        <w:t>c</w:t>
      </w:r>
      <w:r w:rsidRPr="008B3AD6">
        <w:t xml:space="preserve"> cells differentiate into effector cells secreting IFN</w:t>
      </w:r>
      <w:r w:rsidRPr="008B3AD6">
        <w:sym w:font="Symbol" w:char="F067"/>
      </w:r>
      <w:r w:rsidR="003C0805">
        <w:t xml:space="preserve"> and</w:t>
      </w:r>
      <w:r w:rsidRPr="008B3AD6">
        <w:t xml:space="preserve"> TNF </w:t>
      </w:r>
      <w:r w:rsidRPr="008B3AD6">
        <w:fldChar w:fldCharType="begin"/>
      </w:r>
      <w:r w:rsidRPr="008B3AD6">
        <w:instrText xml:space="preserve"> ADDIN ZOTERO_ITEM CSL_CITATION {"citationID":"0dLckWGl","properties":{"formattedCitation":"(Ratner and Clark 1993; Bhat et al. 2017)","plainCitation":"(Ratner and Clark 1993; Bhat et al. 2017)","noteIndex":0},"citationItems":[{"id":3358,"uris":["http://zotero.org/users/2628971/items/KZD2ULHX"],"uri":["http://zotero.org/users/2628971/items/KZD2ULHX"],"itemData":{"id":3358,"type":"article-journal","title":"Role of TNF-alpha in CD8+ cytotoxic T lymphocyte-mediated lysis","container-title":"Journal of Immunology (Baltimore, Md.: 1950)","page":"4303-4314","volume":"150","issue":"10","source":"PubMed","abstract":"The possibility that lymphokines such as TNF-alpha produced by CD8+ CTL are responsible for acute (short term) target cell damage induced by CTL has been debated for many years. However, the slow kinetics of TNF-induced target cell death stands in sharp contrast to the rapid target cell lysis mediated by CTL. We find that cloned CD8+ CTL activated through their TCR secrete TNF-alpha. On the other hand, our cloned CTL also have a membrane form of TNF-alpha, and they kill TNF-alpha-sensitive target cells not recognized through the TCR in a slow (18-h) lytic reaction using this surface-associated TNF-alpha. There is no secreted TNF-alpha release during this interaction. Cyclosporin A and protein synthesis inhibitors block TNF-alpha secretion, but have no effect on slow lysis mediated by the CTL. On the other hand, TNF-alpha-resistant variants are greatly resistant to slow lysis, and antibodies to TNF-alpha strongly inhibit this slow lysis. Thus, although secreted TNF-alpha does not seem to be the mechanism behind slow lysis, some form of TNF-alpha, most likely the membrane-associated form, must be involved. Not only does surface TNF-alpha appear to be biologically active in these CTL, but its expression is enhanced severalfold upon activation of the CTL through the TCR. This may be important in vivo, where surface TNF-alpha could preserve the localized nature of cytolysis and endow a CTL with an additional, albeit slower, mechanism of cell lysis. Finally, we find that although activated CTL clearly use the membrane form of TNF-alpha in slow lysis, they appear not to use TNF-alpha, in any form, during acute lysis, even under conditions in which degranulation and perforin assembly are blocked.","ISSN":"0022-1767","note":"PMID: 8482837","journalAbbreviation":"J. Immunol.","language":"eng","author":[{"family":"Ratner","given":"A."},{"family":"Clark","given":"W. R."}],"issued":{"date-parts":[["1993",5,15]]}}},{"id":3355,"uris":["http://zotero.org/users/2628971/items/852BLRPZ"],"uri":["http://zotero.org/users/2628971/items/852BLRPZ"],"itemData":{"id":3355,"type":"article-journal","title":"Interferon-&lt;i&gt;γ&lt;/i&gt; derived from cytotoxic lymphocytes directly enhances their motility and cytotoxicity","container-title":"Cell Death &amp; Disease","page":"e2836","volume":"8","issue":"6","source":"www.nature.com","abstract":"Interferon gamma (IFNγ) is a key moderator of cell-mediated immunity with diverse, mainly pro-inflammatory actions on immunocytes and target tissue. Recent studies have shown it may enhance anti-tumor and antiviral effects of CD8 T cells. Here we investigate the mechanisms by which IFNγ mediates CD8 T-cell cytotoxic function. We show that in vivo, antigen-specific CD8 T cells that produce INFγ are necessary to effect rejection of skin grafts expressing OVA as a transgene in keratinocytes. The ability of CD8 T cells to produce IFNγ enhanced their ability to migrate to the site of antigen-presenting skin cells. By in vivo imaging, we show that CTL motility, particularly speed, during graft rejection was enhanced by locally available IFNγ. We then used a reductionist two-cell model of CTL effectors and keratinocyte targets to investigate the effects of locally available (paracrine) and CTL-producing (autocrine) IFNγ on the motility behavior and killing ability of the CTL. Using live-cell imaging by prolonged time-lapse microscopy of primary effector CD8 T cells and antigen-expressing primary keratinocyte targets, we show that CD8 T-cell cytotoxic function and motility is enhanced by locally available IFNγ. Conversely, deprivation of either autocrine or paracrine IFNγ, or blockade of IFNγ signaling to CTL markedly reduced their cytotoxic function, their kinematics, and effector cell survival. We conclude that in vitro and in vivo, autocrine production of IFNγ by CTL enhances their motility and promotes killing of primary target keratinocytes. The absolute need for local IFNγ to enable cytotoxic CD8 T-cell function is of significance for immunotherapy for chronic viral infection and for cancer.","DOI":"10.1038/cddis.2017.67","ISSN":"2041-4889","language":"en","author":[{"family":"Bhat","given":"Purnima"},{"family":"Leggatt","given":"Graham"},{"family":"Waterhouse","given":"Nigel"},{"family":"Frazer","given":"Ian H."}],"issued":{"date-parts":[["2017",6]]}}}],"schema":"https://github.com/citation-style-language/schema/raw/master/csl-citation.json"} </w:instrText>
      </w:r>
      <w:r w:rsidRPr="008B3AD6">
        <w:fldChar w:fldCharType="separate"/>
      </w:r>
      <w:r w:rsidR="00025067">
        <w:rPr>
          <w:lang w:val="en-US"/>
        </w:rPr>
        <w:t>(Ratner and Clark 1993; Bhat et al. 2017)</w:t>
      </w:r>
      <w:r w:rsidRPr="008B3AD6">
        <w:fldChar w:fldCharType="end"/>
      </w:r>
      <w:r w:rsidRPr="008B3AD6">
        <w:t>. These activated T</w:t>
      </w:r>
      <w:r w:rsidRPr="008B3AD6">
        <w:rPr>
          <w:vertAlign w:val="subscript"/>
        </w:rPr>
        <w:t>c</w:t>
      </w:r>
      <w:r w:rsidRPr="008B3AD6">
        <w:t xml:space="preserve"> cells additionally can proliferate and kill infected cells and/or supplement the cytokine milieu required for macrophage activation.</w:t>
      </w:r>
    </w:p>
    <w:p w14:paraId="1BA070A9" w14:textId="77777777" w:rsidR="009523E8" w:rsidRPr="008B3AD6" w:rsidRDefault="009523E8" w:rsidP="009523E8">
      <w:pPr>
        <w:tabs>
          <w:tab w:val="left" w:pos="6735"/>
        </w:tabs>
        <w:spacing w:line="360" w:lineRule="auto"/>
        <w:jc w:val="both"/>
      </w:pPr>
    </w:p>
    <w:p w14:paraId="7724151B" w14:textId="4421C471" w:rsidR="00AB3115" w:rsidRPr="008B3AD6" w:rsidRDefault="009523E8" w:rsidP="009523E8">
      <w:pPr>
        <w:tabs>
          <w:tab w:val="left" w:pos="6735"/>
        </w:tabs>
        <w:spacing w:line="360" w:lineRule="auto"/>
        <w:jc w:val="both"/>
      </w:pPr>
      <w:r w:rsidRPr="008B3AD6">
        <w:t xml:space="preserve">Typically, in mouse models, by 4 weeks post-infection mature granulomas have been formed composed of infected KCs surrounded by mantle of the aforementioned neutrophils, </w:t>
      </w:r>
      <w:r w:rsidRPr="008B3AD6">
        <w:lastRenderedPageBreak/>
        <w:t xml:space="preserve">monocytes and T cells </w:t>
      </w:r>
      <w:r w:rsidRPr="008B3AD6">
        <w:fldChar w:fldCharType="begin"/>
      </w:r>
      <w:r w:rsidRPr="008B3AD6">
        <w:instrText xml:space="preserve"> ADDIN ZOTERO_ITEM CSL_CITATION {"citationID":"UCiDZu4m","properties":{"formattedCitation":"(H. W. Murray 2001)","plainCitation":"(H. W. Murray 2001)","noteIndex":0},"citationItems":[{"id":2571,"uris":["http://zotero.org/users/2628971/items/CEN64UM5"],"uri":["http://zotero.org/users/2628971/items/CEN64UM5"],"itemData":{"id":2571,"type":"article-journal","title":"Tissue granuloma structure-function in experimental visceral leishmaniasis","container-title":"International Journal of Experimental Pathology","page":"249-267","volume":"82","issue":"5","source":"PubMed","abstract":"In experimental visceral leishmaniasis in normal mice (BALB/c, C57BL/6) acquired resistance to Leishmania donovani, a protozoan which targets tissue macrophages, depends upon T cells, Th1 cell-type cytokine generation and activated mononuclear phagocytes. In the intact host, initial control and eventual resolution of L. donovani hepatic infection in normal mice is expressed by and accomplished within well-formed, mature tissue granulomas. In the liver, these immunologically active, inflammatory structures are assembled around a core of fused, parasitized resident macrophages (Kupffer cells) which come to be encircled by both cytokine-secreting T cells and influxing leishmanicidal blood monocytes. This pro-host defense granuloma structure-function relationship, in which histologically mature granulomas provide the microenvironment for intracellular L. donovani killing, however, is only one of seven which have been identified through experimental modifications in this model. This report reviews these structure-function relationships and illustrates the broad spectrum of additional possible responses. These responses range from structurally intact granulomas which provide no antileishmanial function (the 'ineffective' granuloma), to enlarged granulomas which show enhanced parasite killing (the 'hypertrophied' granuloma), to effective antileishmanial activity in the absence of any tissue reaction (the 'invisible' granuloma).","ISSN":"0959-9673","note":"PMID: 11703536\nPMCID: PMC2517779","journalAbbreviation":"Int J Exp Pathol","language":"eng","author":[{"family":"Murray","given":"H. W."}],"issued":{"date-parts":[["2001",10]]}}}],"schema":"https://github.com/citation-style-language/schema/raw/master/csl-citation.json"} </w:instrText>
      </w:r>
      <w:r w:rsidRPr="008B3AD6">
        <w:fldChar w:fldCharType="separate"/>
      </w:r>
      <w:r w:rsidR="00025067">
        <w:rPr>
          <w:lang w:val="en-US"/>
        </w:rPr>
        <w:t>(Murray 2001)</w:t>
      </w:r>
      <w:r w:rsidRPr="008B3AD6">
        <w:fldChar w:fldCharType="end"/>
      </w:r>
      <w:r w:rsidRPr="008B3AD6">
        <w:t>. This aggregation is key for parasite clearance which is described below.</w:t>
      </w:r>
    </w:p>
    <w:p w14:paraId="3E4AAD03" w14:textId="77777777" w:rsidR="00AB3115" w:rsidRPr="008B3AD6" w:rsidRDefault="00AB3115" w:rsidP="000E10DC">
      <w:pPr>
        <w:tabs>
          <w:tab w:val="left" w:pos="6735"/>
        </w:tabs>
        <w:spacing w:line="360" w:lineRule="auto"/>
        <w:jc w:val="both"/>
        <w:rPr>
          <w:b/>
        </w:rPr>
      </w:pPr>
    </w:p>
    <w:p w14:paraId="51DC1DD6" w14:textId="77777777" w:rsidR="00AB3115" w:rsidRPr="008B3AD6" w:rsidRDefault="00AB3115" w:rsidP="000E10DC">
      <w:pPr>
        <w:pStyle w:val="Heading4"/>
        <w:jc w:val="both"/>
      </w:pPr>
      <w:bookmarkStart w:id="36" w:name="_Ref523921603"/>
      <w:bookmarkStart w:id="37" w:name="_Toc3716049"/>
      <w:r w:rsidRPr="008B3AD6">
        <w:t>Parasite Clearance</w:t>
      </w:r>
      <w:bookmarkEnd w:id="36"/>
      <w:bookmarkEnd w:id="37"/>
    </w:p>
    <w:p w14:paraId="04717B1B" w14:textId="66C5544D" w:rsidR="00AB3115" w:rsidRPr="008B3AD6" w:rsidRDefault="009523E8" w:rsidP="000E10DC">
      <w:pPr>
        <w:spacing w:line="360" w:lineRule="auto"/>
        <w:jc w:val="both"/>
      </w:pPr>
      <w:r w:rsidRPr="008B3AD6">
        <w:t xml:space="preserve">As previously described, KCs form the main host target for </w:t>
      </w:r>
      <w:r w:rsidRPr="008B3AD6">
        <w:rPr>
          <w:i/>
        </w:rPr>
        <w:t>L. donovani</w:t>
      </w:r>
      <w:r w:rsidRPr="008B3AD6">
        <w:t xml:space="preserve"> in the liver. Macrophages can typically exist in two different activation states: a classical activated pro-inflammatory M1 phenotype and either an alternatively activated or deactivated M2 phenotype (M2a and M2c respectively) </w:t>
      </w:r>
      <w:r w:rsidRPr="008B3AD6">
        <w:fldChar w:fldCharType="begin"/>
      </w:r>
      <w:r w:rsidRPr="008B3AD6">
        <w:instrText xml:space="preserve"> ADDIN ZOTERO_ITEM CSL_CITATION {"citationID":"mkn2sy9r","properties":{"formattedCitation":"(Martinez and Gordon 2014; Mukhopadhyay et al. 2015)","plainCitation":"(Martinez and Gordon 2014; Mukhopadhyay et al. 2015)","noteIndex":0},"citationItems":[{"id":2769,"uris":["http://zotero.org/users/2628971/items/T7D8ZWPS"],"uri":["http://zotero.org/users/2628971/items/T7D8ZWPS"],"itemData":{"id":2769,"type":"article-journal","title":"The M1 and M2 paradigm of macrophage activation: time for reassessment","container-title":"F1000prime Reports","page":"13","volume":"6","source":"PubMed","abstract":"Macrophages are endowed with a variety of receptors for lineage-determining growth factors, T helper (Th) cell cytokines, and B cell, host, and microbial products. In tissues, macrophages mature and are activated in a dynamic response to combinations of these stimuli to acquire specialized functional phenotypes. As for the lymphocyte system, a dichotomy has been proposed for macrophage activation: classic vs. alternative, also M1 and M2, respectively. In view of recent research about macrophage functions and the increasing number of immune-relevant ligands, a revision of the model is needed. Here, we assess how cytokines and pathogen signals influence their functional phenotypes and the evidence for M1 and M2 functions and revisit a paradigm initially based on the role of a restricted set of selected ligands in the immune response.","DOI":"10.12703/P6-13","ISSN":"2051-7599","note":"PMID: 24669294\nPMCID: PMC3944738","shortTitle":"The M1 and M2 paradigm of macrophage activation","journalAbbreviation":"F1000Prime Rep","language":"eng","author":[{"family":"Martinez","given":"Fernando O."},{"family":"Gordon","given":"Siamon"}],"issued":{"date-parts":[["2014"]]}}},{"id":3107,"uris":["http://zotero.org/users/2628971/items/ZQAU6P4N"],"uri":["http://zotero.org/users/2628971/items/ZQAU6P4N"],"itemData":{"id":3107,"type":"article-journal","title":"M2 Polarization of Monocytes-Macrophages Is a Hallmark of Indian Post Kala-Azar Dermal Leishmaniasis","container-title":"PLOS Neglected Tropical Diseases","page":"e0004145","volume":"9","issue":"10","source":"PLoS Journals","abstract":"Abstract The high level of functional diversity and plasticity in monocytes/macrophages has been defined within in vitro systems as M1 (classically activated), M2 (alternatively activated) and deactivated macrophages, of which the latter two subtypes are associated with suppression of cell mediated immunity, that confers susceptibility to intracellular infection. Although the Leishmania parasite modulates macrophage functions to ensure its survival, what remains an unanswered yet pertinent question is whether these macrophages are deactivated or alternatively activated. This study aimed to characterize the functional plasticity and polarization of monocytes/macrophages and delineate their importance in the immunopathogenesis of Post kala-azar dermal leishmaniasis (PKDL), a chronic dermatosis of human leishmaniasis. Monocytes from PKDL patients showed a decreased expression of TLR-2/4, along with an attenuated generation of reactive oxidative/nitrosative species. At disease presentation, an increased mRNA expression of classical M2 markers CD206, ARG1 and PPARG in monocytes and lesional macrophages indicated M2 polarization of macrophages which was corroborated by increased expression of CD206 and arginase-1. Furthermore, altered vitamin D signaling was a key feature in PKDL, as disease presentation was associated with raised plasma levels of monohydroxylated vitamin D3 and vitamin D3- associated genes, features of M2 polarization. Taken together, in PKDL, monocyte/macrophage subsets appear to be alternatively activated, a phenotype that might sustain disease chronicity. Importantly, repolarization of these monocytes to M1 by antileishmanial drugs suggests that switching from M2 to M1 phenotype might represent a therapeutic opportunity, worthy of future pharmacological consideration.","DOI":"10.1371/journal.pntd.0004145","ISSN":"1935-2735","journalAbbreviation":"PLOS Neglected Tropical Diseases","language":"en","author":[{"family":"Mukhopadhyay","given":"Debanjan"},{"family":"Mukherjee","given":"Shibabrata"},{"family":"Roy","given":"Susmita"},{"family":"Dalton","given":"Jane E."},{"family":"Kundu","given":"Sunanda"},{"family":"Sarkar","given":"Avijit"},{"family":"Das","given":"Nilay K."},{"family":"Kaye","given":"Paul M."},{"family":"Chatterjee","given":"Mitali"}],"issued":{"date-parts":[["2015",10,23]]}}}],"schema":"https://github.com/citation-style-language/schema/raw/master/csl-citation.json"} </w:instrText>
      </w:r>
      <w:r w:rsidRPr="008B3AD6">
        <w:fldChar w:fldCharType="separate"/>
      </w:r>
      <w:r w:rsidR="00025067">
        <w:rPr>
          <w:lang w:val="en-US"/>
        </w:rPr>
        <w:t>(Martinez and Gordon 2014; Mukhopadhyay et al. 2015)</w:t>
      </w:r>
      <w:r w:rsidRPr="008B3AD6">
        <w:fldChar w:fldCharType="end"/>
      </w:r>
      <w:r w:rsidRPr="008B3AD6">
        <w:t>. M1 macrophages can be activated by IFN</w:t>
      </w:r>
      <w:r w:rsidRPr="008B3AD6">
        <w:sym w:font="Symbol" w:char="F067"/>
      </w:r>
      <w:r w:rsidRPr="008B3AD6">
        <w:t xml:space="preserve"> and proceed to produce pro-inflammatory cytokines, such as IL-6, and reactive oxygen and nitrogen species. Thus, M1 macrophages promote an anti-intracellular pathogen response </w:t>
      </w:r>
      <w:r w:rsidRPr="008B3AD6">
        <w:fldChar w:fldCharType="begin"/>
      </w:r>
      <w:r w:rsidRPr="008B3AD6">
        <w:instrText xml:space="preserve"> ADDIN ZOTERO_ITEM CSL_CITATION {"citationID":"U6o6G6rV","properties":{"formattedCitation":"(Mukhopadhyay et al. 2015)","plainCitation":"(Mukhopadhyay et al. 2015)","noteIndex":0},"citationItems":[{"id":3107,"uris":["http://zotero.org/users/2628971/items/ZQAU6P4N"],"uri":["http://zotero.org/users/2628971/items/ZQAU6P4N"],"itemData":{"id":3107,"type":"article-journal","title":"M2 Polarization of Monocytes-Macrophages Is a Hallmark of Indian Post Kala-Azar Dermal Leishmaniasis","container-title":"PLOS Neglected Tropical Diseases","page":"e0004145","volume":"9","issue":"10","source":"PLoS Journals","abstract":"Abstract The high level of functional diversity and plasticity in monocytes/macrophages has been defined within in vitro systems as M1 (classically activated), M2 (alternatively activated) and deactivated macrophages, of which the latter two subtypes are associated with suppression of cell mediated immunity, that confers susceptibility to intracellular infection. Although the Leishmania parasite modulates macrophage functions to ensure its survival, what remains an unanswered yet pertinent question is whether these macrophages are deactivated or alternatively activated. This study aimed to characterize the functional plasticity and polarization of monocytes/macrophages and delineate their importance in the immunopathogenesis of Post kala-azar dermal leishmaniasis (PKDL), a chronic dermatosis of human leishmaniasis. Monocytes from PKDL patients showed a decreased expression of TLR-2/4, along with an attenuated generation of reactive oxidative/nitrosative species. At disease presentation, an increased mRNA expression of classical M2 markers CD206, ARG1 and PPARG in monocytes and lesional macrophages indicated M2 polarization of macrophages which was corroborated by increased expression of CD206 and arginase-1. Furthermore, altered vitamin D signaling was a key feature in PKDL, as disease presentation was associated with raised plasma levels of monohydroxylated vitamin D3 and vitamin D3- associated genes, features of M2 polarization. Taken together, in PKDL, monocyte/macrophage subsets appear to be alternatively activated, a phenotype that might sustain disease chronicity. Importantly, repolarization of these monocytes to M1 by antileishmanial drugs suggests that switching from M2 to M1 phenotype might represent a therapeutic opportunity, worthy of future pharmacological consideration.","DOI":"10.1371/journal.pntd.0004145","ISSN":"1935-2735","journalAbbreviation":"PLOS Neglected Tropical Diseases","language":"en","author":[{"family":"Mukhopadhyay","given":"Debanjan"},{"family":"Mukherjee","given":"Shibabrata"},{"family":"Roy","given":"Susmita"},{"family":"Dalton","given":"Jane E."},{"family":"Kundu","given":"Sunanda"},{"family":"Sarkar","given":"Avijit"},{"family":"Das","given":"Nilay K."},{"family":"Kaye","given":"Paul M."},{"family":"Chatterjee","given":"Mitali"}],"issued":{"date-parts":[["2015",10,23]]}}}],"schema":"https://github.com/citation-style-language/schema/raw/master/csl-citation.json"} </w:instrText>
      </w:r>
      <w:r w:rsidRPr="008B3AD6">
        <w:fldChar w:fldCharType="separate"/>
      </w:r>
      <w:r w:rsidR="00025067">
        <w:rPr>
          <w:lang w:val="en-US"/>
        </w:rPr>
        <w:t>(Mukhopadhyay et al. 2015)</w:t>
      </w:r>
      <w:r w:rsidRPr="008B3AD6">
        <w:fldChar w:fldCharType="end"/>
      </w:r>
      <w:r w:rsidRPr="008B3AD6">
        <w:t>. However,</w:t>
      </w:r>
      <w:r w:rsidRPr="008B3AD6">
        <w:rPr>
          <w:i/>
        </w:rPr>
        <w:t xml:space="preserve"> L. donovani</w:t>
      </w:r>
      <w:r w:rsidRPr="008B3AD6">
        <w:t xml:space="preserve"> can subvert the microbicidal mechanisms of macrophages </w:t>
      </w:r>
      <w:r w:rsidRPr="008B3AD6">
        <w:fldChar w:fldCharType="begin"/>
      </w:r>
      <w:r w:rsidRPr="008B3AD6">
        <w:instrText xml:space="preserve"> ADDIN ZOTERO_ITEM CSL_CITATION {"citationID":"6VP2U0T6","properties":{"formattedCitation":"\\uldash{(Shio et al. 2012; Arango Duque and Descoteaux 2015; Hammami et al. 2017, 1)}","plainCitation":"(Shio et al. 2012; Arango Duque and Descoteaux 2015; Hammami et al. 2017, 1)","dontUpdate":true,"noteIndex":0},"citationItems":[{"id":3362,"uris":["http://zotero.org/users/2628971/items/795455VR"],"uri":["http://zotero.org/users/2628971/items/795455VR"],"itemData":{"id":3362,"type":"article-journal","title":"Host Cell Signalling and Leishmania Mechanisms of Evasion","container-title":"Journal of Tropical Medicine","volume":"2012","source":"PubMed Central","abstract":"Leishmania parasites are able to secure their survival and propagation within their host by altering signalling pathways involved in the ability of macrophages to kill pathogens or to engage adaptive immune system. An important step in this immune evasion process is the activation of host protein tyrosine phosphatase SHP-1 by Leishmania. SHP-1 has been shown to directly inactivate JAK2 and Erk1/2 and to play a role in the negative regulation of several transcription factors involved in macrophage activation. These signalling alterations contribute to the inactivation of critical macrophage functions (e.g., Nitric oxide, IL-12, and TNF-α). Additionally, to interfere with IFN-γ receptor signalling, Leishmania also alters several LPS-mediated responses. Recent findings from our laboratory revealed a pivotal role for SHP-1 in the inhibition of TLR-induced macrophage activation through binding to and inactivating IL-1-receptor-associated kinase 1 (IRAK-1). Furthermore, we identified the binding site as an evolutionarily conserved ITIM-like motif, which we named kinase tyrosine-based inhibitory motif (KTIM). Collectively, a better understanding of the evasion mechanisms utilized by Leishmania parasite could help to develop more efficient antileishmanial therapies in the near future.","URL":"https://www.ncbi.nlm.nih.gov/pmc/articles/PMC3216306/","DOI":"10.1155/2012/819512","ISSN":"1687-9686","note":"PMID: 22131998\nPMCID: PMC3216306","journalAbbreviation":"J Trop Med","author":[{"family":"Shio","given":"Marina Tiemi"},{"family":"Hassani","given":"Kasra"},{"family":"Isnard","given":"Amandine"},{"family":"Ralph","given":"Benjamin"},{"family":"Contreras","given":"Irazu"},{"family":"Gomez","given":"Maria Adelaida"},{"family":"Abu-Dayyeh","given":"Issa"},{"family":"Olivier","given":"Martin"}],"issued":{"date-parts":[["2012"]]},"accessed":{"date-parts":[["2018",8,12]]}}},{"id":3361,"uris":["http://zotero.org/users/2628971/items/2NKSQ7FJ"],"uri":["http://zotero.org/users/2628971/items/2NKSQ7FJ"],"itemData":{"id":3361,"type":"article-journal","title":"Leishmania survival in the macrophage: where the ends justify the means","container-title":"Current Opinion in Microbiology","page":"32-40","volume":"26","source":"PubMed","abstract":"Macrophages are cells of the immune system that mediate processes ranging from phagocytosis to tissue homeostasis. Leishmania has evolved ingenious ways to adapt to life in the macrophage. The GP63 metalloprotease, which disables key microbicidal pathways, has recently been found to disrupt processes ranging from antigen cross-presentation to nuclear pore dynamics. New studies have also revealed that Leishmania sabotages key metabolic and signaling pathways to fuel parasite growth. Leishmania has also been found to induce DNA methylation to turn off genes controlling microbicidal pathways. These novel findings highlight the multipronged attack employed by Leishmania to subvert macrophage function.","DOI":"10.1016/j.mib.2015.04.007","ISSN":"1879-0364","note":"PMID: 25988701","shortTitle":"Leishmania survival in the macrophage","journalAbbreviation":"Curr. Opin. Microbiol.","language":"eng","author":[{"family":"Arango Duque","given":"Guillermo"},{"family":"Descoteaux","given":"Albert"}],"issued":{"date-parts":[["2015",8]]}}},{"id":3360,"uris":["http://zotero.org/users/2628971/items/455LRBAR"],"uri":["http://zotero.org/users/2628971/items/455LRBAR"],"itemData":{"id":3360,"type":"article-journal","title":"HIF-1α is a key regulator in potentiating suppressor activity and limiting the microbicidal capacity of MDSC-like cells during visceral leishmaniasis","container-title":"PLoS pathogens","page":"e1006616","volume":"13","issue":"9","source":"PubMed","abstract":"Leishmania donovani is known to induce myelopoiesis and to dramatically increase extramedullary myelopoiesis. This results in splenomegaly, which is then accompanied by disruption of the splenic microarchitecture, a chronic inflammatory environment, and immunosuppression. Chronically inflamed tissues are typically hypoxic. The role of hypoxia on myeloid cell functions during visceral leishmaniasis has not yet been studied. Here we show that L. donovani promotes the output from the bone marrow of monocytes with a regulatory phenotype that function as safe targets for the parasite. We also demonstrate that splenic myeloid cells acquire MDSC-like function in a HIF-1α-dependent manner. HIF-1α is also involved in driving the polarization towards M2-like macrophages and rendering intermediate stage monocytes more susceptible to L. donovani infection. Our results suggest that HIF-1α is a major player in the establishment of chronic Leishmania infection and is crucial for enhancing immunosuppressive functions and lowering leishmanicidal capacity of myeloid cells.","DOI":"10.1371/journal.ppat.1006616","ISSN":"1553-7374","note":"PMID: 28892492\nPMCID: PMC5608422","journalAbbreviation":"PLoS Pathog.","language":"eng","author":[{"family":"Hammami","given":"Akil"},{"family":"Abidin","given":"Belma Melda"},{"family":"Charpentier","given":"Tania"},{"family":"Fabié","given":"Aymeric"},{"family":"Duguay","given":"Annie-Pier"},{"family":"Heinonen","given":"Krista M."},{"family":"Stäger","given":"Simona"}],"issued":{"date-parts":[["2017",9]]}},"locator":"-1"}],"schema":"https://github.com/citation-style-language/schema/raw/master/csl-citation.json"} </w:instrText>
      </w:r>
      <w:r w:rsidRPr="008B3AD6">
        <w:fldChar w:fldCharType="separate"/>
      </w:r>
      <w:r w:rsidRPr="008B3AD6">
        <w:rPr>
          <w:u w:val="dash"/>
          <w:lang w:val="en-US"/>
        </w:rPr>
        <w:t>(Shio et al. 2012; Arango Duque and Descoteaux 2015; Hammami et al. 2017)</w:t>
      </w:r>
      <w:r w:rsidRPr="008B3AD6">
        <w:fldChar w:fldCharType="end"/>
      </w:r>
      <w:r w:rsidRPr="008B3AD6">
        <w:rPr>
          <w:b/>
          <w:color w:val="FF0000"/>
        </w:rPr>
        <w:t xml:space="preserve"> </w:t>
      </w:r>
      <w:r w:rsidRPr="008B3AD6">
        <w:rPr>
          <w:color w:val="000000" w:themeColor="text1"/>
        </w:rPr>
        <w:t>allowing for its survival</w:t>
      </w:r>
      <w:r w:rsidRPr="008B3AD6">
        <w:t xml:space="preserve">. One of these methods is the subversion of macrophages to an M2 phenotype, which can also be achieved through detection of IL-10 or IL-4 + IL-13 </w:t>
      </w:r>
      <w:r w:rsidRPr="008B3AD6">
        <w:fldChar w:fldCharType="begin"/>
      </w:r>
      <w:r w:rsidRPr="008B3AD6">
        <w:instrText xml:space="preserve"> ADDIN ZOTERO_ITEM CSL_CITATION {"citationID":"zsxbFTnU","properties":{"formattedCitation":"(Martinez and Gordon 2014)","plainCitation":"(Martinez and Gordon 2014)","noteIndex":0},"citationItems":[{"id":2769,"uris":["http://zotero.org/users/2628971/items/T7D8ZWPS"],"uri":["http://zotero.org/users/2628971/items/T7D8ZWPS"],"itemData":{"id":2769,"type":"article-journal","title":"The M1 and M2 paradigm of macrophage activation: time for reassessment","container-title":"F1000prime Reports","page":"13","volume":"6","source":"PubMed","abstract":"Macrophages are endowed with a variety of receptors for lineage-determining growth factors, T helper (Th) cell cytokines, and B cell, host, and microbial products. In tissues, macrophages mature and are activated in a dynamic response to combinations of these stimuli to acquire specialized functional phenotypes. As for the lymphocyte system, a dichotomy has been proposed for macrophage activation: classic vs. alternative, also M1 and M2, respectively. In view of recent research about macrophage functions and the increasing number of immune-relevant ligands, a revision of the model is needed. Here, we assess how cytokines and pathogen signals influence their functional phenotypes and the evidence for M1 and M2 functions and revisit a paradigm initially based on the role of a restricted set of selected ligands in the immune response.","DOI":"10.12703/P6-13","ISSN":"2051-7599","note":"PMID: 24669294\nPMCID: PMC3944738","shortTitle":"The M1 and M2 paradigm of macrophage activation","journalAbbreviation":"F1000Prime Rep","language":"eng","author":[{"family":"Martinez","given":"Fernando O."},{"family":"Gordon","given":"Siamon"}],"issued":{"date-parts":[["2014"]]}}}],"schema":"https://github.com/citation-style-language/schema/raw/master/csl-citation.json"} </w:instrText>
      </w:r>
      <w:r w:rsidRPr="008B3AD6">
        <w:fldChar w:fldCharType="separate"/>
      </w:r>
      <w:r w:rsidR="00025067">
        <w:rPr>
          <w:lang w:val="en-US"/>
        </w:rPr>
        <w:t>(Martinez and Gordon 2014)</w:t>
      </w:r>
      <w:r w:rsidRPr="008B3AD6">
        <w:fldChar w:fldCharType="end"/>
      </w:r>
      <w:r w:rsidRPr="008B3AD6">
        <w:t>.</w:t>
      </w:r>
    </w:p>
    <w:p w14:paraId="108C5E8D" w14:textId="77777777" w:rsidR="00AB3115" w:rsidRPr="008B3AD6" w:rsidRDefault="00AB3115" w:rsidP="000E10DC">
      <w:pPr>
        <w:spacing w:line="360" w:lineRule="auto"/>
        <w:jc w:val="both"/>
      </w:pPr>
    </w:p>
    <w:p w14:paraId="41372C27" w14:textId="791E1FBA" w:rsidR="00AB3115" w:rsidRDefault="00AB3115" w:rsidP="000E10DC">
      <w:pPr>
        <w:spacing w:line="360" w:lineRule="auto"/>
        <w:jc w:val="both"/>
      </w:pPr>
      <w:r w:rsidRPr="008B3AD6">
        <w:t xml:space="preserve">The mature granuloma is required for strong </w:t>
      </w:r>
      <w:r w:rsidR="001A70D2" w:rsidRPr="008B3AD6">
        <w:t>IFN</w:t>
      </w:r>
      <w:r w:rsidR="001A70D2" w:rsidRPr="008B3AD6">
        <w:sym w:font="Symbol" w:char="F067"/>
      </w:r>
      <w:r w:rsidRPr="008B3AD6">
        <w:t xml:space="preserve"> production by the composite cell groups to ‘switch’ infected Kupffer cells from </w:t>
      </w:r>
      <w:r w:rsidR="00CF6AD5" w:rsidRPr="008B3AD6">
        <w:t xml:space="preserve">either </w:t>
      </w:r>
      <w:r w:rsidRPr="008B3AD6">
        <w:t xml:space="preserve">a deactivated </w:t>
      </w:r>
      <w:r w:rsidR="00E8627B">
        <w:t xml:space="preserve">(M2c) </w:t>
      </w:r>
      <w:r w:rsidRPr="008B3AD6">
        <w:t>or alternatively activated</w:t>
      </w:r>
      <w:r w:rsidR="00E8627B">
        <w:t xml:space="preserve"> (M2a)</w:t>
      </w:r>
      <w:r w:rsidRPr="008B3AD6">
        <w:t xml:space="preserve"> state into a pro-inflammatory state</w:t>
      </w:r>
      <w:r w:rsidR="00E8627B">
        <w:t xml:space="preserve"> (M1)</w:t>
      </w:r>
      <w:r w:rsidRPr="008B3AD6">
        <w:t xml:space="preserve">. In mice that lack the ability to produce reactive nitrogen species there is uncontrolled parasite growth, as compared to wild-type controls, highlighting the critical role of these species </w:t>
      </w:r>
      <w:r w:rsidR="004975BF" w:rsidRPr="008B3AD6">
        <w:fldChar w:fldCharType="begin"/>
      </w:r>
      <w:r w:rsidR="00E664D4" w:rsidRPr="008B3AD6">
        <w:instrText xml:space="preserve"> ADDIN ZOTERO_ITEM CSL_CITATION {"citationID":"EPI8kQda","properties":{"formattedCitation":"(H W Murray and Nathan 1999)","plainCitation":"(H W Murray and Nathan 1999)","noteIndex":0},"citationItems":[{"id":1229,"uris":["http://zotero.org/users/2628971/items/Q3C53C5V"],"uri":["http://zotero.org/users/2628971/items/Q3C53C5V"],"itemData":{"id":1229,"type":"article-journal","title":"Macrophage microbicidal mechanisms in vivo: reactive nitrogen versus oxygen intermediates in the killing of intracellular visceral Leishmania donovani.","container-title":"The Journal of experimental medicine","page":"741-6","volume":"189","issue":"4","abstract":"To determine the relative contributions of respiratory burst-derived reactive oxygen intermediates (ROI) versus reactive nitrogen intermediates (RNI) to macrophage-mediated intracellular host defense, mice genetically deficient in these mechanisms were challenged with Leishmania donovani, a protozoan that selectively parasitizes visceral tissue macrophages. During the early stage of liver infection at wk 2, both respiratory burst-deficient gp91(phox)-/- (X-linked chronic granulomatous disease [X-CGD]) mice and inducible nitric oxide synthase (iNOS) knockout (KO) mice displayed comparably increased susceptibility. Thereafter, infection was unrestrained in mice lacking iNOS but was fully controlled in X-CGD mice. Mononuclear cell influx into infected liver foci in X-CGD and iNOS KO mice was also overtly impaired at wk 2. However, granuloma assembly in parasitized tissue eventually developed in both hosts but with divergent effects: mature granulomas were functionally active (leishmanicidal) in X-CGD mice but inert in iNOS-deficient animals. These results suggest that (a) ROI and RNI probably act together in the early stage of intracellular infection to regulate both tissue recruitment of mononuclear inflammatory cells and the initial extent of microbial replication, (b) RNI alone are necessary and sufficient for eventual control of visceral infection, and (c) although mature granulomas have traditionally been associated with control of such infections, these structures fail to limit intracellular parasite replication in the absence of iNOS.","ISSN":"0022-1007","journalAbbreviation":"J Exp Med","author":[{"family":"Murray","given":"H W"},{"family":"Nathan","given":"C F"}],"issued":{"date-parts":[["1999"]]}}}],"schema":"https://github.com/citation-style-language/schema/raw/master/csl-citation.json"} </w:instrText>
      </w:r>
      <w:r w:rsidR="004975BF" w:rsidRPr="008B3AD6">
        <w:fldChar w:fldCharType="separate"/>
      </w:r>
      <w:r w:rsidR="00025067">
        <w:rPr>
          <w:lang w:val="en-US"/>
        </w:rPr>
        <w:t>(Murray and Nathan 1999)</w:t>
      </w:r>
      <w:r w:rsidR="004975BF" w:rsidRPr="008B3AD6">
        <w:fldChar w:fldCharType="end"/>
      </w:r>
      <w:r w:rsidR="009523E8" w:rsidRPr="008B3AD6">
        <w:t>. Conversely to IFN</w:t>
      </w:r>
      <w:r w:rsidR="009523E8" w:rsidRPr="008B3AD6">
        <w:sym w:font="Symbol" w:char="F067"/>
      </w:r>
      <w:r w:rsidR="00E8627B">
        <w:t>, IL-10</w:t>
      </w:r>
      <w:r w:rsidR="009523E8" w:rsidRPr="008B3AD6">
        <w:t xml:space="preserve"> promotes parasite survival within VL </w:t>
      </w:r>
      <w:r w:rsidR="005822D1" w:rsidRPr="008B3AD6">
        <w:fldChar w:fldCharType="begin"/>
      </w:r>
      <w:r w:rsidR="00025067">
        <w:instrText xml:space="preserve"> ADDIN ZOTERO_ITEM CSL_CITATION {"citationID":"1FRryrpL","properties":{"formattedCitation":"(Bhattacharyya et al. 2001; Murphy et al. 2001)","plainCitation":"(Bhattacharyya et al. 2001; Murphy et al. 2001)","noteIndex":0},"citationItems":[{"id":3767,"uris":["http://zotero.org/users/2628971/items/39J3RBPP"],"uri":["http://zotero.org/users/2628971/items/39J3RBPP"],"itemData":{"id":3767,"type":"article-journal","title":"Immunomodulatory Role of Interleukin-10 in Visceral Leishmaniasis:  Defective Activation of Protein Kinase C-Mediated  Signal Transduction Events","container-title":"Infection and Immunity","page":"1499-1507","volume":"69","issue":"3","source":"PubMed Central","abstract":"Leishmania donovani, an intracellular protozoan parasite, challenges host defense mechanisms by impairing the signal transduction of macrophages. In this study we investigated whether interleukin-10 (IL-10)-mediated alteration of signaling events in a murine model of visceral leishmaniasis is associated with macrophage deactivation. Primary in vitro cultures of macrophages infected with leishmanial parasites markedly elevated the endogenous release of IL-10. Treatment with either L. donovani or recombinant IL-10 (rIL-10) inhibited both the activity and expression of the Ca2+-dependent protein kinase C (PKC) isoform. However, preincubation with neutralizing anti-IL-10 monoclonal antibody (MAb) restored the PKC activity in the parasitized macrophage. Furthermore, we observed that coincubation of macrophages with rIL-10 and L. donovani increased the intracellular parasite burden, which was abrogated by anti-IL-10 MAb. Consistent with these observations, generation of superoxide (O2−) and nitric oxide and the release of murine tumor necrosis factor-α were attenuated in response to L. donovani or rIL-10 treatment. On the other hand, preincubation of the infected macrophages with neutralizing anti-IL-10 MAb significantly blocked the inhibition of nitric oxide and murine tumor necrosis factor-α release by the infected macrophages. These findings imply that infection with L. donovani induces endogenous secretion of murine IL-10, which in turn facilitates the intracellular survival of the protozoan and orchestrates several immunomodulatory roles via selective impairment of PKC-mediated signal transduction.","DOI":"10.1128/IAI.69.3.1499-1507.2001","ISSN":"0019-9567","note":"PMID: 11179319\nPMCID: PMC98048","shortTitle":"Immunomodulatory Role of Interleukin-10 in Visceral Leishmaniasis","journalAbbreviation":"Infect Immun","author":[{"family":"Bhattacharyya","given":"Sandip"},{"family":"Ghosh","given":"Sanjukta"},{"family":"Jhonson","given":"Patti L."},{"family":"Bhattacharya","given":"Syamal K."},{"family":"Majumdar","given":"Subrata"}],"issued":{"date-parts":[["2001",3]]}}},{"id":3760,"uris":["http://zotero.org/users/2628971/items/GBC8MGQX"],"uri":["http://zotero.org/users/2628971/items/GBC8MGQX"],"itemData":{"id":3760,"type":"article-journal","title":"IL-10 mediates susceptibility to Leishmania donovani infection","container-title":"European Journal of Immunology","page":"2848-2856","volume":"31","issue":"10","source":"Wiley Online Library","abstract":"Human visceral leishmaniasis (VL) results in a severe and potentially fatal systemic disease, accompanied by cellular immune depression. The production of IL-10 correlates with ongoing diseaseand it has been suggested that the cellular immune depression that accompanies active disease may be due to a predominance of IL-10 production rather than a lack of IFN-γ production, which is essential for optimal macrophage activation and parasite elimination. To examine the role of IL-10 in resistance during L. donovani infection (a causative agent of VL), the course of infection was examined in mice lacking the gene for IL-10. BALB/c IL-10-/-, as well as C57BL/6 IL-10-/- mice, were highly resistant to L. donovani infection, asevidenced by liver parasite burdens which were tenfold lower than those in control mice after 14 days of infection. Enhanced resistance was accompanied by increased production of IFN-γ and nitric oxide in BALB/c IL-10-/- mice. Susceptibility to infection in BALB/c IL-10-/- mice was enhanced following in vivo treatment with a neutralizing antibody to IFN-γ or IL-12. Together these studies demonstrate for the first time that IL-10 is a critical component of the immune response that inhibits resistance to L. donovani.","DOI":"10.1002/1521-4141(2001010)31:10&lt;2848::AID-IMMU2848&gt;3.0.CO;2-T","ISSN":"1521-4141","language":"en","author":[{"family":"Murphy","given":"Michaela L."},{"family":"Wille","given":"Ulrike"},{"family":"Villegas","given":"Eric N."},{"family":"Hunter","given":"Christopher A."},{"family":"Farrell","given":"Jay P."}],"issued":{"date-parts":[["2001",10,1]]}}}],"schema":"https://github.com/citation-style-language/schema/raw/master/csl-citation.json"} </w:instrText>
      </w:r>
      <w:r w:rsidR="005822D1" w:rsidRPr="008B3AD6">
        <w:fldChar w:fldCharType="separate"/>
      </w:r>
      <w:r w:rsidR="00025067" w:rsidRPr="00025067">
        <w:rPr>
          <w:lang w:val="en-US"/>
        </w:rPr>
        <w:t>(Bhattacharyya et al. 2001; Murphy et al. 2001)</w:t>
      </w:r>
      <w:r w:rsidR="005822D1" w:rsidRPr="008B3AD6">
        <w:fldChar w:fldCharType="end"/>
      </w:r>
      <w:r w:rsidR="005D57BB">
        <w:t>. Mice deficient for IL-10 (</w:t>
      </w:r>
      <w:r w:rsidR="005D57BB" w:rsidRPr="005D57BB">
        <w:rPr>
          <w:i/>
        </w:rPr>
        <w:t>Il10</w:t>
      </w:r>
      <w:r w:rsidR="009523E8" w:rsidRPr="008B3AD6">
        <w:t xml:space="preserve"> null mutant mice) are highly resistant to </w:t>
      </w:r>
      <w:r w:rsidR="009523E8" w:rsidRPr="008B3AD6">
        <w:rPr>
          <w:i/>
        </w:rPr>
        <w:t>L. donovani</w:t>
      </w:r>
      <w:r w:rsidR="009523E8" w:rsidRPr="008B3AD6">
        <w:t xml:space="preserve"> infection with increased IFN</w:t>
      </w:r>
      <w:r w:rsidR="009523E8" w:rsidRPr="008B3AD6">
        <w:sym w:font="Symbol" w:char="F067"/>
      </w:r>
      <w:r w:rsidR="009523E8" w:rsidRPr="008B3AD6">
        <w:t xml:space="preserve"> and nitric oxide production associated with this deficiency</w:t>
      </w:r>
      <w:r w:rsidR="005822D1" w:rsidRPr="008B3AD6">
        <w:t xml:space="preserve"> </w:t>
      </w:r>
      <w:r w:rsidR="005822D1" w:rsidRPr="008B3AD6">
        <w:fldChar w:fldCharType="begin"/>
      </w:r>
      <w:r w:rsidR="00025067">
        <w:instrText xml:space="preserve"> ADDIN ZOTERO_ITEM CSL_CITATION {"citationID":"i24eClc2","properties":{"formattedCitation":"(Murphy et al. 2001)","plainCitation":"(Murphy et al. 2001)","noteIndex":0},"citationItems":[{"id":3760,"uris":["http://zotero.org/users/2628971/items/GBC8MGQX"],"uri":["http://zotero.org/users/2628971/items/GBC8MGQX"],"itemData":{"id":3760,"type":"article-journal","title":"IL-10 mediates susceptibility to Leishmania donovani infection","container-title":"European Journal of Immunology","page":"2848-2856","volume":"31","issue":"10","source":"Wiley Online Library","abstract":"Human visceral leishmaniasis (VL) results in a severe and potentially fatal systemic disease, accompanied by cellular immune depression. The production of IL-10 correlates with ongoing diseaseand it has been suggested that the cellular immune depression that accompanies active disease may be due to a predominance of IL-10 production rather than a lack of IFN-γ production, which is essential for optimal macrophage activation and parasite elimination. To examine the role of IL-10 in resistance during L. donovani infection (a causative agent of VL), the course of infection was examined in mice lacking the gene for IL-10. BALB/c IL-10-/-, as well as C57BL/6 IL-10-/- mice, were highly resistant to L. donovani infection, asevidenced by liver parasite burdens which were tenfold lower than those in control mice after 14 days of infection. Enhanced resistance was accompanied by increased production of IFN-γ and nitric oxide in BALB/c IL-10-/- mice. Susceptibility to infection in BALB/c IL-10-/- mice was enhanced following in vivo treatment with a neutralizing antibody to IFN-γ or IL-12. Together these studies demonstrate for the first time that IL-10 is a critical component of the immune response that inhibits resistance to L. donovani.","DOI":"10.1002/1521-4141(2001010)31:10&lt;2848::AID-IMMU2848&gt;3.0.CO;2-T","ISSN":"1521-4141","language":"en","author":[{"family":"Murphy","given":"Michaela L."},{"family":"Wille","given":"Ulrike"},{"family":"Villegas","given":"Eric N."},{"family":"Hunter","given":"Christopher A."},{"family":"Farrell","given":"Jay P."}],"issued":{"date-parts":[["2001",10,1]]}}}],"schema":"https://github.com/citation-style-language/schema/raw/master/csl-citation.json"} </w:instrText>
      </w:r>
      <w:r w:rsidR="005822D1" w:rsidRPr="008B3AD6">
        <w:fldChar w:fldCharType="separate"/>
      </w:r>
      <w:r w:rsidR="00025067" w:rsidRPr="00025067">
        <w:rPr>
          <w:lang w:val="en-US"/>
        </w:rPr>
        <w:t>(Murphy et al. 2001)</w:t>
      </w:r>
      <w:r w:rsidR="005822D1" w:rsidRPr="008B3AD6">
        <w:fldChar w:fldCharType="end"/>
      </w:r>
      <w:r w:rsidR="005822D1" w:rsidRPr="008B3AD6">
        <w:t xml:space="preserve"> and an enhanced Th</w:t>
      </w:r>
      <w:r w:rsidR="005822D1" w:rsidRPr="008B3AD6">
        <w:rPr>
          <w:vertAlign w:val="subscript"/>
        </w:rPr>
        <w:t>1</w:t>
      </w:r>
      <w:r w:rsidR="005822D1" w:rsidRPr="008B3AD6">
        <w:t xml:space="preserve"> response </w:t>
      </w:r>
      <w:r w:rsidR="005822D1" w:rsidRPr="008B3AD6">
        <w:fldChar w:fldCharType="begin"/>
      </w:r>
      <w:r w:rsidR="00025067">
        <w:instrText xml:space="preserve"> ADDIN ZOTERO_ITEM CSL_CITATION {"citationID":"FkCA4Ru7","properties":{"formattedCitation":"(Henry W. Murray 2008)","plainCitation":"(Henry W. Murray 2008)","noteIndex":0},"citationItems":[{"id":3763,"uris":["http://zotero.org/users/2628971/items/ZLXUTVHM"],"uri":["http://zotero.org/users/2628971/items/ZLXUTVHM"],"itemData":{"id":3763,"type":"article-journal","title":"Accelerated Control of Visceral Leishmania donovani Infection in Interleukin-6-Deficient Mice","container-title":"Infection and Immunity","page":"4088-4091","volume":"76","issue":"9","source":"iai.asm.org","abstract":"In patients with visceral leishmaniasis, increased levels of circulating interleukin-6 (IL-6) regularly accompany fully expressed, progressive infections (kala-azar). To experimentally test the role of IL-6, responses to an intracellular Leishmania donovani infection in the livers of IL-6−/− and wild-type mice were compared. IL-6−/− mice showed an enhanced control of the infection and earlier, rapid parasite killing along with additional evidence of a stimulated antileishmanial Th1-cell-type response: increased levels of circulating gamma interferon, accelerated granuloma assembly, and heightened responsiveness to chemotherapy. In this model of visceral leishmaniasis, IL-6 appears to act in a suppressive, macrophage-deactivating fashion, which identifies it as a potential target for therapeutic blockade.","DOI":"10.1128/IAI.00490-08","ISSN":"0019-9567, 1098-5522","note":"PMID: 18573898","language":"en","author":[{"family":"Murray","given":"Henry W."}],"issued":{"date-parts":[["2008",9,1]]}}}],"schema":"https://github.com/citation-style-language/schema/raw/master/csl-citation.json"} </w:instrText>
      </w:r>
      <w:r w:rsidR="005822D1" w:rsidRPr="008B3AD6">
        <w:fldChar w:fldCharType="separate"/>
      </w:r>
      <w:r w:rsidR="00025067" w:rsidRPr="00025067">
        <w:rPr>
          <w:lang w:val="en-US"/>
        </w:rPr>
        <w:t>(Murray 2008)</w:t>
      </w:r>
      <w:r w:rsidR="005822D1" w:rsidRPr="008B3AD6">
        <w:fldChar w:fldCharType="end"/>
      </w:r>
      <w:r w:rsidR="009523E8" w:rsidRPr="008B3AD6">
        <w:t xml:space="preserve">. Albergante and colleagues suggested that </w:t>
      </w:r>
      <w:r w:rsidR="005D57BB">
        <w:t xml:space="preserve">the </w:t>
      </w:r>
      <w:r w:rsidR="005D57BB" w:rsidRPr="008B3AD6">
        <w:t>deactivation</w:t>
      </w:r>
      <w:r w:rsidR="005D57BB">
        <w:t xml:space="preserve"> of KCs,</w:t>
      </w:r>
      <w:r w:rsidR="009523E8" w:rsidRPr="008B3AD6">
        <w:t xml:space="preserve"> promoted by </w:t>
      </w:r>
      <w:r w:rsidR="009523E8" w:rsidRPr="008B3AD6">
        <w:rPr>
          <w:i/>
        </w:rPr>
        <w:t>L. donovani</w:t>
      </w:r>
      <w:r w:rsidR="00E8627B" w:rsidRPr="00E8627B">
        <w:t>,</w:t>
      </w:r>
      <w:r w:rsidR="009523E8" w:rsidRPr="008B3AD6">
        <w:t xml:space="preserve"> induced </w:t>
      </w:r>
      <w:r w:rsidR="005D57BB">
        <w:t xml:space="preserve">the </w:t>
      </w:r>
      <w:r w:rsidR="009523E8" w:rsidRPr="008B3AD6">
        <w:t xml:space="preserve">production of IL-10 </w:t>
      </w:r>
      <w:r w:rsidR="005D57BB">
        <w:t>which is</w:t>
      </w:r>
      <w:r w:rsidR="009523E8" w:rsidRPr="008B3AD6">
        <w:t xml:space="preserve"> one of the causations of </w:t>
      </w:r>
      <w:r w:rsidR="009523E8" w:rsidRPr="008B3AD6">
        <w:rPr>
          <w:i/>
        </w:rPr>
        <w:t>L. donovani</w:t>
      </w:r>
      <w:r w:rsidR="009523E8" w:rsidRPr="008B3AD6">
        <w:t xml:space="preserve"> survival in VL</w:t>
      </w:r>
      <w:r w:rsidR="005822D1" w:rsidRPr="008B3AD6">
        <w:t xml:space="preserve"> </w:t>
      </w:r>
      <w:r w:rsidR="005822D1" w:rsidRPr="008B3AD6">
        <w:fldChar w:fldCharType="begin"/>
      </w:r>
      <w:r w:rsidR="00025067">
        <w:instrText xml:space="preserve"> ADDIN ZOTERO_ITEM CSL_CITATION {"citationID":"UkH0P0v0","properties":{"formattedCitation":"(Albergante et al. 2013)","plainCitation":"(Albergante et al. 2013)","noteIndex":0},"citationItems":[{"id":2607,"uris":["http://zotero.org/users/2628971/items/V9Q4NYEZ"],"uri":["http://zotero.org/users/2628971/items/V9Q4NYEZ"],"itemData":{"id":2607,"type":"article-journal","title":"A Petri net model of granulomatous inflammation: implications for IL-10 mediated control of Leishmania donovani infection","container-title":"PLoS computational biology","page":"e1003334","volume":"9","issue":"11","source":"PubMed","abstract":"Experimental visceral leishmaniasis, caused by infection of mice with the protozoan parasite Leishmania donovani, is characterized by focal accumulation of inflammatory cells in the liver, forming discrete \"granulomas\" within which the parasite is eventually eliminated. To shed new light on fundamental aspects of granuloma formation and function, we have developed an in silico Petri net model that simulates hepatic granuloma development throughout the course of infection. The model was extensively validated by comparison with data derived from experimental studies in mice, and the model robustness was assessed by a sensitivity analysis. The model recapitulated the progression of disease as seen during experimental infection and also faithfully predicted many of the changes in cellular composition seen within granulomas over time. By conducting in silico experiments, we have identified a previously unappreciated level of inter-granuloma diversity in terms of the development of anti-leishmanial activity. Furthermore, by simulating the impact of IL-10 gene deficiency in a variety of lymphocyte and myeloid cell populations, our data suggest a dominant local regulatory role for IL-10 produced by infected Kupffer cells at the core of the granuloma.","DOI":"10.1371/journal.pcbi.1003334","ISSN":"1553-7358","note":"PMID: 24363630\nPMCID: PMC3867212","shortTitle":"A Petri net model of granulomatous inflammation","journalAbbreviation":"PLoS Comput. Biol.","language":"eng","author":[{"family":"Albergante","given":"Luca"},{"family":"Timmis","given":"Jon"},{"family":"Beattie","given":"Lynette"},{"family":"Kaye","given":"Paul M."}],"issued":{"date-parts":[["2013"]]}}}],"schema":"https://github.com/citation-style-language/schema/raw/master/csl-citation.json"} </w:instrText>
      </w:r>
      <w:r w:rsidR="005822D1" w:rsidRPr="008B3AD6">
        <w:fldChar w:fldCharType="separate"/>
      </w:r>
      <w:r w:rsidR="00025067" w:rsidRPr="00025067">
        <w:rPr>
          <w:lang w:val="en-US"/>
        </w:rPr>
        <w:t>(Albergante et al. 2013)</w:t>
      </w:r>
      <w:r w:rsidR="005822D1" w:rsidRPr="008B3AD6">
        <w:fldChar w:fldCharType="end"/>
      </w:r>
      <w:r w:rsidR="009523E8" w:rsidRPr="008B3AD6">
        <w:t>, however the induction of a Th</w:t>
      </w:r>
      <w:r w:rsidR="009523E8" w:rsidRPr="008B3AD6">
        <w:rPr>
          <w:vertAlign w:val="subscript"/>
        </w:rPr>
        <w:t>2</w:t>
      </w:r>
      <w:r w:rsidR="009523E8" w:rsidRPr="008B3AD6">
        <w:t xml:space="preserve"> response is </w:t>
      </w:r>
      <w:r w:rsidR="005822D1" w:rsidRPr="008B3AD6">
        <w:t xml:space="preserve">also a source for IL-10 production </w:t>
      </w:r>
      <w:r w:rsidR="00D45B5F" w:rsidRPr="008B3AD6">
        <w:fldChar w:fldCharType="begin"/>
      </w:r>
      <w:r w:rsidR="00025067">
        <w:instrText xml:space="preserve"> ADDIN ZOTERO_ITEM CSL_CITATION {"citationID":"Kj1KrUQ2","properties":{"formattedCitation":"(Couper, Blount, and Riley 2008)","plainCitation":"(Couper, Blount, and Riley 2008)","noteIndex":0},"citationItems":[{"id":3349,"uris":["http://zotero.org/users/2628971/items/LHEJWIDA"],"uri":["http://zotero.org/users/2628971/items/LHEJWIDA"],"itemData":{"id":3349,"type":"article-journal","title":"IL-10: The Master Regulator of Immunity to Infection","container-title":"The Journal of Immunology","page":"5771-5777","volume":"180","issue":"9","source":"www.jimmunol.org","abstract":"IL-10 is an anti-inflammatory cytokine. During infection it inhibits the activity of Th1 cells, NK cells, and macrophages, all of which are required for optimal pathogen clearance but also contribute to tissue damage. In consequence, IL-10 can both impede pathogen clearance and ameliorate immunopathology. Many different types of cells can produce IL-10, with the major source of IL-10 varying in different tissues or during acute or chronic stages of the same infection. The priming of these various IL-10-producing populations during infections is not well understood and it is not clear whether the cellular source of IL-10 during infection dictates its cellular target and thus its outcome. In this article we review the biology of IL-10, its cellular sources, and its role in viral, bacterial, and protozoal infections.","DOI":"10.4049/jimmunol.180.9.5771","ISSN":"0022-1767, 1550-6606","note":"PMID: 18424693","shortTitle":"IL-10","language":"en","author":[{"family":"Couper","given":"Kevin N."},{"family":"Blount","given":"Daniel G."},{"family":"Riley","given":"Eleanor M."}],"issued":{"date-parts":[["2008",5,1]]}}}],"schema":"https://github.com/citation-style-language/schema/raw/master/csl-citation.json"} </w:instrText>
      </w:r>
      <w:r w:rsidR="00D45B5F" w:rsidRPr="008B3AD6">
        <w:fldChar w:fldCharType="separate"/>
      </w:r>
      <w:r w:rsidR="00025067" w:rsidRPr="00025067">
        <w:rPr>
          <w:lang w:val="en-US"/>
        </w:rPr>
        <w:t>(Couper, Blount, and Riley 2008)</w:t>
      </w:r>
      <w:r w:rsidR="00D45B5F" w:rsidRPr="008B3AD6">
        <w:fldChar w:fldCharType="end"/>
      </w:r>
      <w:r w:rsidR="009523E8" w:rsidRPr="008B3AD6">
        <w:t>.</w:t>
      </w:r>
      <w:r w:rsidR="00D45B5F" w:rsidRPr="008B3AD6">
        <w:t xml:space="preserve"> </w:t>
      </w:r>
      <w:r w:rsidR="0074700A">
        <w:rPr>
          <w:b/>
        </w:rPr>
        <w:fldChar w:fldCharType="begin"/>
      </w:r>
      <w:r w:rsidR="0074700A">
        <w:rPr>
          <w:b/>
        </w:rPr>
        <w:instrText xml:space="preserve"> REF _Ref523921819  \* MERGEFORMAT </w:instrText>
      </w:r>
      <w:r w:rsidR="0074700A">
        <w:rPr>
          <w:b/>
        </w:rPr>
        <w:fldChar w:fldCharType="separate"/>
      </w:r>
      <w:r w:rsidR="00C46DBF" w:rsidRPr="00C46DBF">
        <w:rPr>
          <w:b/>
        </w:rPr>
        <w:t xml:space="preserve">Figure </w:t>
      </w:r>
      <w:r w:rsidR="00C46DBF" w:rsidRPr="00C46DBF">
        <w:rPr>
          <w:b/>
          <w:noProof/>
        </w:rPr>
        <w:t>1.3</w:t>
      </w:r>
      <w:r w:rsidR="0074700A">
        <w:rPr>
          <w:b/>
          <w:noProof/>
        </w:rPr>
        <w:fldChar w:fldCharType="end"/>
      </w:r>
      <w:r w:rsidR="00D45B5F" w:rsidRPr="008B3AD6">
        <w:t xml:space="preserve"> summarises the progression from the initiation of infection through to granuloma maturation and sterilisation.</w:t>
      </w:r>
      <w:r w:rsidR="009523E8" w:rsidRPr="008B3AD6">
        <w:t xml:space="preserve"> </w:t>
      </w:r>
      <w:r w:rsidR="007842A9" w:rsidRPr="008B3AD6">
        <w:t xml:space="preserve">Whilst in some murine models, such as the C57BL/6, resolution of hepatic parasite burden occurs naturally, </w:t>
      </w:r>
      <w:r w:rsidR="007842A9" w:rsidRPr="008B3AD6">
        <w:lastRenderedPageBreak/>
        <w:t xml:space="preserve">this process can be expedited by the administration of therapeutic agents discussed </w:t>
      </w:r>
      <w:r w:rsidR="00000EC4" w:rsidRPr="00000EC4">
        <w:rPr>
          <w:noProof/>
        </w:rPr>
        <w:drawing>
          <wp:anchor distT="0" distB="0" distL="114300" distR="114300" simplePos="0" relativeHeight="252154880" behindDoc="0" locked="0" layoutInCell="1" allowOverlap="1" wp14:anchorId="440B7359" wp14:editId="525D0321">
            <wp:simplePos x="0" y="0"/>
            <wp:positionH relativeFrom="column">
              <wp:posOffset>-26346</wp:posOffset>
            </wp:positionH>
            <wp:positionV relativeFrom="paragraph">
              <wp:posOffset>1226126</wp:posOffset>
            </wp:positionV>
            <wp:extent cx="5575935" cy="2120265"/>
            <wp:effectExtent l="0" t="0" r="0" b="635"/>
            <wp:wrapTopAndBottom/>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575935" cy="2120265"/>
                    </a:xfrm>
                    <a:prstGeom prst="rect">
                      <a:avLst/>
                    </a:prstGeom>
                  </pic:spPr>
                </pic:pic>
              </a:graphicData>
            </a:graphic>
            <wp14:sizeRelH relativeFrom="page">
              <wp14:pctWidth>0</wp14:pctWidth>
            </wp14:sizeRelH>
            <wp14:sizeRelV relativeFrom="page">
              <wp14:pctHeight>0</wp14:pctHeight>
            </wp14:sizeRelV>
          </wp:anchor>
        </w:drawing>
      </w:r>
      <w:r w:rsidR="00646486" w:rsidRPr="008B3AD6">
        <w:t xml:space="preserve">in Section </w:t>
      </w:r>
      <w:r w:rsidR="000832A5" w:rsidRPr="008B3AD6">
        <w:fldChar w:fldCharType="begin"/>
      </w:r>
      <w:r w:rsidR="000832A5" w:rsidRPr="008B3AD6">
        <w:instrText xml:space="preserve"> REF _Ref523316869 \n </w:instrText>
      </w:r>
      <w:r w:rsidR="004C0876" w:rsidRPr="008B3AD6">
        <w:instrText xml:space="preserve"> \* MERGEFORMAT </w:instrText>
      </w:r>
      <w:r w:rsidR="000832A5" w:rsidRPr="008B3AD6">
        <w:fldChar w:fldCharType="separate"/>
      </w:r>
      <w:r w:rsidR="00031DCA">
        <w:t>1.2.6</w:t>
      </w:r>
      <w:r w:rsidR="000832A5" w:rsidRPr="008B3AD6">
        <w:fldChar w:fldCharType="end"/>
      </w:r>
      <w:r w:rsidR="007842A9" w:rsidRPr="008B3AD6">
        <w:t>.</w:t>
      </w:r>
      <w:r w:rsidR="004C0876" w:rsidRPr="008B3AD6">
        <w:t xml:space="preserve"> </w:t>
      </w:r>
    </w:p>
    <w:p w14:paraId="403D96A1" w14:textId="3624A49D" w:rsidR="006F1AF5" w:rsidRPr="008B3AD6" w:rsidRDefault="006F1AF5" w:rsidP="000E10DC">
      <w:pPr>
        <w:spacing w:line="360" w:lineRule="auto"/>
        <w:jc w:val="both"/>
      </w:pPr>
    </w:p>
    <w:p w14:paraId="1E8EE60B" w14:textId="36CBE54A" w:rsidR="003065A4" w:rsidRPr="008B3AD6" w:rsidRDefault="00CF6F99" w:rsidP="00646486">
      <w:pPr>
        <w:pStyle w:val="Heading4"/>
      </w:pPr>
      <w:bookmarkStart w:id="38" w:name="_Toc3716050"/>
      <w:r>
        <w:rPr>
          <w:noProof/>
        </w:rPr>
        <mc:AlternateContent>
          <mc:Choice Requires="wps">
            <w:drawing>
              <wp:anchor distT="0" distB="0" distL="114300" distR="114300" simplePos="0" relativeHeight="251955200" behindDoc="0" locked="0" layoutInCell="1" allowOverlap="1" wp14:anchorId="5B0C929B" wp14:editId="554DEB38">
                <wp:simplePos x="0" y="0"/>
                <wp:positionH relativeFrom="column">
                  <wp:posOffset>-42545</wp:posOffset>
                </wp:positionH>
                <wp:positionV relativeFrom="paragraph">
                  <wp:posOffset>2712183</wp:posOffset>
                </wp:positionV>
                <wp:extent cx="5575935" cy="659765"/>
                <wp:effectExtent l="0" t="0" r="0" b="635"/>
                <wp:wrapTopAndBottom/>
                <wp:docPr id="156" name="Text Box 156"/>
                <wp:cNvGraphicFramePr/>
                <a:graphic xmlns:a="http://schemas.openxmlformats.org/drawingml/2006/main">
                  <a:graphicData uri="http://schemas.microsoft.com/office/word/2010/wordprocessingShape">
                    <wps:wsp>
                      <wps:cNvSpPr txBox="1"/>
                      <wps:spPr>
                        <a:xfrm>
                          <a:off x="0" y="0"/>
                          <a:ext cx="5575935" cy="659765"/>
                        </a:xfrm>
                        <a:prstGeom prst="rect">
                          <a:avLst/>
                        </a:prstGeom>
                        <a:solidFill>
                          <a:prstClr val="white"/>
                        </a:solidFill>
                        <a:ln>
                          <a:noFill/>
                        </a:ln>
                      </wps:spPr>
                      <wps:txbx>
                        <w:txbxContent>
                          <w:p w14:paraId="59FA9A67" w14:textId="2E015DF7" w:rsidR="00F61130" w:rsidRPr="006F1AF5" w:rsidRDefault="00F61130" w:rsidP="00EA2579">
                            <w:pPr>
                              <w:pStyle w:val="Caption"/>
                              <w:spacing w:line="360" w:lineRule="auto"/>
                              <w:jc w:val="both"/>
                              <w:rPr>
                                <w:sz w:val="20"/>
                                <w:szCs w:val="20"/>
                              </w:rPr>
                            </w:pPr>
                            <w:bookmarkStart w:id="39" w:name="_Ref523921819"/>
                            <w:bookmarkStart w:id="40" w:name="_Toc525227183"/>
                            <w:bookmarkStart w:id="41" w:name="_Toc536814122"/>
                            <w:r w:rsidRPr="006F1AF5">
                              <w:rPr>
                                <w:b/>
                                <w:sz w:val="20"/>
                                <w:szCs w:val="20"/>
                              </w:rPr>
                              <w:t xml:space="preserve">Figure </w:t>
                            </w:r>
                            <w:r>
                              <w:rPr>
                                <w:b/>
                                <w:sz w:val="20"/>
                                <w:szCs w:val="20"/>
                              </w:rPr>
                              <w:fldChar w:fldCharType="begin"/>
                            </w:r>
                            <w:r>
                              <w:rPr>
                                <w:b/>
                                <w:sz w:val="20"/>
                                <w:szCs w:val="20"/>
                              </w:rPr>
                              <w:instrText xml:space="preserve"> STYLEREF 1 \s </w:instrText>
                            </w:r>
                            <w:r>
                              <w:rPr>
                                <w:b/>
                                <w:sz w:val="20"/>
                                <w:szCs w:val="20"/>
                              </w:rPr>
                              <w:fldChar w:fldCharType="separate"/>
                            </w:r>
                            <w:r>
                              <w:rPr>
                                <w:b/>
                                <w:noProof/>
                                <w:sz w:val="20"/>
                                <w:szCs w:val="20"/>
                              </w:rPr>
                              <w:t>1</w:t>
                            </w:r>
                            <w:r>
                              <w:rPr>
                                <w:b/>
                                <w:sz w:val="20"/>
                                <w:szCs w:val="20"/>
                              </w:rPr>
                              <w:fldChar w:fldCharType="end"/>
                            </w:r>
                            <w:r>
                              <w:rPr>
                                <w:b/>
                                <w:sz w:val="20"/>
                                <w:szCs w:val="20"/>
                              </w:rPr>
                              <w:t>.</w:t>
                            </w:r>
                            <w:r>
                              <w:rPr>
                                <w:b/>
                                <w:sz w:val="20"/>
                                <w:szCs w:val="20"/>
                              </w:rPr>
                              <w:fldChar w:fldCharType="begin"/>
                            </w:r>
                            <w:r>
                              <w:rPr>
                                <w:b/>
                                <w:sz w:val="20"/>
                                <w:szCs w:val="20"/>
                              </w:rPr>
                              <w:instrText xml:space="preserve"> SEQ Figure \* ARABIC \s 1 </w:instrText>
                            </w:r>
                            <w:r>
                              <w:rPr>
                                <w:b/>
                                <w:sz w:val="20"/>
                                <w:szCs w:val="20"/>
                              </w:rPr>
                              <w:fldChar w:fldCharType="separate"/>
                            </w:r>
                            <w:r>
                              <w:rPr>
                                <w:b/>
                                <w:noProof/>
                                <w:sz w:val="20"/>
                                <w:szCs w:val="20"/>
                              </w:rPr>
                              <w:t>3</w:t>
                            </w:r>
                            <w:r>
                              <w:rPr>
                                <w:b/>
                                <w:sz w:val="20"/>
                                <w:szCs w:val="20"/>
                              </w:rPr>
                              <w:fldChar w:fldCharType="end"/>
                            </w:r>
                            <w:bookmarkEnd w:id="39"/>
                            <w:r w:rsidRPr="006F1AF5">
                              <w:rPr>
                                <w:b/>
                                <w:sz w:val="20"/>
                                <w:szCs w:val="20"/>
                              </w:rPr>
                              <w:t xml:space="preserve"> - Hepatic Granuloma Formation during Experimental Visceral Leishmaniasis.</w:t>
                            </w:r>
                            <w:r>
                              <w:rPr>
                                <w:b/>
                                <w:sz w:val="20"/>
                                <w:szCs w:val="20"/>
                              </w:rPr>
                              <w:t xml:space="preserve"> </w:t>
                            </w:r>
                            <w:r>
                              <w:rPr>
                                <w:sz w:val="20"/>
                                <w:szCs w:val="20"/>
                              </w:rPr>
                              <w:t xml:space="preserve">The progressive schematic denotes a generalised immune response in the liver of the murine EVL introduced in Sections </w:t>
                            </w:r>
                            <w:r>
                              <w:rPr>
                                <w:sz w:val="20"/>
                                <w:szCs w:val="20"/>
                              </w:rPr>
                              <w:fldChar w:fldCharType="begin"/>
                            </w:r>
                            <w:r>
                              <w:rPr>
                                <w:sz w:val="20"/>
                                <w:szCs w:val="20"/>
                              </w:rPr>
                              <w:instrText xml:space="preserve"> REF _Ref523921599 \n </w:instrText>
                            </w:r>
                            <w:r>
                              <w:rPr>
                                <w:sz w:val="20"/>
                                <w:szCs w:val="20"/>
                              </w:rPr>
                              <w:fldChar w:fldCharType="separate"/>
                            </w:r>
                            <w:r>
                              <w:rPr>
                                <w:sz w:val="20"/>
                                <w:szCs w:val="20"/>
                              </w:rPr>
                              <w:t>1.2.5.1</w:t>
                            </w:r>
                            <w:r>
                              <w:rPr>
                                <w:sz w:val="20"/>
                                <w:szCs w:val="20"/>
                              </w:rPr>
                              <w:fldChar w:fldCharType="end"/>
                            </w:r>
                            <w:r>
                              <w:rPr>
                                <w:sz w:val="20"/>
                                <w:szCs w:val="20"/>
                              </w:rPr>
                              <w:t xml:space="preserve">, </w:t>
                            </w:r>
                            <w:r>
                              <w:rPr>
                                <w:sz w:val="20"/>
                                <w:szCs w:val="20"/>
                              </w:rPr>
                              <w:fldChar w:fldCharType="begin"/>
                            </w:r>
                            <w:r>
                              <w:rPr>
                                <w:sz w:val="20"/>
                                <w:szCs w:val="20"/>
                              </w:rPr>
                              <w:instrText xml:space="preserve"> REF _Ref523921602 \n </w:instrText>
                            </w:r>
                            <w:r>
                              <w:rPr>
                                <w:sz w:val="20"/>
                                <w:szCs w:val="20"/>
                              </w:rPr>
                              <w:fldChar w:fldCharType="separate"/>
                            </w:r>
                            <w:r>
                              <w:rPr>
                                <w:sz w:val="20"/>
                                <w:szCs w:val="20"/>
                              </w:rPr>
                              <w:t>1.2.5.2</w:t>
                            </w:r>
                            <w:r>
                              <w:rPr>
                                <w:sz w:val="20"/>
                                <w:szCs w:val="20"/>
                              </w:rPr>
                              <w:fldChar w:fldCharType="end"/>
                            </w:r>
                            <w:r>
                              <w:rPr>
                                <w:sz w:val="20"/>
                                <w:szCs w:val="20"/>
                              </w:rPr>
                              <w:t xml:space="preserve"> and </w:t>
                            </w:r>
                            <w:r>
                              <w:rPr>
                                <w:sz w:val="20"/>
                                <w:szCs w:val="20"/>
                              </w:rPr>
                              <w:fldChar w:fldCharType="begin"/>
                            </w:r>
                            <w:r>
                              <w:rPr>
                                <w:sz w:val="20"/>
                                <w:szCs w:val="20"/>
                              </w:rPr>
                              <w:instrText xml:space="preserve"> REF _Ref523921603 \n </w:instrText>
                            </w:r>
                            <w:r>
                              <w:rPr>
                                <w:sz w:val="20"/>
                                <w:szCs w:val="20"/>
                              </w:rPr>
                              <w:fldChar w:fldCharType="separate"/>
                            </w:r>
                            <w:r>
                              <w:rPr>
                                <w:sz w:val="20"/>
                                <w:szCs w:val="20"/>
                              </w:rPr>
                              <w:t>1.2.5.3</w:t>
                            </w:r>
                            <w:r>
                              <w:rPr>
                                <w:sz w:val="20"/>
                                <w:szCs w:val="20"/>
                              </w:rPr>
                              <w:fldChar w:fldCharType="end"/>
                            </w:r>
                            <w:r>
                              <w:rPr>
                                <w:sz w:val="20"/>
                                <w:szCs w:val="20"/>
                              </w:rPr>
                              <w:t>.</w:t>
                            </w:r>
                            <w:bookmarkEnd w:id="40"/>
                            <w:bookmarkEnd w:id="41"/>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5B0C929B" id="Text Box 156" o:spid="_x0000_s1028" type="#_x0000_t202" style="position:absolute;left:0;text-align:left;margin-left:-3.35pt;margin-top:213.55pt;width:439.05pt;height:51.95pt;z-index:2519552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KszW0MgIAAGsEAAAOAAAAZHJzL2Uyb0RvYy54bWysVFFv2yAQfp+0/4B4X5xkcrpacaosVaZJ&#13;&#10;VVspmfpMMI6RgGNAYme/fge2063b07QXfNwdB9/33Xl512lFzsJ5Caaks8mUEmE4VNIcS/ptv/3w&#13;&#10;iRIfmKmYAiNKehGe3q3ev1u2thBzaEBVwhEsYnzR2pI2IdgiyzxvhGZ+AlYYDNbgNAu4dcescqzF&#13;&#10;6lpl8+l0kbXgKuuAC+/Re98H6SrVr2vBw1NdexGIKim+LaTVpfUQ12y1ZMXRMdtIPjyD/cMrNJMG&#13;&#10;L72WumeBkZOTf5TSkjvwUIcJB51BXUsuEgZEM5u+QbNrmBUJC5Lj7ZUm///K8sfzsyOyQu3yBSWG&#13;&#10;aRRpL7pAPkNHog8Zaq0vMHFnMTV0GMDs0e/RGYF3tdPxi5AIxpHry5XfWI6jM89v8tuPOSUcY4v8&#13;&#10;9maRxzLZ62nrfPgiQJNolNShfolWdn7woU8dU+JlHpSstlKpuImBjXLkzFDrtpFBDMV/y1Im5hqI&#13;&#10;p/qC0ZNFiD2UaIXu0CVS5iPMA1QXRO+g7yBv+VbifQ/Mh2fmsGUQMI5BeMKlVtCWFAaLkgbcj7/5&#13;&#10;Yz4qiVFKWmzBkvrvJ+YEJeqrQY1jv46GG43DaJiT3gAineGAWZ5MPOCCGs3agX7B6VjHWzDEDMe7&#13;&#10;ShpGcxP6QcDp4mK9TknYlZaFB7OzPJYeed13L8zZQZWAej7C2JyseCNOn9uzvD4FqGVSLvLaszjQ&#13;&#10;jR2dtB+mL47Mr/uU9fqPWP0EAAD//wMAUEsDBBQABgAIAAAAIQBpxU0H4wAAAA8BAAAPAAAAZHJz&#13;&#10;L2Rvd25yZXYueG1sTE/PT4MwFL6b+D80z8SL2Qo4YWE8Fh1608PmsnNHKxDpK2nLYP+99aSXl3x5&#13;&#10;389iO+ueXZR1nSGEeBkBU1Qb2VGDcPx8W6yBOS9Iit6QQrgqB9vy9qYQuTQT7dXl4BsWTMjlAqH1&#13;&#10;fsg5d3WrtHBLMygKvy9jtfAB2oZLK6ZgrnueRFHKtegoJLRiULtW1d+HUSOklR2nPe0equPru/gY&#13;&#10;muT0cj0h3t/N1Sac5w0wr2b/p4DfDaE/lKHY2YwkHesRFmkWmAirJIuBBcI6i1fAzghPj3EEvCz4&#13;&#10;/x3lDwAAAP//AwBQSwECLQAUAAYACAAAACEAtoM4kv4AAADhAQAAEwAAAAAAAAAAAAAAAAAAAAAA&#13;&#10;W0NvbnRlbnRfVHlwZXNdLnhtbFBLAQItABQABgAIAAAAIQA4/SH/1gAAAJQBAAALAAAAAAAAAAAA&#13;&#10;AAAAAC8BAABfcmVscy8ucmVsc1BLAQItABQABgAIAAAAIQDKszW0MgIAAGsEAAAOAAAAAAAAAAAA&#13;&#10;AAAAAC4CAABkcnMvZTJvRG9jLnhtbFBLAQItABQABgAIAAAAIQBpxU0H4wAAAA8BAAAPAAAAAAAA&#13;&#10;AAAAAAAAAIwEAABkcnMvZG93bnJldi54bWxQSwUGAAAAAAQABADzAAAAnAUAAAAA&#13;&#10;" stroked="f">
                <v:textbox inset="0,0,0,0">
                  <w:txbxContent>
                    <w:p w14:paraId="59FA9A67" w14:textId="2E015DF7" w:rsidR="00F61130" w:rsidRPr="006F1AF5" w:rsidRDefault="00F61130" w:rsidP="00EA2579">
                      <w:pPr>
                        <w:pStyle w:val="Caption"/>
                        <w:spacing w:line="360" w:lineRule="auto"/>
                        <w:jc w:val="both"/>
                        <w:rPr>
                          <w:sz w:val="20"/>
                          <w:szCs w:val="20"/>
                        </w:rPr>
                      </w:pPr>
                      <w:bookmarkStart w:id="42" w:name="_Ref523921819"/>
                      <w:bookmarkStart w:id="43" w:name="_Toc525227183"/>
                      <w:bookmarkStart w:id="44" w:name="_Toc536814122"/>
                      <w:r w:rsidRPr="006F1AF5">
                        <w:rPr>
                          <w:b/>
                          <w:sz w:val="20"/>
                          <w:szCs w:val="20"/>
                        </w:rPr>
                        <w:t xml:space="preserve">Figure </w:t>
                      </w:r>
                      <w:r>
                        <w:rPr>
                          <w:b/>
                          <w:sz w:val="20"/>
                          <w:szCs w:val="20"/>
                        </w:rPr>
                        <w:fldChar w:fldCharType="begin"/>
                      </w:r>
                      <w:r>
                        <w:rPr>
                          <w:b/>
                          <w:sz w:val="20"/>
                          <w:szCs w:val="20"/>
                        </w:rPr>
                        <w:instrText xml:space="preserve"> STYLEREF 1 \s </w:instrText>
                      </w:r>
                      <w:r>
                        <w:rPr>
                          <w:b/>
                          <w:sz w:val="20"/>
                          <w:szCs w:val="20"/>
                        </w:rPr>
                        <w:fldChar w:fldCharType="separate"/>
                      </w:r>
                      <w:r>
                        <w:rPr>
                          <w:b/>
                          <w:noProof/>
                          <w:sz w:val="20"/>
                          <w:szCs w:val="20"/>
                        </w:rPr>
                        <w:t>1</w:t>
                      </w:r>
                      <w:r>
                        <w:rPr>
                          <w:b/>
                          <w:sz w:val="20"/>
                          <w:szCs w:val="20"/>
                        </w:rPr>
                        <w:fldChar w:fldCharType="end"/>
                      </w:r>
                      <w:r>
                        <w:rPr>
                          <w:b/>
                          <w:sz w:val="20"/>
                          <w:szCs w:val="20"/>
                        </w:rPr>
                        <w:t>.</w:t>
                      </w:r>
                      <w:r>
                        <w:rPr>
                          <w:b/>
                          <w:sz w:val="20"/>
                          <w:szCs w:val="20"/>
                        </w:rPr>
                        <w:fldChar w:fldCharType="begin"/>
                      </w:r>
                      <w:r>
                        <w:rPr>
                          <w:b/>
                          <w:sz w:val="20"/>
                          <w:szCs w:val="20"/>
                        </w:rPr>
                        <w:instrText xml:space="preserve"> SEQ Figure \* ARABIC \s 1 </w:instrText>
                      </w:r>
                      <w:r>
                        <w:rPr>
                          <w:b/>
                          <w:sz w:val="20"/>
                          <w:szCs w:val="20"/>
                        </w:rPr>
                        <w:fldChar w:fldCharType="separate"/>
                      </w:r>
                      <w:r>
                        <w:rPr>
                          <w:b/>
                          <w:noProof/>
                          <w:sz w:val="20"/>
                          <w:szCs w:val="20"/>
                        </w:rPr>
                        <w:t>3</w:t>
                      </w:r>
                      <w:r>
                        <w:rPr>
                          <w:b/>
                          <w:sz w:val="20"/>
                          <w:szCs w:val="20"/>
                        </w:rPr>
                        <w:fldChar w:fldCharType="end"/>
                      </w:r>
                      <w:bookmarkEnd w:id="42"/>
                      <w:r w:rsidRPr="006F1AF5">
                        <w:rPr>
                          <w:b/>
                          <w:sz w:val="20"/>
                          <w:szCs w:val="20"/>
                        </w:rPr>
                        <w:t xml:space="preserve"> - Hepatic Granuloma Formation during Experimental Visceral Leishmaniasis.</w:t>
                      </w:r>
                      <w:r>
                        <w:rPr>
                          <w:b/>
                          <w:sz w:val="20"/>
                          <w:szCs w:val="20"/>
                        </w:rPr>
                        <w:t xml:space="preserve"> </w:t>
                      </w:r>
                      <w:r>
                        <w:rPr>
                          <w:sz w:val="20"/>
                          <w:szCs w:val="20"/>
                        </w:rPr>
                        <w:t xml:space="preserve">The progressive schematic denotes a generalised immune response in the liver of the murine EVL introduced in Sections </w:t>
                      </w:r>
                      <w:r>
                        <w:rPr>
                          <w:sz w:val="20"/>
                          <w:szCs w:val="20"/>
                        </w:rPr>
                        <w:fldChar w:fldCharType="begin"/>
                      </w:r>
                      <w:r>
                        <w:rPr>
                          <w:sz w:val="20"/>
                          <w:szCs w:val="20"/>
                        </w:rPr>
                        <w:instrText xml:space="preserve"> REF _Ref523921599 \n </w:instrText>
                      </w:r>
                      <w:r>
                        <w:rPr>
                          <w:sz w:val="20"/>
                          <w:szCs w:val="20"/>
                        </w:rPr>
                        <w:fldChar w:fldCharType="separate"/>
                      </w:r>
                      <w:r>
                        <w:rPr>
                          <w:sz w:val="20"/>
                          <w:szCs w:val="20"/>
                        </w:rPr>
                        <w:t>1.2.5.1</w:t>
                      </w:r>
                      <w:r>
                        <w:rPr>
                          <w:sz w:val="20"/>
                          <w:szCs w:val="20"/>
                        </w:rPr>
                        <w:fldChar w:fldCharType="end"/>
                      </w:r>
                      <w:r>
                        <w:rPr>
                          <w:sz w:val="20"/>
                          <w:szCs w:val="20"/>
                        </w:rPr>
                        <w:t xml:space="preserve">, </w:t>
                      </w:r>
                      <w:r>
                        <w:rPr>
                          <w:sz w:val="20"/>
                          <w:szCs w:val="20"/>
                        </w:rPr>
                        <w:fldChar w:fldCharType="begin"/>
                      </w:r>
                      <w:r>
                        <w:rPr>
                          <w:sz w:val="20"/>
                          <w:szCs w:val="20"/>
                        </w:rPr>
                        <w:instrText xml:space="preserve"> REF _Ref523921602 \n </w:instrText>
                      </w:r>
                      <w:r>
                        <w:rPr>
                          <w:sz w:val="20"/>
                          <w:szCs w:val="20"/>
                        </w:rPr>
                        <w:fldChar w:fldCharType="separate"/>
                      </w:r>
                      <w:r>
                        <w:rPr>
                          <w:sz w:val="20"/>
                          <w:szCs w:val="20"/>
                        </w:rPr>
                        <w:t>1.2.5.2</w:t>
                      </w:r>
                      <w:r>
                        <w:rPr>
                          <w:sz w:val="20"/>
                          <w:szCs w:val="20"/>
                        </w:rPr>
                        <w:fldChar w:fldCharType="end"/>
                      </w:r>
                      <w:r>
                        <w:rPr>
                          <w:sz w:val="20"/>
                          <w:szCs w:val="20"/>
                        </w:rPr>
                        <w:t xml:space="preserve"> and </w:t>
                      </w:r>
                      <w:r>
                        <w:rPr>
                          <w:sz w:val="20"/>
                          <w:szCs w:val="20"/>
                        </w:rPr>
                        <w:fldChar w:fldCharType="begin"/>
                      </w:r>
                      <w:r>
                        <w:rPr>
                          <w:sz w:val="20"/>
                          <w:szCs w:val="20"/>
                        </w:rPr>
                        <w:instrText xml:space="preserve"> REF _Ref523921603 \n </w:instrText>
                      </w:r>
                      <w:r>
                        <w:rPr>
                          <w:sz w:val="20"/>
                          <w:szCs w:val="20"/>
                        </w:rPr>
                        <w:fldChar w:fldCharType="separate"/>
                      </w:r>
                      <w:r>
                        <w:rPr>
                          <w:sz w:val="20"/>
                          <w:szCs w:val="20"/>
                        </w:rPr>
                        <w:t>1.2.5.3</w:t>
                      </w:r>
                      <w:r>
                        <w:rPr>
                          <w:sz w:val="20"/>
                          <w:szCs w:val="20"/>
                        </w:rPr>
                        <w:fldChar w:fldCharType="end"/>
                      </w:r>
                      <w:r>
                        <w:rPr>
                          <w:sz w:val="20"/>
                          <w:szCs w:val="20"/>
                        </w:rPr>
                        <w:t>.</w:t>
                      </w:r>
                      <w:bookmarkEnd w:id="43"/>
                      <w:bookmarkEnd w:id="44"/>
                    </w:p>
                  </w:txbxContent>
                </v:textbox>
                <w10:wrap type="topAndBottom"/>
              </v:shape>
            </w:pict>
          </mc:Fallback>
        </mc:AlternateContent>
      </w:r>
      <w:r w:rsidR="00646486" w:rsidRPr="008B3AD6">
        <w:t>Other Models of Hepatic Infection</w:t>
      </w:r>
      <w:bookmarkEnd w:id="38"/>
    </w:p>
    <w:p w14:paraId="4AC393A5" w14:textId="77777777" w:rsidR="00CF6F99" w:rsidRDefault="00CF6F99" w:rsidP="00646486">
      <w:pPr>
        <w:spacing w:line="360" w:lineRule="auto"/>
        <w:jc w:val="both"/>
      </w:pPr>
    </w:p>
    <w:p w14:paraId="1F4303F6" w14:textId="5A5D5CF2" w:rsidR="00646486" w:rsidRPr="008B3AD6" w:rsidRDefault="00646486" w:rsidP="00646486">
      <w:pPr>
        <w:spacing w:line="360" w:lineRule="auto"/>
        <w:jc w:val="both"/>
      </w:pPr>
      <w:r w:rsidRPr="008B3AD6">
        <w:t xml:space="preserve">The description of the immune response introduced in this section has been derived through examination </w:t>
      </w:r>
      <w:r w:rsidR="00000EC4">
        <w:t xml:space="preserve">predominantly in murine models. </w:t>
      </w:r>
      <w:r w:rsidR="00C46DBF">
        <w:t>H</w:t>
      </w:r>
      <w:r w:rsidR="00C46DBF" w:rsidRPr="008B3AD6">
        <w:t>owever,</w:t>
      </w:r>
      <w:r w:rsidRPr="008B3AD6">
        <w:t xml:space="preserve"> these do not fully capture the pathological features of human disease. The Syrian golden hamster model is considered one of the best models of</w:t>
      </w:r>
      <w:r w:rsidR="00000EC4">
        <w:t xml:space="preserve"> severe</w:t>
      </w:r>
      <w:r w:rsidRPr="008B3AD6">
        <w:t xml:space="preserve"> </w:t>
      </w:r>
      <w:r w:rsidRPr="008B3AD6">
        <w:rPr>
          <w:i/>
        </w:rPr>
        <w:t>L. donovani</w:t>
      </w:r>
      <w:r w:rsidRPr="008B3AD6">
        <w:t xml:space="preserve"> and </w:t>
      </w:r>
      <w:r w:rsidRPr="008B3AD6">
        <w:rPr>
          <w:i/>
        </w:rPr>
        <w:t>L. infantum</w:t>
      </w:r>
      <w:r w:rsidRPr="008B3AD6">
        <w:t xml:space="preserve"> infection as the disease manifestation and clinical features matches those of human disease </w:t>
      </w:r>
      <w:r w:rsidRPr="008B3AD6">
        <w:fldChar w:fldCharType="begin"/>
      </w:r>
      <w:r w:rsidR="00025067">
        <w:instrText xml:space="preserve"> ADDIN ZOTERO_ITEM CSL_CITATION {"citationID":"Usnp7JqD","properties":{"formattedCitation":"(Lor\\uc0\\u237{}a-Cervera and Andrade-Narv\\uc0\\u225{}ez 2014)","plainCitation":"(Loría-Cervera and Andrade-Narváez 2014)","noteIndex":0},"citationItems":[{"id":3693,"uris":["http://zotero.org/users/2628971/items/6XM64K7L"],"uri":["http://zotero.org/users/2628971/items/6XM64K7L"],"itemData":{"id":3693,"type":"article-journal","title":"ANIMAL MODELS FOR THE STUDY OF LEISHMANIASIS IMMUNOLOGY","container-title":"Revista do Instituto de Medicina Tropical de São Paulo","page":"1-11","volume":"56","issue":"1","source":"PubMed Central","abstract":"Leishmaniasis remains a major public health problem worldwide and is\nclassified as Category I by the TDR/WHO, mainly due to the absence of control. Many\nexperimental models like rodents, dogs and monkeys have been developed, each with\nspecific features, in order to characterize the immune response to\nLeishmania species, but none reproduces the pathology observed in\nhuman disease. Conflicting data may arise in part because different parasite strains\nor species are being examined, different tissue targets (mice footpad, ear, or base\nof tail) are being infected, and different numbers (“low” 1×102 and “high”\n1×106) of metacyclic promastigotes have been inoculated. Recently, new\napproaches have been proposed to provide more meaningful data regarding the host\nresponse and pathogenesis that parallels human disease. The use of sand fly saliva\nand low numbers of parasites in experimental infections has led to mimic natural\ntransmission and find new molecules and immune mechanisms which should be considered\nwhen designing vaccines and control strategies. Moreover, the use of wild rodents as\nexperimental models has been proposed as a good alternative for studying the\nhost-pathogen relationships and for testing candidate vaccines. To date, using\nnatural reservoirs to study Leishmania infection has been\nchallenging because immunologic reagents for use in wild rodents are lacking. This\nreview discusses the principal immunological findings against\nLeishmania infection in different animal models highlighting the\nimportance of using experimental conditions similar to natural transmission and\nreservoir species as experimental models to study the immunopathology of the\ndisease.","DOI":"10.1590/S0036-46652014000100001","ISSN":"0036-4665","note":"PMID: 24553602\nPMCID: PMC4085833","journalAbbreviation":"Rev Inst Med Trop Sao Paulo","author":[{"family":"Loría-Cervera","given":"Elsy Nalleli"},{"family":"Andrade-Narváez","given":"Fernando José"}],"issued":{"date-parts":[["2014"]]}}}],"schema":"https://github.com/citation-style-language/schema/raw/master/csl-citation.json"} </w:instrText>
      </w:r>
      <w:r w:rsidRPr="008B3AD6">
        <w:fldChar w:fldCharType="separate"/>
      </w:r>
      <w:r w:rsidR="00025067" w:rsidRPr="00025067">
        <w:rPr>
          <w:lang w:val="en-US"/>
        </w:rPr>
        <w:t>(Loría-Cervera and Andrade-Narváez 2014)</w:t>
      </w:r>
      <w:r w:rsidRPr="008B3AD6">
        <w:fldChar w:fldCharType="end"/>
      </w:r>
      <w:r w:rsidRPr="008B3AD6">
        <w:t>. In the livers of these infected hamsters uncontrolled parasite replications occurs in the face of a strong Th</w:t>
      </w:r>
      <w:r w:rsidRPr="00E33764">
        <w:rPr>
          <w:vertAlign w:val="subscript"/>
        </w:rPr>
        <w:t>1</w:t>
      </w:r>
      <w:r w:rsidRPr="008B3AD6">
        <w:t xml:space="preserve"> response, characterised by a high </w:t>
      </w:r>
      <w:r w:rsidR="005D57BB">
        <w:t xml:space="preserve">mRNA expression of IL-2 </w:t>
      </w:r>
      <w:r w:rsidRPr="008B3AD6">
        <w:t>and IFN</w:t>
      </w:r>
      <w:r w:rsidRPr="008B3AD6">
        <w:sym w:font="Symbol" w:char="F067"/>
      </w:r>
      <w:r w:rsidRPr="008B3AD6">
        <w:t xml:space="preserve"> </w:t>
      </w:r>
      <w:r w:rsidRPr="008B3AD6">
        <w:fldChar w:fldCharType="begin"/>
      </w:r>
      <w:r w:rsidR="00025067">
        <w:instrText xml:space="preserve"> ADDIN ZOTERO_ITEM CSL_CITATION {"citationID":"bvh7qsp4","properties":{"formattedCitation":"(Melby et al. 1998)","plainCitation":"(Melby et al. 1998)","noteIndex":0},"citationItems":[{"id":3696,"uris":["http://zotero.org/users/2628971/items/Z4FXEQMX"],"uri":["http://zotero.org/users/2628971/items/Z4FXEQMX"],"itemData":{"id":3696,"type":"article-journal","title":"Cloning of Syrian hamster (Mesocricetus auratus) cytokine cDNAs and analysis of cytokine mRNA expression in experimental visceral leishmaniasis","container-title":"Infection and Immunity","page":"2135-2142","volume":"66","issue":"5","source":"PubMed","abstract":"The Syrian golden hamster (Mesocricetus auratus) is uniquely susceptible to a variety of intracellular pathogens and is an excellent model for a number of human infectious diseases. The molecular basis for this high level of susceptibility is unknown, and immunological studies related to this model have been limited by the lack of available reagents. In this report we describe the cloning and sequence analysis of portions of the Syrian hamster interleukin 2 (IL-2), IL-4, gamma interferon (IFN-gamma), tumor necrosis factor alpha, IL-10, IL-12p40, and transforming growth factor beta cDNAs. In addition, we examined the cytokine response to infection with the intracellular protozoan Leishmania donovani in this animal model. Sequence analysis of the hamster cytokines revealed 69 to 93% homology with the corresponding mouse, rat, and human nucleotide sequences and 48 to 100% homology with the deduced amino acid sequences. The hamster IFN-gamma, compared with the mouse and rat homologs, had an additional 17 amino acids at the C terminus that could decrease the biological activity of this molecule and thus contribute to the extreme susceptibility of this animal to intracellular pathogens. The splenic expression of these genes in response to infection with L. donovani, the cause of visceral leishmaniasis (VL), was determined by Northern blotting. VL in the hamster is a progressive, lethal disease which very closely mimics active human disease. In this model there was pronounced expression of the Th1 cytokine mRNAs, with transcripts being detected as early as 1 week postinfection. Basal expression of IL-4 in uninfected hamsters was prominent but did not increase in response to infection with L. donovani. IL-12 transcript expression was detected at low levels in infected animals and paralleled the expression of IFN-gamma. Expression of IL-10, a potent macrophage deactivator, increased throughout the course of infection and could contribute to the progressive nature of this infection. These initial studies are the first to examine the molecular immunopathogenesis of a hamster model of VL infection and indicate that progressive disease in this model of VL is not associated with early polarization of the splenic cellular immune response toward a Th2 phenotype and away from a Th1 phenotype.","ISSN":"0019-9567","note":"PMID: 9573100\nPMCID: PMC108174","journalAbbreviation":"Infect. Immun.","language":"eng","author":[{"family":"Melby","given":"P. C."},{"family":"Tryon","given":"V. V."},{"family":"Chandrasekar","given":"B."},{"family":"Freeman","given":"G. L."}],"issued":{"date-parts":[["1998",5]]}}}],"schema":"https://github.com/citation-style-language/schema/raw/master/csl-citation.json"} </w:instrText>
      </w:r>
      <w:r w:rsidRPr="008B3AD6">
        <w:fldChar w:fldCharType="separate"/>
      </w:r>
      <w:r w:rsidR="00025067" w:rsidRPr="00025067">
        <w:rPr>
          <w:lang w:val="en-US"/>
        </w:rPr>
        <w:t>(Melby et al. 1998)</w:t>
      </w:r>
      <w:r w:rsidRPr="008B3AD6">
        <w:fldChar w:fldCharType="end"/>
      </w:r>
      <w:r w:rsidRPr="008B3AD6">
        <w:t>. Whilst a Th</w:t>
      </w:r>
      <w:r w:rsidRPr="00E33764">
        <w:rPr>
          <w:vertAlign w:val="subscript"/>
        </w:rPr>
        <w:t>1</w:t>
      </w:r>
      <w:r w:rsidRPr="008B3AD6">
        <w:t xml:space="preserve"> response is instantiated and maintained, the proliferative response to antigenic stimulation in the liver is dysfunctional, attributed to the inability of APCs to stimulate T cell proliferation </w:t>
      </w:r>
      <w:r w:rsidRPr="008B3AD6">
        <w:fldChar w:fldCharType="begin"/>
      </w:r>
      <w:r w:rsidR="00025067">
        <w:instrText xml:space="preserve"> ADDIN ZOTERO_ITEM CSL_CITATION {"citationID":"U49Ck3sR","properties":{"formattedCitation":"(Rodrigues J\\uc0\\u250{}nior, Da Silva, and Campos-Neto 1992)","plainCitation":"(Rodrigues Júnior, Da Silva, and Campos-Neto 1992)","noteIndex":0},"citationItems":[{"id":3700,"uris":["http://zotero.org/users/2628971/items/6Y46W982"],"uri":["http://zotero.org/users/2628971/items/6Y46W982"],"itemData":{"id":3700,"type":"article-journal","title":"Selective inability of spleen antigen presenting cells from Leishmania donovani infected hamsters to mediate specific T cell proliferation to parasite antigens","container-title":"Parasite Immunology","page":"49-58","volume":"14","issue":"1","source":"PubMed","abstract":"Golden hamsters (Mesocricetus auratus) infected with Leishmania donovani develop a disease similar to human kala-azar. There is conspicuous hypergammaglobulinaemia and their T cells do not respond to stimulation by parasite antigens. The impairment of the cellular immune response seems to be restricted to parasite antigens since infected animals are able to develop a T cell response to the mitogen Concanavalin A (Con-A) and, after sensitization, to the antigens keyhole limpet haemocyanin (KLH) and human serum albumin (DNP-HSA). In the present investigations we studied the role played by infected macrophages in the development of the cellular unresponsiveness present in visceral leishmaniasis. Adherent spleen cells from infected hamsters were unable to present L. donovani antigens to antigen specific T cells, however they were able to present KLH. Conversely, T cells from infected animals did not respond to parasite antigens even when these antigens were presented by normal syngeneic macrophages. Interestingly, lymphocytes from inguinal lymph nodes of infected animals sensitized in their foot pad with parasite antigens proliferated well when stimulated in vitro with L. donovani antigens. These results suggest that the defect in the cellular immune response of the L. donovani infected hamsters is a consequence of a selective inability of their antigen presenting cells to process and present parasite antigens to T cells.","ISSN":"0141-9838","note":"PMID: 1557230","journalAbbreviation":"Parasite Immunol.","language":"eng","author":[{"family":"Rodrigues Júnior","given":"V."},{"family":"Da Silva","given":"J. S."},{"family":"Campos-Neto","given":"A."}],"issued":{"date-parts":[["1992",1]]}}}],"schema":"https://github.com/citation-style-language/schema/raw/master/csl-citation.json"} </w:instrText>
      </w:r>
      <w:r w:rsidRPr="008B3AD6">
        <w:fldChar w:fldCharType="separate"/>
      </w:r>
      <w:r w:rsidR="00025067" w:rsidRPr="00025067">
        <w:rPr>
          <w:lang w:val="en-US"/>
        </w:rPr>
        <w:t>(Rodrigues Júnior, Da Silva, and Campos-Neto 1992)</w:t>
      </w:r>
      <w:r w:rsidRPr="008B3AD6">
        <w:fldChar w:fldCharType="end"/>
      </w:r>
      <w:r w:rsidRPr="008B3AD6">
        <w:t xml:space="preserve"> and TGF</w:t>
      </w:r>
      <w:r w:rsidRPr="008B3AD6">
        <w:sym w:font="Symbol" w:char="F062"/>
      </w:r>
      <w:r w:rsidRPr="008B3AD6">
        <w:t xml:space="preserve"> production </w:t>
      </w:r>
      <w:r w:rsidRPr="008B3AD6">
        <w:fldChar w:fldCharType="begin"/>
      </w:r>
      <w:r w:rsidR="00025067">
        <w:instrText xml:space="preserve"> ADDIN ZOTERO_ITEM CSL_CITATION {"citationID":"m7HvyUgJ","properties":{"formattedCitation":"(Banerjee et al. 2011)","plainCitation":"(Banerjee et al. 2011)","noteIndex":0},"citationItems":[{"id":3698,"uris":["http://zotero.org/users/2628971/items/PIY4XYYV"],"uri":["http://zotero.org/users/2628971/items/PIY4XYYV"],"itemData":{"id":3698,"type":"article-journal","title":"TGF-β-regulated tyrosine phosphatases induce lymphocyte apoptosis in Leishmania donovani-infected hamsters","container-title":"Immunology and Cell Biology","page":"466-474","volume":"89","issue":"3","source":"PubMed","abstract":"Visceral leishmaniasis, which is caused by Leishmania donovani, is one of the major health problems of the Indian subcontinent. Infected hosts have been reported to have impaired lymphoproliferation. However, the fate of anergic cells is still elusive. In the present investigation, L. donovani-infected hamsters were used to study the mechanism of lymphocyte cell death. Lymph node-derived lymphocytes were analysed for apoptotic death through mitochondrial abnormality, caspase activity and DNA degradation. The data demonstrate that the disease progression leads to a gradual impairment of lymphocyte proliferation in the presence of Concanavalin A. The fate of the anergic lymphocytes is intrinsic apoptosis, which is evident by the depolarization of the mitochondrial membrane potential, cytosolic release of cytochrome c, caspase activation and DNA fragmentation. Tumour growth factor (TGF)-β, which is secreted by macrophages, was significantly upregulated in the lymph node compartment of infected hamsters. Adding a neutralizing TGF-β antibody and a recombinant TGF-β resulted in the downregulation and induction of lymphocyte apoptosis, respectively. Furthermore, it has been observed that TGF-β triggers the apoptotic death of lymphocytes through the upregulation of tyrosine phosphatase activity and that the use of sodium orthovanadate (Na(3)VO(4), a tyrosine phosphatase inhibitor) reduces the apoptotic frequency. Thus, this study clearly reports the novel involvement of tyrosine phosphatases in TGF-β-induced lymphocyte apoptosis in Leishmania-infected hamsters.","DOI":"10.1038/icb.2010.108","ISSN":"1440-1711","note":"PMID: 20856262","journalAbbreviation":"Immunol. Cell Biol.","language":"eng","author":[{"family":"Banerjee","given":"Rajdeep"},{"family":"Kumar","given":"Sudeep"},{"family":"Sen","given":"Abhik"},{"family":"Mookerjee","given":"Ananda"},{"family":"Mukherjee","given":"Piyali"},{"family":"Roy","given":"Syamal"},{"family":"Pal","given":"Subrata"},{"family":"Das","given":"Pradeep"}],"issued":{"date-parts":[["2011",3]]}}}],"schema":"https://github.com/citation-style-language/schema/raw/master/csl-citation.json"} </w:instrText>
      </w:r>
      <w:r w:rsidRPr="008B3AD6">
        <w:fldChar w:fldCharType="separate"/>
      </w:r>
      <w:r w:rsidR="00025067" w:rsidRPr="00025067">
        <w:rPr>
          <w:lang w:val="en-US"/>
        </w:rPr>
        <w:t>(Banerjee et al. 2011)</w:t>
      </w:r>
      <w:r w:rsidRPr="008B3AD6">
        <w:fldChar w:fldCharType="end"/>
      </w:r>
      <w:r w:rsidRPr="008B3AD6">
        <w:t xml:space="preserve">. Additionally, to these features, the loss of macrophage effector functions is a key feature of the inability to control infection with </w:t>
      </w:r>
      <w:r w:rsidRPr="008B3AD6">
        <w:rPr>
          <w:i/>
        </w:rPr>
        <w:t>iNOS</w:t>
      </w:r>
      <w:r w:rsidRPr="008B3AD6">
        <w:t xml:space="preserve"> mRNA expression undetectable throughout the course of infection </w:t>
      </w:r>
      <w:r w:rsidRPr="008B3AD6">
        <w:fldChar w:fldCharType="begin"/>
      </w:r>
      <w:r w:rsidR="00025067">
        <w:instrText xml:space="preserve"> ADDIN ZOTERO_ITEM CSL_CITATION {"citationID":"JX1bNrQf","properties":{"formattedCitation":"(Perez et al. 2006)","plainCitation":"(Perez et al. 2006)","noteIndex":0},"citationItems":[{"id":3702,"uris":["http://zotero.org/users/2628971/items/Y72W8C34"],"uri":["http://zotero.org/users/2628971/items/Y72W8C34"],"itemData":{"id":3702,"type":"article-journal","title":"Reduced nitric oxide synthase 2 (NOS2) promoter activity in the Syrian hamster renders the animal functionally deficient in NOS2 activity and unable to control an intracellular pathogen","container-title":"Journal of Immunology (Baltimore, Md.: 1950)","page":"5519-5528","volume":"176","issue":"9","source":"PubMed","abstract":"Progressive disease in the hamster model of visceral leishmaniasis, caused by Leishmania donovani, in contrast to infection in mice, mimics the progressive disease observed in untreated humans. During progressive infection in hamsters, there was a vigorous type 1 cellular immune response, which is typically associated with control of infection, suggesting that there was ineffective IFN-gamma-mediated macrophage activation. Indeed, at the site of infection, hamsters did not express NO synthase 2 (NOS2), which is the primary mechanism for control of infection in mice. Furthermore, in striking contrast to mouse macrophages, IFN-gamma-activated hamster macrophages did not did not express NOS2 nor generate NO, and were unable to restrict the replication of intracellular L. donovani. The absent hamster NOS2 expression was not the result of NOS2 gene deletion and the NOS2 cDNA had an intact open reading frame. Furthermore, the impaired transcription of NOS2 mRNA was selective and not due to global impairment of IFN-gamma signaling (members of the IFN-gamma-signaling pathway were expressed and functional and IFN-gamma up-regulated several primary and secondary response genes). Strikingly, the proximal hamster NOS2 promoter, like the human ortholog, had &gt;20-fold less basal and IFN-gamma/LPS-inducible activity than the corresponding mouse promoter. Thus, reduced basal and IFN-gamma-induced activity of the hamster NOS2 transcriptional unit, which is unique to this small animal and similar to the human counterpart, accompanies the inability of the animal to control an intracellular pathogen.","ISSN":"0022-1767","note":"PMID: 16622021","journalAbbreviation":"J. Immunol.","language":"eng","author":[{"family":"Perez","given":"Luis E."},{"family":"Chandrasekar","given":"Bysani"},{"family":"Saldarriaga","given":"Omar A."},{"family":"Zhao","given":"Weiguo"},{"family":"Arteaga","given":"Lourdes T."},{"family":"Travi","given":"Bruno L."},{"family":"Melby","given":"Peter C."}],"issued":{"date-parts":[["2006",5,1]]}}}],"schema":"https://github.com/citation-style-language/schema/raw/master/csl-citation.json"} </w:instrText>
      </w:r>
      <w:r w:rsidRPr="008B3AD6">
        <w:fldChar w:fldCharType="separate"/>
      </w:r>
      <w:r w:rsidR="00025067" w:rsidRPr="00025067">
        <w:rPr>
          <w:lang w:val="en-US"/>
        </w:rPr>
        <w:t>(Perez et al. 2006)</w:t>
      </w:r>
      <w:r w:rsidRPr="008B3AD6">
        <w:fldChar w:fldCharType="end"/>
      </w:r>
      <w:r w:rsidRPr="008B3AD6">
        <w:t xml:space="preserve">. Whilst the hamster model recapitulates pertinent features of human infection, it can be intractable to study due to a lack of reagents needed for immunological investigations (such as antibodies) and difficulties in carrying out animal procedures (especially </w:t>
      </w:r>
      <w:r w:rsidR="00000EC4">
        <w:t>intravenous</w:t>
      </w:r>
      <w:r w:rsidRPr="008B3AD6">
        <w:t xml:space="preserve"> injections).</w:t>
      </w:r>
    </w:p>
    <w:p w14:paraId="22E41806" w14:textId="77777777" w:rsidR="007842A9" w:rsidRPr="008B3AD6" w:rsidRDefault="007842A9" w:rsidP="000E10DC">
      <w:pPr>
        <w:spacing w:line="360" w:lineRule="auto"/>
        <w:jc w:val="both"/>
      </w:pPr>
    </w:p>
    <w:p w14:paraId="7CA5A084" w14:textId="2AF5F228" w:rsidR="00AB3115" w:rsidRPr="008B3AD6" w:rsidRDefault="0024287F" w:rsidP="000E10DC">
      <w:pPr>
        <w:pStyle w:val="Heading3"/>
        <w:jc w:val="both"/>
      </w:pPr>
      <w:bookmarkStart w:id="45" w:name="_Ref523316869"/>
      <w:bookmarkStart w:id="46" w:name="_Toc3716051"/>
      <w:r w:rsidRPr="008B3AD6">
        <w:lastRenderedPageBreak/>
        <w:t>Therapeutics for Visceral Leishmaniasis</w:t>
      </w:r>
      <w:bookmarkEnd w:id="45"/>
      <w:bookmarkEnd w:id="46"/>
    </w:p>
    <w:p w14:paraId="790BEBAD" w14:textId="09F3239B" w:rsidR="00AB3115" w:rsidRPr="008B3AD6" w:rsidRDefault="0024287F" w:rsidP="000E10DC">
      <w:pPr>
        <w:pStyle w:val="Heading4"/>
        <w:jc w:val="both"/>
      </w:pPr>
      <w:bookmarkStart w:id="47" w:name="_Toc3716052"/>
      <w:r w:rsidRPr="008B3AD6">
        <w:t>Amphotericin B &amp; Liposomal Amphotericin B</w:t>
      </w:r>
      <w:bookmarkEnd w:id="47"/>
    </w:p>
    <w:p w14:paraId="4FA9A72E" w14:textId="58DF3ACA" w:rsidR="0024287F" w:rsidRPr="008B3AD6" w:rsidRDefault="0024287F" w:rsidP="0024287F">
      <w:pPr>
        <w:spacing w:line="360" w:lineRule="auto"/>
        <w:jc w:val="both"/>
      </w:pPr>
      <w:r w:rsidRPr="008B3AD6">
        <w:t>Amphotericin B</w:t>
      </w:r>
      <w:r w:rsidR="00E33764">
        <w:t xml:space="preserve"> (AmB)</w:t>
      </w:r>
      <w:r w:rsidRPr="008B3AD6">
        <w:t xml:space="preserve"> was discovered in 1955 </w:t>
      </w:r>
      <w:r w:rsidR="007842A9" w:rsidRPr="008B3AD6">
        <w:fldChar w:fldCharType="begin"/>
      </w:r>
      <w:r w:rsidR="00025067">
        <w:instrText xml:space="preserve"> ADDIN ZOTERO_ITEM CSL_CITATION {"citationID":"167nBFSG","properties":{"formattedCitation":"(Walker 2012)","plainCitation":"(Walker 2012)","noteIndex":0},"citationItems":[{"id":3547,"uris":["http://zotero.org/users/2628971/items/WEUJKDRM"],"uri":["http://zotero.org/users/2628971/items/WEUJKDRM"],"itemData":{"id":3547,"type":"book","title":"Trends and Changes in Drug Research and Development","publisher":"Springer Science &amp; Business Media","number-of-pages":"129","source":"Google Books","abstract":"The 20th Anniversary of a Learned Society is a momentous event in its af fairs, and it is fitting that, in the Appendix to the Proceedings of the 20th An niversary Meeting, the history of the Society for Drug Research is outlined. The aim of the Society, to encourage an interdisciplinary approach and to act as an organisation freed from any specific scientific branch of knowledge, was achieved and is exemplified by the publication of these proceedings of the Anniversary Meeting held at the Pharmaceutical Society of Great Britain. In only two other cases have the Society's proceedings been published, main taining the original decision and policy to allow membership to enjoy com munications from those who may not have agreed to speak had publication been mandatory. The papers presented at the Anniversary Meeting covered a wide range of scientific disciplines, and it is fitting that work of such calibre should have been published under the able editorship of Stuart and Bryan Walker. They should prove invaluable to those who are interested in Drug Research.","ISBN":"978-94-009-2659-2","note":"Google-Books-ID: FB_2CAAAQBAJ","language":"en","author":[{"family":"Walker","given":"S. R."}],"issued":{"date-parts":[["2012",12,6]]}}}],"schema":"https://github.com/citation-style-language/schema/raw/master/csl-citation.json"} </w:instrText>
      </w:r>
      <w:r w:rsidR="007842A9" w:rsidRPr="008B3AD6">
        <w:fldChar w:fldCharType="separate"/>
      </w:r>
      <w:r w:rsidR="00025067" w:rsidRPr="00025067">
        <w:rPr>
          <w:lang w:val="en-US"/>
        </w:rPr>
        <w:t>(Walker 2012)</w:t>
      </w:r>
      <w:r w:rsidR="007842A9" w:rsidRPr="008B3AD6">
        <w:fldChar w:fldCharType="end"/>
      </w:r>
      <w:r w:rsidRPr="008B3AD6">
        <w:t xml:space="preserve"> and initially used as a highly efficacious anti-fungal therapeutic. Invasive fungal infections, such as those caused by </w:t>
      </w:r>
      <w:r w:rsidRPr="008B3AD6">
        <w:rPr>
          <w:i/>
        </w:rPr>
        <w:t xml:space="preserve">Aspergillus, Fusarium </w:t>
      </w:r>
      <w:r w:rsidRPr="008B3AD6">
        <w:t xml:space="preserve">and Zygomycetes, can be treated with </w:t>
      </w:r>
      <w:r w:rsidR="005D57BB">
        <w:t>AmB</w:t>
      </w:r>
      <w:r w:rsidRPr="008B3AD6">
        <w:t xml:space="preserve"> </w:t>
      </w:r>
      <w:r w:rsidR="007842A9" w:rsidRPr="008B3AD6">
        <w:fldChar w:fldCharType="begin"/>
      </w:r>
      <w:r w:rsidR="00025067">
        <w:instrText xml:space="preserve"> ADDIN ZOTERO_ITEM CSL_CITATION {"citationID":"Io5Drl3y","properties":{"formattedCitation":"(Cornely 2008; Klepser 2011)","plainCitation":"(Cornely 2008; Klepser 2011)","noteIndex":0},"citationItems":[{"id":3545,"uris":["http://zotero.org/users/2628971/items/FKHQDAYD"],"uri":["http://zotero.org/users/2628971/items/FKHQDAYD"],"itemData":{"id":3545,"type":"article-journal","title":"Aspergillus to Zygomycetes: Causes, Risk Factors, Prevention, and Treatment of Invasive Fungal Infections","container-title":"Infection","page":"296-313","volume":"36","issue":"4","source":"Springer Link","abstract":"Invasive fungal infections (IFIs) are an important cause of morbidity and mortality, particularly in patients with underlying risk factors (e.g., neutropenia, cancer chemotherapy, transplantation, AIDS). Although Candida species remain a relevant cause of IFI, other organisms (particularly moulds) have become increasingly prevalent. In particular, Aspergillus species are the leading cause of mould infections although other moulds including Fusarium species and Zygomycetes are increasing in frequency, and are associated with a high mortality rate. Options available for the prevention and treatment of these infections include standard and liposomal formulations of amphotericin B, but toxicity concerns limit their use; fluconazole is effective for the prevention and treatment of candidiasis but its inactivity against moulds and increasing resistance are limiting factors. Newer azoles, particularly voriconazole and posaconazole, have an enhanced spectrum of activity that includes Candida species, Aspergillus species, Cryptococcus species, dimorphic fungi, Fusarium species, and, for posaconazole, Zygomycetes. Recent data suggest that these agents are highly effective in a variety of clinical settings. Echinocandins have good activity against Candida species and Aspergillus species but their spectrum generally does not include Fusarium species, Cryptococcus species, Trichosporon species, Zygomycetes, and dematiaceous moulds. While these agents are unlikely to exhibit crossresistance with polyenes or azoles, they must be administered intravenously. Knowledge of the pathogenesis of IFIs and the activity, efficacy, and limitations of available treatment options will allow the selection of an appropriate antifungal agent for individual patients.","DOI":"10.1007/s15010-008-7357-z","ISSN":"1439-0973","shortTitle":"Aspergillus to Zygomycetes","journalAbbreviation":"Infection","language":"en","author":[{"family":"Cornely","given":"O. A."}],"issued":{"date-parts":[["2008",8,1]]}}},{"id":3549,"uris":["http://zotero.org/users/2628971/items/X4W3QNCU"],"uri":["http://zotero.org/users/2628971/items/X4W3QNCU"],"itemData":{"id":3549,"type":"article-journal","title":"The value of amphotericin B in the treatment of invasive fungal infections","container-title":"Journal of Critical Care","page":"225.e1-10","volume":"26","issue":"2","source":"PubMed","abstract":"Over the last 20 years, there has been an increase in the total number of invasive fungal infections (IFIs) and in infections caused by rare and emerging pathogens. This is due in part to the growing population of immunocompromised patients at risk of developing fungal infections. Three classes of antifungal agents are widely used for the treatment of systemic fungal infections: polyenes, azoles, and echinocandins. Polyenes were the first antifungal agents developed and have a long-standing history in the treatment of IFIs. The use of conventional amphotericin B has been limited because of toxic side effects, which have been reduced by the lipid formulations of amphotericin B. Treatment options for invasive mycoses have expanded with the recent introduction of the second-generation triazoles (voriconazole and posaconazole) and the echinocandins (caspofungin, micafungin, anidulafungin). Despite the increased number of antifungal drugs, resistance issues present a problem in the treatment of IFIs. Although some fungal pathogens display innate resistance, others have developed resistance secondary to selective pressure. This article briefly reviews the changing epidemiology of fungal infections and associated risk factors, resistance issues with commonly administered antifungal agents, and treatment options for IFIs, with a focus on polyenes.","DOI":"10.1016/j.jcrc.2010.08.005","ISSN":"1557-8615","note":"PMID: 20951541","journalAbbreviation":"J Crit Care","language":"eng","author":[{"family":"Klepser","given":"Michael"}],"issued":{"date-parts":[["2011",4]]}}}],"schema":"https://github.com/citation-style-language/schema/raw/master/csl-citation.json"} </w:instrText>
      </w:r>
      <w:r w:rsidR="007842A9" w:rsidRPr="008B3AD6">
        <w:fldChar w:fldCharType="separate"/>
      </w:r>
      <w:r w:rsidR="00025067" w:rsidRPr="00025067">
        <w:rPr>
          <w:lang w:val="en-US"/>
        </w:rPr>
        <w:t>(Cornely 2008; Klepser 2011)</w:t>
      </w:r>
      <w:r w:rsidR="007842A9" w:rsidRPr="008B3AD6">
        <w:fldChar w:fldCharType="end"/>
      </w:r>
      <w:r w:rsidRPr="008B3AD6">
        <w:t xml:space="preserve"> however the apparent toxicity of </w:t>
      </w:r>
      <w:r w:rsidR="005D57BB">
        <w:t>AmB</w:t>
      </w:r>
      <w:r w:rsidRPr="008B3AD6">
        <w:t xml:space="preserve"> </w:t>
      </w:r>
      <w:r w:rsidR="006509BD">
        <w:t>led</w:t>
      </w:r>
      <w:r w:rsidR="006509BD" w:rsidRPr="008B3AD6">
        <w:t xml:space="preserve"> </w:t>
      </w:r>
      <w:r w:rsidRPr="008B3AD6">
        <w:t xml:space="preserve">to the development of </w:t>
      </w:r>
      <w:r w:rsidR="005D57BB">
        <w:t>l</w:t>
      </w:r>
      <w:r w:rsidRPr="008B3AD6">
        <w:t xml:space="preserve">iposomal formulations which aimed to retain efficacy whilst reducing adverse events associated with treatment </w:t>
      </w:r>
      <w:r w:rsidR="00A6379E" w:rsidRPr="008B3AD6">
        <w:fldChar w:fldCharType="begin"/>
      </w:r>
      <w:r w:rsidR="00025067">
        <w:instrText xml:space="preserve"> ADDIN ZOTERO_ITEM CSL_CITATION {"citationID":"0fR8AbVJ","properties":{"formattedCitation":"(Montagna et al. 2014)","plainCitation":"(Montagna et al. 2014)","noteIndex":0},"citationItems":[{"id":3564,"uris":["http://zotero.org/users/2628971/items/3K9NWGCT"],"uri":["http://zotero.org/users/2628971/items/3K9NWGCT"],"itemData":{"id":3564,"type":"article-journal","title":"In vitro activities of amphotericin B deoxycholate and liposomal amphotericin B against 604 clinical yeast isolates","container-title":"Journal of Medical Microbiology","page":"1638-1643","volume":"63","issue":"Pt 12","source":"PubMed Central","abstract":"We determined the in vitro antifungal activity of liposomal amphotericin B (L-AmB) against 604 clinical yeast isolates. Amphotericin B deoxycholate (D-AmB) was tested in parallel against all the isolates. Susceptibility testing was performed according to the Clinical and Laboratory Standards Institute (CLSI) M27-A3 method. Overall, L-AmB was highly active against the isolates (mean MIC, 0.42 µg ml−1; MIC90, 1 µg ml−1; 97.2 % of MICs were ≤1 µg ml−1) and comparable to D-AmB (mean MIC, 0.48 µg ml−1; MIC90, 1 µg ml−1; 97.3 % of MICs were ≤1 µg ml−1). The in vitro activity of D-AmB and L-AmB was correlated (R2 = 0.61; exp(b), 2.3; 95 % CI, 2.19–2.44, P&lt;0.001). Candida albicans (mean MICs of D-AmB and L-AmB, 0.39 µg ml−1 and 0.31 µg ml−1, respectively) and Candida parapsilosis (mean MICs of D-AmB and L-AmB, 0.38 µg ml−1 and 0.35 µg ml−1, respectively) were the species most susceptible to the agents tested, while Candida krusei (currently named Issatchenkia orientalis) (mean MICs of D-AmB and L-AmB, 1.27 µg ml−1 and 1.13 µg ml−1, respectively) was the least susceptible. The excellent in vitro activity of L-AmB may have important implications for empirical treatment approaches and support its role in treatment of a wide range of invasive infections due to yeasts.","DOI":"10.1099/jmm.0.075507-0","ISSN":"0022-2615","note":"PMID: 25210203\nPMCID: PMC4250836","journalAbbreviation":"J Med Microbiol","author":[{"family":"Montagna","given":"Maria Teresa"},{"family":"Lovero","given":"Grazia"},{"family":"Coretti","given":"Caterina"},{"family":"De Giglio","given":"Osvalda"},{"family":"Martinelli","given":"Domenico"},{"family":"Bedini","given":"Andrea"},{"family":"Delia","given":"Mario"},{"family":"Rosato","given":"Antonio"},{"family":"Codeluppi","given":"Mauro"},{"family":"Caggiano","given":"Giuseppina"}],"issued":{"date-parts":[["2014",12]]}}}],"schema":"https://github.com/citation-style-language/schema/raw/master/csl-citation.json"} </w:instrText>
      </w:r>
      <w:r w:rsidR="00A6379E" w:rsidRPr="008B3AD6">
        <w:fldChar w:fldCharType="separate"/>
      </w:r>
      <w:r w:rsidR="00025067" w:rsidRPr="00025067">
        <w:rPr>
          <w:lang w:val="en-US"/>
        </w:rPr>
        <w:t>(Montagna et al. 2014)</w:t>
      </w:r>
      <w:r w:rsidR="00A6379E" w:rsidRPr="008B3AD6">
        <w:fldChar w:fldCharType="end"/>
      </w:r>
      <w:r w:rsidRPr="008B3AD6">
        <w:t xml:space="preserve">. </w:t>
      </w:r>
      <w:r w:rsidR="005D57BB">
        <w:t>AmB</w:t>
      </w:r>
      <w:r w:rsidRPr="008B3AD6">
        <w:t xml:space="preserve"> is a polyene macrolide which binds sterols found on cellular membranes, both eukaryotic </w:t>
      </w:r>
      <w:r w:rsidR="00A6379E" w:rsidRPr="008B3AD6">
        <w:fldChar w:fldCharType="begin"/>
      </w:r>
      <w:r w:rsidR="00025067">
        <w:instrText xml:space="preserve"> ADDIN ZOTERO_ITEM CSL_CITATION {"citationID":"DEJuwRB3","properties":{"formattedCitation":"(Czub and Baginski 2006; Mesa-Arango, Scorzoni, and Zaragoza 2012)","plainCitation":"(Czub and Baginski 2006; Mesa-Arango, Scorzoni, and Zaragoza 2012)","noteIndex":0},"citationItems":[{"id":3542,"uris":["http://zotero.org/users/2628971/items/4VTMV97Y"],"uri":["http://zotero.org/users/2628971/items/4VTMV97Y"],"itemData":{"id":3542,"type":"article-journal","title":"Modulation of Amphotericin B Membrane Interaction by Cholesterol and ErgosterolA Molecular Dynamics Study","container-title":"The Journal of Physical Chemistry B","page":"16743-16753","volume":"110","issue":"33","source":"ACS Publications","abstract":"Amphotericin B (AmB) is a well-known polyene macrolide antibiotic used to treat systemic fungal infections. According to a well-documented hypothesis, molecules of AmB form ionic membrane channels that are responsible for chemotherapeutic action. These channels disturb the barrier function of the cell membrane which, in consequence, leads to cell death. The presence of sterols in the cell membrane is necessary for full manifestation of the antibiotic's ionophoric activity, at least in vivo. Ergosterol-containing fungal membranes are targeted more efficiently by AmB than mammalian membranes containing cholesterol. However, a similar level of disturbance of fungal and mammalian membranes is responsible for serious toxicity of the antibiotic. Due to the importance of AmB and lack of better antifungal alternatives, the search for new less toxic derivatives of this antibiotic still continues. Therefore, studies of the AmB−membrane interaction are very important. The present work constitutes a continuation of a broad program of study on AmB mode of action in our group. In particular, molecular dynamics simulations of AmB monomers inside the bilayers of three different compositions (pure dimiristoylphosphatidylcholine (DMPC) and DMPC bilayer containing </w:instrText>
      </w:r>
      <w:r w:rsidR="00025067">
        <w:rPr>
          <w:rFonts w:ascii="Cambria Math" w:hAnsi="Cambria Math" w:cs="Cambria Math"/>
        </w:rPr>
        <w:instrText>∼</w:instrText>
      </w:r>
      <w:r w:rsidR="00025067">
        <w:instrText xml:space="preserve">25 mol % of cholesterol or ergosterol) were carried out. In general, analysis of generated trajectories resulted in identifying many significant differences in the behavior of AmB monomers depending on the membrane environment. In particular, it was established that the antibiotic increases the internal order of DMPC bilayer containing 25 mol % of cholesterol, while it has no effect on the order of the bilayer with the same amount of ergosterol. Performed calculations also revealed that relatively rigid and elongated AmB molecules exhibit higher affinity toward the sterol-containing lo phases and, therefore, may be cumulated in ordered membrane domains (e.g., lipid rafts). Since the partition coefficient between the ld and lo phase appears to be greater in the case of the ergosterol- compared to cholesterol-containing membrane, this effect can be also discussed as the possible origin of AmB-selective toxicity and indirect sterol involvement in expression of AmB activity.","DOI":"10.1021/jp061916g","ISSN":"1520-6106","journalAbbreviation":"J. Phys. Chem. B","author":[{"family":"Czub","given":"Jacek"},{"family":"Baginski","given":"Maciej"}],"issued":{"date-parts":[["2006",8,1]]}}},{"id":3556,"uris":["http://zotero.org/users/2628971/items/TYADJU4G"],"uri":["http://zotero.org/users/2628971/items/TYADJU4G"],"itemData":{"id":3556,"type":"article-journal","title":"It only takes one to do many jobs: Amphotericin B as antifungal and immunomodulatory drug","container-title":"Frontiers in Microbiology","volume":"3","source":"Frontiers","abstract":"“Amphotericin B acts through pore formation at the cell membrane after binding to ergosterol” is an accepted dogma about the action mechanism of this antifungal, and this sentence is widely found in the literature. But after 60 years of investigation, the action mechanism of AmB is not fully elucidated. Amphotericin B is a polyene substance that is one of the most effective drugs for the treatment of fungal and parasite infections. As stated above, the first mechanism of action described was pore formation after binding to the ergosterol present in the membrane. But it has also been demonstrated that AmB induces oxidative damage in the cells. Moreover, amphotericin B modulates the immune system, and this activity has been related to the protective effect of the molecule, but also to its toxicity in the host. This review tries to provide a general overview of the main aspects of this molecule, and highlight the multiple effects that this molecule has on both the fungal and host cells.","URL":"https://www.frontiersin.org/articles/10.3389/fmicb.2012.00286/full","DOI":"10.3389/fmicb.2012.00286","ISSN":"1664-302X","shortTitle":"It only takes one to do many jobs","journalAbbreviation":"Front. Microbiol.","language":"English","author":[{"family":"Mesa-Arango","given":"Ana Cecilia"},{"family":"Scorzoni","given":"Liliana"},{"family":"Zaragoza","given":"Oscar"}],"issued":{"date-parts":[["2012"]]},"accessed":{"date-parts":[["2018",8,27]]}}}],"schema":"https://github.com/citation-style-language/schema/raw/master/csl-citation.json"} </w:instrText>
      </w:r>
      <w:r w:rsidR="00A6379E" w:rsidRPr="008B3AD6">
        <w:fldChar w:fldCharType="separate"/>
      </w:r>
      <w:r w:rsidR="00025067" w:rsidRPr="00025067">
        <w:rPr>
          <w:lang w:val="en-US"/>
        </w:rPr>
        <w:t>(Czub and Baginski 2006; Mesa-Arango, Scorzoni, and Zaragoza 2012)</w:t>
      </w:r>
      <w:r w:rsidR="00A6379E" w:rsidRPr="008B3AD6">
        <w:fldChar w:fldCharType="end"/>
      </w:r>
      <w:r w:rsidR="00A6379E" w:rsidRPr="008B3AD6">
        <w:t xml:space="preserve"> and protozoan </w:t>
      </w:r>
      <w:r w:rsidR="00A6379E" w:rsidRPr="008B3AD6">
        <w:fldChar w:fldCharType="begin"/>
      </w:r>
      <w:r w:rsidR="00025067">
        <w:instrText xml:space="preserve"> ADDIN ZOTERO_ITEM CSL_CITATION {"citationID":"ySBcBI2W","properties":{"formattedCitation":"(Goldsmith and Perry 2004)","plainCitation":"(Goldsmith and Perry 2004)","noteIndex":0},"citationItems":[{"id":3561,"uris":["http://zotero.org/users/2628971/items/CQHRVQD6"],"uri":["http://zotero.org/users/2628971/items/CQHRVQD6"],"itemData":{"id":3561,"type":"article-journal","title":"Amphotericin B lipid complex: in visceral leishmaniasis","container-title":"Drugs","page":"1905-1911; discussion 1912-1913","volume":"64","issue":"17","source":"PubMed","abstract":"Amphotericin B lipid complex is a lipid formulation of amphotericin B, an antifungal drug with activity against Leishmania spp. Amphotericin B lipid complex appears to enhance uptake of amphotericin B by infected macrophages in patients with visceral leishmaniasis (VL). In randomised, open-label, dose-ranging studies, short-course treatment with once-daily amphotericin B lipid complex (5-15 mg/kg total cumulative dose over 5 days), administered by intravenous infusion, produced high rates of apparent (day 19) [93-100%] and definitive (6 months) [79-100%] cures in Indian patients with antimonial-resistant VL. Amphotericin B lipid complex appeared to be as effective as liposomal amphotericin B or the conventional deoxycholate formulation in a randomised, open-label study conducted in India in a mixed population of patients with previously untreated or antimonial-resistant VL. In patients with HIV infection and VL, amphotericin B lipid complex 3 mg/kg/day for 5 or 10 days appeared to be as effective as meglumine antimonate 20 mg/kg/day for 28 days in a small randomised pilot study in southern Europe. Amphotericin B lipid complex was generally well tolerated in patients with VL. Infusion-related reactions were the most common adverse events associated with amphotericin B lipid complex.","ISSN":"0012-6667","note":"PMID: 15329037","shortTitle":"Amphotericin B lipid complex","journalAbbreviation":"Drugs","language":"eng","author":[{"family":"Goldsmith","given":"David R."},{"family":"Perry","given":"Caroline M."}],"issued":{"date-parts":[["2004"]]}}}],"schema":"https://github.com/citation-style-language/schema/raw/master/csl-citation.json"} </w:instrText>
      </w:r>
      <w:r w:rsidR="00A6379E" w:rsidRPr="008B3AD6">
        <w:fldChar w:fldCharType="separate"/>
      </w:r>
      <w:r w:rsidR="00025067" w:rsidRPr="00025067">
        <w:rPr>
          <w:lang w:val="en-US"/>
        </w:rPr>
        <w:t>(Goldsmith and Perry 2004)</w:t>
      </w:r>
      <w:r w:rsidR="00A6379E" w:rsidRPr="008B3AD6">
        <w:fldChar w:fldCharType="end"/>
      </w:r>
      <w:r w:rsidRPr="008B3AD6">
        <w:t>, which is proposed to induce the formation of intra-membrane pores through mul</w:t>
      </w:r>
      <w:r w:rsidR="00A6379E" w:rsidRPr="008B3AD6">
        <w:t xml:space="preserve">timerization of </w:t>
      </w:r>
      <w:r w:rsidR="005D57BB">
        <w:t>AmB</w:t>
      </w:r>
      <w:r w:rsidR="00A6379E" w:rsidRPr="008B3AD6">
        <w:t xml:space="preserve"> </w:t>
      </w:r>
      <w:r w:rsidR="00A6379E" w:rsidRPr="008B3AD6">
        <w:fldChar w:fldCharType="begin"/>
      </w:r>
      <w:r w:rsidR="00025067">
        <w:instrText xml:space="preserve"> ADDIN ZOTERO_ITEM CSL_CITATION {"citationID":"WVMsdEMm","properties":{"formattedCitation":"(Baginski, Czub, and Sternal 2006; Czub and Baginski 2006)","plainCitation":"(Baginski, Czub, and Sternal 2006; Czub and Baginski 2006)","noteIndex":0},"citationItems":[{"id":2527,"uris":["http://zotero.org/users/2628971/items/BFTNB3FG"],"uri":["http://zotero.org/users/2628971/items/BFTNB3FG"],"itemData":{"id":2527,"type":"article-journal","title":"Interaction of amphotericin B and its selected derivatives with membranes: molecular modeling studies","container-title":"Chemical Record (New York, N.Y.)","page":"320-332","volume":"6","issue":"6","source":"PubMed","abstract":"Amphotericin B (AmB) is a well-known antifungal antibiotic that has been used in the clinic for about five decades. Despite its chemotherapeutic importance, AmB is quite toxic and many efforts have been made to improve its pharmacological properties, e.g., by chemical modifications. The lipid membrane is a molecular target for AmB, however, due to heterogeneity of its components, the molecular mechanism of AmB action is still unclear. The lack of this knowledge hinders rational designing of new and less toxic AmB derivatives. Our review is a critical presentation of the current understanding of AmB molecular mechanism of action at the membrane level. Except the experimental approach, the extensive overview of molecular modeling studies, performed mostly in our lab, is presented. The results of interactions between AmB or some of its derivatives and lipid model membranes are discussed. In our studies, different biomembrane models and different associate states of the antibiotic were included. Presented molecular modeling approach is especially valuable with regard to a new paradigm of the structure of lipid membrane containing liquid-ordered domains. Hopefully, all these complementary experimental/computational approaches are going to reach the point at which a new hypothesis about molecular mechanism of AmB activity and selectivity will be put forward.","DOI":"10.1002/tcr.20096","ISSN":"1527-8999","note":"PMID: 17304519","shortTitle":"Interaction of amphotericin B and its selected derivatives with membranes","journalAbbreviation":"Chem Rec","language":"eng","author":[{"family":"Baginski","given":"Maciej"},{"family":"Czub","given":"Jacek"},{"family":"Sternal","given":"Kamil"}],"issued":{"date-parts":[["2006"]]}}},{"id":3542,"uris":["http://zotero.org/users/2628971/items/4VTMV97Y"],"uri":["http://zotero.org/users/2628971/items/4VTMV97Y"],"itemData":{"id":3542,"type":"article-journal","title":"Modulation of Amphotericin B Membrane Interaction by Cholesterol and ErgosterolA Molecular Dynamics Study","container-title":"The Journal of Physical Chemistry B","page":"16743-16753","volume":"110","issue":"33","source":"ACS Publications","abstract":"Amphotericin B (AmB) is a well-known polyene macrolide antibiotic used to treat systemic fungal infections. According to a well-documented hypothesis, molecules of AmB form ionic membrane channels that are responsible for chemotherapeutic action. These channels disturb the barrier function of the cell membrane which, in consequence, leads to cell death. The presence of sterols in the cell membrane is necessary for full manifestation of the antibiotic's ionophoric activity, at least in vivo. Ergosterol-containing fungal membranes are targeted more efficiently by AmB than mammalian membranes containing cholesterol. However, a similar level of disturbance of fungal and mammalian membranes is responsible for serious toxicity of the antibiotic. Due to the importance of AmB and lack of better antifungal alternatives, the search for new less toxic derivatives of this antibiotic still continues. Therefore, studies of the AmB−membrane interaction are very important. The present work constitutes a continuation of a broad program of study on AmB mode of action in our group. In particular, molecular dynamics simulations of AmB monomers inside the bilayers of three different compositions (pure dimiristoylphosphatidylcholine (DMPC) and DMPC bilayer containing </w:instrText>
      </w:r>
      <w:r w:rsidR="00025067">
        <w:rPr>
          <w:rFonts w:ascii="Cambria Math" w:hAnsi="Cambria Math" w:cs="Cambria Math"/>
        </w:rPr>
        <w:instrText>∼</w:instrText>
      </w:r>
      <w:r w:rsidR="00025067">
        <w:instrText xml:space="preserve">25 mol % of cholesterol or ergosterol) were carried out. In general, analysis of generated trajectories resulted in identifying many significant differences in the behavior of AmB monomers depending on the membrane environment. In particular, it was established that the antibiotic increases the internal order of DMPC bilayer containing 25 mol % of cholesterol, while it has no effect on the order of the bilayer with the same amount of ergosterol. Performed calculations also revealed that relatively rigid and elongated AmB molecules exhibit higher affinity toward the sterol-containing lo phases and, therefore, may be cumulated in ordered membrane domains (e.g., lipid rafts). Since the partition coefficient between the ld and lo phase appears to be greater in the case of the ergosterol- compared to cholesterol-containing membrane, this effect can be also discussed as the possible origin of AmB-selective toxicity and indirect sterol involvement in expression of AmB activity.","DOI":"10.1021/jp061916g","ISSN":"1520-6106","journalAbbreviation":"J. Phys. Chem. B","author":[{"family":"Czub","given":"Jacek"},{"family":"Baginski","given":"Maciej"}],"issued":{"date-parts":[["2006",8,1]]}}}],"schema":"https://github.com/citation-style-language/schema/raw/master/csl-citation.json"} </w:instrText>
      </w:r>
      <w:r w:rsidR="00A6379E" w:rsidRPr="008B3AD6">
        <w:fldChar w:fldCharType="separate"/>
      </w:r>
      <w:r w:rsidR="00025067" w:rsidRPr="00025067">
        <w:rPr>
          <w:lang w:val="en-US"/>
        </w:rPr>
        <w:t>(Baginski, Czub, and Sternal 2006; Czub and Baginski 2006)</w:t>
      </w:r>
      <w:r w:rsidR="00A6379E" w:rsidRPr="008B3AD6">
        <w:fldChar w:fldCharType="end"/>
      </w:r>
      <w:r w:rsidRPr="008B3AD6">
        <w:t>. These pores</w:t>
      </w:r>
      <w:r w:rsidR="00F45C4B" w:rsidRPr="008B3AD6">
        <w:t xml:space="preserve">, shown in </w:t>
      </w:r>
      <w:r w:rsidR="0074700A">
        <w:rPr>
          <w:b/>
        </w:rPr>
        <w:fldChar w:fldCharType="begin"/>
      </w:r>
      <w:r w:rsidR="0074700A">
        <w:rPr>
          <w:b/>
        </w:rPr>
        <w:instrText xml:space="preserve"> REF _Ref523922491  \* MERGEFORMAT </w:instrText>
      </w:r>
      <w:r w:rsidR="0074700A">
        <w:rPr>
          <w:b/>
        </w:rPr>
        <w:fldChar w:fldCharType="separate"/>
      </w:r>
      <w:r w:rsidR="00031DCA" w:rsidRPr="00031DCA">
        <w:rPr>
          <w:b/>
        </w:rPr>
        <w:t xml:space="preserve">Figure </w:t>
      </w:r>
      <w:r w:rsidR="00031DCA" w:rsidRPr="00031DCA">
        <w:rPr>
          <w:b/>
          <w:noProof/>
        </w:rPr>
        <w:t>1.4</w:t>
      </w:r>
      <w:r w:rsidR="0074700A">
        <w:rPr>
          <w:b/>
          <w:noProof/>
        </w:rPr>
        <w:fldChar w:fldCharType="end"/>
      </w:r>
      <w:r w:rsidR="00F45C4B" w:rsidRPr="008B3AD6">
        <w:t>,</w:t>
      </w:r>
      <w:r w:rsidRPr="008B3AD6">
        <w:t xml:space="preserve"> cause leakage of intracellular components ultimately leading to cell death.</w:t>
      </w:r>
    </w:p>
    <w:p w14:paraId="2DFC73BA" w14:textId="0C01EFAE" w:rsidR="004C0876" w:rsidRPr="008B3AD6" w:rsidRDefault="00CD3F99" w:rsidP="0024287F">
      <w:pPr>
        <w:spacing w:line="360" w:lineRule="auto"/>
        <w:jc w:val="both"/>
      </w:pPr>
      <w:r>
        <w:rPr>
          <w:noProof/>
        </w:rPr>
        <w:drawing>
          <wp:anchor distT="0" distB="0" distL="114300" distR="114300" simplePos="0" relativeHeight="251960320" behindDoc="0" locked="0" layoutInCell="1" allowOverlap="1" wp14:anchorId="781268B3" wp14:editId="2945A234">
            <wp:simplePos x="0" y="0"/>
            <wp:positionH relativeFrom="column">
              <wp:posOffset>0</wp:posOffset>
            </wp:positionH>
            <wp:positionV relativeFrom="paragraph">
              <wp:posOffset>260350</wp:posOffset>
            </wp:positionV>
            <wp:extent cx="5575935" cy="3164840"/>
            <wp:effectExtent l="0" t="0" r="0" b="0"/>
            <wp:wrapTopAndBottom/>
            <wp:docPr id="159"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Picture 159"/>
                    <pic:cNvPicPr>
                      <a:picLocks noChangeAspect="1"/>
                    </pic:cNvPicPr>
                  </pic:nvPicPr>
                  <pic:blipFill>
                    <a:blip r:embed="rId22">
                      <a:extLst>
                        <a:ext uri="{28A0092B-C50C-407E-A947-70E740481C1C}">
                          <a14:useLocalDpi xmlns:a14="http://schemas.microsoft.com/office/drawing/2010/main" val="0"/>
                        </a:ext>
                      </a:extLst>
                    </a:blip>
                    <a:stretch>
                      <a:fillRect/>
                    </a:stretch>
                  </pic:blipFill>
                  <pic:spPr>
                    <a:xfrm>
                      <a:off x="0" y="0"/>
                      <a:ext cx="5575935" cy="3164840"/>
                    </a:xfrm>
                    <a:prstGeom prst="rect">
                      <a:avLst/>
                    </a:prstGeom>
                  </pic:spPr>
                </pic:pic>
              </a:graphicData>
            </a:graphic>
          </wp:anchor>
        </w:drawing>
      </w:r>
      <w:r>
        <w:rPr>
          <w:noProof/>
        </w:rPr>
        <mc:AlternateContent>
          <mc:Choice Requires="wps">
            <w:drawing>
              <wp:anchor distT="0" distB="0" distL="114300" distR="114300" simplePos="0" relativeHeight="251961344" behindDoc="0" locked="0" layoutInCell="1" allowOverlap="1" wp14:anchorId="41549531" wp14:editId="6F6C7D14">
                <wp:simplePos x="0" y="0"/>
                <wp:positionH relativeFrom="column">
                  <wp:posOffset>0</wp:posOffset>
                </wp:positionH>
                <wp:positionV relativeFrom="paragraph">
                  <wp:posOffset>3483384</wp:posOffset>
                </wp:positionV>
                <wp:extent cx="5575935" cy="642620"/>
                <wp:effectExtent l="0" t="0" r="0" b="5080"/>
                <wp:wrapTopAndBottom/>
                <wp:docPr id="160" name="Text Box 160"/>
                <wp:cNvGraphicFramePr/>
                <a:graphic xmlns:a="http://schemas.openxmlformats.org/drawingml/2006/main">
                  <a:graphicData uri="http://schemas.microsoft.com/office/word/2010/wordprocessingShape">
                    <wps:wsp>
                      <wps:cNvSpPr txBox="1"/>
                      <wps:spPr>
                        <a:xfrm>
                          <a:off x="0" y="0"/>
                          <a:ext cx="5575935" cy="642620"/>
                        </a:xfrm>
                        <a:prstGeom prst="rect">
                          <a:avLst/>
                        </a:prstGeom>
                        <a:solidFill>
                          <a:prstClr val="white"/>
                        </a:solidFill>
                        <a:ln>
                          <a:noFill/>
                        </a:ln>
                      </wps:spPr>
                      <wps:txbx>
                        <w:txbxContent>
                          <w:p w14:paraId="44249DA2" w14:textId="2A35E4E1" w:rsidR="00F61130" w:rsidRPr="004C0876" w:rsidRDefault="00F61130" w:rsidP="00EA2579">
                            <w:pPr>
                              <w:pStyle w:val="Caption"/>
                              <w:spacing w:line="360" w:lineRule="auto"/>
                              <w:jc w:val="both"/>
                              <w:rPr>
                                <w:sz w:val="20"/>
                                <w:szCs w:val="20"/>
                              </w:rPr>
                            </w:pPr>
                            <w:bookmarkStart w:id="48" w:name="_Ref523922491"/>
                            <w:bookmarkStart w:id="49" w:name="_Toc525227184"/>
                            <w:bookmarkStart w:id="50" w:name="_Toc536814123"/>
                            <w:r w:rsidRPr="004C0876">
                              <w:rPr>
                                <w:b/>
                                <w:sz w:val="20"/>
                                <w:szCs w:val="20"/>
                              </w:rPr>
                              <w:t xml:space="preserve">Figure </w:t>
                            </w:r>
                            <w:r>
                              <w:rPr>
                                <w:b/>
                                <w:sz w:val="20"/>
                                <w:szCs w:val="20"/>
                              </w:rPr>
                              <w:fldChar w:fldCharType="begin"/>
                            </w:r>
                            <w:r>
                              <w:rPr>
                                <w:b/>
                                <w:sz w:val="20"/>
                                <w:szCs w:val="20"/>
                              </w:rPr>
                              <w:instrText xml:space="preserve"> STYLEREF 1 \s </w:instrText>
                            </w:r>
                            <w:r>
                              <w:rPr>
                                <w:b/>
                                <w:sz w:val="20"/>
                                <w:szCs w:val="20"/>
                              </w:rPr>
                              <w:fldChar w:fldCharType="separate"/>
                            </w:r>
                            <w:r>
                              <w:rPr>
                                <w:b/>
                                <w:noProof/>
                                <w:sz w:val="20"/>
                                <w:szCs w:val="20"/>
                              </w:rPr>
                              <w:t>1</w:t>
                            </w:r>
                            <w:r>
                              <w:rPr>
                                <w:b/>
                                <w:sz w:val="20"/>
                                <w:szCs w:val="20"/>
                              </w:rPr>
                              <w:fldChar w:fldCharType="end"/>
                            </w:r>
                            <w:r>
                              <w:rPr>
                                <w:b/>
                                <w:sz w:val="20"/>
                                <w:szCs w:val="20"/>
                              </w:rPr>
                              <w:t>.</w:t>
                            </w:r>
                            <w:r>
                              <w:rPr>
                                <w:b/>
                                <w:sz w:val="20"/>
                                <w:szCs w:val="20"/>
                              </w:rPr>
                              <w:fldChar w:fldCharType="begin"/>
                            </w:r>
                            <w:r>
                              <w:rPr>
                                <w:b/>
                                <w:sz w:val="20"/>
                                <w:szCs w:val="20"/>
                              </w:rPr>
                              <w:instrText xml:space="preserve"> SEQ Figure \* ARABIC \s 1 </w:instrText>
                            </w:r>
                            <w:r>
                              <w:rPr>
                                <w:b/>
                                <w:sz w:val="20"/>
                                <w:szCs w:val="20"/>
                              </w:rPr>
                              <w:fldChar w:fldCharType="separate"/>
                            </w:r>
                            <w:r>
                              <w:rPr>
                                <w:b/>
                                <w:noProof/>
                                <w:sz w:val="20"/>
                                <w:szCs w:val="20"/>
                              </w:rPr>
                              <w:t>4</w:t>
                            </w:r>
                            <w:r>
                              <w:rPr>
                                <w:b/>
                                <w:sz w:val="20"/>
                                <w:szCs w:val="20"/>
                              </w:rPr>
                              <w:fldChar w:fldCharType="end"/>
                            </w:r>
                            <w:bookmarkEnd w:id="48"/>
                            <w:r w:rsidRPr="004C0876">
                              <w:rPr>
                                <w:b/>
                                <w:sz w:val="20"/>
                                <w:szCs w:val="20"/>
                              </w:rPr>
                              <w:t xml:space="preserve"> - Two proposed Amphotericin B interactions with ergosterol containing membranes.</w:t>
                            </w:r>
                            <w:r>
                              <w:rPr>
                                <w:sz w:val="20"/>
                                <w:szCs w:val="20"/>
                              </w:rPr>
                              <w:t xml:space="preserve"> Amphotericin B can bind ergosterol in membranes forming a single pore permeating the entire membrane, or two pores which align to permeate the membrane. Adapted from </w:t>
                            </w:r>
                            <w:r w:rsidRPr="00EA2579">
                              <w:rPr>
                                <w:sz w:val="20"/>
                                <w:szCs w:val="20"/>
                              </w:rPr>
                              <w:t>(Janout et al. 2015)</w:t>
                            </w:r>
                            <w:r>
                              <w:rPr>
                                <w:sz w:val="20"/>
                                <w:szCs w:val="20"/>
                              </w:rPr>
                              <w:t>.</w:t>
                            </w:r>
                            <w:bookmarkEnd w:id="49"/>
                            <w:bookmarkEnd w:id="50"/>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41549531" id="Text Box 160" o:spid="_x0000_s1029" type="#_x0000_t202" style="position:absolute;left:0;text-align:left;margin-left:0;margin-top:274.3pt;width:439.05pt;height:50.6pt;z-index:2519613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AxNs5NAIAAGsEAAAOAAAAZHJzL2Uyb0RvYy54bWysVMGO2yAQvVfqPyDujZNsk7ZWnFWaVapK&#13;&#10;q92VkmrPBEOMBAwFEjv9+g44zrbbnqpe8DAzDLz3Zry47YwmJ+GDAlvRyWhMibAcamUPFf2227z7&#13;&#10;SEmIzNZMgxUVPYtAb5dv3yxaV4opNKBr4QkWsaFsXUWbGF1ZFIE3wrAwAicsBiV4wyJu/aGoPWux&#13;&#10;utHFdDyeFy342nngIgT03vVBusz1pRQ8PkoZRCS6ovi2mFef131ai+WClQfPXKP45RnsH15hmLJ4&#13;&#10;6bXUHYuMHL36o5RR3EMAGUccTAFSKi4yBkQzGb9Cs22YExkLkhPclabw/8ryh9OTJ6pG7ebIj2UG&#13;&#10;RdqJLpLP0JHkQ4ZaF0pM3DpMjR0GMHvwB3Qm4J30Jn0REsE41jpf+U3lODpnsw+zTzczSjjG5u+n&#13;&#10;82kuX7ycdj7ELwIMSUZFPeqXaWWn+xDxJZg6pKTLAmhVb5TWaZMCa+3JiaHWbaOiSG/EE79laZty&#13;&#10;LaRTfTh5igSxh5Ks2O27TMrNAHMP9RnRe+g7KDi+UXjfPQvxiXlsGQSMYxAfcZEa2orCxaKkAf/j&#13;&#10;b/6Uj0pilJIWW7Ci4fuReUGJ/mpR49Svg+EHYz8Y9mjWgEgnOGCOZxMP+KgHU3owzzgdq3QLhpjl&#13;&#10;eFdF42CuYz8IOF1crFY5CbvSsXhvt46n0gOvu+6ZeXdRJaKeDzA0JytfidPn9iyvjhGkysolXnsW&#13;&#10;L3RjR2d5LtOXRubXfc56+UcsfwIAAP//AwBQSwMEFAAGAAgAAAAhAEs6DQHiAAAADQEAAA8AAABk&#13;&#10;cnMvZG93bnJldi54bWxMjz1PwzAQhnck/oN1SCyIOq1KcNM4FTSwwdBSdXZjN4mIz5HtNOm/55hg&#13;&#10;Oen06v148s1kO3YxPrQOJcxnCTCDldMt1hIOX++PAliICrXqHBoJVxNgU9ze5CrTbsSduexjzSgE&#13;&#10;Q6YkNDH2GeehaoxVYeZ6g6Sdnbcq0utrrr0aKdx2fJEkKbeqRWpoVG+2jam+94OVkJZ+GHe4fSgP&#13;&#10;bx/qs68Xx9frUcr7u6lc03lZA4tmin8O+GWg/VDQsJMbUAfWSSCaKOFpKVJgJItnMQd2ooLlSgAv&#13;&#10;cv6fovgBAAD//wMAUEsBAi0AFAAGAAgAAAAhALaDOJL+AAAA4QEAABMAAAAAAAAAAAAAAAAAAAAA&#13;&#10;AFtDb250ZW50X1R5cGVzXS54bWxQSwECLQAUAAYACAAAACEAOP0h/9YAAACUAQAACwAAAAAAAAAA&#13;&#10;AAAAAAAvAQAAX3JlbHMvLnJlbHNQSwECLQAUAAYACAAAACEAQMTbOTQCAABrBAAADgAAAAAAAAAA&#13;&#10;AAAAAAAuAgAAZHJzL2Uyb0RvYy54bWxQSwECLQAUAAYACAAAACEASzoNAeIAAAANAQAADwAAAAAA&#13;&#10;AAAAAAAAAACOBAAAZHJzL2Rvd25yZXYueG1sUEsFBgAAAAAEAAQA8wAAAJ0FAAAAAA==&#13;&#10;" stroked="f">
                <v:textbox inset="0,0,0,0">
                  <w:txbxContent>
                    <w:p w14:paraId="44249DA2" w14:textId="2A35E4E1" w:rsidR="00F61130" w:rsidRPr="004C0876" w:rsidRDefault="00F61130" w:rsidP="00EA2579">
                      <w:pPr>
                        <w:pStyle w:val="Caption"/>
                        <w:spacing w:line="360" w:lineRule="auto"/>
                        <w:jc w:val="both"/>
                        <w:rPr>
                          <w:sz w:val="20"/>
                          <w:szCs w:val="20"/>
                        </w:rPr>
                      </w:pPr>
                      <w:bookmarkStart w:id="51" w:name="_Ref523922491"/>
                      <w:bookmarkStart w:id="52" w:name="_Toc525227184"/>
                      <w:bookmarkStart w:id="53" w:name="_Toc536814123"/>
                      <w:r w:rsidRPr="004C0876">
                        <w:rPr>
                          <w:b/>
                          <w:sz w:val="20"/>
                          <w:szCs w:val="20"/>
                        </w:rPr>
                        <w:t xml:space="preserve">Figure </w:t>
                      </w:r>
                      <w:r>
                        <w:rPr>
                          <w:b/>
                          <w:sz w:val="20"/>
                          <w:szCs w:val="20"/>
                        </w:rPr>
                        <w:fldChar w:fldCharType="begin"/>
                      </w:r>
                      <w:r>
                        <w:rPr>
                          <w:b/>
                          <w:sz w:val="20"/>
                          <w:szCs w:val="20"/>
                        </w:rPr>
                        <w:instrText xml:space="preserve"> STYLEREF 1 \s </w:instrText>
                      </w:r>
                      <w:r>
                        <w:rPr>
                          <w:b/>
                          <w:sz w:val="20"/>
                          <w:szCs w:val="20"/>
                        </w:rPr>
                        <w:fldChar w:fldCharType="separate"/>
                      </w:r>
                      <w:r>
                        <w:rPr>
                          <w:b/>
                          <w:noProof/>
                          <w:sz w:val="20"/>
                          <w:szCs w:val="20"/>
                        </w:rPr>
                        <w:t>1</w:t>
                      </w:r>
                      <w:r>
                        <w:rPr>
                          <w:b/>
                          <w:sz w:val="20"/>
                          <w:szCs w:val="20"/>
                        </w:rPr>
                        <w:fldChar w:fldCharType="end"/>
                      </w:r>
                      <w:r>
                        <w:rPr>
                          <w:b/>
                          <w:sz w:val="20"/>
                          <w:szCs w:val="20"/>
                        </w:rPr>
                        <w:t>.</w:t>
                      </w:r>
                      <w:r>
                        <w:rPr>
                          <w:b/>
                          <w:sz w:val="20"/>
                          <w:szCs w:val="20"/>
                        </w:rPr>
                        <w:fldChar w:fldCharType="begin"/>
                      </w:r>
                      <w:r>
                        <w:rPr>
                          <w:b/>
                          <w:sz w:val="20"/>
                          <w:szCs w:val="20"/>
                        </w:rPr>
                        <w:instrText xml:space="preserve"> SEQ Figure \* ARABIC \s 1 </w:instrText>
                      </w:r>
                      <w:r>
                        <w:rPr>
                          <w:b/>
                          <w:sz w:val="20"/>
                          <w:szCs w:val="20"/>
                        </w:rPr>
                        <w:fldChar w:fldCharType="separate"/>
                      </w:r>
                      <w:r>
                        <w:rPr>
                          <w:b/>
                          <w:noProof/>
                          <w:sz w:val="20"/>
                          <w:szCs w:val="20"/>
                        </w:rPr>
                        <w:t>4</w:t>
                      </w:r>
                      <w:r>
                        <w:rPr>
                          <w:b/>
                          <w:sz w:val="20"/>
                          <w:szCs w:val="20"/>
                        </w:rPr>
                        <w:fldChar w:fldCharType="end"/>
                      </w:r>
                      <w:bookmarkEnd w:id="51"/>
                      <w:r w:rsidRPr="004C0876">
                        <w:rPr>
                          <w:b/>
                          <w:sz w:val="20"/>
                          <w:szCs w:val="20"/>
                        </w:rPr>
                        <w:t xml:space="preserve"> - Two proposed Amphotericin B interactions with ergosterol containing membranes.</w:t>
                      </w:r>
                      <w:r>
                        <w:rPr>
                          <w:sz w:val="20"/>
                          <w:szCs w:val="20"/>
                        </w:rPr>
                        <w:t xml:space="preserve"> Amphotericin B can bind ergosterol in membranes forming a single pore permeating the entire membrane, or two pores which align to permeate the membrane. Adapted from </w:t>
                      </w:r>
                      <w:r w:rsidRPr="00EA2579">
                        <w:rPr>
                          <w:sz w:val="20"/>
                          <w:szCs w:val="20"/>
                        </w:rPr>
                        <w:t>(Janout et al. 2015)</w:t>
                      </w:r>
                      <w:r>
                        <w:rPr>
                          <w:sz w:val="20"/>
                          <w:szCs w:val="20"/>
                        </w:rPr>
                        <w:t>.</w:t>
                      </w:r>
                      <w:bookmarkEnd w:id="52"/>
                      <w:bookmarkEnd w:id="53"/>
                    </w:p>
                  </w:txbxContent>
                </v:textbox>
                <w10:wrap type="topAndBottom"/>
              </v:shape>
            </w:pict>
          </mc:Fallback>
        </mc:AlternateContent>
      </w:r>
    </w:p>
    <w:p w14:paraId="4E33058A" w14:textId="3DB79475" w:rsidR="004C0876" w:rsidRPr="008B3AD6" w:rsidRDefault="004C0876" w:rsidP="0024287F">
      <w:pPr>
        <w:spacing w:line="360" w:lineRule="auto"/>
        <w:jc w:val="both"/>
      </w:pPr>
    </w:p>
    <w:p w14:paraId="41045A3C" w14:textId="3F559C81" w:rsidR="007842A9" w:rsidRPr="008B3AD6" w:rsidRDefault="007842A9" w:rsidP="007842A9">
      <w:pPr>
        <w:spacing w:line="360" w:lineRule="auto"/>
        <w:jc w:val="both"/>
      </w:pPr>
      <w:r w:rsidRPr="008B3AD6">
        <w:t xml:space="preserve">Due to its ability to bind ergosterol, a membrane component of </w:t>
      </w:r>
      <w:r w:rsidRPr="008B3AD6">
        <w:rPr>
          <w:i/>
        </w:rPr>
        <w:t>Leishmania</w:t>
      </w:r>
      <w:r w:rsidRPr="008B3AD6">
        <w:t xml:space="preserve"> spp., </w:t>
      </w:r>
      <w:r w:rsidR="005D57BB">
        <w:t>AmB</w:t>
      </w:r>
      <w:r w:rsidRPr="008B3AD6">
        <w:t xml:space="preserve"> has anti-leishmanial properties and has since been adapted as a highly efficacious therapy for the treatment of </w:t>
      </w:r>
      <w:r w:rsidR="005D57BB">
        <w:t>VL</w:t>
      </w:r>
      <w:r w:rsidRPr="008B3AD6">
        <w:t xml:space="preserve">. </w:t>
      </w:r>
      <w:r w:rsidR="005D57BB">
        <w:t>DAmB</w:t>
      </w:r>
      <w:r w:rsidRPr="008B3AD6">
        <w:t xml:space="preserve"> when used as monotherapy in humans with </w:t>
      </w:r>
      <w:r w:rsidR="001B3EE4">
        <w:t>VL showed</w:t>
      </w:r>
      <w:r w:rsidRPr="008B3AD6">
        <w:t xml:space="preserve"> &gt; 90% cure rate at 6 months post-infection but was associated with nephrotoxicity </w:t>
      </w:r>
      <w:r w:rsidR="00A6379E" w:rsidRPr="008B3AD6">
        <w:fldChar w:fldCharType="begin"/>
      </w:r>
      <w:r w:rsidR="00025067">
        <w:instrText xml:space="preserve"> ADDIN ZOTERO_ITEM CSL_CITATION {"citationID":"LdBWigWl","properties":{"formattedCitation":"(Balasegaram et al. 2012b)","plainCitation":"(Balasegaram et al. 2012b)","noteIndex":0},"citationItems":[{"id":2517,"uris":["http://zotero.org/users/2628971/items/CH92TVZE"],"uri":["http://zotero.org/users/2628971/items/CH92TVZE"],"itemData":{"id":2517,"type":"article-journal","title":"Liposomal amphotericin B as a treatment for human leishmaniasis","container-title":"Expert Opinion on Emerging Drugs","page":"493-510","volume":"17","issue":"4","source":"PubMed Central","abstract":"Introduction:\nLeishmaniasis is a parasitic disease transmitted by phlebotomine sandflies. Between 700,000 and 1.2 million cases of cutaneous leishmaniasis and between 200,000 and 400,000 cases of visceral leishmaniasis (VL), which is fatal if left untreated, occur annually worldwide. Liposomal amphotericin B (LAMB), alone or in combination with other drugs, has been extensively studied as VL treatment, but data on routine field use are limited, and several challenges to patients' access to this life-saving drug remain.\n\nAreas covered:\nThis article provides a review of clinical studies on LAMB for VL and other forms of leishmaniasis. The current development of generic versions of LAMB and related challenges are also discussed.\n\nExpert opinion:\nLAMB proved to be highly efficacious and safe in over 8000 VL patients treated by MÉdecins Sans Frontières in South Asia, and its use was feasible even at primary healthcare level. Despite requiring higher doses, LAMB is the drug of choice to treat vulnerable groups (e.g., pregnant or HIV positive) and relapsing VL patients in East Africa. LAMB should be included in national VL guidelines and registered in all VL endemic countries. Its cost should be further reduced and regulatory pathways to prove bioequivalence for generic LAMB products should be implemented.","DOI":"10.1517/14728214.2012.748036","ISSN":"1472-8214","note":"PMID: 23167833\nPMCID: PMC3518293","journalAbbreviation":"Expert Opin Emerg Drugs","author":[{"family":"Balasegaram","given":"Manica"},{"family":"Ritmeijer","given":"Koert"},{"family":"Lima","given":"Maria Angeles"},{"family":"Burza","given":"Sakib"},{"family":"Ortiz Genovese","given":"Gemma"},{"family":"Milani","given":"Barbara"},{"family":"Gaspani","given":"Sara"},{"family":"Potet","given":"Julien"},{"family":"Chappuis","given":"François"}],"issued":{"date-parts":[["2012",12]]}}}],"schema":"https://github.com/citation-style-language/schema/raw/master/csl-citation.json"} </w:instrText>
      </w:r>
      <w:r w:rsidR="00A6379E" w:rsidRPr="008B3AD6">
        <w:fldChar w:fldCharType="separate"/>
      </w:r>
      <w:r w:rsidR="00C80233">
        <w:rPr>
          <w:lang w:val="en-US"/>
        </w:rPr>
        <w:t>(Balasegaram et al. 2012)</w:t>
      </w:r>
      <w:r w:rsidR="00A6379E" w:rsidRPr="008B3AD6">
        <w:fldChar w:fldCharType="end"/>
      </w:r>
      <w:r w:rsidRPr="008B3AD6">
        <w:t xml:space="preserve">. </w:t>
      </w:r>
      <w:r w:rsidR="005D57BB">
        <w:t>LAmB</w:t>
      </w:r>
      <w:r w:rsidRPr="008B3AD6">
        <w:t xml:space="preserve"> administered daily over 5 days using a total dosage of between 5-15 mg/kg </w:t>
      </w:r>
      <w:r w:rsidRPr="008B3AD6">
        <w:lastRenderedPageBreak/>
        <w:t>produced definitive</w:t>
      </w:r>
      <w:r w:rsidR="00A6379E" w:rsidRPr="008B3AD6">
        <w:t xml:space="preserve"> cure rates of between 79-100% </w:t>
      </w:r>
      <w:r w:rsidR="00A6379E" w:rsidRPr="008B3AD6">
        <w:fldChar w:fldCharType="begin"/>
      </w:r>
      <w:r w:rsidR="00025067">
        <w:instrText xml:space="preserve"> ADDIN ZOTERO_ITEM CSL_CITATION {"citationID":"pb3Q2xAv","properties":{"formattedCitation":"(Goldsmith and Perry 2004)","plainCitation":"(Goldsmith and Perry 2004)","noteIndex":0},"citationItems":[{"id":3561,"uris":["http://zotero.org/users/2628971/items/CQHRVQD6"],"uri":["http://zotero.org/users/2628971/items/CQHRVQD6"],"itemData":{"id":3561,"type":"article-journal","title":"Amphotericin B lipid complex: in visceral leishmaniasis","container-title":"Drugs","page":"1905-1911; discussion 1912-1913","volume":"64","issue":"17","source":"PubMed","abstract":"Amphotericin B lipid complex is a lipid formulation of amphotericin B, an antifungal drug with activity against Leishmania spp. Amphotericin B lipid complex appears to enhance uptake of amphotericin B by infected macrophages in patients with visceral leishmaniasis (VL). In randomised, open-label, dose-ranging studies, short-course treatment with once-daily amphotericin B lipid complex (5-15 mg/kg total cumulative dose over 5 days), administered by intravenous infusion, produced high rates of apparent (day 19) [93-100%] and definitive (6 months) [79-100%] cures in Indian patients with antimonial-resistant VL. Amphotericin B lipid complex appeared to be as effective as liposomal amphotericin B or the conventional deoxycholate formulation in a randomised, open-label study conducted in India in a mixed population of patients with previously untreated or antimonial-resistant VL. In patients with HIV infection and VL, amphotericin B lipid complex 3 mg/kg/day for 5 or 10 days appeared to be as effective as meglumine antimonate 20 mg/kg/day for 28 days in a small randomised pilot study in southern Europe. Amphotericin B lipid complex was generally well tolerated in patients with VL. Infusion-related reactions were the most common adverse events associated with amphotericin B lipid complex.","ISSN":"0012-6667","note":"PMID: 15329037","shortTitle":"Amphotericin B lipid complex","journalAbbreviation":"Drugs","language":"eng","author":[{"family":"Goldsmith","given":"David R."},{"family":"Perry","given":"Caroline M."}],"issued":{"date-parts":[["2004"]]}}}],"schema":"https://github.com/citation-style-language/schema/raw/master/csl-citation.json"} </w:instrText>
      </w:r>
      <w:r w:rsidR="00A6379E" w:rsidRPr="008B3AD6">
        <w:fldChar w:fldCharType="separate"/>
      </w:r>
      <w:r w:rsidR="00025067" w:rsidRPr="00025067">
        <w:rPr>
          <w:lang w:val="en-US"/>
        </w:rPr>
        <w:t>(Goldsmith and Perry 2004)</w:t>
      </w:r>
      <w:r w:rsidR="00A6379E" w:rsidRPr="008B3AD6">
        <w:fldChar w:fldCharType="end"/>
      </w:r>
      <w:r w:rsidRPr="008B3AD6">
        <w:t xml:space="preserve">. However, an emerging disadvantage of </w:t>
      </w:r>
      <w:r w:rsidR="005D57BB">
        <w:t>AmB</w:t>
      </w:r>
      <w:r w:rsidRPr="008B3AD6">
        <w:t xml:space="preserve"> (in any formulation) is varying geographic efficacy, with </w:t>
      </w:r>
      <w:r w:rsidR="005D57BB">
        <w:t>AmB</w:t>
      </w:r>
      <w:r w:rsidRPr="008B3AD6">
        <w:t xml:space="preserve"> showing high efficacy in India but lower cure rates in Brazil, Sudan and Kenya </w:t>
      </w:r>
      <w:r w:rsidR="00A6379E" w:rsidRPr="008B3AD6">
        <w:fldChar w:fldCharType="begin"/>
      </w:r>
      <w:r w:rsidR="00025067">
        <w:instrText xml:space="preserve"> ADDIN ZOTERO_ITEM CSL_CITATION {"citationID":"jD0uDp3a","properties":{"formattedCitation":"(J. D. Berman et al. 1998; Saravolatz et al. 2006; Mondal et al. 2014)","plainCitation":"(J. D. Berman et al. 1998; Saravolatz et al. 2006; Mondal et al. 2014)","noteIndex":0},"citationItems":[{"id":2534,"uris":["http://zotero.org/users/2628971/items/DZGB7CE7"],"uri":["http://zotero.org/users/2628971/items/DZGB7CE7"],"itemData":{"id":2534,"type":"article-journal","title":"Efficacy and safety of liposomal amphotericin B (AmBisome) for visceral leishmaniasis in endemic developing countries.","container-title":"Bulletin of the World Health Organization","page":"25-32","volume":"76","issue":"1","source":"PubMed Central","abstract":"Reported are the results of a study to determine the efficacy and safety of liposomal amphotericin B (AmBisome) for treating visceral leishmaniasis (kala-azar) in several developing countries where the disease is endemic (Brazil, India, and Kenya). At each study site, sequential cohorts of 10 patients each were treated with AmBisome at a dose of 2 mg.kg-1.day-1 (2 MKD). The first cohort received regimen 1:2 MKD on days 1-6 and day 10 (total dose: 14 mg/kg). If the efficacy with this regimen was satisfactory, a second cohort received regimen 2:2 MKD on days 1-4 and 10 (total dose: 10 mg/kg); and a third cohort received regimen 3:2 MKD on days 1, 5, and 10 (total dose: 6 mg/kg). In India, regimens 1, 2, and 3 (which were studied concurrently) each cured 100% of 10 patients. In Kenya, regimen 1 cured all 10 patients, regimen 2 cured 90% of 10 patients, but regimen 3 cured only 20% of 5 patients. In Brazil, regimen 1 was only partially curative: 5 of 13 patients (62%). Therefore, 15 patients were administered regimen 4 (2 MKD for 10 consecutive days; total dose, 20 mg/kg) and 13 patients were cured (83%). These results suggest that for the treatment of kala-azar the following doses of AmBisome should be administered: in India and Kenya, 2 mg/kg on days 1-4 and day 10; and in Brazil, 2 mg/kg on days 1-10.","ISSN":"0042-9686","note":"PMID: 9615494\nPMCID: PMC2305623","journalAbbreviation":"Bull World Health Organ","author":[{"family":"Berman","given":"J. D."},{"family":"Badaro","given":"R."},{"family":"Thakur","given":"C. P."},{"family":"Wasunna","given":"K. M."},{"family":"Behbehani","given":"K."},{"family":"Davidson","given":"R."},{"family":"Kuzoe","given":"F."},{"family":"Pang","given":"L."},{"family":"Weerasuriya","given":"K."},{"family":"Bryceson","given":"A. D."}],"issued":{"date-parts":[["1998"]]}}},{"id":2537,"uris":["http://zotero.org/users/2628971/items/XGDZDNGI"],"uri":["http://zotero.org/users/2628971/items/XGDZDNGI"],"itemData":{"id":2537,"type":"article-journal","title":"Liposomal Amphotericin B for the Treatment of Visceral Leishmaniasis","container-title":"Clinical Infectious Diseases","page":"917-924","volume":"43","issue":"7","source":"academic.oup.com","abstract":"Abstract.  During the past decade, liposomal amphotericin B has been used with increasing frequency to treat visceral leishmaniasis (VL). The World Health Organ","DOI":"10.1086/507530","ISSN":"1058-4838","journalAbbreviation":"Clin Infect Dis","language":"en","author":[{"family":"Saravolatz","given":"Louis D."},{"family":"Bern","given":"Caryn"},{"family":"Adler-Moore","given":"Jill"},{"family":"Berenguer","given":"Juan"},{"family":"Boelaert","given":"Marleen"},{"family":"Boer","given":"Margriet","non-dropping-particle":"den"},{"family":"Davidson","given":"Robert N."},{"family":"Figueras","given":"Concepcion"},{"family":"Gradoni","given":"Luigi"},{"family":"Kafetzis","given":"Dimitris A."},{"family":"Ritmeijer","given":"Koert"},{"family":"Rosenthal","given":"Eric"},{"family":"Royce","given":"Catherine"},{"family":"Russo","given":"Rosario"},{"family":"Sundar","given":"Shyam"},{"family":"Alvar","given":"Jorge"}],"issued":{"date-parts":[["2006",10,1]]}}},{"id":2501,"uris":["http://zotero.org/users/2628971/items/IBS4J2A8"],"uri":["http://zotero.org/users/2628971/items/IBS4J2A8"],"itemData":{"id":2501,"type":"article-journal","title":"Efficacy and safety of single-dose liposomal amphotericin B for visceral leishmaniasis in a rural public hospital in Bangladesh: a feasibility study","container-title":"The Lancet. Global Health","page":"e51-57","volume":"2","issue":"1","source":"PubMed","abstract":"BACKGROUND: To rapidly reduce the burden of visceral leishmaniasis for national elimination programmes, an acceptable, safe, and effective treatment is needed that can be delivered at primary health-care centres. We aimed to assess the tolerability, safety, and cure rate of single-dose liposomal amphotericin B (AmBisome, Gilead, USA) for visceral leishmaniasis treatment in such a setting in Bangladesh.\nMETHODS: We enrolled patients who had been diagnosed with visceral leishmaniasis at Muktagacha upazila (subdistrict) hospital, Bangladesh. Eligible participants were at least 5 years old and had a history of fever for more than 2 weeks, splenomegaly, rK39 rapid test positivity, and haemoglobin concentrations of at least 50 g/L. Participants were provided a one-off intravenous infusion of liposomal amphotericin B (10 mg/kg bodyweight). Clinical assessments were done during treatment, before hospital discharge, and on days 30 and 180 after treatment. Cure was defined as resolution of fever, decrease in spleen size, and an increase in haemoglobin by 10% compared with baseline or to at least 100 g/L. We estimated efficacy in terms of initial cure (at day 30) and final cure (at 6 months), and safety in all patients who were enrolled (intention-to-treat analysis). We also assessed efficacy in all patients who completed treatment and 6 month follow-up after treatment with or without visceral leishmaniasis relapse (per protocol analysis). We assessed acceptability in terms of proportion of patients who consented to treatment. This study was registered with the Australian New Zealand Clinical Trial Registry, number CTRN12612000367842.\nFINDINGS: Between March 5, and Aug 14, 2012, 329 (55%) of 594 cases of suspected visceral leishmaniasis were confirmed. Of these cases, five patients did not consent to treatment and 24 were ineligible for treatment. In the intention-to-treat analysis, 261 (87%) of 300 patients achieved initial cure and 290 (97%) achieved final cure. In the per-protocol analysis, 260 (88%) of 296 patients achieved initial cure and 289 (98%) achieved final cure. One patient did not start treatment owing to an allergic reaction to liposomal amphotericin B. During treatment or within 2 h afterwards, 79 (26%) patients developed fever, 109 (36%) had fever with rigor, and 56 (19%) had hypotension. No patients needed referral to a tertiary hospital for management of adverse events.\nINTERPRETATION: Treatment of visceral leishmaniasis in a primary health-care facility with single-dose liposomal amphotericin B could safely and effectively be adopted by the national visceral leishmaniasis elimination programme in Bangladesh.\nFUNDING: Neglected Tropical Diseases (WHO), Agencia Española de Cooperación Internacional.","DOI":"10.1016/S2214-109X(13)70118-9","ISSN":"2214-109X","note":"PMID: 25104636","shortTitle":"Efficacy and safety of single-dose liposomal amphotericin B for visceral leishmaniasis in a rural public hospital in Bangladesh","journalAbbreviation":"Lancet Glob Health","language":"eng","author":[{"family":"Mondal","given":"Dinesh"},{"family":"Alvar","given":"Jorge"},{"family":"Hasnain","given":"Md Golam"},{"family":"Hossain","given":"Md Shakhawat"},{"family":"Ghosh","given":"Debashis"},{"family":"Huda","given":"M. Mamun"},{"family":"Nabi","given":"Shah Golam"},{"family":"Sundar","given":"Shyam"},{"family":"Matlashewski","given":"Greg"},{"family":"Arana","given":"Byron"}],"issued":{"date-parts":[["2014",1]]}}}],"schema":"https://github.com/citation-style-language/schema/raw/master/csl-citation.json"} </w:instrText>
      </w:r>
      <w:r w:rsidR="00A6379E" w:rsidRPr="008B3AD6">
        <w:fldChar w:fldCharType="separate"/>
      </w:r>
      <w:r w:rsidR="00C46DBF">
        <w:rPr>
          <w:lang w:val="en-US"/>
        </w:rPr>
        <w:t>(</w:t>
      </w:r>
      <w:r w:rsidR="00025067" w:rsidRPr="00025067">
        <w:rPr>
          <w:lang w:val="en-US"/>
        </w:rPr>
        <w:t>Berman et al. 1998; Saravolatz et al. 2006; Mondal et al. 2014)</w:t>
      </w:r>
      <w:r w:rsidR="00A6379E" w:rsidRPr="008B3AD6">
        <w:fldChar w:fldCharType="end"/>
      </w:r>
      <w:r w:rsidRPr="008B3AD6">
        <w:t xml:space="preserve">. The primary mechanism of action of </w:t>
      </w:r>
      <w:r w:rsidR="005D57BB">
        <w:t>AmB</w:t>
      </w:r>
      <w:r w:rsidRPr="008B3AD6">
        <w:t xml:space="preserve"> against </w:t>
      </w:r>
      <w:r w:rsidRPr="008B3AD6">
        <w:rPr>
          <w:i/>
        </w:rPr>
        <w:t>Leishmania</w:t>
      </w:r>
      <w:r w:rsidRPr="008B3AD6">
        <w:t xml:space="preserve"> is thought to be the formation of membrane pores, whereby ergosterol, a membrane sterol not found in mammalian cells, is bound a</w:t>
      </w:r>
      <w:r w:rsidR="00A6379E" w:rsidRPr="008B3AD6">
        <w:t xml:space="preserve">nd </w:t>
      </w:r>
      <w:r w:rsidR="005D57BB">
        <w:t>AmB</w:t>
      </w:r>
      <w:r w:rsidR="00A6379E" w:rsidRPr="008B3AD6">
        <w:t xml:space="preserve"> multimerises</w:t>
      </w:r>
      <w:r w:rsidRPr="008B3AD6">
        <w:rPr>
          <w:lang w:val="en-US"/>
        </w:rPr>
        <w:t xml:space="preserve">. </w:t>
      </w:r>
      <w:r w:rsidR="005D57BB">
        <w:t>AmB</w:t>
      </w:r>
      <w:r w:rsidRPr="008B3AD6">
        <w:rPr>
          <w:lang w:val="en-US"/>
        </w:rPr>
        <w:t xml:space="preserve"> can bind cholesterol present in mammalian membranes but preferentially binds to ergosterol </w:t>
      </w:r>
      <w:r w:rsidR="00A6379E" w:rsidRPr="008B3AD6">
        <w:rPr>
          <w:lang w:val="en-US"/>
        </w:rPr>
        <w:fldChar w:fldCharType="begin"/>
      </w:r>
      <w:r w:rsidR="00025067">
        <w:rPr>
          <w:lang w:val="en-US"/>
        </w:rPr>
        <w:instrText xml:space="preserve"> ADDIN ZOTERO_ITEM CSL_CITATION {"citationID":"FjyljNyL","properties":{"formattedCitation":"(Hsuchen and Feingold 1973)","plainCitation":"(Hsuchen and Feingold 1973)","noteIndex":0},"citationItems":[{"id":3567,"uris":["http://zotero.org/users/2628971/items/89R9YFXX"],"uri":["http://zotero.org/users/2628971/items/89R9YFXX"],"itemData":{"id":3567,"type":"article-journal","title":"Selective membrane toxicity of the polyene antibiotics: studies on natural membranes","container-title":"Antimicrobial Agents and Chemotherapy","page":"316-319","volume":"4","issue":"3","source":"PubMed","abstract":"The effect of polyene antibiotics on Candida albicans, human erythrocytes, and Acholeplasma laidlawii was studied. The results sustain the observations made with lecithin-sterol liposomes. The distribution of double bonds in the membrane sterol nucleus appears to be of major importance in conferring polyene susceptibility; those sterols with the ergosterol nucleus are far more effective than those with a nucleus similar to cholesterol. Different polyenes vary in their membrane selectivity. The clinical implications of these observations are discussed.","ISSN":"0066-4804","note":"PMID: 4586145\nPMCID: PMC444549","shortTitle":"Selective membrane toxicity of the polyene antibiotics","journalAbbreviation":"Antimicrob. Agents Chemother.","language":"eng","author":[{"family":"Hsuchen","given":"C. C."},{"family":"Feingold","given":"D. S."}],"issued":{"date-parts":[["1973",9]]}}}],"schema":"https://github.com/citation-style-language/schema/raw/master/csl-citation.json"} </w:instrText>
      </w:r>
      <w:r w:rsidR="00A6379E" w:rsidRPr="008B3AD6">
        <w:rPr>
          <w:lang w:val="en-US"/>
        </w:rPr>
        <w:fldChar w:fldCharType="separate"/>
      </w:r>
      <w:r w:rsidR="00025067" w:rsidRPr="00025067">
        <w:rPr>
          <w:lang w:val="en-US"/>
        </w:rPr>
        <w:t>(Hsuchen and Feingold 1973)</w:t>
      </w:r>
      <w:r w:rsidR="00A6379E" w:rsidRPr="008B3AD6">
        <w:rPr>
          <w:lang w:val="en-US"/>
        </w:rPr>
        <w:fldChar w:fldCharType="end"/>
      </w:r>
      <w:r w:rsidRPr="008B3AD6">
        <w:t xml:space="preserve">. Once exposed to </w:t>
      </w:r>
      <w:r w:rsidR="005D57BB">
        <w:t>AmB</w:t>
      </w:r>
      <w:r w:rsidRPr="008B3AD6">
        <w:t xml:space="preserve"> </w:t>
      </w:r>
      <w:r w:rsidRPr="008B3AD6">
        <w:rPr>
          <w:i/>
        </w:rPr>
        <w:t>L. donovani</w:t>
      </w:r>
      <w:r w:rsidRPr="008B3AD6">
        <w:t xml:space="preserve"> promastigotes show the continuous leakage of small molecules and additionally the inability to uptake extracellular components</w:t>
      </w:r>
      <w:r w:rsidR="00A6379E" w:rsidRPr="008B3AD6">
        <w:t xml:space="preserve"> </w:t>
      </w:r>
      <w:r w:rsidR="00A6379E" w:rsidRPr="008B3AD6">
        <w:fldChar w:fldCharType="begin"/>
      </w:r>
      <w:r w:rsidR="00025067">
        <w:instrText xml:space="preserve"> ADDIN ZOTERO_ITEM CSL_CITATION {"citationID":"cCeehYdv","properties":{"formattedCitation":"(Saha, Mukherjee, and Bhaduri 1986b)","plainCitation":"(Saha, Mukherjee, and Bhaduri 1986b)","noteIndex":0},"citationItems":[{"id":2842,"uris":["http://zotero.org/users/2628971/items/GDUNUZGK"],"uri":["http://zotero.org/users/2628971/items/GDUNUZGK"],"itemData":{"id":2842,"type":"article-journal","title":"Mechanism of action of amphotericin B on Leishmania donovani promastigotes","container-title":"Molecular and Biochemical Parasitology","page":"195-200","volume":"19","issue":"3","source":"PubMed","abstract":"The growth of Leishmania donovani promastigotes in a liquid medium was completely inhibited by amphotericin B at a concentration of 0.3 microgram ml-1 (0.3 microM). Continuous release of small molecules that absorb at 260 nm and 280 nm was observed after contact with the drug. Uptake of [U-14C]glucose was inhibited in cells treated with the drug. An immediate release of isotopic glucose and its metabolites from preloaded cells could be demonstrated after incubation with amphotericin B (0.4 microM). Inhibition of respiration by the drug was a comparatively slower process. All the above effects could be effectively prevented in the presence of either cholesterol or ergosterol. The primary site of action of amphotericin B on L. donovani promastigote cells appears to be membrane sterols that result in a loss of the permeability barrier to small metabolites. An interesting biochemical similarity, thus, emerges between flagellated protozoa and fungi.","ISSN":"0166-6851","note":"PMID: 3736592","journalAbbreviation":"Mol. Biochem. Parasitol.","language":"eng","author":[{"family":"Saha","given":"A. K."},{"family":"Mukherjee","given":"T."},{"family":"Bhaduri","given":"A."}],"issued":{"date-parts":[["1986",6]]}}}],"schema":"https://github.com/citation-style-language/schema/raw/master/csl-citation.json"} </w:instrText>
      </w:r>
      <w:r w:rsidR="00A6379E" w:rsidRPr="008B3AD6">
        <w:fldChar w:fldCharType="separate"/>
      </w:r>
      <w:r w:rsidR="00025067" w:rsidRPr="00025067">
        <w:rPr>
          <w:lang w:val="en-US"/>
        </w:rPr>
        <w:t>(Sa</w:t>
      </w:r>
      <w:r w:rsidR="00C46DBF">
        <w:rPr>
          <w:lang w:val="en-US"/>
        </w:rPr>
        <w:t>ha, Mukherjee, and Bhaduri 1986</w:t>
      </w:r>
      <w:r w:rsidR="00025067" w:rsidRPr="00025067">
        <w:rPr>
          <w:lang w:val="en-US"/>
        </w:rPr>
        <w:t>)</w:t>
      </w:r>
      <w:r w:rsidR="00A6379E" w:rsidRPr="008B3AD6">
        <w:fldChar w:fldCharType="end"/>
      </w:r>
      <w:r w:rsidRPr="008B3AD6">
        <w:t>. Additional mechanisms have been proposed including</w:t>
      </w:r>
      <w:r w:rsidR="00A6379E" w:rsidRPr="008B3AD6">
        <w:t xml:space="preserve"> activation of immune pathways </w:t>
      </w:r>
      <w:r w:rsidR="00A6379E" w:rsidRPr="008B3AD6">
        <w:fldChar w:fldCharType="begin"/>
      </w:r>
      <w:r w:rsidR="00025067">
        <w:instrText xml:space="preserve"> ADDIN ZOTERO_ITEM CSL_CITATION {"citationID":"NSlX9gsb","properties":{"formattedCitation":"(Mesa-Arango, Scorzoni, and Zaragoza 2012)","plainCitation":"(Mesa-Arango, Scorzoni, and Zaragoza 2012)","noteIndex":0},"citationItems":[{"id":3556,"uris":["http://zotero.org/users/2628971/items/TYADJU4G"],"uri":["http://zotero.org/users/2628971/items/TYADJU4G"],"itemData":{"id":3556,"type":"article-journal","title":"It only takes one to do many jobs: Amphotericin B as antifungal and immunomodulatory drug","container-title":"Frontiers in Microbiology","volume":"3","source":"Frontiers","abstract":"“Amphotericin B acts through pore formation at the cell membrane after binding to ergosterol” is an accepted dogma about the action mechanism of this antifungal, and this sentence is widely found in the literature. But after 60 years of investigation, the action mechanism of AmB is not fully elucidated. Amphotericin B is a polyene substance that is one of the most effective drugs for the treatment of fungal and parasite infections. As stated above, the first mechanism of action described was pore formation after binding to the ergosterol present in the membrane. But it has also been demonstrated that AmB induces oxidative damage in the cells. Moreover, amphotericin B modulates the immune system, and this activity has been related to the protective effect of the molecule, but also to its toxicity in the host. This review tries to provide a general overview of the main aspects of this molecule, and highlight the multiple effects that this molecule has on both the fungal and host cells.","URL":"https://www.frontiersin.org/articles/10.3389/fmicb.2012.00286/full","DOI":"10.3389/fmicb.2012.00286","ISSN":"1664-302X","shortTitle":"It only takes one to do many jobs","journalAbbreviation":"Front. Microbiol.","language":"English","author":[{"family":"Mesa-Arango","given":"Ana Cecilia"},{"family":"Scorzoni","given":"Liliana"},{"family":"Zaragoza","given":"Oscar"}],"issued":{"date-parts":[["2012"]]},"accessed":{"date-parts":[["2018",8,27]]}}}],"schema":"https://github.com/citation-style-language/schema/raw/master/csl-citation.json"} </w:instrText>
      </w:r>
      <w:r w:rsidR="00A6379E" w:rsidRPr="008B3AD6">
        <w:fldChar w:fldCharType="separate"/>
      </w:r>
      <w:r w:rsidR="00025067" w:rsidRPr="00025067">
        <w:rPr>
          <w:lang w:val="en-US"/>
        </w:rPr>
        <w:t>(Mesa-Arango, Scorzoni, and Zaragoza 2012)</w:t>
      </w:r>
      <w:r w:rsidR="00A6379E" w:rsidRPr="008B3AD6">
        <w:fldChar w:fldCharType="end"/>
      </w:r>
      <w:r w:rsidRPr="008B3AD6">
        <w:t xml:space="preserve"> and alterations in host cell membranes leading to reduced par</w:t>
      </w:r>
      <w:r w:rsidR="00E33764">
        <w:t xml:space="preserve">asite - </w:t>
      </w:r>
      <w:r w:rsidRPr="008B3AD6">
        <w:t xml:space="preserve">macrophage interactions </w:t>
      </w:r>
      <w:r w:rsidR="00A6379E" w:rsidRPr="008B3AD6">
        <w:fldChar w:fldCharType="begin"/>
      </w:r>
      <w:r w:rsidR="00025067">
        <w:instrText xml:space="preserve"> ADDIN ZOTERO_ITEM CSL_CITATION {"citationID":"ALzNaOtX","properties":{"formattedCitation":"(Chattopadhyay and Jafurulla 2011)","plainCitation":"(Chattopadhyay and Jafurulla 2011)","noteIndex":0},"citationItems":[{"id":3554,"uris":["http://zotero.org/users/2628971/items/GXPRZJCE"],"uri":["http://zotero.org/users/2628971/items/GXPRZJCE"],"itemData":{"id":3554,"type":"article-journal","title":"A novel mechanism for an old drug: amphotericin B in the treatment of visceral leishmaniasis","container-title":"Biochemical and Biophysical Research Communications","page":"7-12","volume":"416","issue":"1-2","source":"PubMed","abstract":"Visceral leishmaniasis (VL) is caused by various species of the genus Leishmania. Internalization of Leishmania into host cells is facilitated by a large number of receptors, and therefore no panacea is available for the treatment of leishmaniasis. We previously demonstrated the requirement of host membrane cholesterol in the entry of Leishmania into macrophages by cholesterol depletion using methyl-β-cyclodextrin (MβCD). We recently showed that leishmanial infection is inhibited upon sequestration of host membrane cholesterol using amphotericin B (AmB), considered as the best existing drug against VL. The reason for the antileishmanial activity of AmB is generally believed to be its ability to bind ergosterol in parasite membranes. Our recent results offer the opportunity to reexamine the mechanism behind the effectiveness of current AmB-based therapeutic strategies to treat leishmaniasis. We propose here a novel mechanism in which the effectiveness of AmB treatment could be partly based on its ability to sequester cholesterol in the host membrane, thereby abrogating macrophage-parasite interaction.","DOI":"10.1016/j.bbrc.2011.11.023","ISSN":"1090-2104","note":"PMID: 22100811","shortTitle":"A novel mechanism for an old drug","journalAbbreviation":"Biochem. Biophys. Res. Commun.","language":"eng","author":[{"family":"Chattopadhyay","given":"Amitabha"},{"family":"Jafurulla","given":"Md"}],"issued":{"date-parts":[["2011",12,9]]}}}],"schema":"https://github.com/citation-style-language/schema/raw/master/csl-citation.json"} </w:instrText>
      </w:r>
      <w:r w:rsidR="00A6379E" w:rsidRPr="008B3AD6">
        <w:fldChar w:fldCharType="separate"/>
      </w:r>
      <w:r w:rsidR="00025067" w:rsidRPr="00025067">
        <w:rPr>
          <w:lang w:val="en-US"/>
        </w:rPr>
        <w:t>(Chattopadhyay and Jafurulla 2011)</w:t>
      </w:r>
      <w:r w:rsidR="00A6379E" w:rsidRPr="008B3AD6">
        <w:fldChar w:fldCharType="end"/>
      </w:r>
      <w:r w:rsidRPr="008B3AD6">
        <w:t xml:space="preserve">.  </w:t>
      </w:r>
    </w:p>
    <w:p w14:paraId="75AB2055" w14:textId="77777777" w:rsidR="007842A9" w:rsidRPr="008B3AD6" w:rsidRDefault="007842A9" w:rsidP="0024287F">
      <w:pPr>
        <w:spacing w:line="360" w:lineRule="auto"/>
        <w:jc w:val="both"/>
      </w:pPr>
    </w:p>
    <w:p w14:paraId="48739031" w14:textId="58DB5547" w:rsidR="0024287F" w:rsidRPr="008B3AD6" w:rsidRDefault="0024287F" w:rsidP="0024287F">
      <w:pPr>
        <w:spacing w:line="360" w:lineRule="auto"/>
        <w:jc w:val="both"/>
      </w:pPr>
      <w:r w:rsidRPr="008B3AD6">
        <w:t xml:space="preserve">A plethora of </w:t>
      </w:r>
      <w:r w:rsidR="00E33764">
        <w:t>PK</w:t>
      </w:r>
      <w:r w:rsidRPr="008B3AD6">
        <w:t xml:space="preserve"> studies, which aim to characterise the absorption, distribution, metabolism and excretion of </w:t>
      </w:r>
      <w:r w:rsidR="005D57BB">
        <w:t>AmB</w:t>
      </w:r>
      <w:r w:rsidRPr="008B3AD6">
        <w:t xml:space="preserve">, have been carried out for both </w:t>
      </w:r>
      <w:r w:rsidR="005D57BB">
        <w:t>DAmB</w:t>
      </w:r>
      <w:r w:rsidRPr="008B3AD6">
        <w:t xml:space="preserve"> and </w:t>
      </w:r>
      <w:r w:rsidR="005D57BB">
        <w:t>LAmB</w:t>
      </w:r>
      <w:r w:rsidRPr="008B3AD6">
        <w:t xml:space="preserve"> formulations. The appropriation of human tissues is not feasible for longitudinal analyses of drug concentrations post-treatments, due to the highly invasive manner of tissue sampling, and thus mice are commonly used as model systems. These</w:t>
      </w:r>
      <w:r w:rsidR="001B3EE4">
        <w:t xml:space="preserve"> mouse</w:t>
      </w:r>
      <w:r w:rsidRPr="008B3AD6">
        <w:t xml:space="preserve"> studies have shown the liver and spleen accumulate large amounts of </w:t>
      </w:r>
      <w:r w:rsidR="005D57BB">
        <w:t>AmB</w:t>
      </w:r>
      <w:r w:rsidRPr="008B3AD6">
        <w:t xml:space="preserve"> post-treatment with either </w:t>
      </w:r>
      <w:r w:rsidR="005D57BB">
        <w:t>DAmB or LAmB</w:t>
      </w:r>
      <w:r w:rsidR="00A6379E" w:rsidRPr="008B3AD6">
        <w:t xml:space="preserve"> </w:t>
      </w:r>
      <w:r w:rsidR="00A6379E" w:rsidRPr="008B3AD6">
        <w:fldChar w:fldCharType="begin"/>
      </w:r>
      <w:r w:rsidR="00025067">
        <w:instrText xml:space="preserve"> ADDIN ZOTERO_ITEM CSL_CITATION {"citationID":"IsUMVCkE","properties":{"formattedCitation":"(Gondal, Swartz, and Rahman 1989; Proffitt et al. 1991b; Saxena and Ghosh 2000; Shadkchan, Zaslavsky, and Segal 2003; Xu et al. 2011)","plainCitation":"(Gondal, Swartz, and Rahman 1989; Proffitt et al. 1991b; Saxena and Ghosh 2000; Shadkchan, Zaslavsky, and Segal 2003; Xu et al. 2011)","noteIndex":0},"citationItems":[{"id":2487,"uris":["http://zotero.org/users/2628971/items/XGTXTU88"],"uri":["http://zotero.org/users/2628971/items/XGTXTU88"],"itemData":{"id":2487,"type":"article-journal","title":"Therapeutic evaluation of free and liposome-encapsulated amphotericin B in the treatment of systemic candidiasis in mice","container-title":"Antimicrobial Agents and Chemotherapy","page":"1544-1548","volume":"33","issue":"9","source":"PubMed","abstract":"Various doses of amphotericin B encapsulated into unilamellar vesicles of 0.1 micron diameter (lip-AMB) (1.0 to 20.0 mg/kg of body weight) were compared with free amphotericin B (AMB) (0.5 to 2.0 mg/kg of body weight) in a murine model of disseminated candidiasis. CD2F1 mice injected intravenously with 3 x 10(5) Candida albicans cells were treated with either single- or multiple-dose regimens. Untreated infected mice had a median survival of 7 days, with all mice dead by 12 days. Single doses of AMB resulted in a median survival range from 18 to 23.5 days, with less than or equal to 38% survival by day 42. Single doses of lip-AMB resulted in 88 to 100% survival by day 42. The multiple-dose AMB regimen provided median survival of only 30 to 33 days, with less than or equal to 38% survival by day 42. The multiple-dose lip-AMB regimen resulted in greater than 90% survival by day 42. With single-dose regimens, lip-AMB levels in plasma were severalfold higher than AMB levels in plasma. By 10 h, at equivalent doses, lip-AMB levels in plasma were much higher, whereas AMB levels in plasma were not detectable. Compared with normal values, the blood urea nitrogen, serum glutamic pyruvic transaminase, serum glutamic oxaloacetate transaminase, and serum lactate dehydrogenase levels were not significantly altered by high doses of lip-AMB treatment. Viable C. albicans was recoverable from the kidneys of some of the lip-AMB-treated mice at day 42. Thus, encapsulation into unilamellar liposomes enhances the antifungal efficacy of amphotericin B while reducing the toxicity normally associated with administration of free amphotericin B.","ISSN":"0066-4804","note":"PMID: 2684010\nPMCID: PMC172699","journalAbbreviation":"Antimicrob. Agents Chemother.","language":"eng","author":[{"family":"Gondal","given":"J. A."},{"family":"Swartz","given":"R. P."},{"family":"Rahman","given":"A."}],"issued":{"date-parts":[["1989",9]]}}},{"id":2415,"uris":["http://zotero.org/users/2628971/items/6IHN925P"],"uri":["http://zotero.org/users/2628971/items/6IHN925P"],"itemData":{"id":2415,"type":"article-journal","title":"Pharmacology and toxicology of a liposomal formulation of amphotericin B (AmBisome) in rodents","container-title":"The Journal of Antimicrobial Chemotherapy","page":"49-61","volume":"28 Suppl B","source":"PubMed","abstract":"AmBisome is a lyophilized preparation of liposomal amphotericin B. The acute intravenous toxicity of AmBisome was evaluated in mice and rats, and the LD50S were found to be greater than 175 and 50 mg/kg, respectively. The corresponding LD50S for conventional amphotericin B were approximately 2.3 and 1.6 mg/kg for mice and rats, respectively. The multiple dose toxicity test confirmed that AmBisome was well tolerated by both species. There were no deaths observed among mice receiving 25 or 50 mg/kg AmBisome for 14 days, and only two deaths among mice receiving 75 mg/kg AmBisome. One rat died in the group receiving 25 mg/kg AmBisome for 30 days. However, five of ten and nine of ten rats died in the groups treated with 50 and 75 mg/kg AmBisome, respectively. Hepatotoxicity was evident by elevation in serum liver enzyme levels for these groups. Initial pharmacokinetic evaluations demonstrated that peak plasma concentrations of 87 and 118 mg/kg, respectively, were attained in mice and rats after injection with 5 mg/kg AmBisome. Terminal plasma half-lives of 3.36 and 7.56 h were calculated for mice and rats, respectively. Tissue accumulations of amphotericin B resulting from multiple dose intravenous administration of either conventional amphotericin B or AmBisome were determined. At equivalent doses of 1 mg/kg, AmBisome treatment resulted in higher liver and spleen uptake of drug, but lower kidney and lung uptake than amphotericin B. At 5 mg/kg, AmBisome treatment resulted in concentrations of drug in the kidney and lungs that were comparable to corresponding tissue levels observed in the group treated with 1 mg/kg conventional amphotericin B.(ABSTRACT TRUNCATED AT 250 WORDS)","ISSN":"0305-7453","note":"PMID: 1778892","journalAbbreviation":"J. Antimicrob. Chemother.","language":"eng","author":[{"family":"Proffitt","given":"R. T."},{"family":"Satorius","given":"A."},{"family":"Chiang","given":"S. M."},{"family":"Sullivan","given":"L."},{"family":"Adler-Moore","given":"J. P."}],"issued":{"date-parts":[["1991",10]]}}},{"id":3577,"uris":["http://zotero.org/users/2628971/items/WNRVL2VP"],"uri":["http://zotero.org/users/2628971/items/WNRVL2VP"],"itemData":{"id":3577,"type":"article-journal","title":"Biodistribution of amphotericin B when delivered through cholesterol hemisuccinate vesicles in normal and A. fumigatus infected mice","container-title":"Pharmaceutical Research","page":"1236-1242","volume":"17","issue":"10","source":"PubMed","abstract":"PURPOSE: This study compared the biodistribution of two amphotericin B formulations in normal and Aspergillus infected mice. Amphotericin B cholesterol hemisuccinate vesicles (ABCV) which reduces the toxicity of amphotericin B and thereby enhances its therapeutic efficacy in a murine model of aspergillosis was compared with conventional amphotericin B deoxycholate suspension (AmB(DOC)).\nMETHODS: ABCV (12 mg/kg wt) and AmB(DOC) (2 mg/kg wt) were intravenously administered to normal and A. fumigatus infected mice. The concentration of amphotericin B in plasma and other organs was determined at different time points.\nRESULTS: It was observed that ABCV had a significantly different pharmacokinetic profile compared to conventional amphotericin B. In comparison to AmB(DOC) significantly lower levels of amphotericin B were observed in kidneys and plasma, the major target organs of toxicity. Animals receiving ABCV demonstrated high levels of amphotericin B in liver (38% retention till 48 h) and spleen (2.6% retention till 48 h) in comparison to AmB(DOC) (7.3% and 0.21% retention in liver and spleen respectively till 48 h). Biodistribution studies of ABCV in infected mice demonstrated that there was a moderate enhancement in levels of amphotericin B in liver, spleen, lungs and kidneys as compared to normal mice and the plasma levels were reduced. However, such observations were not made after AmB(DOC) administration to infected mice except for kidneys in which there was a marked increase in uptake as compared to normal mice.\nCONCLUSIONS: Our results suggest that prolonged retention of high concentrations of ABCV in reticuloendothelial system organs is the reason for its reduced toxicity. Enhanced localization of the drug at the infected site may lead to improvement in therapeutic efficacy.","ISSN":"0724-8741","note":"PMID: 11145229","journalAbbreviation":"Pharm. Res.","language":"eng","author":[{"family":"Saxena","given":"S."},{"family":"Ghosh","given":"P. C."}],"issued":{"date-parts":[["2000",10]]}}},{"id":3575,"uris":["http://zotero.org/users/2628971/items/78MXT65N"],"uri":["http://zotero.org/users/2628971/items/78MXT65N"],"itemData":{"id":3575,"type":"article-journal","title":"Pharmacokinetics of amphotericin B in serum and tissues in mice treated with amphotericin B-Intralipid","container-title":"Medical Mycology","page":"15-19","volume":"41","issue":"1","source":"PubMed","abstract":"In our previous research we studied the efficacy of amphotericin B (AMB)-Intralipid (AMB-IL) admixtures in the treatment of experimental systemic candidosis in naïve and compromised mice. In this study we evaluated the levels of AMB in blood and several organs (kidneys, liver, spleen, lungs and heart) at different times after injection (from 5 min to 14 days). Comparisons were made with levels occurring in animals treated with Fungizone or AmBisome. A sensitive high-pressure liquid chromatography (HPLC) method was adapted for assaying AMB in blood and tissues. We used reversed-phased column and a simple mobile phase consisting of acetonitrile and EDTA. We found that blood levels of AMB in mice injected with AMB-IL were higher than those obtained in animals treated with Fungizone, but similar to those obtained in mice administered AmBisome. Compared with conventional Fungizone therapy, administration of lipid formulations of AMB (both AMB-IL and AmBisome) resulted in higher concentrations of AMB in the liver and spleen, but lower concentrations in the kidneys and lungs.","ISSN":"1369-3786","note":"PMID: 12627800","journalAbbreviation":"Med. Mycol.","language":"eng","author":[{"family":"Shadkchan","given":"Y."},{"family":"Zaslavsky","given":"Z."},{"family":"Segal","given":"E."}],"issued":{"date-parts":[["2003",2]]}}},{"id":3579,"uris":["http://zotero.org/users/2628971/items/ZVX8FVP7"],"uri":["http://zotero.org/users/2628971/items/ZVX8FVP7"],"itemData":{"id":3579,"type":"article-journal","title":"Efficacy of intravenous amphotericin B-polybutylcyanoacrylate nanoparticles against cryptococcal meningitis in mice","container-title":"International Journal of Nanomedicine","page":"905-913","volume":"6","source":"PubMed Central","abstract":"Amphotericin B deoxycholate (AmB), a classic antifungal drug, remains the initial treatment of choice for deep fungal infections, but it is not appropriate for treatment of cryptococcal meningitis due to its inability to pass through the blood–brain barrier (BBB). We examined the efficacy of amphotericin B-polybutylcyanoacrylate nanoparticles (AmB-PBCA-NPs) modified with polysorbate 80 that had a mean particle diameter less than 100 nanometers (69.0 ± 28.6 nm). AmB-PBCA-NPs were detected in the brain 30 minutes after systemic administration into BALB/c mice and had a higher concentration than systemically administered AmB liposome (AmB-L, P &lt; 0.05); AmB was not detected in the brain. Following infection for 24 hours and then 7 days of treatment, the survival rate of mice in the AmB-PBCA-NP group (80%) was significantly higher than that of the AmB (0%) or AmB-L (60%) treatment groups. Fungal load was also lower when assessed by colony-forming unit counts obtained after plating infected brain tissue (P &lt; 0.05). Our study indicates that AmB-PBCA-NPs with polysorbate 80 coating have the capacity to transport AmB across the BBB and is an efficient treatment against cryptococcal meningitis in a mouse model.","DOI":"10.2147/IJN.S17503","ISSN":"1176-9114","note":"PMID: 21720503\nPMCID: PMC3124396","journalAbbreviation":"Int J Nanomedicine","author":[{"family":"Xu","given":"Nan"},{"family":"Gu","given":"Julin"},{"family":"Zhu","given":"Yuanjie"},{"family":"Wen","given":"Hai"},{"family":"Ren","given":"Qiushi"},{"family":"Chen","given":"Jianghan"}],"issued":{"date-parts":[["2011"]]}}}],"schema":"https://github.com/citation-style-language/schema/raw/master/csl-citation.json"} </w:instrText>
      </w:r>
      <w:r w:rsidR="00A6379E" w:rsidRPr="008B3AD6">
        <w:fldChar w:fldCharType="separate"/>
      </w:r>
      <w:r w:rsidR="00C80233">
        <w:rPr>
          <w:lang w:val="en-US"/>
        </w:rPr>
        <w:t>(Gondal, Swartz, and Rahman 1989; Proffi</w:t>
      </w:r>
      <w:r w:rsidR="00C46DBF">
        <w:rPr>
          <w:lang w:val="en-US"/>
        </w:rPr>
        <w:t>tt et al. 1991</w:t>
      </w:r>
      <w:r w:rsidR="00C80233">
        <w:rPr>
          <w:lang w:val="en-US"/>
        </w:rPr>
        <w:t>; Saxena and Ghosh 2000; Shadkchan, Zaslavsky, and Segal 2003; Xu et al. 2011)</w:t>
      </w:r>
      <w:r w:rsidR="00A6379E" w:rsidRPr="008B3AD6">
        <w:fldChar w:fldCharType="end"/>
      </w:r>
      <w:r w:rsidRPr="008B3AD6">
        <w:t xml:space="preserve">. Additionally, the kidney accumulates large amounts of </w:t>
      </w:r>
      <w:r w:rsidR="00A32111">
        <w:t>AmB</w:t>
      </w:r>
      <w:r w:rsidRPr="008B3AD6">
        <w:t xml:space="preserve"> post-treatment </w:t>
      </w:r>
      <w:r w:rsidR="00A6379E" w:rsidRPr="008B3AD6">
        <w:fldChar w:fldCharType="begin"/>
      </w:r>
      <w:r w:rsidR="00025067">
        <w:instrText xml:space="preserve"> ADDIN ZOTERO_ITEM CSL_CITATION {"citationID":"KO0VnODC","properties":{"formattedCitation":"(J. Berman 1997)","plainCitation":"(J. Berman 1997)","noteIndex":0},"citationItems":[{"id":1176,"uris":["http://zotero.org/users/2628971/items/9QTSV8AX"],"uri":["http://zotero.org/users/2628971/items/9QTSV8AX"],"itemData":{"id":1176,"type":"webpage","title":"Human Leishmaniasis: Clinical, Diagnostic, and Chemotherapeutic Developments in the Last 10 Years.","container-title":"Clin. infect. dis.","abstract":": The current interest in leishmaniasis stems from the importance of this disease with respect to travel medicine, veterans of Operation Desert Storm, humanitarian concerns, and infection with human immunodeficiency virus. Herein, I review aspects of leishmaniasis that are of practical value to practitioners, including presentation, diagnosis, and chemotherapy; I will emphasize advances in chemotherapy over the last 10 years. Amphotericin B and its new lipid formulations are now competitive with pentavalent antimony as primary therapy for visceral leishmaniasis. Pentamidine, paromomycin, and adjunctive therapy with interferon-[gamma] are secondary regimens for the treatment of this condition. High-dose long-term regimens of antimony have been shown to be highly effective for the treatment of cutaneous leishmaniasis. Preliminary evidence of efficacy has been observed with short courses of pentamidine for the treatment of Leishmania braziliensis complex disease and topical paromomycin/methylbenzethonium chloride for the treatment of Leishmania major disease., (C) Copyright Oxford University Press 1997.","author":[{"family":"Berman","given":"J."}],"issued":{"date-parts":[["1997"]]},"accessed":{"date-parts":[["1924",1,1]]}}}],"schema":"https://github.com/citation-style-language/schema/raw/master/csl-citation.json"} </w:instrText>
      </w:r>
      <w:r w:rsidR="00A6379E" w:rsidRPr="008B3AD6">
        <w:fldChar w:fldCharType="separate"/>
      </w:r>
      <w:r w:rsidR="00C46DBF">
        <w:rPr>
          <w:lang w:val="en-US"/>
        </w:rPr>
        <w:t>(</w:t>
      </w:r>
      <w:r w:rsidR="00025067" w:rsidRPr="00025067">
        <w:rPr>
          <w:lang w:val="en-US"/>
        </w:rPr>
        <w:t>Berman 1997)</w:t>
      </w:r>
      <w:r w:rsidR="00A6379E" w:rsidRPr="008B3AD6">
        <w:fldChar w:fldCharType="end"/>
      </w:r>
      <w:r w:rsidR="00AA0EB5" w:rsidRPr="008B3AD6">
        <w:t xml:space="preserve"> </w:t>
      </w:r>
      <w:r w:rsidRPr="008B3AD6">
        <w:t>which leads to th</w:t>
      </w:r>
      <w:r w:rsidR="00120034" w:rsidRPr="008B3AD6">
        <w:t>e emergence of nephrotoxicity</w:t>
      </w:r>
      <w:r w:rsidRPr="008B3AD6">
        <w:t xml:space="preserve">. The encapsulation of </w:t>
      </w:r>
      <w:r w:rsidR="005D57BB">
        <w:t>AmB</w:t>
      </w:r>
      <w:r w:rsidRPr="008B3AD6">
        <w:t xml:space="preserve"> in liposomes reduces </w:t>
      </w:r>
      <w:r w:rsidR="00120034" w:rsidRPr="008B3AD6">
        <w:t xml:space="preserve">nephrotoxicity </w:t>
      </w:r>
      <w:r w:rsidR="00120034" w:rsidRPr="008B3AD6">
        <w:fldChar w:fldCharType="begin"/>
      </w:r>
      <w:r w:rsidR="00025067">
        <w:instrText xml:space="preserve"> ADDIN ZOTERO_ITEM CSL_CITATION {"citationID":"6gWl6GsS","properties":{"formattedCitation":"(Montagna et al. 2014)","plainCitation":"(Montagna et al. 2014)","noteIndex":0},"citationItems":[{"id":3564,"uris":["http://zotero.org/users/2628971/items/3K9NWGCT"],"uri":["http://zotero.org/users/2628971/items/3K9NWGCT"],"itemData":{"id":3564,"type":"article-journal","title":"In vitro activities of amphotericin B deoxycholate and liposomal amphotericin B against 604 clinical yeast isolates","container-title":"Journal of Medical Microbiology","page":"1638-1643","volume":"63","issue":"Pt 12","source":"PubMed Central","abstract":"We determined the in vitro antifungal activity of liposomal amphotericin B (L-AmB) against 604 clinical yeast isolates. Amphotericin B deoxycholate (D-AmB) was tested in parallel against all the isolates. Susceptibility testing was performed according to the Clinical and Laboratory Standards Institute (CLSI) M27-A3 method. Overall, L-AmB was highly active against the isolates (mean MIC, 0.42 µg ml−1; MIC90, 1 µg ml−1; 97.2 % of MICs were ≤1 µg ml−1) and comparable to D-AmB (mean MIC, 0.48 µg ml−1; MIC90, 1 µg ml−1; 97.3 % of MICs were ≤1 µg ml−1). The in vitro activity of D-AmB and L-AmB was correlated (R2 = 0.61; exp(b), 2.3; 95 % CI, 2.19–2.44, P&lt;0.001). Candida albicans (mean MICs of D-AmB and L-AmB, 0.39 µg ml−1 and 0.31 µg ml−1, respectively) and Candida parapsilosis (mean MICs of D-AmB and L-AmB, 0.38 µg ml−1 and 0.35 µg ml−1, respectively) were the species most susceptible to the agents tested, while Candida krusei (currently named Issatchenkia orientalis) (mean MICs of D-AmB and L-AmB, 1.27 µg ml−1 and 1.13 µg ml−1, respectively) was the least susceptible. The excellent in vitro activity of L-AmB may have important implications for empirical treatment approaches and support its role in treatment of a wide range of invasive infections due to yeasts.","DOI":"10.1099/jmm.0.075507-0","ISSN":"0022-2615","note":"PMID: 25210203\nPMCID: PMC4250836","journalAbbreviation":"J Med Microbiol","author":[{"family":"Montagna","given":"Maria Teresa"},{"family":"Lovero","given":"Grazia"},{"family":"Coretti","given":"Caterina"},{"family":"De Giglio","given":"Osvalda"},{"family":"Martinelli","given":"Domenico"},{"family":"Bedini","given":"Andrea"},{"family":"Delia","given":"Mario"},{"family":"Rosato","given":"Antonio"},{"family":"Codeluppi","given":"Mauro"},{"family":"Caggiano","given":"Giuseppina"}],"issued":{"date-parts":[["2014",12]]}}}],"schema":"https://github.com/citation-style-language/schema/raw/master/csl-citation.json"} </w:instrText>
      </w:r>
      <w:r w:rsidR="00120034" w:rsidRPr="008B3AD6">
        <w:fldChar w:fldCharType="separate"/>
      </w:r>
      <w:r w:rsidR="00025067" w:rsidRPr="00025067">
        <w:rPr>
          <w:lang w:val="en-US"/>
        </w:rPr>
        <w:t>(Montagna et al. 2014)</w:t>
      </w:r>
      <w:r w:rsidR="00120034" w:rsidRPr="008B3AD6">
        <w:fldChar w:fldCharType="end"/>
      </w:r>
      <w:r w:rsidRPr="008B3AD6">
        <w:t xml:space="preserve"> whilst retaining hig</w:t>
      </w:r>
      <w:r w:rsidR="00120034" w:rsidRPr="008B3AD6">
        <w:t>h levels of renal accumulation</w:t>
      </w:r>
      <w:r w:rsidRPr="008B3AD6">
        <w:t xml:space="preserve">. In these studies, the concentrations of </w:t>
      </w:r>
      <w:r w:rsidR="005D57BB">
        <w:t>AmB</w:t>
      </w:r>
      <w:r w:rsidRPr="008B3AD6">
        <w:t xml:space="preserve"> are typically characterised by the use of high-performance liquid chromatography (HPLC). </w:t>
      </w:r>
    </w:p>
    <w:p w14:paraId="146F8204" w14:textId="77777777" w:rsidR="0024287F" w:rsidRPr="008B3AD6" w:rsidRDefault="0024287F" w:rsidP="0024287F">
      <w:pPr>
        <w:spacing w:line="360" w:lineRule="auto"/>
        <w:jc w:val="both"/>
      </w:pPr>
    </w:p>
    <w:p w14:paraId="744C74D0" w14:textId="44B42A70" w:rsidR="0024287F" w:rsidRPr="008B3AD6" w:rsidRDefault="0024287F" w:rsidP="0024287F">
      <w:pPr>
        <w:spacing w:line="360" w:lineRule="auto"/>
        <w:jc w:val="both"/>
      </w:pPr>
      <w:r w:rsidRPr="008B3AD6">
        <w:t xml:space="preserve">For HPLC, tissues are processed so that the analyte, in this case </w:t>
      </w:r>
      <w:r w:rsidR="005D57BB">
        <w:t>AmB</w:t>
      </w:r>
      <w:r w:rsidRPr="008B3AD6">
        <w:t xml:space="preserve">, is dissolved into a solvent, such as methanol or DMSO, and passed through a column at high pressure. This column contains the stationary phase, a material which interacts with the solvent solution components in different degrees thus </w:t>
      </w:r>
      <w:r w:rsidR="002A4AC5">
        <w:t xml:space="preserve">differentially </w:t>
      </w:r>
      <w:r w:rsidRPr="008B3AD6">
        <w:t xml:space="preserve">slowing </w:t>
      </w:r>
      <w:r w:rsidR="002A4AC5">
        <w:t xml:space="preserve">the </w:t>
      </w:r>
      <w:r w:rsidR="002A4AC5" w:rsidRPr="008B3AD6">
        <w:t>passage</w:t>
      </w:r>
      <w:r w:rsidR="002A4AC5">
        <w:t xml:space="preserve"> of components and causing their separation</w:t>
      </w:r>
      <w:r w:rsidRPr="008B3AD6">
        <w:t xml:space="preserve">. The separated components exit the column at different times, called the retention time, and are recognised by a detector, such as through the detection of UV light absorption. This output is recorded as a series of peaks, with the peak area proportional </w:t>
      </w:r>
      <w:r w:rsidRPr="008B3AD6">
        <w:lastRenderedPageBreak/>
        <w:t>to the amount of analyte passing through the detector</w:t>
      </w:r>
      <w:r w:rsidR="00C852BE" w:rsidRPr="008B3AD6">
        <w:t xml:space="preserve">, </w:t>
      </w:r>
      <w:r w:rsidR="00C852BE" w:rsidRPr="005D57BB">
        <w:t xml:space="preserve">shown in </w:t>
      </w:r>
      <w:r w:rsidR="0074700A" w:rsidRPr="005D57BB">
        <w:rPr>
          <w:b/>
        </w:rPr>
        <w:fldChar w:fldCharType="begin"/>
      </w:r>
      <w:r w:rsidR="0074700A" w:rsidRPr="005D57BB">
        <w:rPr>
          <w:b/>
        </w:rPr>
        <w:instrText xml:space="preserve"> REF _Ref523926031  \* MERGEFORMAT </w:instrText>
      </w:r>
      <w:r w:rsidR="0074700A" w:rsidRPr="005D57BB">
        <w:rPr>
          <w:b/>
        </w:rPr>
        <w:fldChar w:fldCharType="separate"/>
      </w:r>
      <w:r w:rsidR="005D57BB" w:rsidRPr="005D57BB">
        <w:rPr>
          <w:b/>
          <w:bCs/>
          <w:lang w:val="en-US"/>
        </w:rPr>
        <w:fldChar w:fldCharType="begin"/>
      </w:r>
      <w:r w:rsidR="005D57BB" w:rsidRPr="005D57BB">
        <w:rPr>
          <w:b/>
        </w:rPr>
        <w:instrText xml:space="preserve"> REF _Ref523926031 </w:instrText>
      </w:r>
      <w:r w:rsidR="005D57BB">
        <w:rPr>
          <w:b/>
        </w:rPr>
        <w:instrText xml:space="preserve"> \* MERGEFORMAT </w:instrText>
      </w:r>
      <w:r w:rsidR="005D57BB" w:rsidRPr="005D57BB">
        <w:rPr>
          <w:b/>
          <w:bCs/>
          <w:lang w:val="en-US"/>
        </w:rPr>
        <w:fldChar w:fldCharType="separate"/>
      </w:r>
      <w:r w:rsidR="005D57BB" w:rsidRPr="005D57BB">
        <w:rPr>
          <w:b/>
        </w:rPr>
        <w:t xml:space="preserve">Figure </w:t>
      </w:r>
      <w:r w:rsidR="005D57BB" w:rsidRPr="005D57BB">
        <w:rPr>
          <w:b/>
          <w:noProof/>
        </w:rPr>
        <w:t>1</w:t>
      </w:r>
      <w:r w:rsidR="005D57BB" w:rsidRPr="005D57BB">
        <w:rPr>
          <w:b/>
        </w:rPr>
        <w:t>.</w:t>
      </w:r>
      <w:r w:rsidR="005D57BB" w:rsidRPr="005D57BB">
        <w:rPr>
          <w:b/>
          <w:noProof/>
        </w:rPr>
        <w:t>5</w:t>
      </w:r>
      <w:r w:rsidR="005D57BB" w:rsidRPr="005D57BB">
        <w:rPr>
          <w:b/>
          <w:bCs/>
          <w:lang w:val="en-US"/>
        </w:rPr>
        <w:fldChar w:fldCharType="end"/>
      </w:r>
      <w:r w:rsidR="00031DCA" w:rsidRPr="005D57BB">
        <w:rPr>
          <w:bCs/>
          <w:lang w:val="en-US"/>
        </w:rPr>
        <w:t>.</w:t>
      </w:r>
      <w:r w:rsidR="0074700A" w:rsidRPr="005D57BB">
        <w:rPr>
          <w:b/>
          <w:noProof/>
        </w:rPr>
        <w:fldChar w:fldCharType="end"/>
      </w:r>
      <w:r w:rsidRPr="005D57BB">
        <w:t xml:space="preserve"> In this way</w:t>
      </w:r>
      <w:r w:rsidRPr="008B3AD6">
        <w:t xml:space="preserve"> concentrations of </w:t>
      </w:r>
      <w:r w:rsidR="002A4AC5">
        <w:t>AmB</w:t>
      </w:r>
      <w:r w:rsidRPr="008B3AD6">
        <w:t xml:space="preserve"> can be quantified. However, the disadvantages of HPLC are the prerequisite knowledge of the sample retention time, which can be difficult to discern for complex mixtures such as processed biological tissue. Additionally, HPLC is less specific and sensitive for analyte detection, resulting in higher detection limits for</w:t>
      </w:r>
      <w:r w:rsidR="00120034" w:rsidRPr="008B3AD6">
        <w:t xml:space="preserve"> some</w:t>
      </w:r>
      <w:r w:rsidRPr="008B3AD6">
        <w:t xml:space="preserve"> compounds </w:t>
      </w:r>
      <w:r w:rsidR="00120034" w:rsidRPr="008B3AD6">
        <w:fldChar w:fldCharType="begin"/>
      </w:r>
      <w:r w:rsidR="00025067">
        <w:instrText xml:space="preserve"> ADDIN ZOTERO_ITEM CSL_CITATION {"citationID":"yVInBxCT","properties":{"formattedCitation":"(Abdel-Hamid 2000)","plainCitation":"(Abdel-Hamid 2000)","noteIndex":0},"citationItems":[{"id":3589,"uris":["http://zotero.org/users/2628971/items/UVIKX65C"],"uri":["http://zotero.org/users/2628971/items/UVIKX65C"],"itemData":{"id":3589,"type":"article-journal","title":"Comparative LC-MS and HPLC analyses of selected antiepileptics and beta-blocking drugs","container-title":"Farmaco (Societa Chimica Italiana: 1989)","page":"136-145","volume":"55","issue":"2","source":"PubMed","abstract":"A highly sensitive and specific assay procedure based on the combination of liquid chromatography and mass spectrometry (LC-MS) has been developed for the quantitative analysis of selected antiepileptics (carbamazepine and phenytoin) and beta-blocking drugs (acebutolol, atenolol, pindolol and propranolol) using APCI as an ionization process. The measured concentration range was 100-300 ng ml-1 for all drugs except phenytoin (0.5-1.5 micrograms ml-1). Analysis was based on direct injection of methanolic solutions of drugs into the mass spectrometer with the subsequent elution with a mobile phase consisting of methanol and 1% acetic acid solution (4:1) at a flow rate 1 ml min-1. The mass spectrometer was programmed to permit detection and determination of either fragment or molecular ions of carbamazepine, phenytoin, acebutolol, atenolol, pindolol and propranolol at m/e 194.3, 252.9, 337.2, 267.1, 249.1 and 260.1, respectively. The recorded chromatograms exhibited well-resolved peaks at retention times &lt; 1 min. The peak area was correlated linearly to the drug concentration. Intraday precision gave relative standard deviations in the range 1.75-4.02%. Compared to HPLC, the described LC-MS was faster, more sensitive and specific. Unlike HPLC, LC-MS could be applied to analyze incompletely resolved mixtures. The absolute detection limits for LC-MS and HPLC were 0.2-0.5 and 10-25 ng, respectively. Recovery studies of the investigated compounds in pharmaceutical products using LC-MS and HPLC gave mean percentages of 97.5-102.0 and 98.4-103.3, respectively. Statistical analysis of the data using t- and F-tests showed insignificant differences between both methods for the analysis of carbamazepine, phenytoin, acebutolol and atenolol in pharmaceutical formulations. However, LC-MS gave more accurate results than HPLC for determination of pindolol in tablets. Propranolol could only be determined in tablets using LC-MS.","ISSN":"0014-827X","note":"PMID: 10782386","journalAbbreviation":"Farmaco","language":"eng","author":[{"family":"Abdel-Hamid","given":"M. E."}],"issued":{"date-parts":[["2000",2]]}}}],"schema":"https://github.com/citation-style-language/schema/raw/master/csl-citation.json"} </w:instrText>
      </w:r>
      <w:r w:rsidR="00120034" w:rsidRPr="008B3AD6">
        <w:fldChar w:fldCharType="separate"/>
      </w:r>
      <w:r w:rsidR="00025067" w:rsidRPr="00025067">
        <w:rPr>
          <w:lang w:val="en-US"/>
        </w:rPr>
        <w:t>(Abdel-Hamid 2000)</w:t>
      </w:r>
      <w:r w:rsidR="00120034" w:rsidRPr="008B3AD6">
        <w:fldChar w:fldCharType="end"/>
      </w:r>
      <w:r w:rsidRPr="008B3AD6">
        <w:t xml:space="preserve">. </w:t>
      </w:r>
    </w:p>
    <w:p w14:paraId="5742B85D" w14:textId="77777777" w:rsidR="0024287F" w:rsidRPr="008B3AD6" w:rsidRDefault="0024287F" w:rsidP="0024287F">
      <w:pPr>
        <w:spacing w:line="360" w:lineRule="auto"/>
        <w:jc w:val="both"/>
      </w:pPr>
    </w:p>
    <w:p w14:paraId="14DBA19B" w14:textId="40EF5BDC" w:rsidR="0024287F" w:rsidRDefault="0024287F" w:rsidP="0024287F">
      <w:pPr>
        <w:spacing w:line="360" w:lineRule="auto"/>
        <w:jc w:val="both"/>
      </w:pPr>
      <w:r w:rsidRPr="008B3AD6">
        <w:t xml:space="preserve">A more recent approach for </w:t>
      </w:r>
      <w:r w:rsidR="002A4AC5">
        <w:t>AmB</w:t>
      </w:r>
      <w:r w:rsidRPr="008B3AD6">
        <w:t xml:space="preserve"> quantification is the hybridisation of HPLC with Mass Spectrometry</w:t>
      </w:r>
      <w:r w:rsidR="002A4AC5">
        <w:t xml:space="preserve"> (MS)</w:t>
      </w:r>
      <w:r w:rsidRPr="008B3AD6">
        <w:t xml:space="preserve"> called Liquid Chromatography tandem mass spectrometry (LC-MS/MS), with LC-MS/MS having a higher detection capability than traditional HPLC. A mass spectrometer measures the mass-charge ratio of charged particles </w:t>
      </w:r>
      <w:r w:rsidR="00120034" w:rsidRPr="008B3AD6">
        <w:fldChar w:fldCharType="begin"/>
      </w:r>
      <w:r w:rsidR="00025067">
        <w:instrText xml:space="preserve"> ADDIN ZOTERO_ITEM CSL_CITATION {"citationID":"DqcooSm6","properties":{"formattedCitation":"(Grebe and Singh 2011)","plainCitation":"(Grebe and Singh 2011)","noteIndex":0},"citationItems":[{"id":3587,"uris":["http://zotero.org/users/2628971/items/MISFAF6A"],"uri":["http://zotero.org/users/2628971/items/MISFAF6A"],"itemData":{"id":3587,"type":"article-journal","title":"LC-MS/MS in the Clinical Laboratory - Where to From Here?","container-title":"The Clinical Biochemist. Reviews","page":"5-31","volume":"32","issue":"1","source":"PubMed","abstract":"Liquid chromatography-tandem mass spectrometry (LC-MS/MS) has seen enormous growth in clinical laboratories during the last 10-15 years. It offers analytical specificity superior to that of immunoassays or conventional high performance/pressure liquid chromatography (HPLC) for low molecular weight analytes and has higher throughput than gas chromatography-mass spectrometry (GC-MS). Drug/Toxicology and Biochemical Genetics/Newborn Screening laboratories were at the vanguard of clinical LC-MS/MS use, but have been eclipsed by Endocrine laboratories. In USA reference/referral laboratories, most steroids and biogenic amines are now assayed by LC-MS/MS, and the technology has started to penetrate into smaller laboratories. Assays for mineralo- and gluco-corticoids and their precursors, sex steroids, metanephrines and 25-hydroxy vitamin D highlight the advantages of LC-MS/MS.However, several limitations of LC-MS/MS have become apparent, centring on the interacting triangle of sensitivity - specificity - throughput. While sample throughput is higher than for conventional HPLC or GC-MS, it lags behind automated immunoassays. Techniques which improve throughput include direct sample injection, LC-multiplexing and samplemultiplexing. Measures to improve specificity and sensitivity include sample clean-up and optimising chromatography to avoid interferences and ion suppression due to sample-matrix components. Next generation instrumentation may offer additional benefits.The next challenge for clinical LC-MS/MS is peptide/protein analysis. The quest for multi-biomarker profiles for various diseases has largely failed, but targeted peptide and protein testing by LC-MS/MS, directed at analytical and clinical questions that need to be answered, is proving highly successful. We anticipate that this will result in similar growth of clinical protein/peptide LC-MS/MS as has been seen for low molecular weight applications.","ISSN":"0159-8090","note":"PMID: 21451775\nPMCID: PMC3052391","journalAbbreviation":"Clin Biochem Rev","language":"eng","author":[{"family":"Grebe","given":"Stefan Kg"},{"family":"Singh","given":"Ravinder J."}],"issued":{"date-parts":[["2011",2]]}}}],"schema":"https://github.com/citation-style-language/schema/raw/master/csl-citation.json"} </w:instrText>
      </w:r>
      <w:r w:rsidR="00120034" w:rsidRPr="008B3AD6">
        <w:fldChar w:fldCharType="separate"/>
      </w:r>
      <w:r w:rsidR="00025067" w:rsidRPr="00025067">
        <w:rPr>
          <w:lang w:val="en-US"/>
        </w:rPr>
        <w:t>(Grebe and Singh 2011)</w:t>
      </w:r>
      <w:r w:rsidR="00120034" w:rsidRPr="008B3AD6">
        <w:fldChar w:fldCharType="end"/>
      </w:r>
      <w:r w:rsidRPr="008B3AD6">
        <w:t xml:space="preserve"> allowing it to identify analytes on the basis of fragmentation patterns without the need for a standard. One approach in LC-MS/MS is the use of a triple quadrupole mass spectrometer (TQMS). </w:t>
      </w:r>
      <w:r w:rsidR="002A4AC5">
        <w:t>For TQMS, the HPLC proceeds as described however a</w:t>
      </w:r>
      <w:r w:rsidRPr="008B3AD6">
        <w:t>fter analytes have passed through the column they are diverted for MS analysis, where firstly the analytes are ionised and pass through a mass filter (Q1), this separates the analyte ions on the basis of their mass-charge ratio so that only components of interest may pass through. Once through Q1, the ions are subject to an inert gas leading to fragmentation of the analyte ions which takes place in a ‘collision cell’ (q2), lastly the fragments are then subjected to a second mass filter (Q3) so that only fragments of interest may pass through and the abundance of these fragments is captured</w:t>
      </w:r>
      <w:r w:rsidR="00C852BE" w:rsidRPr="008B3AD6">
        <w:t xml:space="preserve">, </w:t>
      </w:r>
      <w:r w:rsidR="00C852BE" w:rsidRPr="002A4AC5">
        <w:t xml:space="preserve">shown in </w:t>
      </w:r>
      <w:r w:rsidR="002A4AC5" w:rsidRPr="002A4AC5">
        <w:fldChar w:fldCharType="begin"/>
      </w:r>
      <w:r w:rsidR="002A4AC5" w:rsidRPr="002A4AC5">
        <w:instrText xml:space="preserve"> REF _Ref523926031 </w:instrText>
      </w:r>
      <w:r w:rsidR="002A4AC5">
        <w:instrText xml:space="preserve"> \* MERGEFORMAT </w:instrText>
      </w:r>
      <w:r w:rsidR="002A4AC5" w:rsidRPr="002A4AC5">
        <w:fldChar w:fldCharType="separate"/>
      </w:r>
      <w:r w:rsidR="002A4AC5" w:rsidRPr="002A4AC5">
        <w:rPr>
          <w:b/>
        </w:rPr>
        <w:t xml:space="preserve">Figure </w:t>
      </w:r>
      <w:r w:rsidR="002A4AC5" w:rsidRPr="002A4AC5">
        <w:rPr>
          <w:b/>
          <w:noProof/>
        </w:rPr>
        <w:t>1</w:t>
      </w:r>
      <w:r w:rsidR="002A4AC5" w:rsidRPr="002A4AC5">
        <w:rPr>
          <w:b/>
        </w:rPr>
        <w:t>.</w:t>
      </w:r>
      <w:r w:rsidR="002A4AC5" w:rsidRPr="002A4AC5">
        <w:rPr>
          <w:b/>
          <w:noProof/>
        </w:rPr>
        <w:t>5</w:t>
      </w:r>
      <w:r w:rsidR="002A4AC5" w:rsidRPr="002A4AC5">
        <w:fldChar w:fldCharType="end"/>
      </w:r>
      <w:r w:rsidRPr="002A4AC5">
        <w:t>. TQMS</w:t>
      </w:r>
      <w:r w:rsidRPr="008B3AD6">
        <w:t xml:space="preserve"> provides enhanced sensitivity as compared to HPLC, reducing false positive</w:t>
      </w:r>
      <w:r w:rsidR="00D45B5F" w:rsidRPr="008B3AD6">
        <w:t xml:space="preserve"> </w:t>
      </w:r>
      <w:r w:rsidRPr="008B3AD6">
        <w:t xml:space="preserve">detection and better accuracy </w:t>
      </w:r>
      <w:r w:rsidR="00C04EE6" w:rsidRPr="008B3AD6">
        <w:t xml:space="preserve">with regards to quantification </w:t>
      </w:r>
      <w:r w:rsidR="00C04EE6" w:rsidRPr="008B3AD6">
        <w:fldChar w:fldCharType="begin"/>
      </w:r>
      <w:r w:rsidR="00025067">
        <w:instrText xml:space="preserve"> ADDIN ZOTERO_ITEM CSL_CITATION {"citationID":"OI7iDGzO","properties":{"formattedCitation":"(Hail, Berberich, and Yost 1989)","plainCitation":"(Hail, Berberich, and Yost 1989)","noteIndex":0},"citationItems":[{"id":3551,"uris":["http://zotero.org/users/2628971/items/XD8CNZFD"],"uri":["http://zotero.org/users/2628971/items/XD8CNZFD"],"itemData":{"id":3551,"type":"article-journal","title":"Gas chromatographic sample introduction into the collision cell of a triple quadrupole mass spectrometer for mass-selection of reactant ions for charge exchange and chemical ionization","container-title":"Analytical Chemistry","page":"1874-1879","volume":"61","issue":"17","source":"ACS Publications","DOI":"10.1021/ac00192a019","ISSN":"0003-2700","journalAbbreviation":"Anal. Chem.","author":[{"family":"Hail","given":"Mark E."},{"family":"Berberich","given":"David W."},{"family":"Yost","given":"Richard A."}],"issued":{"date-parts":[["1989",9,1]]}}}],"schema":"https://github.com/citation-style-language/schema/raw/master/csl-citation.json"} </w:instrText>
      </w:r>
      <w:r w:rsidR="00C04EE6" w:rsidRPr="008B3AD6">
        <w:fldChar w:fldCharType="separate"/>
      </w:r>
      <w:r w:rsidR="00025067" w:rsidRPr="00025067">
        <w:rPr>
          <w:lang w:val="en-US"/>
        </w:rPr>
        <w:t>(Hail, Berberich, and Yost 1989)</w:t>
      </w:r>
      <w:r w:rsidR="00C04EE6" w:rsidRPr="008B3AD6">
        <w:fldChar w:fldCharType="end"/>
      </w:r>
      <w:r w:rsidR="00D45B5F" w:rsidRPr="008B3AD6">
        <w:t>.</w:t>
      </w:r>
      <w:r w:rsidR="002A4AC5">
        <w:t xml:space="preserve"> TQMS is not without disadvantages as it is a process with high operational costs, the process complexity necessitates an experienced operator for the machinery and the throughput of samples is relatively low.</w:t>
      </w:r>
    </w:p>
    <w:p w14:paraId="51C029AB" w14:textId="540B6A93" w:rsidR="00003981" w:rsidRDefault="00003981" w:rsidP="0024287F">
      <w:pPr>
        <w:spacing w:line="360" w:lineRule="auto"/>
        <w:jc w:val="both"/>
      </w:pPr>
    </w:p>
    <w:p w14:paraId="550460FE" w14:textId="36E88860" w:rsidR="00003981" w:rsidRPr="008B3AD6" w:rsidRDefault="00003981" w:rsidP="0024287F">
      <w:pPr>
        <w:spacing w:line="360" w:lineRule="auto"/>
        <w:jc w:val="both"/>
      </w:pPr>
    </w:p>
    <w:p w14:paraId="32FCBDAF" w14:textId="36202419" w:rsidR="00D45B5F" w:rsidRPr="008B3AD6" w:rsidRDefault="00C46DBF" w:rsidP="0024287F">
      <w:pPr>
        <w:spacing w:line="360" w:lineRule="auto"/>
        <w:jc w:val="both"/>
      </w:pPr>
      <w:r>
        <w:rPr>
          <w:noProof/>
        </w:rPr>
        <w:lastRenderedPageBreak/>
        <w:drawing>
          <wp:anchor distT="0" distB="0" distL="114300" distR="114300" simplePos="0" relativeHeight="252126208" behindDoc="0" locked="0" layoutInCell="1" allowOverlap="1" wp14:anchorId="704B529E" wp14:editId="30076074">
            <wp:simplePos x="0" y="0"/>
            <wp:positionH relativeFrom="column">
              <wp:posOffset>-4785</wp:posOffset>
            </wp:positionH>
            <wp:positionV relativeFrom="paragraph">
              <wp:posOffset>2924</wp:posOffset>
            </wp:positionV>
            <wp:extent cx="5575935" cy="3021137"/>
            <wp:effectExtent l="0" t="0" r="0" b="1905"/>
            <wp:wrapSquare wrapText="bothSides"/>
            <wp:docPr id="164"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Picture 164"/>
                    <pic:cNvPicPr>
                      <a:picLocks noChangeAspect="1"/>
                    </pic:cNvPicPr>
                  </pic:nvPicPr>
                  <pic:blipFill>
                    <a:blip r:embed="rId23">
                      <a:extLst>
                        <a:ext uri="{28A0092B-C50C-407E-A947-70E740481C1C}">
                          <a14:useLocalDpi xmlns:a14="http://schemas.microsoft.com/office/drawing/2010/main" val="0"/>
                        </a:ext>
                      </a:extLst>
                    </a:blip>
                    <a:stretch>
                      <a:fillRect/>
                    </a:stretch>
                  </pic:blipFill>
                  <pic:spPr>
                    <a:xfrm>
                      <a:off x="0" y="0"/>
                      <a:ext cx="5575935" cy="3021137"/>
                    </a:xfrm>
                    <a:prstGeom prst="rect">
                      <a:avLst/>
                    </a:prstGeom>
                  </pic:spPr>
                </pic:pic>
              </a:graphicData>
            </a:graphic>
          </wp:anchor>
        </w:drawing>
      </w:r>
      <w:r>
        <w:rPr>
          <w:noProof/>
        </w:rPr>
        <mc:AlternateContent>
          <mc:Choice Requires="wps">
            <w:drawing>
              <wp:anchor distT="0" distB="0" distL="114300" distR="114300" simplePos="0" relativeHeight="252127232" behindDoc="0" locked="0" layoutInCell="1" allowOverlap="1" wp14:anchorId="0A15B47E" wp14:editId="260C031B">
                <wp:simplePos x="0" y="0"/>
                <wp:positionH relativeFrom="column">
                  <wp:posOffset>-4785</wp:posOffset>
                </wp:positionH>
                <wp:positionV relativeFrom="paragraph">
                  <wp:posOffset>3080907</wp:posOffset>
                </wp:positionV>
                <wp:extent cx="5575935" cy="2172197"/>
                <wp:effectExtent l="0" t="0" r="0" b="0"/>
                <wp:wrapSquare wrapText="bothSides"/>
                <wp:docPr id="165" name="Text Box 165"/>
                <wp:cNvGraphicFramePr/>
                <a:graphic xmlns:a="http://schemas.openxmlformats.org/drawingml/2006/main">
                  <a:graphicData uri="http://schemas.microsoft.com/office/word/2010/wordprocessingShape">
                    <wps:wsp>
                      <wps:cNvSpPr txBox="1"/>
                      <wps:spPr>
                        <a:xfrm>
                          <a:off x="0" y="0"/>
                          <a:ext cx="5575935" cy="2172197"/>
                        </a:xfrm>
                        <a:prstGeom prst="rect">
                          <a:avLst/>
                        </a:prstGeom>
                        <a:solidFill>
                          <a:prstClr val="white"/>
                        </a:solidFill>
                        <a:ln>
                          <a:noFill/>
                        </a:ln>
                      </wps:spPr>
                      <wps:txbx>
                        <w:txbxContent>
                          <w:p w14:paraId="2409D714" w14:textId="2440F22C" w:rsidR="00F61130" w:rsidRPr="004F36C4" w:rsidRDefault="00F61130" w:rsidP="00003981">
                            <w:pPr>
                              <w:pStyle w:val="Caption"/>
                              <w:spacing w:line="360" w:lineRule="auto"/>
                              <w:jc w:val="both"/>
                              <w:rPr>
                                <w:sz w:val="20"/>
                                <w:szCs w:val="20"/>
                              </w:rPr>
                            </w:pPr>
                            <w:bookmarkStart w:id="54" w:name="_Ref523926031"/>
                            <w:bookmarkStart w:id="55" w:name="_Toc523930567"/>
                            <w:bookmarkStart w:id="56" w:name="_Toc525227185"/>
                            <w:bookmarkStart w:id="57" w:name="_Toc536814124"/>
                            <w:r w:rsidRPr="004F36C4">
                              <w:rPr>
                                <w:b/>
                                <w:sz w:val="20"/>
                                <w:szCs w:val="20"/>
                              </w:rPr>
                              <w:t xml:space="preserve">Figure </w:t>
                            </w:r>
                            <w:r>
                              <w:rPr>
                                <w:b/>
                                <w:sz w:val="20"/>
                                <w:szCs w:val="20"/>
                              </w:rPr>
                              <w:fldChar w:fldCharType="begin"/>
                            </w:r>
                            <w:r>
                              <w:rPr>
                                <w:b/>
                                <w:sz w:val="20"/>
                                <w:szCs w:val="20"/>
                              </w:rPr>
                              <w:instrText xml:space="preserve"> STYLEREF 1 \s </w:instrText>
                            </w:r>
                            <w:r>
                              <w:rPr>
                                <w:b/>
                                <w:sz w:val="20"/>
                                <w:szCs w:val="20"/>
                              </w:rPr>
                              <w:fldChar w:fldCharType="separate"/>
                            </w:r>
                            <w:r>
                              <w:rPr>
                                <w:b/>
                                <w:noProof/>
                                <w:sz w:val="20"/>
                                <w:szCs w:val="20"/>
                              </w:rPr>
                              <w:t>1</w:t>
                            </w:r>
                            <w:r>
                              <w:rPr>
                                <w:b/>
                                <w:sz w:val="20"/>
                                <w:szCs w:val="20"/>
                              </w:rPr>
                              <w:fldChar w:fldCharType="end"/>
                            </w:r>
                            <w:r>
                              <w:rPr>
                                <w:b/>
                                <w:sz w:val="20"/>
                                <w:szCs w:val="20"/>
                              </w:rPr>
                              <w:t>.</w:t>
                            </w:r>
                            <w:r>
                              <w:rPr>
                                <w:b/>
                                <w:sz w:val="20"/>
                                <w:szCs w:val="20"/>
                              </w:rPr>
                              <w:fldChar w:fldCharType="begin"/>
                            </w:r>
                            <w:r>
                              <w:rPr>
                                <w:b/>
                                <w:sz w:val="20"/>
                                <w:szCs w:val="20"/>
                              </w:rPr>
                              <w:instrText xml:space="preserve"> SEQ Figure \* ARABIC \s 1 </w:instrText>
                            </w:r>
                            <w:r>
                              <w:rPr>
                                <w:b/>
                                <w:sz w:val="20"/>
                                <w:szCs w:val="20"/>
                              </w:rPr>
                              <w:fldChar w:fldCharType="separate"/>
                            </w:r>
                            <w:r>
                              <w:rPr>
                                <w:b/>
                                <w:noProof/>
                                <w:sz w:val="20"/>
                                <w:szCs w:val="20"/>
                              </w:rPr>
                              <w:t>5</w:t>
                            </w:r>
                            <w:r>
                              <w:rPr>
                                <w:b/>
                                <w:sz w:val="20"/>
                                <w:szCs w:val="20"/>
                              </w:rPr>
                              <w:fldChar w:fldCharType="end"/>
                            </w:r>
                            <w:bookmarkEnd w:id="54"/>
                            <w:r w:rsidRPr="004F36C4">
                              <w:rPr>
                                <w:b/>
                                <w:sz w:val="20"/>
                                <w:szCs w:val="20"/>
                              </w:rPr>
                              <w:t xml:space="preserve"> - Schematic representing steps </w:t>
                            </w:r>
                            <w:r>
                              <w:rPr>
                                <w:b/>
                                <w:sz w:val="20"/>
                                <w:szCs w:val="20"/>
                              </w:rPr>
                              <w:t xml:space="preserve">for </w:t>
                            </w:r>
                            <w:r w:rsidRPr="004F36C4">
                              <w:rPr>
                                <w:b/>
                                <w:sz w:val="20"/>
                                <w:szCs w:val="20"/>
                              </w:rPr>
                              <w:t>High Performance Liquid Chromatography and Triple Quadrupole Mass Spectrometry.</w:t>
                            </w:r>
                            <w:r>
                              <w:rPr>
                                <w:b/>
                                <w:sz w:val="20"/>
                                <w:szCs w:val="20"/>
                              </w:rPr>
                              <w:t xml:space="preserve"> </w:t>
                            </w:r>
                            <w:r>
                              <w:rPr>
                                <w:sz w:val="20"/>
                                <w:szCs w:val="20"/>
                              </w:rPr>
                              <w:t>Initially a solvent (mobile phase) is pumped at high pressure through a column (solid phase), the sample is injected into the solvent. When passing through the column, components of the sample are separated (for example on the basis of size) and exit the column at different times (the retention time). For HPLC these fractions pass through a detector and are recorded by a computer. The dotted yellow line represents the link into TQMS. For TQMS an analyte (orange) is extruded from the column, but may contain other compounds (dark green), a mass filter (Q1) selects for only compounds of the correct mass-charge ratio (black dotted circle) these then proceed to a collision chamber (q2) where the analyte is bombarded and fragments. Specific fragments are selected (black dotted circle) by a second mass filter (Q3) and pass through to a detector where they are recorded by a computer.</w:t>
                            </w:r>
                            <w:bookmarkEnd w:id="55"/>
                            <w:bookmarkEnd w:id="56"/>
                            <w:bookmarkEnd w:id="57"/>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0A15B47E" id="Text Box 165" o:spid="_x0000_s1030" type="#_x0000_t202" style="position:absolute;left:0;text-align:left;margin-left:-.4pt;margin-top:242.6pt;width:439.05pt;height:171.05pt;z-index:2521272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hU6IhMwIAAGwEAAAOAAAAZHJzL2Uyb0RvYy54bWysVFFv2jAQfp+0/2D5fQTYKG1EqBgV0yTU&#13;&#10;VoKpz8axiSXH59mGhP36nZ2Ebt2epr2Y8935u3zf3bG4b2tNzsJ5Baagk9GYEmE4lMocC/ptv/lw&#13;&#10;S4kPzJRMgxEFvQhP75fv3y0am4spVKBL4QiCGJ83tqBVCDbPMs8rUTM/AisMBiW4mgW8umNWOtYg&#13;&#10;eq2z6Xh8kzXgSuuAC+/R+9AF6TLhSyl4eJLSi0B0QfHbQjpdOg/xzJYLlh8ds5Xi/Wewf/iKmimD&#13;&#10;Ra9QDywwcnLqD6hacQceZBhxqDOQUnGROCCbyfgNm13FrEhcUBxvrzL5/wfLH8/PjqgSe3czo8Sw&#13;&#10;Gpu0F20gn6El0YcKNdbnmLizmBpaDGD24PfojMRb6er4i5QIxlHry1XfCMfROZvNZ3cfsQzH2HQy&#13;&#10;n07u5hEne31unQ9fBNQkGgV12MCkKztvfehSh5RYzYNW5UZpHS8xsNaOnBk2u6lUED34b1naxFwD&#13;&#10;8VUHGD1Z5NhxiVZoD21S5dPA8wDlBek76EbIW75RWG/LfHhmDmcGGeMehCc8pIamoNBblFTgfvzN&#13;&#10;H/OxlRilpMEZLKj/fmJOUKK/GmxyHNjBcINxGAxzqteATCe4YZYnEx+4oAdTOqhfcD1WsQqGmOFY&#13;&#10;q6BhMNeh2wRcLy5Wq5SEY2lZ2Jqd5RF60HXfvjBn+64EbOgjDNPJ8jfN6XI7lVenAFKlzkVdOxV7&#13;&#10;uXGkU+/79Ys78+s9Zb3+SSx/AgAA//8DAFBLAwQUAAYACAAAACEAjGidL+IAAAAOAQAADwAAAGRy&#13;&#10;cy9kb3ducmV2LnhtbEyPQU/DMAyF70j7D5EncUEspcBWdU0nWOEGh41p56wxbUXjVE26dv8e7wQX&#13;&#10;61lPfv5etplsK87Y+8aRgodFBAKpdKahSsHh6/0+AeGDJqNbR6jggh42+ewm06lxI+3wvA+V4BDy&#13;&#10;qVZQh9ClUvqyRqv9wnVI7H273urAa19J0+uRw20r4yhaSqsb4g+17nBbY/mzH6yCZdEP4462d8Xh&#13;&#10;7UN/dlV8fL0clbqdT8Wax8saRMAp/F3AtQPzQ85gJzeQ8aJVcKUPCp6S5xgE+8lq9QjixCJmIfNM&#13;&#10;/q+R/wIAAP//AwBQSwECLQAUAAYACAAAACEAtoM4kv4AAADhAQAAEwAAAAAAAAAAAAAAAAAAAAAA&#13;&#10;W0NvbnRlbnRfVHlwZXNdLnhtbFBLAQItABQABgAIAAAAIQA4/SH/1gAAAJQBAAALAAAAAAAAAAAA&#13;&#10;AAAAAC8BAABfcmVscy8ucmVsc1BLAQItABQABgAIAAAAIQDhU6IhMwIAAGwEAAAOAAAAAAAAAAAA&#13;&#10;AAAAAC4CAABkcnMvZTJvRG9jLnhtbFBLAQItABQABgAIAAAAIQCMaJ0v4gAAAA4BAAAPAAAAAAAA&#13;&#10;AAAAAAAAAI0EAABkcnMvZG93bnJldi54bWxQSwUGAAAAAAQABADzAAAAnAUAAAAA&#13;&#10;" stroked="f">
                <v:textbox inset="0,0,0,0">
                  <w:txbxContent>
                    <w:p w14:paraId="2409D714" w14:textId="2440F22C" w:rsidR="00F61130" w:rsidRPr="004F36C4" w:rsidRDefault="00F61130" w:rsidP="00003981">
                      <w:pPr>
                        <w:pStyle w:val="Caption"/>
                        <w:spacing w:line="360" w:lineRule="auto"/>
                        <w:jc w:val="both"/>
                        <w:rPr>
                          <w:sz w:val="20"/>
                          <w:szCs w:val="20"/>
                        </w:rPr>
                      </w:pPr>
                      <w:bookmarkStart w:id="58" w:name="_Ref523926031"/>
                      <w:bookmarkStart w:id="59" w:name="_Toc523930567"/>
                      <w:bookmarkStart w:id="60" w:name="_Toc525227185"/>
                      <w:bookmarkStart w:id="61" w:name="_Toc536814124"/>
                      <w:r w:rsidRPr="004F36C4">
                        <w:rPr>
                          <w:b/>
                          <w:sz w:val="20"/>
                          <w:szCs w:val="20"/>
                        </w:rPr>
                        <w:t xml:space="preserve">Figure </w:t>
                      </w:r>
                      <w:r>
                        <w:rPr>
                          <w:b/>
                          <w:sz w:val="20"/>
                          <w:szCs w:val="20"/>
                        </w:rPr>
                        <w:fldChar w:fldCharType="begin"/>
                      </w:r>
                      <w:r>
                        <w:rPr>
                          <w:b/>
                          <w:sz w:val="20"/>
                          <w:szCs w:val="20"/>
                        </w:rPr>
                        <w:instrText xml:space="preserve"> STYLEREF 1 \s </w:instrText>
                      </w:r>
                      <w:r>
                        <w:rPr>
                          <w:b/>
                          <w:sz w:val="20"/>
                          <w:szCs w:val="20"/>
                        </w:rPr>
                        <w:fldChar w:fldCharType="separate"/>
                      </w:r>
                      <w:r>
                        <w:rPr>
                          <w:b/>
                          <w:noProof/>
                          <w:sz w:val="20"/>
                          <w:szCs w:val="20"/>
                        </w:rPr>
                        <w:t>1</w:t>
                      </w:r>
                      <w:r>
                        <w:rPr>
                          <w:b/>
                          <w:sz w:val="20"/>
                          <w:szCs w:val="20"/>
                        </w:rPr>
                        <w:fldChar w:fldCharType="end"/>
                      </w:r>
                      <w:r>
                        <w:rPr>
                          <w:b/>
                          <w:sz w:val="20"/>
                          <w:szCs w:val="20"/>
                        </w:rPr>
                        <w:t>.</w:t>
                      </w:r>
                      <w:r>
                        <w:rPr>
                          <w:b/>
                          <w:sz w:val="20"/>
                          <w:szCs w:val="20"/>
                        </w:rPr>
                        <w:fldChar w:fldCharType="begin"/>
                      </w:r>
                      <w:r>
                        <w:rPr>
                          <w:b/>
                          <w:sz w:val="20"/>
                          <w:szCs w:val="20"/>
                        </w:rPr>
                        <w:instrText xml:space="preserve"> SEQ Figure \* ARABIC \s 1 </w:instrText>
                      </w:r>
                      <w:r>
                        <w:rPr>
                          <w:b/>
                          <w:sz w:val="20"/>
                          <w:szCs w:val="20"/>
                        </w:rPr>
                        <w:fldChar w:fldCharType="separate"/>
                      </w:r>
                      <w:r>
                        <w:rPr>
                          <w:b/>
                          <w:noProof/>
                          <w:sz w:val="20"/>
                          <w:szCs w:val="20"/>
                        </w:rPr>
                        <w:t>5</w:t>
                      </w:r>
                      <w:r>
                        <w:rPr>
                          <w:b/>
                          <w:sz w:val="20"/>
                          <w:szCs w:val="20"/>
                        </w:rPr>
                        <w:fldChar w:fldCharType="end"/>
                      </w:r>
                      <w:bookmarkEnd w:id="58"/>
                      <w:r w:rsidRPr="004F36C4">
                        <w:rPr>
                          <w:b/>
                          <w:sz w:val="20"/>
                          <w:szCs w:val="20"/>
                        </w:rPr>
                        <w:t xml:space="preserve"> - Schematic representing steps </w:t>
                      </w:r>
                      <w:r>
                        <w:rPr>
                          <w:b/>
                          <w:sz w:val="20"/>
                          <w:szCs w:val="20"/>
                        </w:rPr>
                        <w:t xml:space="preserve">for </w:t>
                      </w:r>
                      <w:r w:rsidRPr="004F36C4">
                        <w:rPr>
                          <w:b/>
                          <w:sz w:val="20"/>
                          <w:szCs w:val="20"/>
                        </w:rPr>
                        <w:t>High Performance Liquid Chromatography and Triple Quadrupole Mass Spectrometry.</w:t>
                      </w:r>
                      <w:r>
                        <w:rPr>
                          <w:b/>
                          <w:sz w:val="20"/>
                          <w:szCs w:val="20"/>
                        </w:rPr>
                        <w:t xml:space="preserve"> </w:t>
                      </w:r>
                      <w:r>
                        <w:rPr>
                          <w:sz w:val="20"/>
                          <w:szCs w:val="20"/>
                        </w:rPr>
                        <w:t>Initially a solvent (mobile phase) is pumped at high pressure through a column (solid phase), the sample is injected into the solvent. When passing through the column, components of the sample are separated (for example on the basis of size) and exit the column at different times (the retention time). For HPLC these fractions pass through a detector and are recorded by a computer. The dotted yellow line represents the link into TQMS. For TQMS an analyte (orange) is extruded from the column, but may contain other compounds (dark green), a mass filter (Q1) selects for only compounds of the correct mass-charge ratio (black dotted circle) these then proceed to a collision chamber (q2) where the analyte is bombarded and fragments. Specific fragments are selected (black dotted circle) by a second mass filter (Q3) and pass through to a detector where they are recorded by a computer.</w:t>
                      </w:r>
                      <w:bookmarkEnd w:id="59"/>
                      <w:bookmarkEnd w:id="60"/>
                      <w:bookmarkEnd w:id="61"/>
                    </w:p>
                  </w:txbxContent>
                </v:textbox>
                <w10:wrap type="square"/>
              </v:shape>
            </w:pict>
          </mc:Fallback>
        </mc:AlternateContent>
      </w:r>
    </w:p>
    <w:p w14:paraId="79FFC0A8" w14:textId="77777777" w:rsidR="00D24ADD" w:rsidRPr="008B3AD6" w:rsidRDefault="00AB3115" w:rsidP="00D24ADD">
      <w:pPr>
        <w:pStyle w:val="Heading4"/>
        <w:jc w:val="both"/>
      </w:pPr>
      <w:bookmarkStart w:id="62" w:name="_Toc3716053"/>
      <w:r w:rsidRPr="008B3AD6">
        <w:t>Other Treatments</w:t>
      </w:r>
      <w:bookmarkEnd w:id="62"/>
    </w:p>
    <w:p w14:paraId="10E1E86F" w14:textId="00C2289C" w:rsidR="00D24ADD" w:rsidRPr="008B3AD6" w:rsidRDefault="00D24ADD" w:rsidP="00B3526D">
      <w:pPr>
        <w:spacing w:line="360" w:lineRule="auto"/>
        <w:jc w:val="both"/>
        <w:rPr>
          <w:rFonts w:eastAsiaTheme="majorEastAsia" w:cstheme="majorBidi"/>
        </w:rPr>
      </w:pPr>
      <w:r w:rsidRPr="008B3AD6">
        <w:t>Miltefosine (</w:t>
      </w:r>
      <w:r w:rsidRPr="008B3AD6">
        <w:rPr>
          <w:color w:val="000000"/>
          <w:shd w:val="clear" w:color="auto" w:fill="FFFFFF"/>
        </w:rPr>
        <w:t>hexadecylphosphocholine</w:t>
      </w:r>
      <w:r w:rsidRPr="008B3AD6">
        <w:t>), an alkyl phospholipid, was originally utilised</w:t>
      </w:r>
      <w:r w:rsidR="00B3526D" w:rsidRPr="008B3AD6">
        <w:t xml:space="preserve"> as an anti-cancer therapeutic </w:t>
      </w:r>
      <w:r w:rsidR="00B3526D" w:rsidRPr="008B3AD6">
        <w:fldChar w:fldCharType="begin"/>
      </w:r>
      <w:r w:rsidR="00025067">
        <w:instrText xml:space="preserve"> ADDIN ZOTERO_ITEM CSL_CITATION {"citationID":"uZR6abcZ","properties":{"formattedCitation":"(Dummer et al. 1993)","plainCitation":"(Dummer et al. 1993)","noteIndex":0},"citationItems":[{"id":3591,"uris":["http://zotero.org/users/2628971/items/YMG8G6NV"],"uri":["http://zotero.org/users/2628971/items/YMG8G6NV"],"itemData":{"id":3591,"type":"article-journal","title":"Topical administration of hexadecylphosphocholine in patients with cutaneous lymphomas: results of a phase I/II study","container-title":"Journal of the American Academy of Dermatology","page":"963-970","volume":"29","issue":"6","source":"PubMed","abstract":"BACKGROUND: Hexadecylphosphocholine is a new antineoplastic drug that inhibits tumor cell growth directly and, in addition, might have immunoregulatory properties.\nOBJECTIVES: We investigated the topical application of this phospholipid in patients with cutaneous lymphoma.\nMETHODS: Twenty-four patients with histologically documented cutaneous lymphoma were treated for 8 weeks. Lesions that responded to treatment were biopsied and evaluated histologically.\nRESULTS: Of 15 patients with cutaneous T-cell lymphomas, 12 were evaluable. Two complete remissions, four partial remissions, and one minor remission were observed. Of seven patients with B-cell lymphomas, six were evaluable. One complete remission, three partial remissions, one case of stable disease, and one case of progressive disease were seen. However, histologic monitoring demonstrated only a partial clearing of infiltrating lymphocytes in lesions that showed a partial or complete response clinically. Both patients with lymphomatoid papulosis had complete clearing of the lesions clinically. An objective response rate (partial and complete response) of 56% (10/18) was achieved in the patients with cutaneous lymphoma who were treated in this study.\nCONCLUSION: Hexadecylphosphocholine appears to be effective topically in the treatment of some cases of cutaneous lymphomas.","ISSN":"0190-9622","note":"PMID: 8245262","shortTitle":"Topical administration of hexadecylphosphocholine in patients with cutaneous lymphomas","journalAbbreviation":"J. Am. Acad. Dermatol.","language":"eng","author":[{"family":"Dummer","given":"R."},{"family":"Krasovec","given":"M."},{"family":"Röger","given":"J."},{"family":"Sindermann","given":"H."},{"family":"Burg","given":"G."}],"issued":{"date-parts":[["1993",12]]}}}],"schema":"https://github.com/citation-style-language/schema/raw/master/csl-citation.json"} </w:instrText>
      </w:r>
      <w:r w:rsidR="00B3526D" w:rsidRPr="008B3AD6">
        <w:fldChar w:fldCharType="separate"/>
      </w:r>
      <w:r w:rsidR="00025067" w:rsidRPr="00025067">
        <w:rPr>
          <w:lang w:val="en-US"/>
        </w:rPr>
        <w:t>(Dummer et al. 1993)</w:t>
      </w:r>
      <w:r w:rsidR="00B3526D" w:rsidRPr="008B3AD6">
        <w:fldChar w:fldCharType="end"/>
      </w:r>
      <w:r w:rsidRPr="008B3AD6">
        <w:t>, however daily dosing with between 100</w:t>
      </w:r>
      <w:r w:rsidR="00D45B5F" w:rsidRPr="008B3AD6">
        <w:t xml:space="preserve"> </w:t>
      </w:r>
      <w:r w:rsidRPr="008B3AD6">
        <w:t>mg - 200</w:t>
      </w:r>
      <w:r w:rsidR="00D45B5F" w:rsidRPr="008B3AD6">
        <w:t xml:space="preserve"> m</w:t>
      </w:r>
      <w:r w:rsidRPr="008B3AD6">
        <w:t>g resulted</w:t>
      </w:r>
      <w:r w:rsidR="00B3526D" w:rsidRPr="008B3AD6">
        <w:t xml:space="preserve"> in low levels of tolerability </w:t>
      </w:r>
      <w:r w:rsidR="00B3526D" w:rsidRPr="008B3AD6">
        <w:fldChar w:fldCharType="begin"/>
      </w:r>
      <w:r w:rsidR="00025067">
        <w:instrText xml:space="preserve"> ADDIN ZOTERO_ITEM CSL_CITATION {"citationID":"zUeHrX6v","properties":{"formattedCitation":"(Verweij et al. 1992)","plainCitation":"(Verweij et al. 1992)","noteIndex":0},"citationItems":[{"id":3593,"uris":["http://zotero.org/users/2628971/items/JG2HX7V4"],"uri":["http://zotero.org/users/2628971/items/JG2HX7V4"],"itemData":{"id":3593,"type":"article-journal","title":"A dose-finding study of miltefosine (hexadecylphosphocholine) in patients with metastatic solid tumours","container-title":"Journal of Cancer Research and Clinical Oncology","page":"606-608","volume":"118","issue":"8","source":"PubMed","abstract":"The ether lipid miltefosine (hexadecylphosphocholine) was orally given to patients with various tumours in a dose-finding study. All patients initially received a daily total dose of 100 mg, which in the absence of side-effects was increased to 150 mg and further to 200 mg. A total of 54 patients were entered and were evaluable for gastrointestinal toxicity. Nausea and vomiting were found to be dose-limiting; 22% of patients ultimately tolerated a dose of 100 mg, 59% tolerated a dose of 150 mg and 19% tolerated a dose of 200 mg. In addition 30% of patients developed renal dysfunction, which was thought to be related to the drug. No other toxicities were observed. For further phase II studies it is recommended that one starts with a dose of 150 mg daily, divided over three administrations.","ISSN":"0171-5216","note":"PMID: 1325463","journalAbbreviation":"J. Cancer Res. Clin. Oncol.","language":"eng","author":[{"family":"Verweij","given":"J."},{"family":"Planting","given":"A."},{"family":"Burg","given":"M.","non-dropping-particle":"van der"},{"family":"Stoter","given":"G."}],"issued":{"date-parts":[["1992"]]}}}],"schema":"https://github.com/citation-style-language/schema/raw/master/csl-citation.json"} </w:instrText>
      </w:r>
      <w:r w:rsidR="00B3526D" w:rsidRPr="008B3AD6">
        <w:fldChar w:fldCharType="separate"/>
      </w:r>
      <w:r w:rsidR="00025067" w:rsidRPr="00025067">
        <w:rPr>
          <w:lang w:val="en-US"/>
        </w:rPr>
        <w:t>(Verweij et al. 1992)</w:t>
      </w:r>
      <w:r w:rsidR="00B3526D" w:rsidRPr="008B3AD6">
        <w:fldChar w:fldCharType="end"/>
      </w:r>
      <w:r w:rsidRPr="008B3AD6">
        <w:t xml:space="preserve">. Miltefosine was then tested as an antileishmanial compound showing high efficacy </w:t>
      </w:r>
      <w:r w:rsidRPr="008B3AD6">
        <w:rPr>
          <w:i/>
        </w:rPr>
        <w:t>in vitro</w:t>
      </w:r>
      <w:r w:rsidR="00B3526D" w:rsidRPr="008B3AD6">
        <w:t xml:space="preserve"> </w:t>
      </w:r>
      <w:r w:rsidR="00B3526D" w:rsidRPr="008B3AD6">
        <w:fldChar w:fldCharType="begin"/>
      </w:r>
      <w:r w:rsidR="00025067">
        <w:instrText xml:space="preserve"> ADDIN ZOTERO_ITEM CSL_CITATION {"citationID":"drIXYXZw","properties":{"formattedCitation":"(Croft et al. 1987; N. K. Verma and Dey 2004)","plainCitation":"(Croft et al. 1987; N. K. Verma and Dey 2004)","noteIndex":0},"citationItems":[{"id":3616,"uris":["http://zotero.org/users/2628971/items/WVI7DMII"],"uri":["http://zotero.org/users/2628971/items/WVI7DMII"],"itemData":{"id":3616,"type":"article-journal","title":"The activity of alkyl phosphorylcholines and related derivatives against Leishmania donovani","container-title":"Biochemical Pharmacology","page":"2633-2636","volume":"36","issue":"16","source":"ScienceDirect","abstract":"Several alkyl phosphorylcholines and related derivatives were tested against Leishmania donovani amastigotes in mouse peritoneal macrophages in vitro and ED50 values were determined in the range of 1–12 μM. The three alkyl phosphorylcholines tested against L. donovani in BALB/c mice were active, an Ed50 of 12.8 mg/kg/day × 5 was ascertained for one compound, but an alkyl phosphorylethanolamine was inactive.","DOI":"10.1016/0006-2952(87)90543-0","ISSN":"0006-2952","journalAbbreviation":"Biochemical Pharmacology","author":[{"family":"Croft","given":"S. L."},{"family":"Neal","given":"R. A."},{"family":"Pendergast","given":"W."},{"family":"Chan","given":"J. H."}],"issued":{"date-parts":[["1987",8,15]]}}},{"id":3595,"uris":["http://zotero.org/users/2628971/items/RZVUVHSH"],"uri":["http://zotero.org/users/2628971/items/RZVUVHSH"],"itemData":{"id":3595,"type":"article-journal","title":"Possible Mechanism of Miltefosine-Mediated Death of Leishmania donovani","container-title":"Antimicrobial Agents and Chemotherapy","page":"3010-3015","volume":"48","issue":"8","source":"PubMed Central","abstract":"Miltefosine causes leishmanial death, but the possible mechanism(s) of action is not known. The mode of action of miltefosine was investigated in vitro in Leishmania donovani promastigotes as well as in extra- and intracellular amastigotes. Here, we demonstrate that miltefosine induces apoptosis-like death in L. donovani based on observed phenomena such as nuclear DNA condensation, DNA fragmentation with accompanying ladder formation, and in situ labeling of DNA fragments by the terminal deoxyribonucleotidyltransferase-mediated dUTP-biotin nick end labeling method. Understanding of miltefosine-mediated death will facilitate the design of new therapeutic strategies against Leishmania parasites.","DOI":"10.1128/AAC.48.8.3010-3015.2004","ISSN":"0066-4804","note":"PMID: 15273114\nPMCID: PMC478494","journalAbbreviation":"Antimicrob Agents Chemother","author":[{"family":"Verma","given":"Navin K."},{"family":"Dey","given":"Chinmoy S."}],"issued":{"date-parts":[["2004",8]]}}}],"schema":"https://github.com/citation-style-language/schema/raw/master/csl-citation.json"} </w:instrText>
      </w:r>
      <w:r w:rsidR="00B3526D" w:rsidRPr="008B3AD6">
        <w:fldChar w:fldCharType="separate"/>
      </w:r>
      <w:r w:rsidR="00C46DBF">
        <w:rPr>
          <w:lang w:val="en-US"/>
        </w:rPr>
        <w:t xml:space="preserve">(Croft et al. 1987; </w:t>
      </w:r>
      <w:r w:rsidR="00025067" w:rsidRPr="00025067">
        <w:rPr>
          <w:lang w:val="en-US"/>
        </w:rPr>
        <w:t>Verma and Dey 2004)</w:t>
      </w:r>
      <w:r w:rsidR="00B3526D" w:rsidRPr="008B3AD6">
        <w:fldChar w:fldCharType="end"/>
      </w:r>
      <w:r w:rsidRPr="008B3AD6">
        <w:t xml:space="preserve"> and high cure rates in single </w:t>
      </w:r>
      <w:r w:rsidR="002A4AC5">
        <w:t>VL</w:t>
      </w:r>
      <w:r w:rsidR="00B3526D" w:rsidRPr="008B3AD6">
        <w:t xml:space="preserve"> infections </w:t>
      </w:r>
      <w:r w:rsidR="00B3526D" w:rsidRPr="008B3AD6">
        <w:fldChar w:fldCharType="begin"/>
      </w:r>
      <w:r w:rsidR="00025067">
        <w:instrText xml:space="preserve"> ADDIN ZOTERO_ITEM CSL_CITATION {"citationID":"rLSwihqp","properties":{"formattedCitation":"(Dorlo et al. 2012)","plainCitation":"(Dorlo et al. 2012)","noteIndex":0},"citationItems":[{"id":678,"uris":["http://zotero.org/users/2628971/items/Z3V6IECA"],"uri":["http://zotero.org/users/2628971/items/Z3V6IECA"],"itemData":{"id":678,"type":"webpage","title":"Miltefosine:  a review of its pharmacology and therapeutic efficacy in the treatment of leishmaniasis.","container-title":"J Antimicrob Chemother","abstract":"Miltefosine is an alkylphosphocholine drug with demonstrated activity against various parasite species and cancer cells as well as some pathogenic bacteria and fungi. For 10 years it has been licensed in India for the treatment of visceral leishmaniasis (VL), a fatal neglected parasitic disease. It is the first and still the only oral drug that can be used to treat VL and cutaneous leishmaniasis (CL). The standard 28 day miltefosine monotherapy regimen is well tolerated, except for mild gastrointestinal side effects, although its teratogenic potential severely hampers its general use in the clinic and roll-out in national elimination programmes. The pharmacokinetics of miltefosine are mainly characterized by its long residence time in the body, resulting in extensive drug accumulation during treatment and long elimination half-lives. At the moment, different combination therapy strategies encompassing miltefosine are being tested in multiple controlled clinical trials in various geographical areas of endemicity, both in South Asia and East Africa. We here review the most salient pre-clinical and clinical pharmacological aspects of miltefosine, its mechanism of action against Leishmania parasites and other pathogens, and provide a systematic overview of the efficacy and safety data from all clinical trials of miltefosine, either alone or in combination, in the treatment of VL and CL., (C) British Society for Antimicrobial Chemotherapy 2012. Published by Oxford University Press. All rights reserved.","author":[{"family":"Dorlo","given":"Thomas"},{"family":"Balasegaram","given":"Manica"},{"family":"Beijnen","given":"Jos"},{"family":"Vries","given":"Peter","non-dropping-particle":"de"}],"issued":{"date-parts":[["2012"]]}}}],"schema":"https://github.com/citation-style-language/schema/raw/master/csl-citation.json"} </w:instrText>
      </w:r>
      <w:r w:rsidR="00B3526D" w:rsidRPr="008B3AD6">
        <w:fldChar w:fldCharType="separate"/>
      </w:r>
      <w:r w:rsidR="00025067" w:rsidRPr="00025067">
        <w:rPr>
          <w:lang w:val="en-US"/>
        </w:rPr>
        <w:t>(Dorlo et al. 2012)</w:t>
      </w:r>
      <w:r w:rsidR="00B3526D" w:rsidRPr="008B3AD6">
        <w:fldChar w:fldCharType="end"/>
      </w:r>
      <w:r w:rsidRPr="008B3AD6">
        <w:t>. However, whilst efficacious in human patients, a variety of side effects are apparent focused around gastrointestinal intolerance</w:t>
      </w:r>
      <w:r w:rsidR="00B3526D" w:rsidRPr="008B3AD6">
        <w:t xml:space="preserve"> (nausea, vomiting, diarrhoea) </w:t>
      </w:r>
      <w:r w:rsidR="00B3526D" w:rsidRPr="008B3AD6">
        <w:fldChar w:fldCharType="begin"/>
      </w:r>
      <w:r w:rsidR="00025067">
        <w:instrText xml:space="preserve"> ADDIN ZOTERO_ITEM CSL_CITATION {"citationID":"7V2PHyBr","properties":{"formattedCitation":"(Dorlo et al. 2012)","plainCitation":"(Dorlo et al. 2012)","noteIndex":0},"citationItems":[{"id":678,"uris":["http://zotero.org/users/2628971/items/Z3V6IECA"],"uri":["http://zotero.org/users/2628971/items/Z3V6IECA"],"itemData":{"id":678,"type":"webpage","title":"Miltefosine:  a review of its pharmacology and therapeutic efficacy in the treatment of leishmaniasis.","container-title":"J Antimicrob Chemother","abstract":"Miltefosine is an alkylphosphocholine drug with demonstrated activity against various parasite species and cancer cells as well as some pathogenic bacteria and fungi. For 10 years it has been licensed in India for the treatment of visceral leishmaniasis (VL), a fatal neglected parasitic disease. It is the first and still the only oral drug that can be used to treat VL and cutaneous leishmaniasis (CL). The standard 28 day miltefosine monotherapy regimen is well tolerated, except for mild gastrointestinal side effects, although its teratogenic potential severely hampers its general use in the clinic and roll-out in national elimination programmes. The pharmacokinetics of miltefosine are mainly characterized by its long residence time in the body, resulting in extensive drug accumulation during treatment and long elimination half-lives. At the moment, different combination therapy strategies encompassing miltefosine are being tested in multiple controlled clinical trials in various geographical areas of endemicity, both in South Asia and East Africa. We here review the most salient pre-clinical and clinical pharmacological aspects of miltefosine, its mechanism of action against Leishmania parasites and other pathogens, and provide a systematic overview of the efficacy and safety data from all clinical trials of miltefosine, either alone or in combination, in the treatment of VL and CL., (C) British Society for Antimicrobial Chemotherapy 2012. Published by Oxford University Press. All rights reserved.","author":[{"family":"Dorlo","given":"Thomas"},{"family":"Balasegaram","given":"Manica"},{"family":"Beijnen","given":"Jos"},{"family":"Vries","given":"Peter","non-dropping-particle":"de"}],"issued":{"date-parts":[["2012"]]}}}],"schema":"https://github.com/citation-style-language/schema/raw/master/csl-citation.json"} </w:instrText>
      </w:r>
      <w:r w:rsidR="00B3526D" w:rsidRPr="008B3AD6">
        <w:fldChar w:fldCharType="separate"/>
      </w:r>
      <w:r w:rsidR="00025067" w:rsidRPr="00025067">
        <w:rPr>
          <w:lang w:val="en-US"/>
        </w:rPr>
        <w:t>(Dorlo et al. 2012)</w:t>
      </w:r>
      <w:r w:rsidR="00B3526D" w:rsidRPr="008B3AD6">
        <w:fldChar w:fldCharType="end"/>
      </w:r>
      <w:r w:rsidRPr="008B3AD6">
        <w:t xml:space="preserve">. The mechanism of action of Miltefosine is not well characterised however it is thought to involve induction of parasite apoptosis </w:t>
      </w:r>
      <w:r w:rsidR="00B3526D" w:rsidRPr="008B3AD6">
        <w:fldChar w:fldCharType="begin"/>
      </w:r>
      <w:r w:rsidR="00025067">
        <w:instrText xml:space="preserve"> ADDIN ZOTERO_ITEM CSL_CITATION {"citationID":"tG9Xt2kW","properties":{"formattedCitation":"(Paris et al. 2004; N. K. Verma and Dey 2004)","plainCitation":"(Paris et al. 2004; N. K. Verma and Dey 2004)","noteIndex":0},"citationItems":[{"id":3598,"uris":["http://zotero.org/users/2628971/items/BJCMJMVT"],"uri":["http://zotero.org/users/2628971/items/BJCMJMVT"],"itemData":{"id":3598,"type":"article-journal","title":"Miltefosine induces apoptosis-like death in Leishmania donovani promastigotes","container-title":"Antimicrobial Agents and Chemotherapy","page":"852-859","volume":"48","issue":"3","source":"PubMed","abstract":"Miltefosine (hexadecylphosphocholine [HePC]) has proved to be a potent oral treatment for human visceral leishmaniasis due to Leishmania donovani. The molecular mechanisms that contribute to the antileishmanial activity of HePC are still unknown. We report that in wild-type promastigotes of Leishmania donovani HePC is able to induce a cell death process with numerous cytoplasmic, nuclear, and membrane features of metazoan apoptosis, including cell shrinkage, DNA fragmentation into oligonucleosome-sized fragments, and phosphatidylserine exposure. None of these changes were detected in an HePC-resistant clone treated with the same drug concentration. Therefore, HePC does not appear to kill L. donovani promastigotes by a direct toxic mechanism but, rather, kills the promastigotes by an indirect one. Pretreatment of wild-type promastigotes with two broad caspase inhibitors, z-Val-Ala-DL-Asp(methoxy)-fluoromethylketone and Boc-Asp(methoxy)-fluoromethylketone, as well as a broad protease inhibitor, calpain inhibitor I, prior to drug exposure interfered with DNA fragmentation but did not prevent cell shrinkage or phosphatidylserine externalization. These data suggest that at least part of the apoptotic machinery operating in wild-type promastigotes involves proteases. Identification of the death-signaling pathways activated in HePC-sensitive parasites appears to be essential for a better understanding of the molecular mechanisms of action and resistance in these parasites.","ISSN":"0066-4804","note":"PMID: 14982775\nPMCID: PMC353131","journalAbbreviation":"Antimicrob. Agents Chemother.","language":"eng","author":[{"family":"Paris","given":"Caroline"},{"family":"Loiseau","given":"Philippe M."},{"family":"Bories","given":"Christian"},{"family":"Bréard","given":"Jaqueline"}],"issued":{"date-parts":[["2004",3]]}}},{"id":3595,"uris":["http://zotero.org/users/2628971/items/RZVUVHSH"],"uri":["http://zotero.org/users/2628971/items/RZVUVHSH"],"itemData":{"id":3595,"type":"article-journal","title":"Possible Mechanism of Miltefosine-Mediated Death of Leishmania donovani","container-title":"Antimicrobial Agents and Chemotherapy","page":"3010-3015","volume":"48","issue":"8","source":"PubMed Central","abstract":"Miltefosine causes leishmanial death, but the possible mechanism(s) of action is not known. The mode of action of miltefosine was investigated in vitro in Leishmania donovani promastigotes as well as in extra- and intracellular amastigotes. Here, we demonstrate that miltefosine induces apoptosis-like death in L. donovani based on observed phenomena such as nuclear DNA condensation, DNA fragmentation with accompanying ladder formation, and in situ labeling of DNA fragments by the terminal deoxyribonucleotidyltransferase-mediated dUTP-biotin nick end labeling method. Understanding of miltefosine-mediated death will facilitate the design of new therapeutic strategies against Leishmania parasites.","DOI":"10.1128/AAC.48.8.3010-3015.2004","ISSN":"0066-4804","note":"PMID: 15273114\nPMCID: PMC478494","journalAbbreviation":"Antimicrob Agents Chemother","author":[{"family":"Verma","given":"Navin K."},{"family":"Dey","given":"Chinmoy S."}],"issued":{"date-parts":[["2004",8]]}}}],"schema":"https://github.com/citation-style-language/schema/raw/master/csl-citation.json"} </w:instrText>
      </w:r>
      <w:r w:rsidR="00B3526D" w:rsidRPr="008B3AD6">
        <w:fldChar w:fldCharType="separate"/>
      </w:r>
      <w:r w:rsidR="00025067" w:rsidRPr="00025067">
        <w:rPr>
          <w:lang w:val="en-US"/>
        </w:rPr>
        <w:t>(Paris et al. 2004; Verma and Dey 2004)</w:t>
      </w:r>
      <w:r w:rsidR="00B3526D" w:rsidRPr="008B3AD6">
        <w:fldChar w:fldCharType="end"/>
      </w:r>
      <w:r w:rsidRPr="008B3AD6">
        <w:t xml:space="preserve"> and/or disturbance of parasite cell signalling pathways </w:t>
      </w:r>
      <w:r w:rsidR="00B3526D" w:rsidRPr="008B3AD6">
        <w:rPr>
          <w:bCs/>
        </w:rPr>
        <w:fldChar w:fldCharType="begin"/>
      </w:r>
      <w:r w:rsidR="00025067">
        <w:rPr>
          <w:bCs/>
        </w:rPr>
        <w:instrText xml:space="preserve"> ADDIN ZOTERO_ITEM CSL_CITATION {"citationID":"9jYxYaf9","properties":{"formattedCitation":"(Lux et al. 1996; Pinto-Martinez et al. 2017)","plainCitation":"(Lux et al. 1996; Pinto-Martinez et al. 2017)","noteIndex":0},"citationItems":[{"id":3600,"uris":["http://zotero.org/users/2628971/items/XDFCH87J"],"uri":["http://zotero.org/users/2628971/items/XDFCH87J"],"itemData":{"id":3600,"type":"article-journal","title":"Ether lipid metabolism, GPI anchor biosynthesis, and signal transduction are putative targets for anti-leishmanial alkyl phospholipid analogues","container-title":"Advances in Experimental Medicine and Biology","page":"201-211","volume":"416","source":"PubMed","ISSN":"0065-2598","note":"PMID: 9131149","journalAbbreviation":"Adv. Exp. Med. Biol.","language":"eng","author":[{"family":"Lux","given":"H."},{"family":"Hart","given":"D. T."},{"family":"Parker","given":"P. J."},{"family":"Klenner","given":"T."}],"issued":{"date-parts":[["1996"]]}}},{"id":3608,"uris":["http://zotero.org/users/2628971/items/KEMR53Y9"],"uri":["http://zotero.org/users/2628971/items/KEMR53Y9"],"itemData":{"id":3608,"type":"article-journal","title":"Mechanism of Action of Miltefosine on Leishmania donovani Involves the Impairment of Acidocalcisome Function and the Activation of the Sphingosine-Dependent Plasma Membrane Ca2+ Channel","container-title":"Antimicrobial Agents and Chemotherapy","volume":"62","issue":"1","source":"PubMed Central","abstract":"Leishmania donovani is the causing agent of visceral leishmaniasis, a common infection that affects millions of people from the most underdeveloped countries. Miltefosine is the only oral drug to treat infections caused by L. donovani. Nevertheless, its mechanism of action is not well understood. While miltefosine inhibits the synthesis of phosphatidylcholine and also affects the parasite mitochondrion, inhibiting the cytochrome c oxidase, it is to be expected that this potent drug also produces its effect through other targets. In this context, it has been reported that the disruption of the intracellular Ca2+ homeostasis represents an important object for the action of drugs in trypanosomatids. Recently, we have described a plasma membrane Ca2+ channel in Leishmania mexicana, which is similar to the L-type voltage-gated Ca2+ channel (VGCC) present in humans. Remarkably, the parasite Ca2+ channel is activated by sphingosine, while the L-type VGCC is not affected by this sphingolipid. In the present work we demonstrated that, similarly to sphingosine, miltefosine is able to activate the plasma membrane Ca2+ channel from L. donovani. Interestingly, nifedipine, the classical antagonist of the human channel, was not able to fully block the parasite plasma membrane Ca2+ channel, indicating that the mechanism of interaction is not identical to that of sphingosine. In this work we also show that miltefosine is able to strongly affect the acidocalcisomes from L. donovani, inducing the rapid alkalinization of these important organelles. In conclusion, we demonstrate two new mechanisms of action of miltefosine in L. donovani, both related to disruption of parasite Ca2+ homeostasis.","URL":"https://www.ncbi.nlm.nih.gov/pmc/articles/PMC5740361/","DOI":"10.1128/AAC.01614-17","ISSN":"0066-4804","note":"PMID: 29061745\nPMCID: PMC5740361","journalAbbreviation":"Antimicrob Agents Chemother","author":[{"family":"Pinto-Martinez","given":"Andrea K."},{"family":"Rodriguez-Durán","given":"Jessica"},{"family":"Serrano-Martin","given":"Xenon"},{"family":"Hernandez-Rodriguez","given":"Vanessa"},{"family":"Benaim","given":"Gustavo"}],"issued":{"date-parts":[["2017",12,21]]},"accessed":{"date-parts":[["2018",8,27]]}}}],"schema":"https://github.com/citation-style-language/schema/raw/master/csl-citation.json"} </w:instrText>
      </w:r>
      <w:r w:rsidR="00B3526D" w:rsidRPr="008B3AD6">
        <w:rPr>
          <w:bCs/>
        </w:rPr>
        <w:fldChar w:fldCharType="separate"/>
      </w:r>
      <w:r w:rsidR="00025067" w:rsidRPr="00025067">
        <w:rPr>
          <w:lang w:val="en-US"/>
        </w:rPr>
        <w:t>(Lux et al. 1996; Pinto-Martinez et al. 2017)</w:t>
      </w:r>
      <w:r w:rsidR="00B3526D" w:rsidRPr="008B3AD6">
        <w:rPr>
          <w:bCs/>
        </w:rPr>
        <w:fldChar w:fldCharType="end"/>
      </w:r>
      <w:r w:rsidRPr="008B3AD6">
        <w:t xml:space="preserve">. Pentavalent antimonials, including </w:t>
      </w:r>
      <w:r w:rsidRPr="008B3AD6">
        <w:rPr>
          <w:color w:val="000000"/>
          <w:shd w:val="clear" w:color="auto" w:fill="FFFFFF"/>
        </w:rPr>
        <w:t xml:space="preserve">meglumine antimoniate and sodium stibogluconate, have been shown to be effective against various </w:t>
      </w:r>
      <w:r w:rsidRPr="008B3AD6">
        <w:rPr>
          <w:i/>
          <w:color w:val="000000"/>
          <w:shd w:val="clear" w:color="auto" w:fill="FFFFFF"/>
        </w:rPr>
        <w:t xml:space="preserve">Leishmania </w:t>
      </w:r>
      <w:r w:rsidRPr="008B3AD6">
        <w:rPr>
          <w:color w:val="000000"/>
          <w:shd w:val="clear" w:color="auto" w:fill="FFFFFF"/>
        </w:rPr>
        <w:t xml:space="preserve">spp. </w:t>
      </w:r>
      <w:r w:rsidRPr="008B3AD6">
        <w:rPr>
          <w:i/>
          <w:color w:val="000000"/>
          <w:shd w:val="clear" w:color="auto" w:fill="FFFFFF"/>
        </w:rPr>
        <w:t>in vitro</w:t>
      </w:r>
      <w:r w:rsidRPr="008B3AD6">
        <w:rPr>
          <w:color w:val="000000"/>
          <w:shd w:val="clear" w:color="auto" w:fill="FFFFFF"/>
        </w:rPr>
        <w:t xml:space="preserve"> and </w:t>
      </w:r>
      <w:r w:rsidRPr="008B3AD6">
        <w:rPr>
          <w:i/>
          <w:color w:val="000000"/>
          <w:shd w:val="clear" w:color="auto" w:fill="FFFFFF"/>
        </w:rPr>
        <w:t>in vivo</w:t>
      </w:r>
      <w:r w:rsidRPr="008B3AD6">
        <w:rPr>
          <w:color w:val="000000"/>
          <w:shd w:val="clear" w:color="auto" w:fill="FFFFFF"/>
        </w:rPr>
        <w:t xml:space="preserve"> </w:t>
      </w:r>
      <w:r w:rsidR="00B3526D" w:rsidRPr="008B3AD6">
        <w:rPr>
          <w:color w:val="000000"/>
          <w:shd w:val="clear" w:color="auto" w:fill="FFFFFF"/>
        </w:rPr>
        <w:fldChar w:fldCharType="begin"/>
      </w:r>
      <w:r w:rsidR="00025067">
        <w:rPr>
          <w:color w:val="000000"/>
          <w:shd w:val="clear" w:color="auto" w:fill="FFFFFF"/>
        </w:rPr>
        <w:instrText xml:space="preserve"> ADDIN ZOTERO_ITEM CSL_CITATION {"citationID":"i7pRDDPK","properties":{"formattedCitation":"(Kuhlencord et al. 1992; Nabors and Farrell 1995; Carter et al. 2003)","plainCitation":"(Kuhlencord et al. 1992; Nabors and Farrell 1995; Carter et al. 2003)","noteIndex":0},"citationItems":[{"id":2593,"uris":["http://zotero.org/users/2628971/items/M4QQBPZ9"],"uri":["http://zotero.org/users/2628971/items/M4QQBPZ9"],"itemData":{"id":2593,"type":"article-journal","title":"Hexadecylphosphocholine: oral treatment of visceral leishmaniasis in mice","container-title":"Antimicrobial Agents and Chemotherapy","page":"1630-1634","volume":"36","issue":"8","source":"PubMed","abstract":"Hexadecylphosphocholine (He-PC), a novel phospholipid derivative, was tested against Leishmania donovani and Leishmania infantum, the causative agents of visceral leishmaniasis. In vitro, promastigotes were highly susceptible to He-PC; the 50% inhibitory concentrations were between 0.89 and 2.25 micrograms/ml for the different leishmanial strains. In vivo, a marked antileishmanial activity in infected BALB/c mice could be demonstrated after oral administration of He-PC. Whereas parasite suppression and killing in the liver were comparable after 5 days of treatment with He-PC (10 or 20 mg/kg of body weight per day administered orally) and sodium stibogluconate (120 mg of pentavalent antimonal agent per kg/day administered subcutaneously), a superior reduction in the parasite load in the spleen and bone marrow was observed after oral treatment with He-PC. After a 4-week treatment period, parasite suppression in the spleen was better than that observed with standard sodium stibogluconate therapy by a factor of more than 600.","ISSN":"0066-4804","note":"PMID: 1329624\nPMCID: PMC192021","shortTitle":"Hexadecylphosphocholine","journalAbbreviation":"Antimicrob. Agents Chemother.","language":"eng","author":[{"family":"Kuhlencord","given":"A."},{"family":"Maniera","given":"T."},{"family":"Eibl","given":"H."},{"family":"Unger","given":"C."}],"issued":{"date-parts":[["1992",8]]}}},{"id":3624,"uris":["http://zotero.org/users/2628971/items/FAYSNZTP"],"uri":["http://zotero.org/users/2628971/items/FAYSNZTP"],"itemData":{"id":3624,"type":"article-journal","title":"Activity of pentostam (sodium stibogluconate) against cutaneous leishmaniasis in mice treated with neutralizing anti-interferon-gamma antibody","container-title":"The American Journal of Tropical Medicine and Hygiene","page":"55-60","volume":"53","issue":"1","source":"PubMed","abstract":"Studies with Leishmania donovani in the mouse have demonstrated that an intact T cell compartment is required for effective anti-leishmanial therapy using pentavalent antimony compounds such as Pentostam (sodium stibogluconate), suggesting that the in vivo efficacy of drug treatment is at least partially immune-based. Similarly, Leishmania-infected, immunodeficient human patients including those with acquired immunodeficiency syndrome (AIDS) generally relapse following therapy with antimonials. However, sodium stibogluconate is directly parasiticidal in vitro, in the absence of T cells or T cell products. Using a model of a cutaneous form of leishmaniasis, in which susceptible BALB/c mice were infected with Leishmania major, we investigated whether the antileishmanial activity of the drug demonstrated a requirement for interferon-gamma (IFN-gamma), a cytokine produced during a T helper cell type 1 (Th1) immune response and known to contribute to resistance to infection, and whether drug therapy affected the nature of the antileishmanial response. Lesion development was suppressed in mice treated from the onset of infection with sodium stibogluconate alone, and in animals treated with sodium stibogluconate plus a neutralizing anti-IFN-gamma antibody, and tissue parasite burdens were approximately 10,000-fold less at the end of therapy in both groups compared with controls. Lesion development was similarly suppressed in mice with established lesions treated with either sodium stibogluconate alone, or sodium stibogluconate plus anti-IFN-gamma antibody. The production of IFN-gamma by cells from infected animals was somewhat increased immediately following therapy with sodium stibogluconate, an effect that was not long-lasting, while interleukin-4 (IL-4) production was not affected by treatment.(ABSTRACT TRUNCATED AT 250 WORDS)","ISSN":"0002-9637","note":"PMID: 7625533","journalAbbreviation":"Am. J. Trop. Med. Hyg.","language":"eng","author":[{"family":"Nabors","given":"G. S."},{"family":"Farrell","given":"J. P."}],"issued":{"date-parts":[["1995",7]]}}},{"id":3618,"uris":["http://zotero.org/users/2628971/items/V9T29ZE6"],"uri":["http://zotero.org/users/2628971/items/V9T29ZE6"],"itemData":{"id":3618,"type":"article-journal","title":"The In Vivo Susceptibility of Leishmania donovani to Sodium Stibogluconate Is Drug Specific and Can Be Reversed by Inhibiting Glutathione Biosynthesis","container-title":"Antimicrobial Agents and Chemotherapy","page":"1529-1535","volume":"47","issue":"5","source":"PubMed Central","abstract":"Resistance to pentavalent antimonial (Sbv) agents such as sodium stibogluconate (SSG) is creating a major problem in the treatment of visceral leishmaniasis. In the present study the in vivo susceptibilities of Leishmania donovani strains, typed as SSG resistant (strain 200011) or SSG sensitive (strain 200016) on the basis of their responses to a single SSG dose of 300 mg of Sbv/kg of body weight, to other antileishmanial drugs were determined. In addition, the role of glutathione in SSG resistance was investigated by determining the influence on SSG treatment of concomitant treatment with a nonionic surfactant vesicle formulation of buthionine sulfoximine (BSO), a specific inhibitor of the enzyme γ-glutamylcysteine synthetase which is involved in glutathione biosynthesis, and SSG, on the efficacy of SSG treatment. L. donovani strains that were SSG resistant (strain 200011) and SSG sensitive (strain 200016) were equally susceptible to in vivo treatment with miltefosine, paromomycin and amphotericin B (Fungizone and AmBisome) formulations. Combined treatment with SSG and vesicular BSO significantly increased the in vivo efficacy of SSG against both the 200011 and the 200016 L. donovani strains. However, joint treatment that included high SSG doses was unexpectedly associated with toxicity. Measurement of glutathione levels in the spleens and livers of treated mice showed that the ability of the combined therapy to inhibit glutathione levels was also dependent on the SSG dose used and that the combined treatment exhibited organ-dependent effects. The SSG resistance exhibited by the L. donovani strains was not associated with cross-resistance to other classes of compounds and could be reversed by treatment with an inhibitor of glutathione biosynthesis, indicating that clinical resistance to antimonial drugs should not affect the antileishmanial efficacies of alternative drugs. In addition, it should be possible to identify a treatment regimen that could reverse antimony resistance.","DOI":"10.1128/AAC.47.5.1529-1535.2003","ISSN":"0066-4804","note":"PMID: 12709318\nPMCID: PMC153333","journalAbbreviation":"Antimicrob Agents Chemother","author":[{"family":"Carter","given":"K. C."},{"family":"Sundar","given":"S."},{"family":"Spickett","given":"C."},{"family":"Pereira","given":"O. C."},{"family":"Mullen","given":"A. B."}],"issued":{"date-parts":[["2003",5]]}}}],"schema":"https://github.com/citation-style-language/schema/raw/master/csl-citation.json"} </w:instrText>
      </w:r>
      <w:r w:rsidR="00B3526D" w:rsidRPr="008B3AD6">
        <w:rPr>
          <w:color w:val="000000"/>
          <w:shd w:val="clear" w:color="auto" w:fill="FFFFFF"/>
        </w:rPr>
        <w:fldChar w:fldCharType="separate"/>
      </w:r>
      <w:r w:rsidR="00025067" w:rsidRPr="00025067">
        <w:rPr>
          <w:color w:val="000000"/>
          <w:lang w:val="en-US"/>
        </w:rPr>
        <w:t>(Kuhlencord et al. 1992; Nabors and Farrell 1995; Carter et al. 2003)</w:t>
      </w:r>
      <w:r w:rsidR="00B3526D" w:rsidRPr="008B3AD6">
        <w:rPr>
          <w:color w:val="000000"/>
          <w:shd w:val="clear" w:color="auto" w:fill="FFFFFF"/>
        </w:rPr>
        <w:fldChar w:fldCharType="end"/>
      </w:r>
      <w:r w:rsidRPr="008B3AD6">
        <w:rPr>
          <w:color w:val="000000"/>
          <w:shd w:val="clear" w:color="auto" w:fill="FFFFFF"/>
        </w:rPr>
        <w:t xml:space="preserve">. However, their mechanisms of action have yet </w:t>
      </w:r>
      <w:r w:rsidRPr="008B3AD6">
        <w:rPr>
          <w:color w:val="000000"/>
          <w:shd w:val="clear" w:color="auto" w:fill="FFFFFF"/>
        </w:rPr>
        <w:lastRenderedPageBreak/>
        <w:t>to</w:t>
      </w:r>
      <w:r w:rsidR="006509BD">
        <w:rPr>
          <w:color w:val="000000"/>
          <w:shd w:val="clear" w:color="auto" w:fill="FFFFFF"/>
        </w:rPr>
        <w:t xml:space="preserve"> be</w:t>
      </w:r>
      <w:r w:rsidRPr="008B3AD6">
        <w:rPr>
          <w:color w:val="000000"/>
          <w:shd w:val="clear" w:color="auto" w:fill="FFFFFF"/>
        </w:rPr>
        <w:t xml:space="preserve"> fully elucidated, with a variety of mechanisms proposed </w:t>
      </w:r>
      <w:r w:rsidR="00092911" w:rsidRPr="008B3AD6">
        <w:rPr>
          <w:color w:val="000000"/>
          <w:shd w:val="clear" w:color="auto" w:fill="FFFFFF"/>
        </w:rPr>
        <w:fldChar w:fldCharType="begin"/>
      </w:r>
      <w:r w:rsidR="00025067">
        <w:rPr>
          <w:color w:val="000000"/>
          <w:shd w:val="clear" w:color="auto" w:fill="FFFFFF"/>
        </w:rPr>
        <w:instrText xml:space="preserve"> ADDIN ZOTERO_ITEM CSL_CITATION {"citationID":"nyl9oFYr","properties":{"formattedCitation":"(Haldar, Sen, and Roy 2011)","plainCitation":"(Haldar, Sen, and Roy 2011)","noteIndex":0},"citationItems":[{"id":3626,"uris":["http://zotero.org/users/2628971/items/7FWJBQ37"],"uri":["http://zotero.org/users/2628971/items/7FWJBQ37"],"itemData":{"id":3626,"type":"webpage","title":"Use of Antimony in the Treatment of Leishmaniasis: Current Status and Future Directions","container-title":"Molecular Biology International","genre":"Research article","abstract":"In the recent past the standard treatment of kala-azar involved the use of pentavalent antimonials Sb(V). Because of progressive rise in treatment failure to Sb(V) was limited its use in the treatment program in the Indian subcontinent. Until now the mechanism of action of Sb(V) is not very clear. Recent studies indicated that both parasite and hosts contribute to the antimony efflux mechanism. Interestingly, antimonials show strong immunostimulatory abilities as evident from the upregulation of transplantation antigens and enhanced T cell stimulating ability of normal antigen presenting cells when treated with Sb(V) in vitro. Recently, it has been shown that some of the peroxovanadium compounds have Sb(V)-resistance modifying ability in experimental infection with Sb(V) resistant Leishmania donovani isolates in murine model. Thus, vanadium compounds may be used in combination with Sb(V) in the treatment of Sb(V) resistance cases of kala-azar.","URL":"https://www.hindawi.com/journals/mbi/2011/571242/","note":"PMID: 22091408\nDOI: 10.4061/2011/571242","shortTitle":"Use of Antimony in the Treatment of Leishmaniasis","language":"en","author":[{"family":"Haldar","given":"Arun Kumar"},{"family":"Sen","given":"Pradip"},{"family":"Roy","given":"Syamal"}],"issued":{"date-parts":[["2011"]]},"accessed":{"date-parts":[["2018",8,27]]}}}],"schema":"https://github.com/citation-style-language/schema/raw/master/csl-citation.json"} </w:instrText>
      </w:r>
      <w:r w:rsidR="00092911" w:rsidRPr="008B3AD6">
        <w:rPr>
          <w:color w:val="000000"/>
          <w:shd w:val="clear" w:color="auto" w:fill="FFFFFF"/>
        </w:rPr>
        <w:fldChar w:fldCharType="separate"/>
      </w:r>
      <w:r w:rsidR="00025067" w:rsidRPr="00025067">
        <w:rPr>
          <w:color w:val="000000"/>
          <w:lang w:val="en-US"/>
        </w:rPr>
        <w:t>(Haldar, Sen, and Roy 2011)</w:t>
      </w:r>
      <w:r w:rsidR="00092911" w:rsidRPr="008B3AD6">
        <w:rPr>
          <w:color w:val="000000"/>
          <w:shd w:val="clear" w:color="auto" w:fill="FFFFFF"/>
        </w:rPr>
        <w:fldChar w:fldCharType="end"/>
      </w:r>
      <w:r w:rsidR="00092911" w:rsidRPr="008B3AD6">
        <w:rPr>
          <w:color w:val="000000"/>
          <w:shd w:val="clear" w:color="auto" w:fill="FFFFFF"/>
        </w:rPr>
        <w:t>, including immunomodulation</w:t>
      </w:r>
      <w:r w:rsidRPr="008B3AD6">
        <w:rPr>
          <w:color w:val="000000"/>
          <w:shd w:val="clear" w:color="auto" w:fill="FFFFFF"/>
        </w:rPr>
        <w:t xml:space="preserve">. </w:t>
      </w:r>
      <w:r w:rsidR="002A4AC5">
        <w:rPr>
          <w:color w:val="000000"/>
          <w:shd w:val="clear" w:color="auto" w:fill="FFFFFF"/>
        </w:rPr>
        <w:t>T</w:t>
      </w:r>
      <w:r w:rsidRPr="008B3AD6">
        <w:rPr>
          <w:color w:val="000000"/>
          <w:shd w:val="clear" w:color="auto" w:fill="FFFFFF"/>
        </w:rPr>
        <w:t xml:space="preserve">he efficacy of pentavalent antimonials </w:t>
      </w:r>
      <w:r w:rsidR="002A4AC5">
        <w:rPr>
          <w:color w:val="000000"/>
          <w:shd w:val="clear" w:color="auto" w:fill="FFFFFF"/>
        </w:rPr>
        <w:t>has</w:t>
      </w:r>
      <w:r w:rsidRPr="008B3AD6">
        <w:rPr>
          <w:color w:val="000000"/>
          <w:shd w:val="clear" w:color="auto" w:fill="FFFFFF"/>
        </w:rPr>
        <w:t xml:space="preserve"> decreased over time, in 1984 long-term treatment (20 days) had cure rates of 8</w:t>
      </w:r>
      <w:r w:rsidR="00092911" w:rsidRPr="008B3AD6">
        <w:rPr>
          <w:color w:val="000000"/>
          <w:shd w:val="clear" w:color="auto" w:fill="FFFFFF"/>
        </w:rPr>
        <w:t xml:space="preserve">6% </w:t>
      </w:r>
      <w:r w:rsidR="00092911" w:rsidRPr="008B3AD6">
        <w:rPr>
          <w:color w:val="000000"/>
          <w:shd w:val="clear" w:color="auto" w:fill="FFFFFF"/>
        </w:rPr>
        <w:fldChar w:fldCharType="begin"/>
      </w:r>
      <w:r w:rsidR="00025067">
        <w:rPr>
          <w:color w:val="000000"/>
          <w:shd w:val="clear" w:color="auto" w:fill="FFFFFF"/>
        </w:rPr>
        <w:instrText xml:space="preserve"> ADDIN ZOTERO_ITEM CSL_CITATION {"citationID":"ziCXqLgo","properties":{"formattedCitation":"(Thakur et al. 1984)","plainCitation":"(Thakur et al. 1984)","noteIndex":0},"citationItems":[{"id":3630,"uris":["http://zotero.org/users/2628971/items/G2W8AB7D"],"uri":["http://zotero.org/users/2628971/items/G2W8AB7D"],"itemData":{"id":3630,"type":"article-journal","title":"Comparison of regimens of treatment with sodium stibogluconate in kala-azar","container-title":"British Medical Journal (Clinical Research Ed.)","page":"895-897","volume":"288","issue":"6421","source":"PubMed","abstract":"One hundred and twenty six patients with kala-azar (visceral leishmaniasis) were allocated at random to one of two groups for treatment with sodium stibogluconate. One group was treated for 20 days; in the other group the patients were assessed after 20 days' treatment and treatment was continued if necessary. Both groups were followed up for six months. There was no significant difference in symptomatic outcome between the two groups at 20 days. At six months eight of the patients in the group treated for 20 days had relapsed and 54 were cured. Of the group given more than 20 days' treatment if necessary, 62 were cured and none had relapsed (12 required more than 20 days' treatment). This difference between the two groups was significant. One patient in each group did not respond to sodium stibogluconate, but both were were cured with pentamidine. Altogether 104 patients were cured after 20 days' treatment; 20, including the eight who relapsed, were cured after more than 20 days' treatment. There was no significant difference between the two groups in the side effects of the drug, which were minor. The longer courses of treatment (50 days in one patient) were well tolerated. It is suggested that the traditional six day course of treatment with sodium stibogluconate for kala-azar is grossly inadequate and that a longer course is required to prevent relapse.","ISSN":"0267-0623","note":"PMID: 6322906\nPMCID: PMC1441685","journalAbbreviation":"Br Med J (Clin Res Ed)","language":"eng","author":[{"family":"Thakur","given":"C. P."},{"family":"Kumar","given":"M."},{"family":"Singh","given":"S. K."},{"family":"Sharma","given":"D."},{"family":"Prasad","given":"U. S."},{"family":"Singh","given":"R. S."},{"family":"Dhawan","given":"P. S."},{"family":"Achari","given":"V."}],"issued":{"date-parts":[["1984",3,24]]}}}],"schema":"https://github.com/citation-style-language/schema/raw/master/csl-citation.json"} </w:instrText>
      </w:r>
      <w:r w:rsidR="00092911" w:rsidRPr="008B3AD6">
        <w:rPr>
          <w:color w:val="000000"/>
          <w:shd w:val="clear" w:color="auto" w:fill="FFFFFF"/>
        </w:rPr>
        <w:fldChar w:fldCharType="separate"/>
      </w:r>
      <w:r w:rsidR="00025067" w:rsidRPr="00025067">
        <w:rPr>
          <w:color w:val="000000"/>
          <w:lang w:val="en-US"/>
        </w:rPr>
        <w:t>(Thakur et al. 1984)</w:t>
      </w:r>
      <w:r w:rsidR="00092911" w:rsidRPr="008B3AD6">
        <w:rPr>
          <w:color w:val="000000"/>
          <w:shd w:val="clear" w:color="auto" w:fill="FFFFFF"/>
        </w:rPr>
        <w:fldChar w:fldCharType="end"/>
      </w:r>
      <w:r w:rsidRPr="008B3AD6">
        <w:rPr>
          <w:color w:val="000000"/>
          <w:shd w:val="clear" w:color="auto" w:fill="FFFFFF"/>
        </w:rPr>
        <w:t xml:space="preserve"> whereas into the 90’s it was described that approximately one out of three patients were cured </w:t>
      </w:r>
      <w:r w:rsidR="00092911" w:rsidRPr="008B3AD6">
        <w:rPr>
          <w:color w:val="000000"/>
          <w:shd w:val="clear" w:color="auto" w:fill="FFFFFF"/>
        </w:rPr>
        <w:fldChar w:fldCharType="begin"/>
      </w:r>
      <w:r w:rsidR="00025067">
        <w:rPr>
          <w:color w:val="000000"/>
          <w:shd w:val="clear" w:color="auto" w:fill="FFFFFF"/>
        </w:rPr>
        <w:instrText xml:space="preserve"> ADDIN ZOTERO_ITEM CSL_CITATION {"citationID":"Jpbu8EjU","properties":{"formattedCitation":"(Sundar et al. 2000)","plainCitation":"(Sundar et al. 2000)","noteIndex":0},"citationItems":[{"id":3632,"uris":["http://zotero.org/users/2628971/items/32NK564W"],"uri":["http://zotero.org/users/2628971/items/32NK564W"],"itemData":{"id":3632,"type":"article-journal","title":"Failure of Pentavalent Antimony in Visceral Leishmaniasis in India: Report from the Center of the Indian Epidemic","container-title":"Clinical Infectious Diseases","page":"1104-1107","volume":"31","issue":"4","source":"academic.oup.com","abstract":"Abstract.  In India, 320 patients with visceral leishmaniasis (209 in the state of Bihar and 11 in the neighboring state of Uttar Pradesh) received identical pe","DOI":"10.1086/318121","ISSN":"1058-4838","shortTitle":"Failure of Pentavalent Antimony in Visceral Leishmaniasis in India","journalAbbreviation":"Clin Infect Dis","language":"en","author":[{"family":"Sundar","given":"Shyam"},{"family":"More","given":"Deepak K."},{"family":"Singh","given":"Manoj K."},{"family":"Singh","given":"Vijay P."},{"family":"Sharma","given":"Sashi"},{"family":"Makharia","given":"Anand"},{"family":"Kumar","given":"Prasanna C. K."},{"family":"Murray","given":"Henry W."}],"issued":{"date-parts":[["2000",10,1]]}}}],"schema":"https://github.com/citation-style-language/schema/raw/master/csl-citation.json"} </w:instrText>
      </w:r>
      <w:r w:rsidR="00092911" w:rsidRPr="008B3AD6">
        <w:rPr>
          <w:color w:val="000000"/>
          <w:shd w:val="clear" w:color="auto" w:fill="FFFFFF"/>
        </w:rPr>
        <w:fldChar w:fldCharType="separate"/>
      </w:r>
      <w:r w:rsidR="00025067" w:rsidRPr="00025067">
        <w:rPr>
          <w:color w:val="000000"/>
          <w:lang w:val="en-US"/>
        </w:rPr>
        <w:t>(Sundar et al. 2000)</w:t>
      </w:r>
      <w:r w:rsidR="00092911" w:rsidRPr="008B3AD6">
        <w:rPr>
          <w:color w:val="000000"/>
          <w:shd w:val="clear" w:color="auto" w:fill="FFFFFF"/>
        </w:rPr>
        <w:fldChar w:fldCharType="end"/>
      </w:r>
      <w:r w:rsidRPr="008B3AD6">
        <w:rPr>
          <w:color w:val="000000"/>
          <w:shd w:val="clear" w:color="auto" w:fill="FFFFFF"/>
        </w:rPr>
        <w:t xml:space="preserve">. Even though Miltefosine and pentavalent antimonials are used in the treatment of </w:t>
      </w:r>
      <w:r w:rsidR="002A4AC5">
        <w:rPr>
          <w:color w:val="000000"/>
          <w:shd w:val="clear" w:color="auto" w:fill="FFFFFF"/>
        </w:rPr>
        <w:t>VL</w:t>
      </w:r>
      <w:r w:rsidRPr="008B3AD6">
        <w:rPr>
          <w:color w:val="000000"/>
          <w:shd w:val="clear" w:color="auto" w:fill="FFFFFF"/>
        </w:rPr>
        <w:t xml:space="preserve">, due to its high efficacy and reduced toxicity </w:t>
      </w:r>
      <w:r w:rsidR="002A4AC5">
        <w:rPr>
          <w:color w:val="000000"/>
          <w:shd w:val="clear" w:color="auto" w:fill="FFFFFF"/>
        </w:rPr>
        <w:t>LAm</w:t>
      </w:r>
      <w:r w:rsidRPr="008B3AD6">
        <w:rPr>
          <w:color w:val="000000"/>
          <w:shd w:val="clear" w:color="auto" w:fill="FFFFFF"/>
        </w:rPr>
        <w:t xml:space="preserve">B is </w:t>
      </w:r>
      <w:r w:rsidR="004B4B87" w:rsidRPr="008B3AD6">
        <w:rPr>
          <w:color w:val="000000"/>
          <w:shd w:val="clear" w:color="auto" w:fill="FFFFFF"/>
        </w:rPr>
        <w:t xml:space="preserve">being utilised increasingly in the treatment of leishmaniasis </w:t>
      </w:r>
      <w:r w:rsidR="004B4B87" w:rsidRPr="008B3AD6">
        <w:rPr>
          <w:color w:val="000000"/>
          <w:shd w:val="clear" w:color="auto" w:fill="FFFFFF"/>
        </w:rPr>
        <w:fldChar w:fldCharType="begin"/>
      </w:r>
      <w:r w:rsidR="00025067">
        <w:rPr>
          <w:color w:val="000000"/>
          <w:shd w:val="clear" w:color="auto" w:fill="FFFFFF"/>
        </w:rPr>
        <w:instrText xml:space="preserve"> ADDIN ZOTERO_ITEM CSL_CITATION {"citationID":"hFHEsf3A","properties":{"formattedCitation":"(Sundar and Chakravarty 2010)","plainCitation":"(Sundar and Chakravarty 2010)","noteIndex":0},"citationItems":[{"id":3368,"uris":["http://zotero.org/users/2628971/items/SRP83MG5"],"uri":["http://zotero.org/users/2628971/items/SRP83MG5"],"itemData":{"id":3368,"type":"article-journal","title":"Liposomal Amphotericin B and Leishmaniasis: Dose and Response","container-title":"Journal of Global Infectious Diseases","page":"159-166","volume":"2","issue":"2","source":"PubMed Central","abstract":"Liposomal amphotericin B has been used with increasing frequency to treat visceral leishmaniasis (VL). It is the treatment of choice for immunocompetent patients in the Mediterranean region and the preferred drug for HIV/VL co-infection. Although there is a regional variation in the susceptibility of the parasite a total dose of 20 mg/kg is effective in immunocompetent patients. Randomized clinical trials of liposomal amphotericin B in the treatment and secondary prophylaxis of HIV-VL coinfected patients is urgently needed to optimize treatment in this subset. With the availability of Liposomal amphotericin B at a preferential pricing in the endemic areas, short course combination therapy can become a viable alternative.","DOI":"10.4103/0974-777X.62886","ISSN":"0974-777X","note":"PMID: 20606972\nPMCID: PMC2889656","shortTitle":"Liposomal Amphotericin B and Leishmaniasis","journalAbbreviation":"J Glob Infect Dis","author":[{"family":"Sundar","given":"Shyam"},{"family":"Chakravarty","given":"Jaya"}],"issued":{"date-parts":[["2010"]]}}}],"schema":"https://github.com/citation-style-language/schema/raw/master/csl-citation.json"} </w:instrText>
      </w:r>
      <w:r w:rsidR="004B4B87" w:rsidRPr="008B3AD6">
        <w:rPr>
          <w:color w:val="000000"/>
          <w:shd w:val="clear" w:color="auto" w:fill="FFFFFF"/>
        </w:rPr>
        <w:fldChar w:fldCharType="separate"/>
      </w:r>
      <w:r w:rsidR="00025067" w:rsidRPr="00025067">
        <w:rPr>
          <w:color w:val="000000"/>
          <w:lang w:val="en-US"/>
        </w:rPr>
        <w:t>(Sundar and Chakravarty 2010)</w:t>
      </w:r>
      <w:r w:rsidR="004B4B87" w:rsidRPr="008B3AD6">
        <w:rPr>
          <w:color w:val="000000"/>
          <w:shd w:val="clear" w:color="auto" w:fill="FFFFFF"/>
        </w:rPr>
        <w:fldChar w:fldCharType="end"/>
      </w:r>
      <w:r w:rsidRPr="008B3AD6">
        <w:rPr>
          <w:color w:val="000000"/>
          <w:shd w:val="clear" w:color="auto" w:fill="FFFFFF"/>
        </w:rPr>
        <w:t>.</w:t>
      </w:r>
      <w:r w:rsidR="00B3526D" w:rsidRPr="008B3AD6">
        <w:rPr>
          <w:color w:val="000000"/>
          <w:shd w:val="clear" w:color="auto" w:fill="FFFFFF"/>
        </w:rPr>
        <w:t xml:space="preserve"> Currently there </w:t>
      </w:r>
      <w:r w:rsidR="004B4B87" w:rsidRPr="008B3AD6">
        <w:rPr>
          <w:color w:val="000000"/>
          <w:shd w:val="clear" w:color="auto" w:fill="FFFFFF"/>
        </w:rPr>
        <w:t>are</w:t>
      </w:r>
      <w:r w:rsidR="00B3526D" w:rsidRPr="008B3AD6">
        <w:rPr>
          <w:color w:val="000000"/>
          <w:shd w:val="clear" w:color="auto" w:fill="FFFFFF"/>
        </w:rPr>
        <w:t xml:space="preserve"> no vaccines available for visceralising species of </w:t>
      </w:r>
      <w:r w:rsidR="00B3526D" w:rsidRPr="008B3AD6">
        <w:rPr>
          <w:i/>
          <w:color w:val="000000"/>
          <w:shd w:val="clear" w:color="auto" w:fill="FFFFFF"/>
        </w:rPr>
        <w:t>Leishmania</w:t>
      </w:r>
      <w:r w:rsidR="00B3526D" w:rsidRPr="008B3AD6">
        <w:rPr>
          <w:color w:val="000000"/>
          <w:shd w:val="clear" w:color="auto" w:fill="FFFFFF"/>
        </w:rPr>
        <w:t xml:space="preserve">, however this remains an area of study with potential candidates being investigated </w:t>
      </w:r>
      <w:r w:rsidR="004B4B87" w:rsidRPr="008B3AD6">
        <w:rPr>
          <w:color w:val="000000"/>
          <w:shd w:val="clear" w:color="auto" w:fill="FFFFFF"/>
        </w:rPr>
        <w:fldChar w:fldCharType="begin"/>
      </w:r>
      <w:r w:rsidR="00025067">
        <w:rPr>
          <w:color w:val="000000"/>
          <w:shd w:val="clear" w:color="auto" w:fill="FFFFFF"/>
        </w:rPr>
        <w:instrText xml:space="preserve"> ADDIN ZOTERO_ITEM CSL_CITATION {"citationID":"iLM8JoF7","properties":{"formattedCitation":"(Riede et al. 2015; Osman et al. 2017)","plainCitation":"(Riede et al. 2015; Osman et al. 2017)","noteIndex":0},"citationItems":[{"id":534,"uris":["http://zotero.org/users/2628971/items/5USKNF7R"],"uri":["http://zotero.org/users/2628971/items/5USKNF7R"],"itemData":{"id":534,"type":"webpage","title":"Preclinical safety and tolerability of a repeatedly administered human leishmaniasis DNA vaccine.","container-title":"Gene Ther","abstract":": The leishmaniases are a complex of vector-borne diseases caused by protozoan parasites of the genus Leishmania. LEISHDNAVAX is a multi-antigen, T-cell epitope-enriched DNA vaccine candidate against human leishmaniasis. The vaccine candidate has been proven immunogenic and showed prophylactic efficacy in preclinical studies. Here, we describe the safety testing of LEISHDNAVAX in naive mice and rats, complemented by the demonstration of tolerability in Leishmania-infected mice. Biodistribution and persistence were examined following single and repeated intradermal (i.d.) administration to rats. DNA vectors were distributed systemically but did not accumulate upon repeated injections. Although vector DNA was cleared from most other tissues within 60 days after the last injection, it persisted in skin at the site of injection and in draining lymph nodes. Evaluation of single-dose and repeated-dose toxicity of the vaccine candidate after i.d. administration to naive, non-infected mice did not reveal any safety concerns. LEISHDNAVAX was also well tolerated in Leishmania-infected mice. Taken together, our results substantiate a favorable safety profile of LEISHDNAVAX in both naive and infected animals and thus, support the initiation of clinical trials for both preventive and therapeutic applications of the vaccine., Copyright (C) 2015 Nature Publishing Group","author":[{"family":"Riede","given":"O"},{"family":"Seifert","given":"K"},{"family":"Oswald","given":"D"},{"family":"Endmann","given":"A"},{"family":"Hock","given":"C"},{"family":"Winkler","given":"A"},{"family":"Salguero","given":"F"},{"family":"Schroff","given":"M"},{"family":"Croft","given":"S"},{"family":"Juhls","given":"C"}],"issued":{"date-parts":[["2015"]]}}},{"id":3690,"uris":["http://zotero.org/users/2628971/items/8CZT34RD"],"uri":["http://zotero.org/users/2628971/items/8CZT34RD"],"itemData":{"id":3690,"type":"article-journal","title":"A third generation vaccine for human visceral leishmaniasis and post kala azar dermal leishmaniasis: First-in-human trial of ChAd63-KH","container-title":"PLoS Neglected Tropical Diseases","volume":"11","issue":"5","source":"PubMed Central","abstract":"Leishmaniasis is a neglected disease of poverty with global public health impact. Caused by species of the Leishmania parasite, it may manifest itself as slow to heal skin ulcers, metastatic disease affecting the mouth and nose or systemic disease affecting internal organs (kala azar or visceral leishmaniasis). In common with other poverty-related neglected diseases, there have been few incentives for pharma to develop new drugs and vaccines. The few drugs currently available may cause serious side effects and/or only work well in some settings. No vaccines are available for prevention (prophylactic vaccines) or treatment (therapeutic vaccines). The clinical development of vaccines requires a series of clinical trials (Phases I–IV). Phase I studies assess primarily safety and are conducted in healthy volunteers. Later phase trials then involve either more healthy subjects (for prophylactic vaccines) or patients (for therapeutic vaccines) and provide additional safety data as well as preliminary data on efficacy. Here, we describe the results from a Phase I first-in-human trial of a new vaccine for leishmaniasis. Our vaccine is novel compared to those previously tested in that it is designed to target induction of a specific type of immune response (CD8+ T cells). We show here that the vaccine is safe in healthy volunteers and induces robust CD8+ T cell responses. The study represents an important step towards the development of a leishmaniasis vaccine.","URL":"https://www.ncbi.nlm.nih.gov/pmc/articles/PMC5443534/","DOI":"10.1371/journal.pntd.0005527","ISSN":"1935-2727","note":"PMID: 28498840\nPMCID: PMC5443534","shortTitle":"A third generation vaccine for human visceral leishmaniasis and post kala azar dermal leishmaniasis","journalAbbreviation":"PLoS Negl Trop Dis","author":[{"family":"Osman","given":"Mohamed"},{"family":"Mistry","given":"Anoop"},{"family":"Keding","given":"Ada"},{"family":"Gabe","given":"Rhian"},{"family":"Cook","given":"Elizabeth"},{"family":"Forrester","given":"Sarah"},{"family":"Wiggins","given":"Rebecca"},{"family":"Di Marco","given":"Stefania"},{"family":"Colloca","given":"Stefano"},{"family":"Siani","given":"Loredana"},{"family":"Cortese","given":"Riccardo"},{"family":"Smith","given":"Deborah F."},{"family":"Aebischer","given":"Toni"},{"family":"Kaye","given":"Paul M."},{"family":"Lacey","given":"Charles J."}],"issued":{"date-parts":[["2017",5,12]]},"accessed":{"date-parts":[["2018",8,29]]}}}],"schema":"https://github.com/citation-style-language/schema/raw/master/csl-citation.json"} </w:instrText>
      </w:r>
      <w:r w:rsidR="004B4B87" w:rsidRPr="008B3AD6">
        <w:rPr>
          <w:color w:val="000000"/>
          <w:shd w:val="clear" w:color="auto" w:fill="FFFFFF"/>
        </w:rPr>
        <w:fldChar w:fldCharType="separate"/>
      </w:r>
      <w:r w:rsidR="00025067" w:rsidRPr="00025067">
        <w:rPr>
          <w:color w:val="000000"/>
          <w:lang w:val="en-US"/>
        </w:rPr>
        <w:t>(Riede et al. 2015; Osman et al. 2017)</w:t>
      </w:r>
      <w:r w:rsidR="004B4B87" w:rsidRPr="008B3AD6">
        <w:rPr>
          <w:color w:val="000000"/>
          <w:shd w:val="clear" w:color="auto" w:fill="FFFFFF"/>
        </w:rPr>
        <w:fldChar w:fldCharType="end"/>
      </w:r>
      <w:r w:rsidR="00B3526D" w:rsidRPr="008B3AD6">
        <w:rPr>
          <w:color w:val="000000"/>
          <w:shd w:val="clear" w:color="auto" w:fill="FFFFFF"/>
        </w:rPr>
        <w:t>.</w:t>
      </w:r>
    </w:p>
    <w:p w14:paraId="77B9BAEA" w14:textId="77777777" w:rsidR="00871260" w:rsidRPr="008B3AD6" w:rsidRDefault="00871260" w:rsidP="005D4320"/>
    <w:p w14:paraId="42DB83FE" w14:textId="778F3442" w:rsidR="00AB3115" w:rsidRPr="008B3AD6" w:rsidRDefault="002A4AC5" w:rsidP="000E10DC">
      <w:pPr>
        <w:pStyle w:val="Heading3"/>
        <w:jc w:val="both"/>
      </w:pPr>
      <w:bookmarkStart w:id="63" w:name="_Ref525116231"/>
      <w:bookmarkStart w:id="64" w:name="_Ref525220674"/>
      <w:bookmarkStart w:id="65" w:name="_Toc3716054"/>
      <w:r>
        <w:rPr>
          <w:i/>
        </w:rPr>
        <w:t>In silico</w:t>
      </w:r>
      <w:r w:rsidR="00646486" w:rsidRPr="008B3AD6">
        <w:t xml:space="preserve"> models</w:t>
      </w:r>
      <w:r w:rsidR="00AB3115" w:rsidRPr="008B3AD6">
        <w:t xml:space="preserve"> of Leishmaniasis</w:t>
      </w:r>
      <w:bookmarkEnd w:id="63"/>
      <w:bookmarkEnd w:id="64"/>
      <w:bookmarkEnd w:id="65"/>
    </w:p>
    <w:p w14:paraId="77528123" w14:textId="1D86D617" w:rsidR="00CC472C" w:rsidRPr="008B3AD6" w:rsidRDefault="00646486" w:rsidP="00646486">
      <w:pPr>
        <w:spacing w:line="360" w:lineRule="auto"/>
        <w:jc w:val="both"/>
      </w:pPr>
      <w:r w:rsidRPr="008B3AD6">
        <w:t xml:space="preserve">The preceding sections have introduced the investigations and understanding gained through traditional </w:t>
      </w:r>
      <w:r w:rsidR="00037C39" w:rsidRPr="008B3AD6">
        <w:t>‘wet lab’</w:t>
      </w:r>
      <w:r w:rsidRPr="008B3AD6">
        <w:t xml:space="preserve"> approaches. Recently, the implementation of </w:t>
      </w:r>
      <w:r w:rsidR="002A4AC5">
        <w:rPr>
          <w:i/>
        </w:rPr>
        <w:t xml:space="preserve">in silico </w:t>
      </w:r>
      <w:r w:rsidR="002A4AC5">
        <w:t>(</w:t>
      </w:r>
      <w:r w:rsidR="00BF228D" w:rsidRPr="008B3AD6">
        <w:t xml:space="preserve">computational or </w:t>
      </w:r>
      <w:r w:rsidRPr="008B3AD6">
        <w:t>mathematical</w:t>
      </w:r>
      <w:r w:rsidR="002A4AC5">
        <w:t>)</w:t>
      </w:r>
      <w:r w:rsidRPr="008B3AD6">
        <w:t xml:space="preserve"> models to aid </w:t>
      </w:r>
      <w:r w:rsidR="002A4AC5">
        <w:t>in the</w:t>
      </w:r>
      <w:r w:rsidRPr="008B3AD6">
        <w:t xml:space="preserve"> understanding of </w:t>
      </w:r>
      <w:r w:rsidR="002A4AC5">
        <w:t>leishmaniasis</w:t>
      </w:r>
      <w:r w:rsidRPr="008B3AD6">
        <w:t xml:space="preserve"> have been implemented either as an alternative or in conjunction with </w:t>
      </w:r>
      <w:r w:rsidR="00037C39" w:rsidRPr="008B3AD6">
        <w:t>immunological/pharmacological</w:t>
      </w:r>
      <w:r w:rsidRPr="008B3AD6">
        <w:t xml:space="preserve"> experimentation,</w:t>
      </w:r>
      <w:r w:rsidR="00BF228D" w:rsidRPr="008B3AD6">
        <w:t xml:space="preserve"> some of</w:t>
      </w:r>
      <w:r w:rsidRPr="008B3AD6">
        <w:t xml:space="preserve"> these are introduced below.</w:t>
      </w:r>
    </w:p>
    <w:p w14:paraId="2D3C66FE" w14:textId="0147F56B" w:rsidR="00646486" w:rsidRPr="008B3AD6" w:rsidRDefault="00646486" w:rsidP="00646486">
      <w:pPr>
        <w:spacing w:line="360" w:lineRule="auto"/>
        <w:jc w:val="both"/>
      </w:pPr>
    </w:p>
    <w:p w14:paraId="6BCBA4FF" w14:textId="355604CC" w:rsidR="00646486" w:rsidRPr="008B3AD6" w:rsidRDefault="00842966" w:rsidP="00842966">
      <w:pPr>
        <w:spacing w:line="360" w:lineRule="auto"/>
        <w:jc w:val="both"/>
      </w:pPr>
      <w:r w:rsidRPr="008B3AD6">
        <w:t xml:space="preserve">Siewe and colleagues presented two mathematical models describing the immune response </w:t>
      </w:r>
      <w:r w:rsidRPr="008B3AD6">
        <w:fldChar w:fldCharType="begin"/>
      </w:r>
      <w:r w:rsidR="00025067">
        <w:instrText xml:space="preserve"> ADDIN ZOTERO_ITEM CSL_CITATION {"citationID":"KhRSLyjD","properties":{"formattedCitation":"(Siewe et al. 2016)","plainCitation":"(Siewe et al. 2016)","noteIndex":0},"citationItems":[{"id":2578,"uris":["http://zotero.org/users/2628971/items/GKTD3VPK"],"uri":["http://zotero.org/users/2628971/items/GKTD3VPK"],"itemData":{"id":2578,"type":"article-journal","title":"Immune response to infection by Leishmania: A mathematical model","container-title":"Mathematical Biosciences","page":"28-43","volume":"276","source":"PubMed","abstract":"Leishmaniasis is a disease caused by the Leishmania parasites. The injection of the parasites into the host occurs when a sand fly, which is the vector, bites the skin of the host. The parasites, which are obligate, take advantage of the immune system response and invade both the classically activated macrophages (M1) and the alternatively activated macrophages (M2). In this paper, we develop a mathematical model to explain the evolution of the disease. Simulations of the model show that, M2 macrophages steadily increase and M1 macrophages steadily decrease, while M1+M2 reach a steady state which is approximately the same as at healthy state of the host. Furthermore, the ratio of Leishmania parasites to macrophages depends homogeneously on their ratio at the time of the initial infection, in agreement with in vitro experimental data. The model is used to simulate treatment by existing or potential new drugs, and to compare the efficacy of different schedules of drug delivery.","DOI":"10.1016/j.mbs.2016.02.015","ISSN":"1879-3134","note":"PMID: 26987853","shortTitle":"Immune response to infection by Leishmania","journalAbbreviation":"Math Biosci","language":"eng","author":[{"family":"Siewe","given":"Nourridine"},{"family":"Yakubu","given":"Abdul-Aziz"},{"family":"Satoskar","given":"Abhay R."},{"family":"Friedman","given":"Avner"}],"issued":{"date-parts":[["2016"]]}}}],"schema":"https://github.com/citation-style-language/schema/raw/master/csl-citation.json"} </w:instrText>
      </w:r>
      <w:r w:rsidRPr="008B3AD6">
        <w:fldChar w:fldCharType="separate"/>
      </w:r>
      <w:r w:rsidR="00025067" w:rsidRPr="00025067">
        <w:rPr>
          <w:lang w:val="en-US"/>
        </w:rPr>
        <w:t>(Siewe et al. 2016)</w:t>
      </w:r>
      <w:r w:rsidRPr="008B3AD6">
        <w:fldChar w:fldCharType="end"/>
      </w:r>
      <w:r w:rsidRPr="008B3AD6">
        <w:t xml:space="preserve"> and granuloma formation </w:t>
      </w:r>
      <w:r w:rsidRPr="008B3AD6">
        <w:fldChar w:fldCharType="begin"/>
      </w:r>
      <w:r w:rsidR="00025067">
        <w:instrText xml:space="preserve"> ADDIN ZOTERO_ITEM CSL_CITATION {"citationID":"FLXKVwPc","properties":{"formattedCitation":"(Siewe et al. 2017)","plainCitation":"(Siewe et al. 2017)","noteIndex":0},"citationItems":[{"id":2568,"uris":["http://zotero.org/users/2628971/items/BUY74DXX"],"uri":["http://zotero.org/users/2628971/items/BUY74DXX"],"itemData":{"id":2568,"type":"article-journal","title":"Granuloma formation in leishmaniasis: A mathematical model","container-title":"Journal of Theoretical Biology","page":"48-60","volume":"412","source":"PubMed","abstract":"Leishmaniasis is a disease caused by the Leishmania parasites. The two common forms of leishmaniasis are cutaneous leishmaniasis (CL) and visceral leishmaniasis (VL). VL is the more severe of the two and, if untreated, may become fatal. The hallmark of VL is the formation of granuloma in the liver or the spleen. In this paper, we develop a mathematical model of the evolution of granuloma in the liver. The model is represented by a system of partial differential equations and it includes migration of cells from the adaptive immune system into the granuloma; the rate of the influx is determined by the strength of the immune response of the infected individual. It is shown that parasite load decreases as the strength of the immune system increases. Furthermore, the efficacy of a commonly used drug, which increases T cells proliferation, increases in an individual with stronger immune response. The model also provides an explanation why, in contrast to humans, mice recover naturally from VL in the liver.","DOI":"10.1016/j.jtbi.2016.10.004","ISSN":"1095-8541","note":"PMID: 27769685","shortTitle":"Granuloma formation in leishmaniasis","journalAbbreviation":"J. Theor. Biol.","language":"eng","author":[{"family":"Siewe","given":"Nourridine"},{"family":"Yakubu","given":"Abdul-Aziz"},{"family":"Satoskar","given":"Abhay R."},{"family":"Friedman","given":"Avner"}],"issued":{"date-parts":[["2017",1,7]]}}}],"schema":"https://github.com/citation-style-language/schema/raw/master/csl-citation.json"} </w:instrText>
      </w:r>
      <w:r w:rsidRPr="008B3AD6">
        <w:fldChar w:fldCharType="separate"/>
      </w:r>
      <w:r w:rsidR="00025067" w:rsidRPr="00025067">
        <w:rPr>
          <w:lang w:val="en-US"/>
        </w:rPr>
        <w:t>(Siewe et al. 2017)</w:t>
      </w:r>
      <w:r w:rsidRPr="008B3AD6">
        <w:fldChar w:fldCharType="end"/>
      </w:r>
      <w:r w:rsidRPr="008B3AD6">
        <w:t xml:space="preserve"> following from </w:t>
      </w:r>
      <w:r w:rsidRPr="008B3AD6">
        <w:rPr>
          <w:i/>
        </w:rPr>
        <w:t>Leishmania</w:t>
      </w:r>
      <w:r w:rsidRPr="008B3AD6">
        <w:t xml:space="preserve"> infection. Modelling the immune response, they captured various entities including T cells, dendritic cell and macrophages with a generalised representation of </w:t>
      </w:r>
      <w:r w:rsidRPr="002A4AC5">
        <w:rPr>
          <w:i/>
        </w:rPr>
        <w:t>Leishmania</w:t>
      </w:r>
      <w:r w:rsidRPr="008B3AD6">
        <w:t xml:space="preserve"> parasites, without a specific species referenced. This model was extended to further describe granuloma formation dependent on various cell flux. Länger and colleagues described the parasite load during infection in respect to lymphocyte proliferation and the levels of generated IgG1 and IgG2a antibodies using a mathematical model of BALB/c mice infected with </w:t>
      </w:r>
      <w:r w:rsidRPr="008B3AD6">
        <w:rPr>
          <w:i/>
        </w:rPr>
        <w:t>L. amazonensis</w:t>
      </w:r>
      <w:r w:rsidRPr="008B3AD6">
        <w:t xml:space="preserve"> </w:t>
      </w:r>
      <w:r w:rsidRPr="008B3AD6">
        <w:fldChar w:fldCharType="begin"/>
      </w:r>
      <w:r w:rsidR="00025067">
        <w:instrText xml:space="preserve"> ADDIN ZOTERO_ITEM CSL_CITATION {"citationID":"FOFVRFih","properties":{"formattedCitation":"(L\\uc0\\u228{}nger et al. 2012)","plainCitation":"(Länger et al. 2012)","noteIndex":0},"citationItems":[{"id":2602,"uris":["http://zotero.org/users/2628971/items/SXS7SIVJ"],"uri":["http://zotero.org/users/2628971/items/SXS7SIVJ"],"itemData":{"id":2602,"type":"article-journal","title":"Modeling of leishmaniasis infection dynamics: novel application to the design of effective therapies","container-title":"BMC Systems Biology","page":"1","volume":"6","source":"BioMed Central","abstract":"The WHO considers leishmaniasis as one of the six most important tropical diseases worldwide. It is caused by parasites of the genus Leishmania that are passed on to humans and animals by the phlebotomine sandfly. Despite all of the research, there is still a lack of understanding on the metabolism of the parasite and the progression of the disease. In this study, a mathematical model of disease progression was developed based on experimental data of clinical symptoms, immunological responses, and parasite load for Leishmania amazonensis in BALB/c mice.","DOI":"10.1186/1752-0509-6-1","ISSN":"1752-0509","shortTitle":"Modeling of leishmaniasis infection dynamics","journalAbbreviation":"BMC Systems Biology","author":[{"family":"Länger","given":"Bettina M."},{"family":"Pou-Barreto","given":"Cristina"},{"family":"González-Alcón","given":"Carlos"},{"family":"Valladares","given":"Basilio"},{"family":"Wimmer","given":"Bettina"},{"family":"Torres","given":"Néstor V."}],"issued":{"date-parts":[["2012",1,5]]}}}],"schema":"https://github.com/citation-style-language/schema/raw/master/csl-citation.json"} </w:instrText>
      </w:r>
      <w:r w:rsidRPr="008B3AD6">
        <w:fldChar w:fldCharType="separate"/>
      </w:r>
      <w:r w:rsidR="00025067" w:rsidRPr="00025067">
        <w:rPr>
          <w:lang w:val="en-US"/>
        </w:rPr>
        <w:t>(Länger et al. 2012)</w:t>
      </w:r>
      <w:r w:rsidRPr="008B3AD6">
        <w:fldChar w:fldCharType="end"/>
      </w:r>
      <w:r w:rsidRPr="008B3AD6">
        <w:t xml:space="preserve">, identifying increasing the lymphocyte proliferative levels as an area for therapeutic investigation. Taking a different approach, a cellular automata/lattice gas model modelling the effect of adenosine on T helper cell activation was utilised to described </w:t>
      </w:r>
      <w:r w:rsidRPr="008B3AD6">
        <w:rPr>
          <w:i/>
        </w:rPr>
        <w:t>L. major</w:t>
      </w:r>
      <w:r w:rsidRPr="008B3AD6">
        <w:t xml:space="preserve"> infection in C57BL/6 mice; Use of this cellular automata showed T helper cell inhibition by adenosine reduced lesion sizes whilst negatively affecting infection resolution </w:t>
      </w:r>
      <w:r w:rsidRPr="008B3AD6">
        <w:fldChar w:fldCharType="begin"/>
      </w:r>
      <w:r w:rsidR="00025067">
        <w:instrText xml:space="preserve"> ADDIN ZOTERO_ITEM CSL_CITATION {"citationID":"5M9MjzIc","properties":{"formattedCitation":"(Ribeiro et al. 2017)","plainCitation":"(Ribeiro et al. 2017)","noteIndex":0},"citationItems":[{"id":2619,"uris":["http://zotero.org/users/2628971/items/YRG6BW9K"],"uri":["http://zotero.org/users/2628971/items/YRG6BW9K"],"itemData":{"id":2619,"type":"article-journal","title":"Modeling Immune Response to Leishmania Species Indicates Adenosine As an Important Inhibitor of Th-Cell Activation","container-title":"Frontiers in Cellular and Infection Microbiology","page":"309","volume":"7","source":"PubMed","abstract":"Infection by Leishmania protozoan parasites can cause a variety of disease outcomes in humans and other mammals, from single self-healing cutaneous lesions to a visceral dissemination of the parasite. The correlation between chronic lesions and ecto-nucleotidase enzymes activity on the surface of the parasite is addressed here using damage caused in epithelial cells by nitric oxide. In order to explore the role of purinergic metabolism in lesion formation and the outcome of the infection, we implemented a cellular automata/lattice gas model involving major immune characters (Th1 and Th2 cells, IFN-γ, IL-4, IL-12, adenosine-Ado-, NO) and parasite players for the dynamic analysis of the disease progress. The model were analyzed using partial ranking correlation coefficient (PRCC) to indicate the components that most influence the disease progression. Results show that low Ado inhibition rate over Th-cells is shared by L. major and L. braziliensis, while in L. amazonensis infection the Ado inhibition rate over Th-cells reaches 30%. IL-4 inhibition rate over Th-cell priming to Th1 independent of IL-12 are exclusive of L. major. The lesion size and progression showed agreement with published biological data and the model was able to simulate cutaneous leishmaniasis outcomes. The sensitivity analysis suggested that Ado inhibition rate over Th-cells followed by Leishmania survival probability were the most important characteristics of the process, with PRCC of 0.89 and 0.77 respectively. The simulations also showed a non-linear relationship between Ado inhibition rate over Th-cells and lesion size measured as number of dead epithelial cells. In conclusion, this model can be a useful tool for the quantitative understanding of the immune response in leishmaniasis.","DOI":"10.3389/fcimb.2017.00309","ISSN":"2235-2988","note":"PMID: 28775959\nPMCID: PMC5517480","journalAbbreviation":"Front Cell Infect Microbiol","language":"eng","author":[{"family":"Ribeiro","given":"Henrique A. L."},{"family":"Maioli","given":"Tatiani U."},{"family":"Freitas","given":"Leandro M.","non-dropping-particle":"de"},{"family":"Tieri","given":"Paolo"},{"family":"Castiglione","given":"Filippo"}],"issued":{"date-parts":[["2017"]]}}}],"schema":"https://github.com/citation-style-language/schema/raw/master/csl-citation.json"} </w:instrText>
      </w:r>
      <w:r w:rsidRPr="008B3AD6">
        <w:fldChar w:fldCharType="separate"/>
      </w:r>
      <w:r w:rsidR="00025067" w:rsidRPr="00025067">
        <w:rPr>
          <w:lang w:val="en-US"/>
        </w:rPr>
        <w:t>(Ribeiro et al. 2017)</w:t>
      </w:r>
      <w:r w:rsidRPr="008B3AD6">
        <w:fldChar w:fldCharType="end"/>
      </w:r>
      <w:r w:rsidRPr="008B3AD6">
        <w:t xml:space="preserve">. Additional models have further been introduced with a focus on granulomatous formation and inflammation </w:t>
      </w:r>
      <w:r w:rsidRPr="008B3AD6">
        <w:fldChar w:fldCharType="begin"/>
      </w:r>
      <w:r w:rsidR="00025067">
        <w:instrText xml:space="preserve"> ADDIN ZOTERO_ITEM CSL_CITATION {"citationID":"B9wWYfek","properties":{"formattedCitation":"(Flugge et al. 2009; Albergante et al. 2013; Moyo et al. 2018)","plainCitation":"(Flugge et al. 2009; Albergante et al. 2013; Moyo et al. 2018)","noteIndex":0},"citationItems":[{"id":303,"uris":["http://zotero.org/users/2628971/items/I4Q6N5IX"],"uri":["http://zotero.org/users/2628971/items/I4Q6N5IX"],"itemData":{"id":303,"type":"paper-conference","title":"Modelling and simulation of granuloma formation in visceral leishmaniasis","container-title":"IEEE Congress on Evolutionary Computation, 2009. CEC '09","page":"3052-3059","source":"IEEE Xplore","event":"IEEE Congress on Evolutionary Computation, 2009. CEC '09","abstract":"Visceral leishmaniasis is a parasitic disease that is usually fatal if untreated. Host resistance is thought to involve the accumulation of inflammatory cells into structures called granulomas. To date, the possible processes underlying granuloma formation are not fully understood. The importance of modelling in immunology is increasing particularly for dynamic processes that are hard to study in vivo over extended periods of time. Appropriate modelling can provide novel insights that might help deepen the understanding of phenomena and/or help guide experimental work. This paper discusses initial studies on the regulation of granuloma using a combination of UML like modelling and agent based simulation.","DOI":"10.1109/CEC.2009.4983329","author":[{"family":"Flugge","given":"A.J."},{"family":"Timmis","given":"J."},{"family":"Andrews","given":"P."},{"family":"Moore","given":"J."},{"family":"Kaye","given":"P."}],"issued":{"date-parts":[["2009",5]]}}},{"id":2607,"uris":["http://zotero.org/users/2628971/items/V9Q4NYEZ"],"uri":["http://zotero.org/users/2628971/items/V9Q4NYEZ"],"itemData":{"id":2607,"type":"article-journal","title":"A Petri net model of granulomatous inflammation: implications for IL-10 mediated control of Leishmania donovani infection","container-title":"PLoS computational biology","page":"e1003334","volume":"9","issue":"11","source":"PubMed","abstract":"Experimental visceral leishmaniasis, caused by infection of mice with the protozoan parasite Leishmania donovani, is characterized by focal accumulation of inflammatory cells in the liver, forming discrete \"granulomas\" within which the parasite is eventually eliminated. To shed new light on fundamental aspects of granuloma formation and function, we have developed an in silico Petri net model that simulates hepatic granuloma development throughout the course of infection. The model was extensively validated by comparison with data derived from experimental studies in mice, and the model robustness was assessed by a sensitivity analysis. The model recapitulated the progression of disease as seen during experimental infection and also faithfully predicted many of the changes in cellular composition seen within granulomas over time. By conducting in silico experiments, we have identified a previously unappreciated level of inter-granuloma diversity in terms of the development of anti-leishmanial activity. Furthermore, by simulating the impact of IL-10 gene deficiency in a variety of lymphocyte and myeloid cell populations, our data suggest a dominant local regulatory role for IL-10 produced by infected Kupffer cells at the core of the granuloma.","DOI":"10.1371/journal.pcbi.1003334","ISSN":"1553-7358","note":"PMID: 24363630\nPMCID: PMC3867212","shortTitle":"A Petri net model of granulomatous inflammation","journalAbbreviation":"PLoS Comput. Biol.","language":"eng","author":[{"family":"Albergante","given":"Luca"},{"family":"Timmis","given":"Jon"},{"family":"Beattie","given":"Lynette"},{"family":"Kaye","given":"Paul M."}],"issued":{"date-parts":[["2013"]]}}},{"id":2567,"uris":["http://zotero.org/users/2628971/items/BATTH2JT"],"uri":["http://zotero.org/users/2628971/items/BATTH2JT"],"itemData":{"id":2567,"type":"article-journal","title":"Macrophage Transactivation for Chemokine Production Identified as a Negative Regulator of Granulomatous Inflammation Using Agent-Based Modeling","container-title":"Frontiers in Immunology","volume":"9","source":"PubMed Central","abstract":"Cellular activation in trans by interferons, cytokines, and chemokines is a commonly recognized mechanism to amplify immune effector function and limit pathogen spread. However, an optimal host response also requires that collateral damage associated with inflammation is limited. This may be particularly so in the case of granulomatous inflammation, where an excessive number and/or excessively florid granulomas can have significant pathological consequences. Here, we have combined transcriptomics, agent-based modeling, and in vivo experimental approaches to study constraints on hepatic granuloma formation in a murine model of experimental leishmaniasis. We demonstrate that chemokine production by non-infected Kupffer cells in the Leishmania donovani-infected liver promotes competition with infected KCs for available iNKT cells, ultimately inhibiting the extent of granulomatous inflammation. We propose trans-activation for chemokine production as a novel broadly applicable mechanism that may operate early in infection to limit excessive focal inflammation.","URL":"https://www.ncbi.nlm.nih.gov/pmc/articles/PMC5880939/","DOI":"10.3389/fimmu.2018.00637","ISSN":"1664-3224","note":"PMID: 29636754\nPMCID: PMC5880939","journalAbbreviation":"Front Immunol","author":[{"family":"Moyo","given":"Daniel"},{"family":"Beattie","given":"Lynette"},{"family":"Andrews","given":"Paul S."},{"family":"Moore","given":"John W. J."},{"family":"Timmis","given":"Jon"},{"family":"Sawtell","given":"Amy"},{"family":"Hoehme","given":"Stefan"},{"family":"Sampson","given":"Adam T."},{"family":"Kaye","given":"Paul M."}],"issued":{"date-parts":[["2018",3,27]]},"accessed":{"date-parts":[["2018",6,14]]}}}],"schema":"https://github.com/citation-style-language/schema/raw/master/csl-citation.json"} </w:instrText>
      </w:r>
      <w:r w:rsidRPr="008B3AD6">
        <w:fldChar w:fldCharType="separate"/>
      </w:r>
      <w:r w:rsidR="00025067" w:rsidRPr="00025067">
        <w:rPr>
          <w:lang w:val="en-US"/>
        </w:rPr>
        <w:t>(Flugge et al. 2009; Albergante et al. 2013; Moyo et al. 2018)</w:t>
      </w:r>
      <w:r w:rsidRPr="008B3AD6">
        <w:fldChar w:fldCharType="end"/>
      </w:r>
      <w:r w:rsidRPr="008B3AD6">
        <w:t xml:space="preserve"> for </w:t>
      </w:r>
      <w:r w:rsidR="002A4AC5">
        <w:t>VL</w:t>
      </w:r>
      <w:r w:rsidRPr="008B3AD6">
        <w:t xml:space="preserve">. These models have been utilised to investigate multiple competing hypotheses of biological processes, the impact of immunodeficiency during </w:t>
      </w:r>
      <w:r w:rsidRPr="008B3AD6">
        <w:lastRenderedPageBreak/>
        <w:t xml:space="preserve">infection and the effect of cytokine signalling on local immune activation. All of the above models have taken differing computational or mathematical formats in their investigations of leishmaniasis, important concepts in the construction of </w:t>
      </w:r>
      <w:r w:rsidR="002A4AC5">
        <w:rPr>
          <w:i/>
        </w:rPr>
        <w:t>in silico</w:t>
      </w:r>
      <w:r w:rsidRPr="008B3AD6">
        <w:t xml:space="preserve"> models are introduced below.</w:t>
      </w:r>
    </w:p>
    <w:p w14:paraId="28AB6552" w14:textId="77777777" w:rsidR="00842966" w:rsidRPr="008B3AD6" w:rsidRDefault="00842966" w:rsidP="00842966">
      <w:pPr>
        <w:spacing w:line="360" w:lineRule="auto"/>
        <w:jc w:val="both"/>
      </w:pPr>
    </w:p>
    <w:p w14:paraId="57A1D898" w14:textId="58B7E5E3" w:rsidR="00AB3115" w:rsidRPr="008B3AD6" w:rsidRDefault="002A4AC5" w:rsidP="004D3811">
      <w:pPr>
        <w:pStyle w:val="Heading2"/>
        <w:jc w:val="both"/>
      </w:pPr>
      <w:bookmarkStart w:id="66" w:name="_Toc3716055"/>
      <w:r>
        <w:rPr>
          <w:i/>
        </w:rPr>
        <w:t xml:space="preserve">In silico </w:t>
      </w:r>
      <w:r w:rsidR="00AB3115" w:rsidRPr="008B3AD6">
        <w:t xml:space="preserve">Modelling </w:t>
      </w:r>
      <w:r>
        <w:t xml:space="preserve">of </w:t>
      </w:r>
      <w:r w:rsidR="00AB3115" w:rsidRPr="008B3AD6">
        <w:t>Biological Systems</w:t>
      </w:r>
      <w:bookmarkEnd w:id="66"/>
    </w:p>
    <w:p w14:paraId="76FF135C" w14:textId="7620EBBD" w:rsidR="00AB3115" w:rsidRPr="008B3AD6" w:rsidRDefault="002A4AC5" w:rsidP="004D3811">
      <w:pPr>
        <w:pStyle w:val="Heading3"/>
        <w:jc w:val="both"/>
      </w:pPr>
      <w:bookmarkStart w:id="67" w:name="_Toc3716056"/>
      <w:r>
        <w:rPr>
          <w:i/>
        </w:rPr>
        <w:t xml:space="preserve">In </w:t>
      </w:r>
      <w:r w:rsidRPr="002A4AC5">
        <w:rPr>
          <w:i/>
        </w:rPr>
        <w:t>silico</w:t>
      </w:r>
      <w:r>
        <w:t xml:space="preserve"> </w:t>
      </w:r>
      <w:r w:rsidR="00AB3115" w:rsidRPr="002A4AC5">
        <w:t>Modelling</w:t>
      </w:r>
      <w:r w:rsidR="00AB3115" w:rsidRPr="008B3AD6">
        <w:t xml:space="preserve"> Approaches</w:t>
      </w:r>
      <w:bookmarkEnd w:id="67"/>
    </w:p>
    <w:p w14:paraId="51C9A509" w14:textId="14454CC4" w:rsidR="00A90F1E" w:rsidRPr="008B3AD6" w:rsidRDefault="009F3A0D" w:rsidP="004D3811">
      <w:pPr>
        <w:spacing w:line="360" w:lineRule="auto"/>
        <w:jc w:val="both"/>
      </w:pPr>
      <w:r w:rsidRPr="008B3AD6">
        <w:t xml:space="preserve">Mathematical models are a common approach to </w:t>
      </w:r>
      <w:r w:rsidR="002A4AC5">
        <w:rPr>
          <w:i/>
        </w:rPr>
        <w:t xml:space="preserve">in </w:t>
      </w:r>
      <w:r w:rsidR="002A4AC5" w:rsidRPr="002A4AC5">
        <w:rPr>
          <w:i/>
        </w:rPr>
        <w:t>silico</w:t>
      </w:r>
      <w:r w:rsidR="002A4AC5">
        <w:t xml:space="preserve"> </w:t>
      </w:r>
      <w:r w:rsidRPr="002A4AC5">
        <w:t>modelling</w:t>
      </w:r>
      <w:r w:rsidRPr="008B3AD6">
        <w:t xml:space="preserve"> </w:t>
      </w:r>
      <w:r w:rsidR="002A4AC5">
        <w:t xml:space="preserve">of </w:t>
      </w:r>
      <w:r w:rsidRPr="008B3AD6">
        <w:t xml:space="preserve">biological systems. </w:t>
      </w:r>
      <w:r w:rsidR="002A09F5" w:rsidRPr="008B3AD6">
        <w:t xml:space="preserve">Broadly speaking they can be divided into Ordinary Differential Equations (ODEs) and Partial Differential Equations (PDEs). </w:t>
      </w:r>
      <w:r w:rsidR="00670C71" w:rsidRPr="008B3AD6">
        <w:t xml:space="preserve">Recently, computational approaches, such as </w:t>
      </w:r>
      <w:r w:rsidR="00000EC4" w:rsidRPr="008B3AD6">
        <w:t>agent-based</w:t>
      </w:r>
      <w:r w:rsidR="00670C71" w:rsidRPr="008B3AD6">
        <w:t xml:space="preserve"> modelling, have been more prevalent coinciding with an increase in achievable computational power and development of novel computational techniques, such as machine learning.</w:t>
      </w:r>
    </w:p>
    <w:p w14:paraId="3EB7F7C5" w14:textId="7C7981CF" w:rsidR="00A90F1E" w:rsidRPr="008B3AD6" w:rsidRDefault="00A90F1E" w:rsidP="004D3811">
      <w:pPr>
        <w:spacing w:line="360" w:lineRule="auto"/>
        <w:jc w:val="both"/>
      </w:pPr>
    </w:p>
    <w:p w14:paraId="5C75E493" w14:textId="464AA3BA" w:rsidR="00216DBD" w:rsidRPr="008B3AD6" w:rsidRDefault="00216DBD" w:rsidP="004D3811">
      <w:pPr>
        <w:pStyle w:val="Heading4"/>
        <w:jc w:val="both"/>
      </w:pPr>
      <w:bookmarkStart w:id="68" w:name="_Toc3716057"/>
      <w:r w:rsidRPr="008B3AD6">
        <w:t>Ordinary (ODE) and Partial (PDE) differential equations</w:t>
      </w:r>
      <w:bookmarkEnd w:id="68"/>
    </w:p>
    <w:p w14:paraId="20DC7607" w14:textId="64B74877" w:rsidR="009F3A0D" w:rsidRPr="008B3AD6" w:rsidRDefault="002A09F5" w:rsidP="004D3811">
      <w:pPr>
        <w:spacing w:line="360" w:lineRule="auto"/>
        <w:jc w:val="both"/>
      </w:pPr>
      <w:r w:rsidRPr="008B3AD6">
        <w:t>ODEs a</w:t>
      </w:r>
      <w:r w:rsidR="00A90F1E" w:rsidRPr="008B3AD6">
        <w:t>re</w:t>
      </w:r>
      <w:r w:rsidRPr="008B3AD6">
        <w:t xml:space="preserve"> collection</w:t>
      </w:r>
      <w:r w:rsidR="00A90F1E" w:rsidRPr="008B3AD6">
        <w:t>s</w:t>
      </w:r>
      <w:r w:rsidRPr="008B3AD6">
        <w:t xml:space="preserve"> of equations that capture the rate of change of entities (usually with respect to time) </w:t>
      </w:r>
      <w:r w:rsidR="00A90F1E" w:rsidRPr="008B3AD6">
        <w:t xml:space="preserve">and </w:t>
      </w:r>
      <w:r w:rsidRPr="008B3AD6">
        <w:t xml:space="preserve">are used to simulate </w:t>
      </w:r>
      <w:r w:rsidR="00A90F1E" w:rsidRPr="008B3AD6">
        <w:t>population level</w:t>
      </w:r>
      <w:r w:rsidRPr="008B3AD6">
        <w:t xml:space="preserve"> behaviours. These equations contain mathematical terms which are translations of biological processes, </w:t>
      </w:r>
      <w:r w:rsidR="002A4AC5">
        <w:t>which</w:t>
      </w:r>
      <w:r w:rsidRPr="008B3AD6">
        <w:t xml:space="preserve"> are either abstractions or simplifications. </w:t>
      </w:r>
      <w:r w:rsidR="00D944C3" w:rsidRPr="008B3AD6">
        <w:t>ODEs</w:t>
      </w:r>
      <w:r w:rsidRPr="008B3AD6">
        <w:t xml:space="preserve"> model each population as </w:t>
      </w:r>
      <w:r w:rsidR="00D944C3" w:rsidRPr="008B3AD6">
        <w:t xml:space="preserve">homogenous entities, whereby every member of the population can carry out the same activities at the same rate, and the captured results are reflective of total population level behaviours. These models have been widely implemented in both immunological investigations, such as predicting the viral load of </w:t>
      </w:r>
      <w:r w:rsidR="00E33764">
        <w:t>HIV</w:t>
      </w:r>
      <w:r w:rsidR="00D944C3" w:rsidRPr="008B3AD6">
        <w:t xml:space="preserve"> after exposure </w:t>
      </w:r>
      <w:r w:rsidR="005D4320" w:rsidRPr="008B3AD6">
        <w:fldChar w:fldCharType="begin"/>
      </w:r>
      <w:r w:rsidR="00025067">
        <w:instrText xml:space="preserve"> ADDIN ZOTERO_ITEM CSL_CITATION {"citationID":"aRdTd1Wm","properties":{"formattedCitation":"(A. S. Perelson, Kirschner, and De Boer 1993a; Ho et al. 1995; R. J. De Boer and Perelson 1998; Martcheva and Li 2013; M. Shen, Xiao, and Rong 2015)","plainCitation":"(A. S. Perelson, Kirschner, and De Boer 1993a; Ho et al. 1995; R. J. De Boer and Perelson 1998; Martcheva and Li 2013; M. Shen, Xiao, and Rong 2015)","noteIndex":0},"citationItems":[{"id":2747,"uris":["http://zotero.org/users/2628971/items/5VH86N64"],"uri":["http://zotero.org/users/2628971/items/5VH86N64"],"itemData":{"id":2747,"type":"article-journal","title":"Dynamics of HIV infection of CD4+ T cells","container-title":"Mathematical Biosciences","page":"81-125","volume":"114","issue":"1","source":"PubMed","abstract":"We examine a model for the interaction of HIV with CD4+ T cells that considers four populations: uninfected T cells, latently infected T cells, actively infected T cells, and free virus. Using this model we show that many of the puzzling quantitative features of HIV infection can be explained simply. We also consider effects of AZT on viral growth and T-cell population dynamics. The model exhibits two steady states, an uninfected state in which no virus is present and an endemically infected state, in which virus and infected T cells are present. We show that if N, the number of infectious virions produced per actively infected T cell, is less a critical value, Ncrit, then the uninfected state is the only steady state in the nonnegative orthant, and this state is stable. For N &gt; Ncrit, the uninfected state is unstable, and the endemically infected state can be either stable, or unstable and surrounded by a stable limit cycle. Using numerical bifurcation techniques we map out the parameter regimes of these various behaviors. oscillatory behavior seems to lie outside the region of biologically realistic parameter values. When the endemically infected state is stable, it is characterized by a reduced number of T cells compared with the uninfected state. Thus T-cell depletion occurs through the establishment of a new steady state. The dynamics of the establishment of this new steady state are examined both numerically and via the quasi-steady-state approximation. We develop approximations for the dynamics at early times in which the free virus rapidly binds to T cells, during an intermediate time scale in which the virus grows exponentially, and a third time scale on which viral growth slows and the endemically infected steady state is approached. Using the quasi-steady-state approximation the model can be simplified to two ordinary differential equations the summarize much of the dynamical behavior. We compute the level of T cells in the endemically infected state and show how that level varies with the parameters in the model. The model predicts that different viral strains, characterized by generating differing numbers of infective virions within infected T cells, can cause different amounts of T-cell depletion and generate depletion at different rates. Two versions of the model are studied. In one the source of T cells from precursors is constant, whereas in the other the source of T cells decreases with viral load, mimicking the infection and killing of T-cell precursors.(ABSTRACT TRUNCATED AT 400 WORDS)","ISSN":"0025-5564","note":"PMID: 8096155","journalAbbreviation":"Math Biosci","language":"eng","author":[{"family":"Perelson","given":"A. S."},{"family":"Kirschner","given":"D. E."},{"family":"De Boer","given":"R."}],"issued":{"date-parts":[["1993",3]]}}},{"id":3406,"uris":["http://zotero.org/users/2628971/items/9HQU2XIK"],"uri":["http://zotero.org/users/2628971/items/9HQU2XIK"],"itemData":{"id":3406,"type":"article-journal","title":"Rapid turnover of plasma virions and CD4 lymphocytes in HIV-1 infection","container-title":"Nature","page":"123-126","volume":"373","issue":"6510","source":"www.nature.com","abstract":"Treatment of infected patients with ABT-538, an inhibitor of the protease of human immuno-deficiency virus type 1 (HIV-1), causes plasma HIV-1 levels to decrease exponentially (mean half-life, 2.1 Â±0.4 days) and CD4 lymphocyte counts to rise substantially. Minimum estimates of HIV-1 production and clearance and of CD4 lymphocyte turnover indicate that replication of HIV-1 in vivo is continuous and highly productive, driving the rapid turnover of CD4 lymphocytes.","DOI":"10.1038/373123a0","ISSN":"1476-4687","language":"en","author":[{"family":"Ho","given":"David D."},{"family":"Neumann","given":"Avidan U."},{"family":"Perelson","given":"Alan S."},{"family":"Chen","given":"Wen"},{"family":"Leonard","given":"John M."},{"family":"Markowitz","given":"Martin"}],"issued":{"date-parts":[["1995",1]]}}},{"id":3408,"uris":["http://zotero.org/users/2628971/items/BXAGHL9N"],"uri":["http://zotero.org/users/2628971/items/BXAGHL9N"],"itemData":{"id":3408,"type":"article-journal","title":"Target Cell Limited and Immune Control Models of HIV Infection: A Comparison","container-title":"Journal of Theoretical Biology","page":"201-214","volume":"190","issue":"3","source":"ScienceDirect","abstract":"We develop various mathematical models of the clinical latency stage of HIV-1 infection assuming that HIV-1 infection is limited either by the availability of cells that HIV can infect or by a specific anti-HIV cellular immune response. The former models we call “target-cell-limited”. Comparing the models by phase plane analysis we find that they all belong to the class of predator-prey models. In the target-cell limited models the virus is a predator feeding upon target cell prey, while in the immune-control models the virus is a prey that is controlled by an immune response predator. Because both classes of models are of predator-prey type they behave similarly in most circumstances. We find that both types of model can account for the generic picture of disease progression in which the CD4 T cell count slowly decreases and the viral load slowly increases. Additionally, we find that both types of models can adequately describe the clinically observed changes in the plasma HIV-1 RNA loads in response to retroviral therapies.","DOI":"10.1006/jtbi.1997.0548","ISSN":"0022-5193","shortTitle":"Target Cell Limited and Immune Control Models of HIV Infection","journalAbbreviation":"Journal of Theoretical Biology","author":[{"family":"De Boer","given":"R. J."},{"family":"Perelson","given":"A. S."}],"issued":{"date-parts":[["1998",2,7]]}}},{"id":3407,"uris":["http://zotero.org/users/2628971/items/5QCVJXM8"],"uri":["http://zotero.org/users/2628971/items/5QCVJXM8"],"itemData":{"id":3407,"type":"article-journal","title":"Linking immunological and epidemiological dynamics of HIV: the case of super-infection","container-title":"Journal of Biological Dynamics","page":"161-182","volume":"7","issue":"1","source":"Taylor and Francis+NEJM","abstract":"In this paper, a two-strain model that links immunological and epidemiological dynamics across scales is formulated. On the within-host scale, the two strains eliminate each other with the strain with the larger immunological reproduction persisting. However, on the population scale superinfection is possible, with the strain with larger immunological reproduction number super-infecting the strain with the smaller immunological reproduction number. The two models are linked through the age-since-infection structure of the epidemiological variables. In addition, the between-host transmission and the disease-induced death rate depend on the within-host viral load. The immunological reproduction numbers, the epidemiological reproduction numbers and invasion reproduction numbers are computed. Besides the disease-free equilibrium, there are two population-level strain one and strain two isolated equilibria, as well as a population-level coexistence equilibrium when both invasion reproduction numbers are greater than one. The single-strain population-level equilibria are locally asymptotically stable suggesting that in the absence of superinfection oscillations do not occur, a result contrasting previous studies of HIV age-since-infection structured models. Simulations suggest that the epidemiological reproduction number and HIV population prevalence are monotone functions of the within-host parameters with reciprocal trends. In particular, HIV medications that decrease within-host viral load also increase overall population prevalence. The effect of the immunological parameters on the population reproduction number and prevalence is more pronounced when the initial viral load is lower.","DOI":"10.1080/17513758.2013.820358","ISSN":"1751-3758","note":"PMID: 23895263","shortTitle":"Linking immunological and epidemiological dynamics of HIV","author":[{"family":"Martcheva","given":"Maia"},{"family":"Li","given":"Xue-Zhi"}],"issued":{"date-parts":[["2013",12,1]]}}},{"id":3409,"uris":["http://zotero.org/users/2628971/items/IZGW9UIT"],"uri":["http://zotero.org/users/2628971/items/IZGW9UIT"],"itemData":{"id":3409,"type":"article-journal","title":"Global stability of an infection-age structured HIV-1 model linking within-host and between-host dynamics","container-title":"Mathematical Biosciences","page":"37-50","volume":"263","source":"ScienceDirect","abstract":"Although much evidence shows the inseparable interaction between the within-host progression of HIV-1 infection and the transmission of the disease at the population level, few models coupling the within-host and between-host dynamics have been developed. In this paper, we adopt the nested approach, viewing the transmission rate at each stage (primary, chronic, and AIDS stage) of HIV-1 infection as a saturated function of the viral load, to formulate an infection-age structured epidemic model. We explicitly link the individual and the host population scale, and derive the basic reproduction number R0 for the coupled system. To analyze the model and perform a detailed global dynamics analysis, two Lyapunov functionals are constructed to prove the global asymptotical stability of the disease-free and endemic equilibria. Theoretical results indicate that R0 provides a threshold value determining whether or not the disease dies out. Numerical simulations are presented to quantitatively investigate the influence of the within-host viral dynamics on between-host transmission dynamics. The results suggest that increasing the effectiveness of inhibitors can decrease the basic reproduction number, but can also increase the overall infected population because of a lower disease-induced mortality rate and a longer lifespan of HIV infected individuals.","DOI":"10.1016/j.mbs.2015.02.003","ISSN":"0025-5564","journalAbbreviation":"Mathematical Biosciences","author":[{"family":"Shen","given":"Mingwang"},{"family":"Xiao","given":"Yanni"},{"family":"Rong","given":"Libin"}],"issued":{"date-parts":[["2015",5,1]]}}}],"schema":"https://github.com/citation-style-language/schema/raw/master/csl-citation.json"} </w:instrText>
      </w:r>
      <w:r w:rsidR="005D4320" w:rsidRPr="008B3AD6">
        <w:fldChar w:fldCharType="separate"/>
      </w:r>
      <w:r w:rsidR="00C80233">
        <w:rPr>
          <w:lang w:val="en-US"/>
        </w:rPr>
        <w:t>(Perels</w:t>
      </w:r>
      <w:r w:rsidR="00E5551E">
        <w:rPr>
          <w:lang w:val="en-US"/>
        </w:rPr>
        <w:t>on, Kirschner, and De Boer 1993</w:t>
      </w:r>
      <w:r w:rsidR="00C46DBF">
        <w:rPr>
          <w:lang w:val="en-US"/>
        </w:rPr>
        <w:t>; Ho et al. 1995;</w:t>
      </w:r>
      <w:r w:rsidR="00C80233">
        <w:rPr>
          <w:lang w:val="en-US"/>
        </w:rPr>
        <w:t xml:space="preserve"> De Boer and Perelson </w:t>
      </w:r>
      <w:r w:rsidR="00C46DBF">
        <w:rPr>
          <w:lang w:val="en-US"/>
        </w:rPr>
        <w:t xml:space="preserve">1998; Martcheva and Li 2013; </w:t>
      </w:r>
      <w:r w:rsidR="00C80233">
        <w:rPr>
          <w:lang w:val="en-US"/>
        </w:rPr>
        <w:t>Shen, Xiao, and Rong 2015)</w:t>
      </w:r>
      <w:r w:rsidR="005D4320" w:rsidRPr="008B3AD6">
        <w:fldChar w:fldCharType="end"/>
      </w:r>
      <w:r w:rsidR="00D944C3" w:rsidRPr="008B3AD6">
        <w:t>, and pharmacological investigations, such as descriptive models for the absorption, distribution, metabolism and excretion of drugs</w:t>
      </w:r>
      <w:r w:rsidR="00B66E15" w:rsidRPr="008B3AD6">
        <w:t xml:space="preserve"> </w:t>
      </w:r>
      <w:r w:rsidR="00B66E15" w:rsidRPr="008B3AD6">
        <w:fldChar w:fldCharType="begin"/>
      </w:r>
      <w:r w:rsidR="00025067">
        <w:instrText xml:space="preserve"> ADDIN ZOTERO_ITEM CSL_CITATION {"citationID":"tJ20Fk7c","properties":{"formattedCitation":"(Kagan et al. 2014a; Zhao et al. 2011; Campbell et al. 2016)","plainCitation":"(Kagan et al. 2014a; Zhao et al. 2011; Campbell et al. 2016)","noteIndex":0},"citationItems":[{"id":2375,"uris":["http://zotero.org/users/2628971/items/NFXI8A7J"],"uri":["http://zotero.org/users/2628971/items/NFXI8A7J"],"itemData":{"id":2375,"type":"article-journal","title":"Dual physiologically based pharmacokinetic model of liposomal and nonliposomal amphotericin B disposition","container-title":"Pharmaceutical Research","page":"35-45","volume":"31","issue":"1","source":"PubMed","abstract":"PURPOSE: To investigate the biodistribution of amphotericin B (AmB) in mice and rats following administration of liposomal AmB (AmBisome®) using a physiologically-based pharmacokinetic (PBPK) modeling framework and to utilize this approach for predicting AmBisome® pharmacokinetics in human tissues.\nMETHODS: AmB plasma and tissue concentration-time data, following single and multiple intravenous administration of nonliposomal and liposomal AmB to mice and rats, were extracted from literature. The whole-body PBPK model was constructed and incorporated nonliposomal and liposomal subcompartments. Various structural models for individual organs were evaluated. Allometric relationships were incorporated into the model to scale parameters based on species body weight.\nRESULTS: A non-Michaelis-Menten mechanism was included into the structure of the liver and spleen liposomal compartments to describe saturable uptake of particles by the reticuloendothelial system. The model successfully described plasma and tissue pharmacokinetics of AmB after administration of AmBisome® to rats and mice.\nCONCLUSIONS: The dual PBPK model demonstrated good predictive performance by reasonably simulating AmB exposure in human tissues. This modeling framework can be potentially utilized for optimizing AmBisome® therapy in humans and for investigating pathophysiological factors controlling AmB pharmacokinetics and pharmacodynamics.","DOI":"10.1007/s11095-013-1127-z","ISSN":"1573-904X","note":"PMID: 23793994","journalAbbreviation":"Pharm. Res.","language":"eng","author":[{"family":"Kagan","given":"Leonid"},{"family":"Gershkovich","given":"Pavel"},{"family":"Wasan","given":"Kishor M."},{"family":"Mager","given":"Donald E."}],"issued":{"date-parts":[["2014",1]]}}},{"id":2241,"uris":["http://zotero.org/users/2628971/items/GCBKZ4ZJ"],"uri":["http://zotero.org/users/2628971/items/GCBKZ4ZJ"],"itemData":{"id":2241,"type":"article-journal","title":"Applications of Physiologically Based Pharmacokinetic (PBPK) Modeling and Simulation During Regulatory Review","container-title":"Clinical Pharmacology &amp; Therapeutics","page":"259-267","volume":"89","issue":"2","source":"Wiley Online Library","abstract":"Physiologically based pharmacokinetic (PBPK) modeling and simulation is a tool that can help predict the pharmacokinetics of drugs in humans and evaluate the effects of intrinsic (e.g., organ dysfunction, age, genetics) and extrinsic (e.g., drug–drug interactions) factors, alone or in combinations, on drug exposure. The use of this tool is increasing at all stages of the drug development process. This report reviews recent instances of the use of PBPK in decision-making during regulatory review. The examples are based on Center for Drug Evaluation and Research reviews of several submissions for investigational new drugs (INDs) and new drug applications (NDAs) received between July 2008 and June 2010. The use of PBPK modeling and simulation facilitated the following types of decisions: the need to conduct specific clinical pharmacology studies, specific study designs, and appropriate labeling language. The report also discusses the challenges encountered when PBPK modeling and simulation were used in these cases and recommends approaches to facilitating full utilization of this tool. Clinical Pharmacology &amp; Therapeutics (2011) 89 2, 259–267. doi:10.1038/clpt.2010.298","DOI":"10.1038/clpt.2010.298","ISSN":"1532-6535","journalAbbreviation":"Clinical Pharmacology &amp; Therapeutics","language":"en","author":[{"family":"Zhao","given":"P"},{"family":"Zhang","given":"L"},{"family":"Grillo","given":"Ja"},{"family":"Liu","given":"Q"},{"family":"Bullock","given":"Jm"},{"family":"Moon","given":"Yj"},{"family":"Song","given":"P"},{"family":"Brar","given":"Ss"},{"family":"Madabushi","given":"R"},{"family":"Wu","given":"Tc"},{"family":"Booth","given":"Bp"},{"family":"Rahman","given":"Na"},{"family":"Reynolds","given":"Ks"},{"family":"Gil Berglund","given":"E"},{"family":"Lesko","given":"Lj"},{"family":"Huang","given":"S-M"}],"issued":{"date-parts":[["2011",2,1]]}}},{"id":2322,"uris":["http://zotero.org/users/2628971/items/VHHNVP7F"],"uri":["http://zotero.org/users/2628971/items/VHHNVP7F"],"itemData":{"id":2322,"type":"article-journal","title":"PBPK Model for Atrazine and Its Chlorotriazine Metabolites in Rat and Human","container-title":"Toxicological Sciences: An Official Journal of the Society of Toxicology","page":"441-453","volume":"150","issue":"2","source":"PubMed","abstract":"The previously-published physiologically based pharmacokinetic model for atrazine (ATZ), deisopropylatrazine (DIA), deethylatrazine (DEA), and diaminochlorotriazine (DACT), which collectively comprise the total chlorotriazines (TCT) as represented in this study, was modified to allow for scaling to humans. Changes included replacing the fixed dose-dependent oral uptake rates with a method that represented delayed absorption observed in rats administered ATZ as a bolus dose suspended in a methylcellulose vehicle. Rate constants for metabolism of ATZ to DIA and DEA, followed by metabolism of DIA and DEA to DACT were predicted using a compartmental model describing the metabolism of the chlorotriazines by rat and human hepatocytesin vitro Overall, the model successfully predicted both the 4-day plasma time-course data in rats administered ATZ by bolus dose (3, 10, and 50 mg/kg/day) or in the diet (30, 100, or 500 ppm). Simulated continuous daily exposure of a 55-kg adult female to ATZ at a dose of 1.0 µg/kg/day resulted in steady-state urinary concentrations of 0.6, 1.4, 2.5, and 6.0 µg/L for DEA, DIA, DACT, and TCT, respectively. The TCT (ATZ + DEA + DIA + DACT) human urinary biomonitoring equivalent concentration following continuous exposure to ATZ at the chronic point of departure (POD = 1.8 mg/kg/day) was 360.6 μg/L.","DOI":"10.1093/toxsci/kfw014","ISSN":"1096-0929","note":"PMID: 26794140\nPMCID: PMC4809456","journalAbbreviation":"Toxicol. Sci.","language":"eng","author":[{"family":"Campbell","given":"Jerry L."},{"family":"Andersen","given":"Melvin E."},{"family":"Hinderliter","given":"Paul M."},{"family":"Yi","given":"Kun Don"},{"family":"Pastoor","given":"Timothy P."},{"family":"Breckenridge","given":"Charles B."},{"family":"Clewell","given":"Harvey J."}],"issued":{"date-parts":[["2016",4]]}}}],"schema":"https://github.com/citation-style-language/schema/raw/master/csl-citation.json"} </w:instrText>
      </w:r>
      <w:r w:rsidR="00B66E15" w:rsidRPr="008B3AD6">
        <w:fldChar w:fldCharType="separate"/>
      </w:r>
      <w:r w:rsidR="00C46DBF">
        <w:rPr>
          <w:lang w:val="en-US"/>
        </w:rPr>
        <w:t>(Kagan et al. 2014</w:t>
      </w:r>
      <w:r w:rsidR="00C80233">
        <w:rPr>
          <w:lang w:val="en-US"/>
        </w:rPr>
        <w:t>; Zhao et al. 2011; Campbell et al. 2016)</w:t>
      </w:r>
      <w:r w:rsidR="00B66E15" w:rsidRPr="008B3AD6">
        <w:fldChar w:fldCharType="end"/>
      </w:r>
      <w:r w:rsidR="00D944C3" w:rsidRPr="008B3AD6">
        <w:t>, investigations.</w:t>
      </w:r>
    </w:p>
    <w:p w14:paraId="103B31AF" w14:textId="49EDCA89" w:rsidR="00D944C3" w:rsidRPr="008B3AD6" w:rsidRDefault="00D944C3" w:rsidP="004D3811">
      <w:pPr>
        <w:spacing w:line="360" w:lineRule="auto"/>
        <w:jc w:val="both"/>
      </w:pPr>
    </w:p>
    <w:p w14:paraId="111ECA59" w14:textId="0020C9DF" w:rsidR="00B83901" w:rsidRPr="008B3AD6" w:rsidRDefault="006723E9" w:rsidP="004D3811">
      <w:pPr>
        <w:spacing w:line="360" w:lineRule="auto"/>
        <w:jc w:val="both"/>
      </w:pPr>
      <w:r w:rsidRPr="008B3AD6">
        <w:t>ODE</w:t>
      </w:r>
      <w:r w:rsidR="009C5CC9" w:rsidRPr="008B3AD6">
        <w:t xml:space="preserve"> modelling has been utilised heavily in </w:t>
      </w:r>
      <w:r w:rsidR="00E33764">
        <w:t>HIV</w:t>
      </w:r>
      <w:r w:rsidR="006F674A" w:rsidRPr="008B3AD6">
        <w:t xml:space="preserve"> research and this area provides a good example </w:t>
      </w:r>
      <w:r w:rsidR="00BE122D" w:rsidRPr="008B3AD6">
        <w:t xml:space="preserve">for the application of this modelling approach. </w:t>
      </w:r>
      <w:r w:rsidR="00D8614F" w:rsidRPr="008B3AD6">
        <w:t xml:space="preserve">The classical model of HIV viral load dynamics </w:t>
      </w:r>
      <w:r w:rsidR="00B66E15" w:rsidRPr="008B3AD6">
        <w:fldChar w:fldCharType="begin"/>
      </w:r>
      <w:r w:rsidR="00025067">
        <w:instrText xml:space="preserve"> ADDIN ZOTERO_ITEM CSL_CITATION {"citationID":"jOcisieg","properties":{"formattedCitation":"(Alan S. Perelson and Nelson 1999)","plainCitation":"(Alan S. Perelson and Nelson 1999)","noteIndex":0},"citationItems":[{"id":3405,"uris":["http://zotero.org/users/2628971/items/FVE7B86D"],"uri":["http://zotero.org/users/2628971/items/FVE7B86D"],"itemData":{"id":3405,"type":"article-journal","title":"Mathematical Analysis of HIV-I: Dynamics in Vivo","container-title":"SIAM Review","page":"3-44","volume":"41","issue":"1","source":"JSTOR","abstract":"Mathematical models have proven valuable in understanding the dynamics of HIV-1 infection in vivo. By comparing these models to data obtained from patients undergoing antiretroviral drug therapy, it has been possible to determine many quantitative features of the interaction between HIV-1, the virus that causes AIDS, and the cells that are infected by the virus. The most dramatic finding has been that even though AIDS is a disease that occurs on a time scale of about 10 years, there are very rapid dynamical processes that occur on time scales of hours to days, as well as slower processes that occur on time scales of weeks to months. We show how dynamical modeling and parameter estimation techniques have uncovered these important features of HIV pathogenesis and impacted the way in which AIDS patients are treated with potent antiretroviral drugs.","ISSN":"0036-1445","shortTitle":"Mathematical Analysis of HIV-I","author":[{"family":"Perelson","given":"Alan S."},{"family":"Nelson","given":"Patrick W."}],"issued":{"date-parts":[["1999"]]}}}],"schema":"https://github.com/citation-style-language/schema/raw/master/csl-citation.json"} </w:instrText>
      </w:r>
      <w:r w:rsidR="00B66E15" w:rsidRPr="008B3AD6">
        <w:fldChar w:fldCharType="separate"/>
      </w:r>
      <w:r w:rsidR="00E5551E">
        <w:rPr>
          <w:lang w:val="en-US"/>
        </w:rPr>
        <w:t>(</w:t>
      </w:r>
      <w:r w:rsidR="00025067" w:rsidRPr="00025067">
        <w:rPr>
          <w:lang w:val="en-US"/>
        </w:rPr>
        <w:t>Perelson and Nelson 1999)</w:t>
      </w:r>
      <w:r w:rsidR="00B66E15" w:rsidRPr="008B3AD6">
        <w:fldChar w:fldCharType="end"/>
      </w:r>
      <w:r w:rsidR="00B66E15" w:rsidRPr="008B3AD6">
        <w:t xml:space="preserve"> </w:t>
      </w:r>
      <w:r w:rsidR="00E24F5C" w:rsidRPr="008B3AD6">
        <w:t xml:space="preserve">tracks the changes in uninfected and infected T cells and virion </w:t>
      </w:r>
      <w:r w:rsidR="00F00558" w:rsidRPr="008B3AD6">
        <w:t>particles and</w:t>
      </w:r>
      <w:r w:rsidR="00E24F5C" w:rsidRPr="008B3AD6">
        <w:t xml:space="preserve"> has been adapted in</w:t>
      </w:r>
      <w:r w:rsidR="00B66E15" w:rsidRPr="008B3AD6">
        <w:t xml:space="preserve"> various studies </w:t>
      </w:r>
      <w:r w:rsidR="00B66E15" w:rsidRPr="008B3AD6">
        <w:fldChar w:fldCharType="begin"/>
      </w:r>
      <w:r w:rsidR="00025067">
        <w:instrText xml:space="preserve"> ADDIN ZOTERO_ITEM CSL_CITATION {"citationID":"uqv5Mn8T","properties":{"formattedCitation":"(L. Shen, Rabi, and Siliciano 2009; Yeghiazarian, Cumberland, and Yang 2013; M. Shen, Xiao, and Rong 2015)","plainCitation":"(L. Shen, Rabi, and Siliciano 2009; Yeghiazarian, Cumberland, and Yang 2013; M. Shen, Xiao, and Rong 2015)","noteIndex":0},"citationItems":[{"id":153,"uris":["http://zotero.org/users/2628971/items/TSEJ3A7I"],"uri":["http://zotero.org/users/2628971/items/TSEJ3A7I"],"itemData":{"id":153,"type":"article-journal","title":"A novel method for determining the inhibitory potential of anti-HIV drugs","container-title":"Trends in Pharmacological Sciences","page":"610-616","volume":"30","issue":"12","source":"PubMed","abstract":"In the absence of cure, most HIV-1-infected individuals will require lifelong treatment. It is therefore essential to optimize highly active antiretroviral therapy. Recent research has shown that the slope parameter or Hill coefficient, which describes the steepness of a dose-response curve, is a critical missing dimension in the evaluation of the activity of antiviral drugs. Based on this finding, instantaneous inhibitory potential (IIP) has been derived as a new measure of antiviral drug activity. IIP incorporates the slope parameter and thus is a more accurate pharmacodynamic measure of antiviral activity than current measures such as IC(50) and inhibitory quotient. Determining how to use IIP to predict the in vivo efficacy of anti-HIV-1 drugs is nevertheless important. This article discusses recent advances in in vitro measures of antiviral activity and the therapeutic implications of the dose-response curve slope and IIP.","DOI":"10.1016/j.tips.2009.09.003","ISSN":"1873-3735","note":"PMID: 19837466\nPMCID: PMC3385974","journalAbbreviation":"Trends Pharmacol. Sci.","language":"eng","author":[{"family":"Shen","given":"Lin"},{"family":"Rabi","given":"S. Alireza"},{"family":"Siliciano","given":"Robert F."}],"issued":{"date-parts":[["2009",12]]}}},{"id":3404,"uris":["http://zotero.org/users/2628971/items/UAQ36Y7Q"],"uri":["http://zotero.org/users/2628971/items/UAQ36Y7Q"],"itemData":{"id":3404,"type":"article-journal","title":"A Stochastic Multi-Scale Model of HIV-1 Transmission for Decision-Making: Application to a MSM Population","container-title":"PLOS ONE","page":"e70578","volume":"8","issue":"11","source":"PLoS Journals","abstract":"BackgroundIn the absence of an effective vaccine against HIV-1, the scientific community is presented with the challenge of developing alternative methods to curb its spread. Due to the complexity of the disease, however, our ability to predict the impact of various prevention and treatment strategies is limited. While ART has been widely accepted as the gold standard of modern care, its timing is debated. ObjectivesTo evaluate the impact of medical interventions at the level of individuals on the spread of infection across the whole population. Specifically, we investigate the impact of ART initiation timing on HIV-1 spread in an MSM (Men who have Sex with Men) population. Design and MethodsA stochastic multi-scale model of HIV-1 transmission that integrates within a single framework the in-host cellular dynamics and their outcomes, patient health states, and sexual contact networks. The model captures disease state and progression within individuals, and allows for simulation of therapeutic strategies. ResultsEarly ART initiation may substantially affect disease spread through a population. ConclusionsOur model provides a multi-scale, systems-based approach to evaluate the broader implications of therapeutic strategies.","DOI":"10.1371/journal.pone.0070578","ISSN":"1932-6203","shortTitle":"A Stochastic Multi-Scale Model of HIV-1 Transmission for Decision-Making","journalAbbreviation":"PLOS ONE","language":"en","author":[{"family":"Yeghiazarian","given":"Lilit"},{"family":"Cumberland","given":"William G."},{"family":"Yang","given":"Otto O."}],"issued":{"date-parts":[["2013",11,26]]}}},{"id":3409,"uris":["http://zotero.org/users/2628971/items/IZGW9UIT"],"uri":["http://zotero.org/users/2628971/items/IZGW9UIT"],"itemData":{"id":3409,"type":"article-journal","title":"Global stability of an infection-age structured HIV-1 model linking within-host and between-host dynamics","container-title":"Mathematical Biosciences","page":"37-50","volume":"263","source":"ScienceDirect","abstract":"Although much evidence shows the inseparable interaction between the within-host progression of HIV-1 infection and the transmission of the disease at the population level, few models coupling the within-host and between-host dynamics have been developed. In this paper, we adopt the nested approach, viewing the transmission rate at each stage (primary, chronic, and AIDS stage) of HIV-1 infection as a saturated function of the viral load, to formulate an infection-age structured epidemic model. We explicitly link the individual and the host population scale, and derive the basic reproduction number R0 for the coupled system. To analyze the model and perform a detailed global dynamics analysis, two Lyapunov functionals are constructed to prove the global asymptotical stability of the disease-free and endemic equilibria. Theoretical results indicate that R0 provides a threshold value determining whether or not the disease dies out. Numerical simulations are presented to quantitatively investigate the influence of the within-host viral dynamics on between-host transmission dynamics. The results suggest that increasing the effectiveness of inhibitors can decrease the basic reproduction number, but can also increase the overall infected population because of a lower disease-induced mortality rate and a longer lifespan of HIV infected individuals.","DOI":"10.1016/j.mbs.2015.02.003","ISSN":"0025-5564","journalAbbreviation":"Mathematical Biosciences","author":[{"family":"Shen","given":"Mingwang"},{"family":"Xiao","given":"Yanni"},{"family":"Rong","given":"Libin"}],"issued":{"date-parts":[["2015",5,1]]}}}],"schema":"https://github.com/citation-style-language/schema/raw/master/csl-citation.json"} </w:instrText>
      </w:r>
      <w:r w:rsidR="00B66E15" w:rsidRPr="008B3AD6">
        <w:fldChar w:fldCharType="separate"/>
      </w:r>
      <w:r w:rsidR="00E5551E">
        <w:rPr>
          <w:lang w:val="en-US"/>
        </w:rPr>
        <w:t>(</w:t>
      </w:r>
      <w:r w:rsidR="00025067" w:rsidRPr="00025067">
        <w:rPr>
          <w:lang w:val="en-US"/>
        </w:rPr>
        <w:t>Shen, Rabi, and Siliciano 2009; Yeghiazarian, Cumberland, and Yang 2013; Shen, Xiao, and Rong 2015)</w:t>
      </w:r>
      <w:r w:rsidR="00B66E15" w:rsidRPr="008B3AD6">
        <w:fldChar w:fldCharType="end"/>
      </w:r>
      <w:r w:rsidR="00E24F5C" w:rsidRPr="008B3AD6">
        <w:t xml:space="preserve">. A set of equations </w:t>
      </w:r>
      <w:r w:rsidR="007D72B2" w:rsidRPr="008B3AD6">
        <w:t xml:space="preserve">adapted from </w:t>
      </w:r>
      <w:r w:rsidR="00E24F5C" w:rsidRPr="008B3AD6">
        <w:t xml:space="preserve">the original work by Perelson and Nelson from a recent review </w:t>
      </w:r>
      <w:r w:rsidR="004D17E1" w:rsidRPr="008B3AD6">
        <w:fldChar w:fldCharType="begin"/>
      </w:r>
      <w:r w:rsidR="00C80233">
        <w:instrText xml:space="preserve"> ADDIN ZOTERO_ITEM CSL_CITATION {"citationID":"M3FdvJfa","properties":{"formattedCitation":"(Dorratoltaj et al. 2017a)","plainCitation":"(Dorratoltaj et al. 2017a)","noteIndex":0},"citationItems":[{"id":2753,"uris":["http://zotero.org/users/2628971/items/CC7Z7FFX"],"uri":["http://zotero.org/users/2628971/items/CC7Z7FFX"],"itemData":{"id":2753,"type":"article-journal","title":"Multi-scale immunoepidemiological modeling of within-host and between-host HIV dynamics: systematic review of mathematical models","container-title":"PeerJ","page":"e3877","volume":"5","source":"PubMed","abstract":"OBJECTIVE: The objective of this study is to conduct a systematic review of multi-scale HIV immunoepidemiological models to improve our understanding of the synergistic impact between the HIV viral-immune dynamics at the individual level and HIV transmission dynamics at the population level.\nBACKGROUND: While within-host and between-host models of HIV dynamics have been well studied at a single scale, connecting the immunological and epidemiological scales through multi-scale models is an emerging method to infer the synergistic dynamics of HIV at the individual and population levels.\nMETHODS: We reviewed nine articles using the PRISMA (Preferred Reporting Items for Systematic Reviews and Meta-Analyses) framework that focused on the synergistic dynamics of HIV immunoepidemiological models at the individual and population levels.\nRESULTS: HIV immunoepidemiological models simulate viral immune dynamics at the within-host scale and the epidemiological transmission dynamics at the between-host scale. They account for longitudinal changes in the immune viral dynamics of HIV+ individuals, and their corresponding impact on the transmission dynamics in the population. They are useful to analyze the dynamics of HIV super-infection, co-infection, drug resistance, evolution, and treatment in HIV+ individuals, and their impact on the epidemic pathways in the population. We illustrate the coupling mechanisms of the within-host and between-host scales, their mathematical implementation, and the clinical and public health problems that are appropriate for analysis using HIV immunoepidemiological models.\nCONCLUSION: HIV immunoepidemiological models connect the within-host immune dynamics at the individual level and the epidemiological transmission dynamics at the population level. While multi-scale models add complexity over a single-scale model, they account for the time varying immune viral response of HIV+ individuals, and the corresponding impact on the time-varying risk of transmission of HIV+ individuals to other susceptibles in the population.","DOI":"10.7717/peerj.3877","ISSN":"2167-8359","note":"PMID: 28970973\nPMCID: PMC5623312","shortTitle":"Multi-scale immunoepidemiological modeling of within-host and between-host HIV dynamics","journalAbbreviation":"PeerJ","language":"eng","author":[{"family":"Dorratoltaj","given":"Nargesalsadat"},{"family":"Nikin-Beers","given":"Ryan"},{"family":"Ciupe","given":"Stanca M."},{"family":"Eubank","given":"Stephen G."},{"family":"Abbas","given":"Kaja M."}],"issued":{"date-parts":[["2017"]]}}}],"schema":"https://github.com/citation-style-language/schema/raw/master/csl-citation.json"} </w:instrText>
      </w:r>
      <w:r w:rsidR="004D17E1" w:rsidRPr="008B3AD6">
        <w:fldChar w:fldCharType="separate"/>
      </w:r>
      <w:r w:rsidR="00C80233">
        <w:rPr>
          <w:lang w:val="en-US"/>
        </w:rPr>
        <w:t>(Dorratoltaj et al. 2017)</w:t>
      </w:r>
      <w:r w:rsidR="004D17E1" w:rsidRPr="008B3AD6">
        <w:fldChar w:fldCharType="end"/>
      </w:r>
      <w:r w:rsidR="004D17E1" w:rsidRPr="008B3AD6">
        <w:t xml:space="preserve"> </w:t>
      </w:r>
      <w:r w:rsidR="00E24F5C" w:rsidRPr="008B3AD6">
        <w:t xml:space="preserve">is described below: </w:t>
      </w:r>
    </w:p>
    <w:p w14:paraId="07E120F2" w14:textId="304A33E9" w:rsidR="007D72B2" w:rsidRPr="008B3AD6" w:rsidRDefault="00E03226" w:rsidP="004D3811">
      <w:pPr>
        <w:spacing w:line="360" w:lineRule="auto"/>
        <w:jc w:val="both"/>
      </w:pPr>
      <w:r w:rsidRPr="008B3AD6">
        <w:rPr>
          <w:noProof/>
        </w:rPr>
        <w:lastRenderedPageBreak/>
        <mc:AlternateContent>
          <mc:Choice Requires="wps">
            <w:drawing>
              <wp:anchor distT="0" distB="0" distL="114300" distR="114300" simplePos="0" relativeHeight="251770880" behindDoc="0" locked="0" layoutInCell="1" allowOverlap="1" wp14:anchorId="40392E62" wp14:editId="35DFE8CB">
                <wp:simplePos x="0" y="0"/>
                <wp:positionH relativeFrom="column">
                  <wp:posOffset>3889375</wp:posOffset>
                </wp:positionH>
                <wp:positionV relativeFrom="paragraph">
                  <wp:posOffset>259080</wp:posOffset>
                </wp:positionV>
                <wp:extent cx="702945" cy="309245"/>
                <wp:effectExtent l="0" t="0" r="0" b="0"/>
                <wp:wrapNone/>
                <wp:docPr id="93" name="Text Box 93"/>
                <wp:cNvGraphicFramePr/>
                <a:graphic xmlns:a="http://schemas.openxmlformats.org/drawingml/2006/main">
                  <a:graphicData uri="http://schemas.microsoft.com/office/word/2010/wordprocessingShape">
                    <wps:wsp>
                      <wps:cNvSpPr txBox="1"/>
                      <wps:spPr>
                        <a:xfrm>
                          <a:off x="0" y="0"/>
                          <a:ext cx="702945" cy="309245"/>
                        </a:xfrm>
                        <a:prstGeom prst="rect">
                          <a:avLst/>
                        </a:prstGeom>
                        <a:solidFill>
                          <a:schemeClr val="lt1"/>
                        </a:solidFill>
                        <a:ln w="6350">
                          <a:noFill/>
                        </a:ln>
                      </wps:spPr>
                      <wps:txbx>
                        <w:txbxContent>
                          <w:p w14:paraId="311979C9" w14:textId="0BBFC8A9" w:rsidR="00F61130" w:rsidRDefault="00F61130" w:rsidP="00E03226">
                            <w:pPr>
                              <w:jc w:val="center"/>
                            </w:pPr>
                            <w:r>
                              <w:t>Eq. 1.1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392E62" id="Text Box 93" o:spid="_x0000_s1031" type="#_x0000_t202" style="position:absolute;left:0;text-align:left;margin-left:306.25pt;margin-top:20.4pt;width:55.35pt;height:24.35pt;z-index:25177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G5HNRAIAAIEEAAAOAAAAZHJzL2Uyb0RvYy54bWysVMFuGjEQvVfqP1i+l10IJAWxRJSIqlKU&#13;&#10;RCJVzsbrhZW8Htc27KZf32cvJGnaU9WLGc/MPs+8N8P8ums0OyrnazIFHw5yzpSRVNZmV/Dvj+tP&#13;&#10;nznzQZhSaDKq4M/K8+vFxw/z1s7UiPakS+UYQIyftbbg+xDsLMu83KtG+AFZZRCsyDUi4Op2WelE&#13;&#10;C/RGZ6M8v8xacqV1JJX38N70Qb5I+FWlZLivKq8C0wVHbSGdLp3beGaLuZjtnLD7Wp7KEP9QRSNq&#13;&#10;g0dfoG5EEOzg6j+gmlo68lSFgaQmo6qqpUo9oJth/q6bzV5YlXoBOd6+0OT/H6y8Oz44VpcFn15w&#13;&#10;ZkQDjR5VF9gX6hhc4Ke1foa0jUVi6OCHzme/hzO23VWuib9oiCEOpp9f2I1oEs6rfDQdTziTCF3k&#13;&#10;0xFsoGevH1vnw1dFDYtGwR3ES5yK460Pfeo5Jb7lSdflutY6XeLAqJV27CggtQ6pRID/lqUNawt+&#13;&#10;eTHJE7Ch+HmPrA1qia32LUUrdNsuUZMKjZ4tlc9gwVE/R97KdY1ab4UPD8JhcNA4liHc46g04S06&#13;&#10;WZztyf38mz/mQ09EOWsxiAX3Pw7CKc70NwOlp8PxOE5uuownVyNc3NvI9m3EHJoVgYAh1s7KZMb8&#13;&#10;oM9m5ah5ws4s46sICSPxdsHD2VyFfj2wc1ItlykJs2pFuDUbKyN0JDwq8dg9CWdPcgXofEfnkRWz&#13;&#10;d6r1ufFLQ8tDoKpOkr6yeqIfc56G4rSTcZHe3lPW6z/H4hcAAAD//wMAUEsDBBQABgAIAAAAIQAB&#13;&#10;EMAp5gAAAA4BAAAPAAAAZHJzL2Rvd25yZXYueG1sTI9LT8MwEITvSPwHa5G4IOo0IW1Js6kQjyJx&#13;&#10;o+Ehbm68JBGxHcVuGv49ywkuK612Zna+fDOZTow0+NZZhPksAkG2crq1NcJL+XC5AuGDslp1zhLC&#13;&#10;N3nYFKcnucq0O9pnGnehFhxifaYQmhD6TEpfNWSUn7meLN8+3WBU4HWopR7UkcNNJ+MoWkijWssf&#13;&#10;GtXTbUPV1+5gED4u6vcnP21fj0ma9PePY7l80yXi+dl0t+ZxswYRaAp/Dvhl4P5QcLG9O1jtRYew&#13;&#10;mMcpSxGuIuZgwTJOYhB7hNV1CrLI5X+M4gcAAP//AwBQSwECLQAUAAYACAAAACEAtoM4kv4AAADh&#13;&#10;AQAAEwAAAAAAAAAAAAAAAAAAAAAAW0NvbnRlbnRfVHlwZXNdLnhtbFBLAQItABQABgAIAAAAIQA4&#13;&#10;/SH/1gAAAJQBAAALAAAAAAAAAAAAAAAAAC8BAABfcmVscy8ucmVsc1BLAQItABQABgAIAAAAIQAf&#13;&#10;G5HNRAIAAIEEAAAOAAAAAAAAAAAAAAAAAC4CAABkcnMvZTJvRG9jLnhtbFBLAQItABQABgAIAAAA&#13;&#10;IQABEMAp5gAAAA4BAAAPAAAAAAAAAAAAAAAAAJ4EAABkcnMvZG93bnJldi54bWxQSwUGAAAAAAQA&#13;&#10;BADzAAAAsQUAAAAA&#13;&#10;" fillcolor="white [3201]" stroked="f" strokeweight=".5pt">
                <v:textbox>
                  <w:txbxContent>
                    <w:p w14:paraId="311979C9" w14:textId="0BBFC8A9" w:rsidR="00F61130" w:rsidRDefault="00F61130" w:rsidP="00E03226">
                      <w:pPr>
                        <w:jc w:val="center"/>
                      </w:pPr>
                      <w:r>
                        <w:t>Eq. 1.1</w:t>
                      </w:r>
                    </w:p>
                  </w:txbxContent>
                </v:textbox>
              </v:shape>
            </w:pict>
          </mc:Fallback>
        </mc:AlternateContent>
      </w:r>
      <w:r w:rsidRPr="008B3AD6">
        <w:rPr>
          <w:noProof/>
        </w:rPr>
        <mc:AlternateContent>
          <mc:Choice Requires="wps">
            <w:drawing>
              <wp:anchor distT="0" distB="0" distL="114300" distR="114300" simplePos="0" relativeHeight="251772928" behindDoc="0" locked="0" layoutInCell="1" allowOverlap="1" wp14:anchorId="0BCE543E" wp14:editId="69F2803F">
                <wp:simplePos x="0" y="0"/>
                <wp:positionH relativeFrom="column">
                  <wp:posOffset>3886997</wp:posOffset>
                </wp:positionH>
                <wp:positionV relativeFrom="paragraph">
                  <wp:posOffset>763527</wp:posOffset>
                </wp:positionV>
                <wp:extent cx="702945" cy="309245"/>
                <wp:effectExtent l="0" t="0" r="0" b="0"/>
                <wp:wrapNone/>
                <wp:docPr id="95" name="Text Box 95"/>
                <wp:cNvGraphicFramePr/>
                <a:graphic xmlns:a="http://schemas.openxmlformats.org/drawingml/2006/main">
                  <a:graphicData uri="http://schemas.microsoft.com/office/word/2010/wordprocessingShape">
                    <wps:wsp>
                      <wps:cNvSpPr txBox="1"/>
                      <wps:spPr>
                        <a:xfrm>
                          <a:off x="0" y="0"/>
                          <a:ext cx="702945" cy="309245"/>
                        </a:xfrm>
                        <a:prstGeom prst="rect">
                          <a:avLst/>
                        </a:prstGeom>
                        <a:solidFill>
                          <a:schemeClr val="lt1"/>
                        </a:solidFill>
                        <a:ln w="6350">
                          <a:noFill/>
                        </a:ln>
                      </wps:spPr>
                      <wps:txbx>
                        <w:txbxContent>
                          <w:p w14:paraId="0583B93F" w14:textId="5BE87F95" w:rsidR="00F61130" w:rsidRDefault="00F61130" w:rsidP="00E03226">
                            <w:pPr>
                              <w:jc w:val="center"/>
                            </w:pPr>
                            <w:r>
                              <w:t>Eq. 1.2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CE543E" id="Text Box 95" o:spid="_x0000_s1032" type="#_x0000_t202" style="position:absolute;left:0;text-align:left;margin-left:306.05pt;margin-top:60.1pt;width:55.35pt;height:24.35pt;z-index:25177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SLAsmRAIAAIEEAAAOAAAAZHJzL2Uyb0RvYy54bWysVMFu2zAMvQ/YPwi6L3bStF2COEXWIsOA&#13;&#10;oC2QDj0rspwYkEVNUmJnX78nOWm7bqdhF5kiqUfykfTspms0OyjnazIFHw5yzpSRVNZmW/DvT8tP&#13;&#10;nznzQZhSaDKq4Efl+c3844dZa6dqRDvSpXIMIMZPW1vwXQh2mmVe7lQj/ICsMjBW5BoRcHXbrHSi&#13;&#10;BXqjs1GeX2UtudI6ksp7aO96I58n/KpSMjxUlVeB6YIjt5BOl85NPLP5TEy3TthdLU9piH/IohG1&#13;&#10;QdAXqDsRBNu7+g+oppaOPFVhIKnJqKpqqVINqGaYv6tmvRNWpVpAjrcvNPn/ByvvD4+O1WXBJ5ec&#13;&#10;GdGgR0+qC+wLdQwq8NNaP4Xb2sIxdNCjz2e9hzKW3VWuiV8UxGAH08cXdiOahPI6H03GCCJhusgn&#13;&#10;I8hAz14fW+fDV0UNi0LBHZqXOBWHlQ+969klxvKk63JZa50ucWDUrXbsINBqHVKKAP/NSxvWFvzq&#13;&#10;4jJPwIbi8x5ZG+QSS+1LilLoNl2i5upc7obKI1hw1M+Rt3JZI9eV8OFROAwOCscyhAcclSbEopPE&#13;&#10;2Y7cz7/poz/6CStnLQax4P7HXjjFmf5m0OnJcDyOk5su48vrES7urWXz1mL2zS2BgCHWzsokRv+g&#13;&#10;z2LlqHnGzixiVJiEkYhd8HAWb0O/Htg5qRaL5IRZtSKszNrKCB0Jj5146p6Fs6d2BfT5ns4jK6bv&#13;&#10;utb7xpeGFvtAVZ1aGnnuWT3RjzlPQ3HaybhIb+/J6/XPMf8FAAD//wMAUEsDBBQABgAIAAAAIQDv&#13;&#10;6n3M5QAAABABAAAPAAAAZHJzL2Rvd25yZXYueG1sTE/LTsMwELwj9R+srcQFUSeuSNs0ToV4VeJG&#13;&#10;A1Tc3HhJImI7it0k/D3LCS4r7c7sPLLdZFo2YO8bZyXEiwgY2tLpxlYSXovH6zUwH5TVqnUWJXyj&#13;&#10;h10+u8hUqt1oX3A4hIqRiPWpklCH0KWc+7JGo/zCdWgJ+3S9UYHWvuK6VyOJm5aLKEq4UY0lh1p1&#13;&#10;eFdj+XU4GwkfV9Xx2U9Pb+PyZtk97Idi9a4LKS/n0/2Wxu0WWMAp/H3AbwfKDzkFO7mz1Z61EpJY&#13;&#10;xEQlQEQCGDFWQlCjE12S9QZ4nvH/RfIfAAAA//8DAFBLAQItABQABgAIAAAAIQC2gziS/gAAAOEB&#13;&#10;AAATAAAAAAAAAAAAAAAAAAAAAABbQ29udGVudF9UeXBlc10ueG1sUEsBAi0AFAAGAAgAAAAhADj9&#13;&#10;If/WAAAAlAEAAAsAAAAAAAAAAAAAAAAALwEAAF9yZWxzLy5yZWxzUEsBAi0AFAAGAAgAAAAhAJIs&#13;&#10;CyZEAgAAgQQAAA4AAAAAAAAAAAAAAAAALgIAAGRycy9lMm9Eb2MueG1sUEsBAi0AFAAGAAgAAAAh&#13;&#10;AO/qfczlAAAAEAEAAA8AAAAAAAAAAAAAAAAAngQAAGRycy9kb3ducmV2LnhtbFBLBQYAAAAABAAE&#13;&#10;APMAAACwBQAAAAA=&#13;&#10;" fillcolor="white [3201]" stroked="f" strokeweight=".5pt">
                <v:textbox>
                  <w:txbxContent>
                    <w:p w14:paraId="0583B93F" w14:textId="5BE87F95" w:rsidR="00F61130" w:rsidRDefault="00F61130" w:rsidP="00E03226">
                      <w:pPr>
                        <w:jc w:val="center"/>
                      </w:pPr>
                      <w:r>
                        <w:t>Eq. 1.2</w:t>
                      </w:r>
                    </w:p>
                  </w:txbxContent>
                </v:textbox>
              </v:shape>
            </w:pict>
          </mc:Fallback>
        </mc:AlternateContent>
      </w:r>
    </w:p>
    <w:p w14:paraId="6C2E327C" w14:textId="648B9359" w:rsidR="00E24F5C" w:rsidRPr="008B3AD6" w:rsidRDefault="009F079F" w:rsidP="004D3811">
      <w:pPr>
        <w:jc w:val="both"/>
        <w:rPr>
          <w:rFonts w:eastAsiaTheme="minorEastAsia"/>
        </w:rPr>
      </w:pPr>
      <m:oMathPara>
        <m:oMathParaPr>
          <m:jc m:val="left"/>
        </m:oMathParaPr>
        <m:oMath>
          <m:f>
            <m:fPr>
              <m:ctrlPr>
                <w:rPr>
                  <w:rFonts w:ascii="Cambria Math" w:eastAsiaTheme="minorEastAsia" w:hAnsi="Cambria Math"/>
                  <w:i/>
                </w:rPr>
              </m:ctrlPr>
            </m:fPr>
            <m:num>
              <m:r>
                <w:rPr>
                  <w:rFonts w:ascii="Cambria Math" w:eastAsiaTheme="minorEastAsia" w:hAnsi="Cambria Math"/>
                </w:rPr>
                <m:t>dT</m:t>
              </m:r>
            </m:num>
            <m:den>
              <m:r>
                <w:rPr>
                  <w:rFonts w:ascii="Cambria Math" w:eastAsiaTheme="minorEastAsia" w:hAnsi="Cambria Math"/>
                </w:rPr>
                <m:t>dt</m:t>
              </m:r>
            </m:den>
          </m:f>
          <m:r>
            <w:rPr>
              <w:rFonts w:ascii="Cambria Math" w:eastAsiaTheme="minorEastAsia" w:hAnsi="Cambria Math"/>
            </w:rPr>
            <m:t>= λ-κTV- δT</m:t>
          </m:r>
        </m:oMath>
      </m:oMathPara>
    </w:p>
    <w:p w14:paraId="0401C010" w14:textId="06C9C4B6" w:rsidR="00E24F5C" w:rsidRPr="008B3AD6" w:rsidRDefault="009F079F" w:rsidP="004D3811">
      <w:pPr>
        <w:jc w:val="both"/>
        <w:rPr>
          <w:rFonts w:eastAsiaTheme="minorEastAsia"/>
        </w:rPr>
      </w:pPr>
      <m:oMathPara>
        <m:oMathParaPr>
          <m:jc m:val="left"/>
        </m:oMathParaPr>
        <m:oMath>
          <m:f>
            <m:fPr>
              <m:ctrlPr>
                <w:rPr>
                  <w:rFonts w:ascii="Cambria Math" w:eastAsiaTheme="minorEastAsia" w:hAnsi="Cambria Math"/>
                  <w:i/>
                </w:rPr>
              </m:ctrlPr>
            </m:fPr>
            <m:num>
              <m:r>
                <w:rPr>
                  <w:rFonts w:ascii="Cambria Math" w:eastAsiaTheme="minorEastAsia" w:hAnsi="Cambria Math"/>
                </w:rPr>
                <m:t>d</m:t>
              </m:r>
              <m:sSup>
                <m:sSupPr>
                  <m:ctrlPr>
                    <w:rPr>
                      <w:rFonts w:ascii="Cambria Math" w:eastAsiaTheme="minorEastAsia" w:hAnsi="Cambria Math"/>
                      <w:i/>
                    </w:rPr>
                  </m:ctrlPr>
                </m:sSupPr>
                <m:e>
                  <m:r>
                    <w:rPr>
                      <w:rFonts w:ascii="Cambria Math" w:eastAsiaTheme="minorEastAsia" w:hAnsi="Cambria Math"/>
                    </w:rPr>
                    <m:t>T</m:t>
                  </m:r>
                </m:e>
                <m:sup>
                  <m:r>
                    <w:rPr>
                      <w:rFonts w:ascii="Cambria Math" w:eastAsiaTheme="minorEastAsia" w:hAnsi="Cambria Math"/>
                    </w:rPr>
                    <m:t>*</m:t>
                  </m:r>
                </m:sup>
              </m:sSup>
            </m:num>
            <m:den>
              <m:r>
                <w:rPr>
                  <w:rFonts w:ascii="Cambria Math" w:eastAsiaTheme="minorEastAsia" w:hAnsi="Cambria Math"/>
                </w:rPr>
                <m:t>dt</m:t>
              </m:r>
            </m:den>
          </m:f>
          <m:r>
            <w:rPr>
              <w:rFonts w:ascii="Cambria Math" w:eastAsiaTheme="minorEastAsia" w:hAnsi="Cambria Math"/>
            </w:rPr>
            <m:t>= κTV-</m:t>
          </m:r>
          <m:d>
            <m:dPr>
              <m:ctrlPr>
                <w:rPr>
                  <w:rFonts w:ascii="Cambria Math" w:eastAsiaTheme="minorEastAsia" w:hAnsi="Cambria Math"/>
                  <w:i/>
                </w:rPr>
              </m:ctrlPr>
            </m:dPr>
            <m:e>
              <m:r>
                <w:rPr>
                  <w:rFonts w:ascii="Cambria Math" w:eastAsiaTheme="minorEastAsia" w:hAnsi="Cambria Math"/>
                </w:rPr>
                <m:t>μ+δ</m:t>
              </m:r>
            </m:e>
          </m:d>
          <m:sSup>
            <m:sSupPr>
              <m:ctrlPr>
                <w:rPr>
                  <w:rFonts w:ascii="Cambria Math" w:eastAsiaTheme="minorEastAsia" w:hAnsi="Cambria Math"/>
                  <w:i/>
                </w:rPr>
              </m:ctrlPr>
            </m:sSupPr>
            <m:e>
              <m:r>
                <w:rPr>
                  <w:rFonts w:ascii="Cambria Math" w:eastAsiaTheme="minorEastAsia" w:hAnsi="Cambria Math"/>
                </w:rPr>
                <m:t>T</m:t>
              </m:r>
            </m:e>
            <m:sup>
              <m:r>
                <w:rPr>
                  <w:rFonts w:ascii="Cambria Math" w:eastAsiaTheme="minorEastAsia" w:hAnsi="Cambria Math"/>
                </w:rPr>
                <m:t>*</m:t>
              </m:r>
            </m:sup>
          </m:sSup>
        </m:oMath>
      </m:oMathPara>
    </w:p>
    <w:p w14:paraId="6D9E5350" w14:textId="5C698AE8" w:rsidR="00E24F5C" w:rsidRPr="008B3AD6" w:rsidRDefault="009F079F" w:rsidP="004D3811">
      <w:pPr>
        <w:jc w:val="both"/>
        <w:rPr>
          <w:rFonts w:eastAsiaTheme="minorEastAsia"/>
        </w:rPr>
      </w:pPr>
      <m:oMathPara>
        <m:oMathParaPr>
          <m:jc m:val="left"/>
        </m:oMathParaPr>
        <m:oMath>
          <m:f>
            <m:fPr>
              <m:ctrlPr>
                <w:rPr>
                  <w:rFonts w:ascii="Cambria Math" w:eastAsiaTheme="minorEastAsia" w:hAnsi="Cambria Math"/>
                  <w:i/>
                </w:rPr>
              </m:ctrlPr>
            </m:fPr>
            <m:num>
              <m:r>
                <w:rPr>
                  <w:rFonts w:ascii="Cambria Math" w:eastAsiaTheme="minorEastAsia" w:hAnsi="Cambria Math"/>
                </w:rPr>
                <m:t>dV</m:t>
              </m:r>
            </m:num>
            <m:den>
              <m:r>
                <w:rPr>
                  <w:rFonts w:ascii="Cambria Math" w:eastAsiaTheme="minorEastAsia" w:hAnsi="Cambria Math"/>
                </w:rPr>
                <m:t>dt</m:t>
              </m:r>
            </m:den>
          </m:f>
          <m:r>
            <w:rPr>
              <w:rFonts w:ascii="Cambria Math" w:eastAsiaTheme="minorEastAsia" w:hAnsi="Cambria Math"/>
            </w:rPr>
            <m:t>= N</m:t>
          </m:r>
          <m:d>
            <m:dPr>
              <m:ctrlPr>
                <w:rPr>
                  <w:rFonts w:ascii="Cambria Math" w:eastAsiaTheme="minorEastAsia" w:hAnsi="Cambria Math"/>
                  <w:i/>
                </w:rPr>
              </m:ctrlPr>
            </m:dPr>
            <m:e>
              <m:r>
                <w:rPr>
                  <w:rFonts w:ascii="Cambria Math" w:eastAsiaTheme="minorEastAsia" w:hAnsi="Cambria Math"/>
                </w:rPr>
                <m:t>μ+δ</m:t>
              </m:r>
            </m:e>
          </m:d>
          <m:sSup>
            <m:sSupPr>
              <m:ctrlPr>
                <w:rPr>
                  <w:rFonts w:ascii="Cambria Math" w:eastAsiaTheme="minorEastAsia" w:hAnsi="Cambria Math"/>
                  <w:i/>
                </w:rPr>
              </m:ctrlPr>
            </m:sSupPr>
            <m:e>
              <m:r>
                <w:rPr>
                  <w:rFonts w:ascii="Cambria Math" w:eastAsiaTheme="minorEastAsia" w:hAnsi="Cambria Math"/>
                </w:rPr>
                <m:t>T</m:t>
              </m:r>
            </m:e>
            <m:sup>
              <m:r>
                <w:rPr>
                  <w:rFonts w:ascii="Cambria Math" w:eastAsiaTheme="minorEastAsia" w:hAnsi="Cambria Math"/>
                </w:rPr>
                <m:t>*</m:t>
              </m:r>
            </m:sup>
          </m:sSup>
          <m:r>
            <w:rPr>
              <w:rFonts w:ascii="Cambria Math" w:eastAsiaTheme="minorEastAsia" w:hAnsi="Cambria Math"/>
            </w:rPr>
            <m:t>-</m:t>
          </m:r>
          <m:d>
            <m:dPr>
              <m:ctrlPr>
                <w:rPr>
                  <w:rFonts w:ascii="Cambria Math" w:eastAsiaTheme="minorEastAsia" w:hAnsi="Cambria Math"/>
                  <w:i/>
                </w:rPr>
              </m:ctrlPr>
            </m:dPr>
            <m:e>
              <m:r>
                <w:rPr>
                  <w:rFonts w:ascii="Cambria Math" w:eastAsiaTheme="minorEastAsia" w:hAnsi="Cambria Math"/>
                </w:rPr>
                <m:t>c+s</m:t>
              </m:r>
            </m:e>
          </m:d>
          <m:r>
            <w:rPr>
              <w:rFonts w:ascii="Cambria Math" w:eastAsiaTheme="minorEastAsia" w:hAnsi="Cambria Math"/>
            </w:rPr>
            <m:t>V- κTV</m:t>
          </m:r>
        </m:oMath>
      </m:oMathPara>
    </w:p>
    <w:p w14:paraId="058C2CC6" w14:textId="29B63D79" w:rsidR="00E24F5C" w:rsidRPr="008B3AD6" w:rsidRDefault="00551F78" w:rsidP="004D3811">
      <w:pPr>
        <w:spacing w:line="360" w:lineRule="auto"/>
        <w:jc w:val="both"/>
        <w:rPr>
          <w:rFonts w:eastAsiaTheme="minorEastAsia"/>
        </w:rPr>
      </w:pPr>
      <w:r w:rsidRPr="008B3AD6">
        <w:rPr>
          <w:noProof/>
        </w:rPr>
        <mc:AlternateContent>
          <mc:Choice Requires="wps">
            <w:drawing>
              <wp:anchor distT="0" distB="0" distL="114300" distR="114300" simplePos="0" relativeHeight="251774976" behindDoc="0" locked="0" layoutInCell="1" allowOverlap="1" wp14:anchorId="41EACE9B" wp14:editId="172EDC30">
                <wp:simplePos x="0" y="0"/>
                <wp:positionH relativeFrom="column">
                  <wp:posOffset>3897775</wp:posOffset>
                </wp:positionH>
                <wp:positionV relativeFrom="paragraph">
                  <wp:posOffset>-496369</wp:posOffset>
                </wp:positionV>
                <wp:extent cx="702945" cy="309245"/>
                <wp:effectExtent l="0" t="0" r="0" b="0"/>
                <wp:wrapNone/>
                <wp:docPr id="96" name="Text Box 96"/>
                <wp:cNvGraphicFramePr/>
                <a:graphic xmlns:a="http://schemas.openxmlformats.org/drawingml/2006/main">
                  <a:graphicData uri="http://schemas.microsoft.com/office/word/2010/wordprocessingShape">
                    <wps:wsp>
                      <wps:cNvSpPr txBox="1"/>
                      <wps:spPr>
                        <a:xfrm>
                          <a:off x="0" y="0"/>
                          <a:ext cx="702945" cy="309245"/>
                        </a:xfrm>
                        <a:prstGeom prst="rect">
                          <a:avLst/>
                        </a:prstGeom>
                        <a:solidFill>
                          <a:schemeClr val="lt1"/>
                        </a:solidFill>
                        <a:ln w="6350">
                          <a:noFill/>
                        </a:ln>
                      </wps:spPr>
                      <wps:txbx>
                        <w:txbxContent>
                          <w:p w14:paraId="4B3D8700" w14:textId="6C65581A" w:rsidR="00F61130" w:rsidRDefault="00F61130" w:rsidP="00E03226">
                            <w:pPr>
                              <w:jc w:val="center"/>
                            </w:pPr>
                            <w:r>
                              <w:t>Eq. 1.3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EACE9B" id="Text Box 96" o:spid="_x0000_s1033" type="#_x0000_t202" style="position:absolute;left:0;text-align:left;margin-left:306.9pt;margin-top:-39.1pt;width:55.35pt;height:24.35pt;z-index:25177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r7mE5RQIAAIEEAAAOAAAAZHJzL2Uyb0RvYy54bWysVMFuGjEQvVfqP1i+l10IJAVliSgRVSWU&#13;&#10;RCJVzsbrDSt5Pa5t2KVf32cvJGnaU9WLGc/MPs+8N8P1TddodlDO12QKPhzknCkjqazNc8G/P64+&#13;&#10;febMB2FKocmogh+V5zfzjx+uWztTI9qRLpVjADF+1tqC70Kwsyzzcqca4QdklUGwIteIgKt7zkon&#13;&#10;WqA3Ohvl+WXWkiutI6m8h/e2D/J5wq8qJcN9VXkVmC44agvpdOncxjObX4vZsxN2V8tTGeIfqmhE&#13;&#10;bfDoC9StCILtXf0HVFNLR56qMJDUZFRVtVSpB3QzzN91s9kJq1IvIMfbF5r8/4OVd4cHx+qy4NNL&#13;&#10;zoxooNGj6gL7Qh2DC/y01s+QtrFIDB380Pns93DGtrvKNfEXDTHEwfTxhd2IJuG8ykfT8YQzidBF&#13;&#10;Ph3BBnr2+rF1PnxV1LBoFNxBvMSpOKx96FPPKfEtT7ouV7XW6RIHRi21YwcBqXVIJQL8tyxtWFvw&#13;&#10;y4tJnoANxc97ZG1QS2y1bylaodt2iZqrc7tbKo9gwVE/R97KVY1a18KHB+EwOGgcyxDucVSa8Bad&#13;&#10;LM525H7+zR/zoSeinLUYxIL7H3vhFGf6m4HS0+F4HCc3XcaTqxEu7m1k+zZi9s2SQMAQa2dlMmN+&#13;&#10;0GezctQ8YWcW8VWEhJF4u+DhbC5Dvx7YOakWi5SEWbUirM3GyggdCY9KPHZPwtmTXAE639F5ZMXs&#13;&#10;nWp9bvzS0GIfqKqTpJHnntUT/ZjzNBSnnYyL9Paesl7/Oea/AAAA//8DAFBLAwQUAAYACAAAACEA&#13;&#10;xFMllOcAAAAQAQAADwAAAGRycy9kb3ducmV2LnhtbEyPy26DMBBF95XyD9ZE6qZKTKCElGCiqk+p&#13;&#10;u4Y+1J2DJ4CCbYQdoH/f6ardjDSve8/NdpNu2YC9a6wRsFoGwNCUVjWmEvBWPC42wJyXRsnWGhTw&#13;&#10;jQ52+ewik6myo3nFYe8rRiLGpVJA7X2Xcu7KGrV0S9uhod3R9lp6avuKq16OJK5bHgbBmmvZGHKo&#13;&#10;ZYd3NZan/VkL+LqqPl/c9PQ+RnHUPTwPRfKhCiEu59P9lsrtFpjHyf99wG8G4oecwA72bJRjrYD1&#13;&#10;KiJ+L2CRbEJgdJGE1zGwA03Cmxh4nvH/QfIfAAAA//8DAFBLAQItABQABgAIAAAAIQC2gziS/gAA&#13;&#10;AOEBAAATAAAAAAAAAAAAAAAAAAAAAABbQ29udGVudF9UeXBlc10ueG1sUEsBAi0AFAAGAAgAAAAh&#13;&#10;ADj9If/WAAAAlAEAAAsAAAAAAAAAAAAAAAAALwEAAF9yZWxzLy5yZWxzUEsBAi0AFAAGAAgAAAAh&#13;&#10;AGvuYTlFAgAAgQQAAA4AAAAAAAAAAAAAAAAALgIAAGRycy9lMm9Eb2MueG1sUEsBAi0AFAAGAAgA&#13;&#10;AAAhAMRTJZTnAAAAEAEAAA8AAAAAAAAAAAAAAAAAnwQAAGRycy9kb3ducmV2LnhtbFBLBQYAAAAA&#13;&#10;BAAEAPMAAACzBQAAAAA=&#13;&#10;" fillcolor="white [3201]" stroked="f" strokeweight=".5pt">
                <v:textbox>
                  <w:txbxContent>
                    <w:p w14:paraId="4B3D8700" w14:textId="6C65581A" w:rsidR="00F61130" w:rsidRDefault="00F61130" w:rsidP="00E03226">
                      <w:pPr>
                        <w:jc w:val="center"/>
                      </w:pPr>
                      <w:r>
                        <w:t>Eq. 1.3</w:t>
                      </w:r>
                    </w:p>
                  </w:txbxContent>
                </v:textbox>
              </v:shape>
            </w:pict>
          </mc:Fallback>
        </mc:AlternateContent>
      </w:r>
    </w:p>
    <w:p w14:paraId="1CF27ABC" w14:textId="21503F1C" w:rsidR="007D72B2" w:rsidRPr="008B3AD6" w:rsidRDefault="00492DBD" w:rsidP="004D3811">
      <w:pPr>
        <w:spacing w:line="360" w:lineRule="auto"/>
        <w:jc w:val="both"/>
        <w:rPr>
          <w:rFonts w:eastAsiaTheme="minorEastAsia"/>
        </w:rPr>
      </w:pPr>
      <w:r w:rsidRPr="008B3AD6">
        <w:rPr>
          <w:rFonts w:eastAsiaTheme="minorEastAsia"/>
        </w:rPr>
        <w:t>For these equations the rate of change of three entities (</w:t>
      </w:r>
      <w:r w:rsidRPr="008B3AD6">
        <w:rPr>
          <w:rFonts w:eastAsiaTheme="minorEastAsia"/>
          <w:i/>
        </w:rPr>
        <w:t xml:space="preserve">dT, dT* </w:t>
      </w:r>
      <w:r w:rsidRPr="008B3AD6">
        <w:rPr>
          <w:rFonts w:eastAsiaTheme="minorEastAsia"/>
        </w:rPr>
        <w:t>and</w:t>
      </w:r>
      <w:r w:rsidRPr="008B3AD6">
        <w:rPr>
          <w:rFonts w:eastAsiaTheme="minorEastAsia"/>
          <w:i/>
        </w:rPr>
        <w:t xml:space="preserve"> dV</w:t>
      </w:r>
      <w:r w:rsidRPr="008B3AD6">
        <w:rPr>
          <w:rFonts w:eastAsiaTheme="minorEastAsia"/>
        </w:rPr>
        <w:t xml:space="preserve">) is recorded </w:t>
      </w:r>
      <w:r w:rsidR="003F19AE" w:rsidRPr="008B3AD6">
        <w:rPr>
          <w:rFonts w:eastAsiaTheme="minorEastAsia"/>
        </w:rPr>
        <w:t>with respect to a change in</w:t>
      </w:r>
      <w:r w:rsidRPr="008B3AD6">
        <w:rPr>
          <w:rFonts w:eastAsiaTheme="minorEastAsia"/>
        </w:rPr>
        <w:t xml:space="preserve"> time (</w:t>
      </w:r>
      <w:r w:rsidRPr="008B3AD6">
        <w:rPr>
          <w:rFonts w:eastAsiaTheme="minorEastAsia"/>
          <w:i/>
        </w:rPr>
        <w:t>dt</w:t>
      </w:r>
      <w:r w:rsidRPr="008B3AD6">
        <w:rPr>
          <w:rFonts w:eastAsiaTheme="minorEastAsia"/>
        </w:rPr>
        <w:t>). U</w:t>
      </w:r>
      <w:r w:rsidR="00BF2EC4" w:rsidRPr="008B3AD6">
        <w:rPr>
          <w:rFonts w:eastAsiaTheme="minorEastAsia"/>
        </w:rPr>
        <w:t>n</w:t>
      </w:r>
      <w:r w:rsidR="00E24F5C" w:rsidRPr="008B3AD6">
        <w:rPr>
          <w:rFonts w:eastAsiaTheme="minorEastAsia"/>
        </w:rPr>
        <w:t>infected T cells (</w:t>
      </w:r>
      <w:r w:rsidR="00E24F5C" w:rsidRPr="008B3AD6">
        <w:rPr>
          <w:rFonts w:eastAsiaTheme="minorEastAsia"/>
          <w:i/>
        </w:rPr>
        <w:t>T</w:t>
      </w:r>
      <w:r w:rsidR="00E24F5C" w:rsidRPr="008B3AD6">
        <w:rPr>
          <w:rFonts w:eastAsiaTheme="minorEastAsia"/>
        </w:rPr>
        <w:t>) enter the</w:t>
      </w:r>
      <w:r w:rsidR="00F00558" w:rsidRPr="008B3AD6">
        <w:rPr>
          <w:rFonts w:eastAsiaTheme="minorEastAsia"/>
        </w:rPr>
        <w:t xml:space="preserve"> system </w:t>
      </w:r>
      <w:r w:rsidR="007D72B2" w:rsidRPr="008B3AD6">
        <w:rPr>
          <w:rFonts w:eastAsiaTheme="minorEastAsia"/>
        </w:rPr>
        <w:t>at a</w:t>
      </w:r>
      <w:r w:rsidR="00BF2EC4" w:rsidRPr="008B3AD6">
        <w:rPr>
          <w:rFonts w:eastAsiaTheme="minorEastAsia"/>
        </w:rPr>
        <w:t xml:space="preserve"> set rate (</w:t>
      </w:r>
      <w:r w:rsidR="009B51F9" w:rsidRPr="00BC1D1F">
        <w:rPr>
          <w:rFonts w:eastAsiaTheme="minorEastAsia"/>
          <w:i/>
        </w:rPr>
        <w:sym w:font="Symbol" w:char="F06C"/>
      </w:r>
      <w:r w:rsidR="007D72B2" w:rsidRPr="008B3AD6">
        <w:rPr>
          <w:rFonts w:eastAsiaTheme="minorEastAsia"/>
        </w:rPr>
        <w:t>) and have a natural death rate (</w:t>
      </w:r>
      <w:r w:rsidR="007D72B2" w:rsidRPr="00BC1D1F">
        <w:rPr>
          <w:rFonts w:eastAsiaTheme="minorEastAsia"/>
          <w:i/>
        </w:rPr>
        <w:sym w:font="Symbol" w:char="F064"/>
      </w:r>
      <w:r w:rsidR="007D72B2" w:rsidRPr="008B3AD6">
        <w:rPr>
          <w:rFonts w:eastAsiaTheme="minorEastAsia"/>
        </w:rPr>
        <w:t>)</w:t>
      </w:r>
      <w:r w:rsidR="00BF2EC4" w:rsidRPr="008B3AD6">
        <w:rPr>
          <w:rFonts w:eastAsiaTheme="minorEastAsia"/>
        </w:rPr>
        <w:t>.</w:t>
      </w:r>
      <w:r w:rsidR="007D72B2" w:rsidRPr="008B3AD6">
        <w:rPr>
          <w:rFonts w:eastAsiaTheme="minorEastAsia"/>
        </w:rPr>
        <w:t xml:space="preserve"> T</w:t>
      </w:r>
      <w:r w:rsidRPr="008B3AD6">
        <w:rPr>
          <w:rFonts w:eastAsiaTheme="minorEastAsia"/>
        </w:rPr>
        <w:t xml:space="preserve">he entry of uninfected T cells is </w:t>
      </w:r>
      <w:r w:rsidR="00F00558" w:rsidRPr="008B3AD6">
        <w:rPr>
          <w:rFonts w:eastAsiaTheme="minorEastAsia"/>
        </w:rPr>
        <w:t xml:space="preserve">a constant and thus </w:t>
      </w:r>
      <w:r w:rsidRPr="008B3AD6">
        <w:rPr>
          <w:rFonts w:eastAsiaTheme="minorEastAsia"/>
        </w:rPr>
        <w:t>independent of other entities or processes</w:t>
      </w:r>
      <w:r w:rsidR="00F00558" w:rsidRPr="008B3AD6">
        <w:rPr>
          <w:rFonts w:eastAsiaTheme="minorEastAsia"/>
        </w:rPr>
        <w:t>, o</w:t>
      </w:r>
      <w:r w:rsidRPr="008B3AD6">
        <w:rPr>
          <w:rFonts w:eastAsiaTheme="minorEastAsia"/>
        </w:rPr>
        <w:t>ccur</w:t>
      </w:r>
      <w:r w:rsidR="00F00558" w:rsidRPr="008B3AD6">
        <w:rPr>
          <w:rFonts w:eastAsiaTheme="minorEastAsia"/>
        </w:rPr>
        <w:t>ring</w:t>
      </w:r>
      <w:r w:rsidRPr="008B3AD6">
        <w:rPr>
          <w:rFonts w:eastAsiaTheme="minorEastAsia"/>
        </w:rPr>
        <w:t xml:space="preserve"> at the same </w:t>
      </w:r>
      <w:r w:rsidR="00BC1D1F">
        <w:rPr>
          <w:rFonts w:eastAsiaTheme="minorEastAsia"/>
        </w:rPr>
        <w:t>level</w:t>
      </w:r>
      <w:r w:rsidRPr="008B3AD6">
        <w:rPr>
          <w:rFonts w:eastAsiaTheme="minorEastAsia"/>
        </w:rPr>
        <w:t xml:space="preserve"> for every time step (the incremental change </w:t>
      </w:r>
      <w:r w:rsidR="00F00558" w:rsidRPr="008B3AD6">
        <w:rPr>
          <w:rFonts w:eastAsiaTheme="minorEastAsia"/>
        </w:rPr>
        <w:t>from the time</w:t>
      </w:r>
      <w:r w:rsidRPr="008B3AD6">
        <w:rPr>
          <w:rFonts w:eastAsiaTheme="minorEastAsia"/>
        </w:rPr>
        <w:t xml:space="preserve"> for which the system is being solved</w:t>
      </w:r>
      <w:r w:rsidR="00F00558" w:rsidRPr="008B3AD6">
        <w:rPr>
          <w:rFonts w:eastAsiaTheme="minorEastAsia"/>
        </w:rPr>
        <w:t>)</w:t>
      </w:r>
      <w:r w:rsidRPr="008B3AD6">
        <w:rPr>
          <w:rFonts w:eastAsiaTheme="minorEastAsia"/>
        </w:rPr>
        <w:t xml:space="preserve">. Conversely the exit of uninfected T cells is dependent not only on the set rate of exit but also on the number of uninfected T cells, the relationship here is proportional ergo the more uninfected T cells there are the more exit the system and vice versa. </w:t>
      </w:r>
      <w:r w:rsidR="00F00558" w:rsidRPr="008B3AD6">
        <w:rPr>
          <w:rFonts w:eastAsiaTheme="minorEastAsia"/>
        </w:rPr>
        <w:t>U</w:t>
      </w:r>
      <w:r w:rsidR="00BF2EC4" w:rsidRPr="008B3AD6">
        <w:rPr>
          <w:rFonts w:eastAsiaTheme="minorEastAsia"/>
        </w:rPr>
        <w:t>ninfected T cells become infected (</w:t>
      </w:r>
      <w:r w:rsidR="00BF2EC4" w:rsidRPr="008B3AD6">
        <w:rPr>
          <w:rFonts w:eastAsiaTheme="minorEastAsia"/>
          <w:i/>
        </w:rPr>
        <w:t>T*</w:t>
      </w:r>
      <w:r w:rsidR="00BF2EC4" w:rsidRPr="008B3AD6">
        <w:rPr>
          <w:rFonts w:eastAsiaTheme="minorEastAsia"/>
        </w:rPr>
        <w:t xml:space="preserve">) </w:t>
      </w:r>
      <w:r w:rsidR="009B51F9" w:rsidRPr="008B3AD6">
        <w:rPr>
          <w:rFonts w:eastAsiaTheme="minorEastAsia"/>
        </w:rPr>
        <w:t>at a set rate (</w:t>
      </w:r>
      <w:r w:rsidR="009B51F9" w:rsidRPr="00BC1D1F">
        <w:rPr>
          <w:rFonts w:eastAsiaTheme="minorEastAsia"/>
          <w:i/>
        </w:rPr>
        <w:t>k</w:t>
      </w:r>
      <w:r w:rsidR="009B51F9" w:rsidRPr="008B3AD6">
        <w:rPr>
          <w:rFonts w:eastAsiaTheme="minorEastAsia"/>
        </w:rPr>
        <w:t xml:space="preserve">) </w:t>
      </w:r>
      <w:r w:rsidR="00BF2EC4" w:rsidRPr="008B3AD6">
        <w:rPr>
          <w:rFonts w:eastAsiaTheme="minorEastAsia"/>
        </w:rPr>
        <w:t>upon contact with HIV virion particles (</w:t>
      </w:r>
      <w:r w:rsidR="00BF2EC4" w:rsidRPr="008B3AD6">
        <w:rPr>
          <w:rFonts w:eastAsiaTheme="minorEastAsia"/>
          <w:i/>
        </w:rPr>
        <w:t>V</w:t>
      </w:r>
      <w:r w:rsidR="00BF2EC4" w:rsidRPr="008B3AD6">
        <w:rPr>
          <w:rFonts w:eastAsiaTheme="minorEastAsia"/>
        </w:rPr>
        <w:t>)</w:t>
      </w:r>
      <w:r w:rsidR="007D72B2" w:rsidRPr="008B3AD6">
        <w:rPr>
          <w:rFonts w:eastAsiaTheme="minorEastAsia"/>
        </w:rPr>
        <w:t xml:space="preserve"> and</w:t>
      </w:r>
      <w:r w:rsidR="00F00558" w:rsidRPr="008B3AD6">
        <w:rPr>
          <w:rFonts w:eastAsiaTheme="minorEastAsia"/>
        </w:rPr>
        <w:t xml:space="preserve"> this also reduces the number of free virion particles able to infect T cells. Infected T cells exit the system based upon the two processes natural (</w:t>
      </w:r>
      <w:r w:rsidR="00F00558" w:rsidRPr="00BC1D1F">
        <w:rPr>
          <w:rFonts w:eastAsiaTheme="minorEastAsia"/>
          <w:i/>
        </w:rPr>
        <w:sym w:font="Symbol" w:char="F064"/>
      </w:r>
      <w:r w:rsidR="00F00558" w:rsidRPr="008B3AD6">
        <w:rPr>
          <w:rFonts w:eastAsiaTheme="minorEastAsia"/>
        </w:rPr>
        <w:t>) and HIV-induced death (</w:t>
      </w:r>
      <w:r w:rsidR="007D72B2" w:rsidRPr="00BC1D1F">
        <w:rPr>
          <w:rFonts w:eastAsiaTheme="minorEastAsia"/>
          <w:i/>
        </w:rPr>
        <w:sym w:font="Symbol" w:char="F06D"/>
      </w:r>
      <w:r w:rsidR="00F00558" w:rsidRPr="008B3AD6">
        <w:rPr>
          <w:rFonts w:eastAsiaTheme="minorEastAsia"/>
        </w:rPr>
        <w:t>)</w:t>
      </w:r>
      <w:r w:rsidR="007D72B2" w:rsidRPr="008B3AD6">
        <w:rPr>
          <w:rFonts w:eastAsiaTheme="minorEastAsia"/>
        </w:rPr>
        <w:t>. HIV virion particles are created from the death of infected T cells at a set production rate (</w:t>
      </w:r>
      <w:r w:rsidR="007D72B2" w:rsidRPr="00BC1D1F">
        <w:rPr>
          <w:rFonts w:eastAsiaTheme="minorEastAsia"/>
          <w:i/>
        </w:rPr>
        <w:t>N</w:t>
      </w:r>
      <w:r w:rsidR="007D72B2" w:rsidRPr="008B3AD6">
        <w:rPr>
          <w:rFonts w:eastAsiaTheme="minorEastAsia"/>
        </w:rPr>
        <w:t>). They are removed from the system proportional to their shedding (</w:t>
      </w:r>
      <w:r w:rsidR="007D72B2" w:rsidRPr="00BC1D1F">
        <w:rPr>
          <w:rFonts w:eastAsiaTheme="minorEastAsia"/>
          <w:i/>
        </w:rPr>
        <w:t>c</w:t>
      </w:r>
      <w:r w:rsidR="007D72B2" w:rsidRPr="008B3AD6">
        <w:rPr>
          <w:rFonts w:eastAsiaTheme="minorEastAsia"/>
        </w:rPr>
        <w:t>) and clearance (</w:t>
      </w:r>
      <w:r w:rsidR="007D72B2" w:rsidRPr="00BC1D1F">
        <w:rPr>
          <w:rFonts w:eastAsiaTheme="minorEastAsia"/>
          <w:i/>
        </w:rPr>
        <w:t>s</w:t>
      </w:r>
      <w:r w:rsidR="007D72B2" w:rsidRPr="008B3AD6">
        <w:rPr>
          <w:rFonts w:eastAsiaTheme="minorEastAsia"/>
        </w:rPr>
        <w:t xml:space="preserve">) rates. </w:t>
      </w:r>
      <w:r w:rsidR="00B40F5C" w:rsidRPr="008B3AD6">
        <w:rPr>
          <w:rFonts w:eastAsiaTheme="minorEastAsia"/>
        </w:rPr>
        <w:t xml:space="preserve">These equations together describe a simplified infection with HIV that can allow for both predictive and descriptive investigations. For example, this model can be extended to predict the response to anti-viral therapy </w:t>
      </w:r>
      <w:r w:rsidR="004D17E1" w:rsidRPr="008B3AD6">
        <w:rPr>
          <w:rFonts w:eastAsiaTheme="minorEastAsia"/>
        </w:rPr>
        <w:fldChar w:fldCharType="begin"/>
      </w:r>
      <w:r w:rsidR="00025067">
        <w:rPr>
          <w:rFonts w:eastAsiaTheme="minorEastAsia"/>
        </w:rPr>
        <w:instrText xml:space="preserve"> ADDIN ZOTERO_ITEM CSL_CITATION {"citationID":"Dw7sMET0","properties":{"formattedCitation":"(Saenz and Bonhoeffer 2013)","plainCitation":"(Saenz and Bonhoeffer 2013)","noteIndex":0},"citationItems":[{"id":3402,"uris":["http://zotero.org/users/2628971/items/5MRU42QD"],"uri":["http://zotero.org/users/2628971/items/5MRU42QD"],"itemData":{"id":3402,"type":"article-journal","title":"Nested model reveals potential amplification of an HIV epidemic due to drug resistance","container-title":"Epidemics","collection-title":"Special Issue: Papers from Epidemics3","page":"34-43","volume":"5","issue":"1","source":"ScienceDirect","abstract":"The use of antiretroviral therapy (ART) is the most efficient measure in controlling the HIV epidemic. However, emergence of drug-resistant strains can reduce the potential benefits of ART. The viral dynamics of drug-sensitive and drug-resistant strains at the individual level may play a crucial role in the emergence and spread of drug resistance in a population. We investigate the effect of the viral dynamics within an infected individual on the epidemiological dynamics of HIV using a nested model that links both dynamical levels. A time-dependent between-host transmission rate that receives feedback from a model of two-strain virus dynamics within a host is incorporated into an epidemiological model of HIV. We analyze the resulting dynamics of the model and identify model parameters such as time when ART is initiated, fraction of cases treated, and the probability that a patient develops drug resistance, as having the greatest impact on total infection and prevalence of drug resistance. Importantly, for small values of the risk of a patient developing drug resistance, increasing the fraction of cases treated can increase the cumulative number of infected individuals. Such a pattern is the result of the balance between not treating a patient and having future cases still sensitive to treatment, and treating the patient and increasing the chances for future (untreatable) drug-resistant infections. The current modeling framework incorporates important aspects of virus dynamics within a host into an epidemic model. This approach provides useful insights on the drug resistance dynamics of an epidemic of HIV, which may assist in identifying an optimal use of ART.","DOI":"10.1016/j.epidem.2012.11.002","ISSN":"1755-4365","journalAbbreviation":"Epidemics","author":[{"family":"Saenz","given":"Roberto A."},{"family":"Bonhoeffer","given":"Sebastian"}],"issued":{"date-parts":[["2013",3,1]]}}}],"schema":"https://github.com/citation-style-language/schema/raw/master/csl-citation.json"} </w:instrText>
      </w:r>
      <w:r w:rsidR="004D17E1" w:rsidRPr="008B3AD6">
        <w:rPr>
          <w:rFonts w:eastAsiaTheme="minorEastAsia"/>
        </w:rPr>
        <w:fldChar w:fldCharType="separate"/>
      </w:r>
      <w:r w:rsidR="00025067" w:rsidRPr="00025067">
        <w:rPr>
          <w:lang w:val="en-US"/>
        </w:rPr>
        <w:t>(Saenz and Bonhoeffer 2013)</w:t>
      </w:r>
      <w:r w:rsidR="004D17E1" w:rsidRPr="008B3AD6">
        <w:rPr>
          <w:rFonts w:eastAsiaTheme="minorEastAsia"/>
        </w:rPr>
        <w:fldChar w:fldCharType="end"/>
      </w:r>
      <w:r w:rsidR="00B40F5C" w:rsidRPr="008B3AD6">
        <w:rPr>
          <w:rFonts w:eastAsiaTheme="minorEastAsia"/>
        </w:rPr>
        <w:t xml:space="preserve"> or the dynamics of infection with multiple </w:t>
      </w:r>
      <w:r w:rsidR="004D17E1" w:rsidRPr="008B3AD6">
        <w:rPr>
          <w:rFonts w:eastAsiaTheme="minorEastAsia"/>
        </w:rPr>
        <w:t xml:space="preserve">strains of HIV </w:t>
      </w:r>
      <w:r w:rsidR="004D17E1" w:rsidRPr="008B3AD6">
        <w:rPr>
          <w:rFonts w:eastAsiaTheme="minorEastAsia"/>
        </w:rPr>
        <w:fldChar w:fldCharType="begin"/>
      </w:r>
      <w:r w:rsidR="00025067">
        <w:rPr>
          <w:rFonts w:eastAsiaTheme="minorEastAsia"/>
        </w:rPr>
        <w:instrText xml:space="preserve"> ADDIN ZOTERO_ITEM CSL_CITATION {"citationID":"rnPHAWXb","properties":{"formattedCitation":"(Martcheva and Li 2013)","plainCitation":"(Martcheva and Li 2013)","noteIndex":0},"citationItems":[{"id":3407,"uris":["http://zotero.org/users/2628971/items/5QCVJXM8"],"uri":["http://zotero.org/users/2628971/items/5QCVJXM8"],"itemData":{"id":3407,"type":"article-journal","title":"Linking immunological and epidemiological dynamics of HIV: the case of super-infection","container-title":"Journal of Biological Dynamics","page":"161-182","volume":"7","issue":"1","source":"Taylor and Francis+NEJM","abstract":"In this paper, a two-strain model that links immunological and epidemiological dynamics across scales is formulated. On the within-host scale, the two strains eliminate each other with the strain with the larger immunological reproduction persisting. However, on the population scale superinfection is possible, with the strain with larger immunological reproduction number super-infecting the strain with the smaller immunological reproduction number. The two models are linked through the age-since-infection structure of the epidemiological variables. In addition, the between-host transmission and the disease-induced death rate depend on the within-host viral load. The immunological reproduction numbers, the epidemiological reproduction numbers and invasion reproduction numbers are computed. Besides the disease-free equilibrium, there are two population-level strain one and strain two isolated equilibria, as well as a population-level coexistence equilibrium when both invasion reproduction numbers are greater than one. The single-strain population-level equilibria are locally asymptotically stable suggesting that in the absence of superinfection oscillations do not occur, a result contrasting previous studies of HIV age-since-infection structured models. Simulations suggest that the epidemiological reproduction number and HIV population prevalence are monotone functions of the within-host parameters with reciprocal trends. In particular, HIV medications that decrease within-host viral load also increase overall population prevalence. The effect of the immunological parameters on the population reproduction number and prevalence is more pronounced when the initial viral load is lower.","DOI":"10.1080/17513758.2013.820358","ISSN":"1751-3758","note":"PMID: 23895263","shortTitle":"Linking immunological and epidemiological dynamics of HIV","author":[{"family":"Martcheva","given":"Maia"},{"family":"Li","given":"Xue-Zhi"}],"issued":{"date-parts":[["2013",12,1]]}}}],"schema":"https://github.com/citation-style-language/schema/raw/master/csl-citation.json"} </w:instrText>
      </w:r>
      <w:r w:rsidR="004D17E1" w:rsidRPr="008B3AD6">
        <w:rPr>
          <w:rFonts w:eastAsiaTheme="minorEastAsia"/>
        </w:rPr>
        <w:fldChar w:fldCharType="separate"/>
      </w:r>
      <w:r w:rsidR="00025067" w:rsidRPr="00025067">
        <w:rPr>
          <w:lang w:val="en-US"/>
        </w:rPr>
        <w:t>(Martcheva and Li 2013)</w:t>
      </w:r>
      <w:r w:rsidR="004D17E1" w:rsidRPr="008B3AD6">
        <w:rPr>
          <w:rFonts w:eastAsiaTheme="minorEastAsia"/>
        </w:rPr>
        <w:fldChar w:fldCharType="end"/>
      </w:r>
      <w:r w:rsidR="00B40F5C" w:rsidRPr="008B3AD6">
        <w:rPr>
          <w:rFonts w:eastAsiaTheme="minorEastAsia"/>
        </w:rPr>
        <w:t xml:space="preserve">. Additionally, these models can be used to </w:t>
      </w:r>
      <w:r w:rsidR="00761191" w:rsidRPr="008B3AD6">
        <w:rPr>
          <w:rFonts w:eastAsiaTheme="minorEastAsia"/>
        </w:rPr>
        <w:t>for the description of</w:t>
      </w:r>
      <w:r w:rsidR="00B40F5C" w:rsidRPr="008B3AD6">
        <w:rPr>
          <w:rFonts w:eastAsiaTheme="minorEastAsia"/>
        </w:rPr>
        <w:t xml:space="preserve"> infection processes such as the number of new infection events per time step which can be used to inform therapeutic regimes</w:t>
      </w:r>
      <w:r w:rsidR="004D17E1" w:rsidRPr="008B3AD6">
        <w:rPr>
          <w:rFonts w:eastAsiaTheme="minorEastAsia"/>
        </w:rPr>
        <w:t xml:space="preserve"> </w:t>
      </w:r>
      <w:r w:rsidR="004D17E1" w:rsidRPr="008B3AD6">
        <w:rPr>
          <w:rFonts w:eastAsiaTheme="minorEastAsia"/>
        </w:rPr>
        <w:fldChar w:fldCharType="begin"/>
      </w:r>
      <w:r w:rsidR="00025067">
        <w:rPr>
          <w:rFonts w:eastAsiaTheme="minorEastAsia"/>
        </w:rPr>
        <w:instrText xml:space="preserve"> ADDIN ZOTERO_ITEM CSL_CITATION {"citationID":"P6z7qFGf","properties":{"formattedCitation":"(L. Shen, Rabi, and Siliciano 2009)","plainCitation":"(L. Shen, Rabi, and Siliciano 2009)","noteIndex":0},"citationItems":[{"id":153,"uris":["http://zotero.org/users/2628971/items/TSEJ3A7I"],"uri":["http://zotero.org/users/2628971/items/TSEJ3A7I"],"itemData":{"id":153,"type":"article-journal","title":"A novel method for determining the inhibitory potential of anti-HIV drugs","container-title":"Trends in Pharmacological Sciences","page":"610-616","volume":"30","issue":"12","source":"PubMed","abstract":"In the absence of cure, most HIV-1-infected individuals will require lifelong treatment. It is therefore essential to optimize highly active antiretroviral therapy. Recent research has shown that the slope parameter or Hill coefficient, which describes the steepness of a dose-response curve, is a critical missing dimension in the evaluation of the activity of antiviral drugs. Based on this finding, instantaneous inhibitory potential (IIP) has been derived as a new measure of antiviral drug activity. IIP incorporates the slope parameter and thus is a more accurate pharmacodynamic measure of antiviral activity than current measures such as IC(50) and inhibitory quotient. Determining how to use IIP to predict the in vivo efficacy of anti-HIV-1 drugs is nevertheless important. This article discusses recent advances in in vitro measures of antiviral activity and the therapeutic implications of the dose-response curve slope and IIP.","DOI":"10.1016/j.tips.2009.09.003","ISSN":"1873-3735","note":"PMID: 19837466\nPMCID: PMC3385974","journalAbbreviation":"Trends Pharmacol. Sci.","language":"eng","author":[{"family":"Shen","given":"Lin"},{"family":"Rabi","given":"S. Alireza"},{"family":"Siliciano","given":"Robert F."}],"issued":{"date-parts":[["2009",12]]}}}],"schema":"https://github.com/citation-style-language/schema/raw/master/csl-citation.json"} </w:instrText>
      </w:r>
      <w:r w:rsidR="004D17E1" w:rsidRPr="008B3AD6">
        <w:rPr>
          <w:rFonts w:eastAsiaTheme="minorEastAsia"/>
        </w:rPr>
        <w:fldChar w:fldCharType="separate"/>
      </w:r>
      <w:r w:rsidR="00E5551E">
        <w:rPr>
          <w:lang w:val="en-US"/>
        </w:rPr>
        <w:t>(</w:t>
      </w:r>
      <w:r w:rsidR="00025067" w:rsidRPr="00025067">
        <w:rPr>
          <w:lang w:val="en-US"/>
        </w:rPr>
        <w:t>Shen, Rabi, and Siliciano 2009)</w:t>
      </w:r>
      <w:r w:rsidR="004D17E1" w:rsidRPr="008B3AD6">
        <w:rPr>
          <w:rFonts w:eastAsiaTheme="minorEastAsia"/>
        </w:rPr>
        <w:fldChar w:fldCharType="end"/>
      </w:r>
      <w:r w:rsidR="00A10BE7" w:rsidRPr="008B3AD6">
        <w:rPr>
          <w:rFonts w:eastAsiaTheme="minorEastAsia"/>
        </w:rPr>
        <w:t>.</w:t>
      </w:r>
    </w:p>
    <w:p w14:paraId="71886F0F" w14:textId="1A198877" w:rsidR="00A10BE7" w:rsidRPr="008B3AD6" w:rsidRDefault="00A10BE7" w:rsidP="004D3811">
      <w:pPr>
        <w:spacing w:line="360" w:lineRule="auto"/>
        <w:jc w:val="both"/>
        <w:rPr>
          <w:rFonts w:eastAsiaTheme="minorEastAsia"/>
        </w:rPr>
      </w:pPr>
    </w:p>
    <w:p w14:paraId="6094F400" w14:textId="327D134F" w:rsidR="00A10BE7" w:rsidRPr="008B3AD6" w:rsidRDefault="00A10BE7" w:rsidP="004D3811">
      <w:pPr>
        <w:spacing w:line="360" w:lineRule="auto"/>
        <w:jc w:val="both"/>
        <w:rPr>
          <w:rFonts w:eastAsiaTheme="minorEastAsia"/>
        </w:rPr>
      </w:pPr>
      <w:r w:rsidRPr="008B3AD6">
        <w:rPr>
          <w:rFonts w:eastAsiaTheme="minorEastAsia"/>
        </w:rPr>
        <w:t xml:space="preserve">It can be seen from the above equations that there is no explicit representation of any spatial characteristics. </w:t>
      </w:r>
      <w:r w:rsidR="003F19AE" w:rsidRPr="008B3AD6">
        <w:rPr>
          <w:rFonts w:eastAsiaTheme="minorEastAsia"/>
        </w:rPr>
        <w:t xml:space="preserve">ODEs inherently </w:t>
      </w:r>
      <w:r w:rsidR="00777B9C" w:rsidRPr="008B3AD6">
        <w:rPr>
          <w:rFonts w:eastAsiaTheme="minorEastAsia"/>
        </w:rPr>
        <w:t>represent</w:t>
      </w:r>
      <w:r w:rsidR="003F19AE" w:rsidRPr="008B3AD6">
        <w:rPr>
          <w:rFonts w:eastAsiaTheme="minorEastAsia"/>
        </w:rPr>
        <w:t xml:space="preserve"> all events </w:t>
      </w:r>
      <w:r w:rsidR="00777B9C" w:rsidRPr="008B3AD6">
        <w:rPr>
          <w:rFonts w:eastAsiaTheme="minorEastAsia"/>
        </w:rPr>
        <w:t>as</w:t>
      </w:r>
      <w:r w:rsidR="003F19AE" w:rsidRPr="008B3AD6">
        <w:rPr>
          <w:rFonts w:eastAsiaTheme="minorEastAsia"/>
        </w:rPr>
        <w:t xml:space="preserve"> transpiring within </w:t>
      </w:r>
      <w:r w:rsidR="00777B9C" w:rsidRPr="008B3AD6">
        <w:rPr>
          <w:rFonts w:eastAsiaTheme="minorEastAsia"/>
        </w:rPr>
        <w:t xml:space="preserve">a well-stirred compartment. </w:t>
      </w:r>
      <w:r w:rsidR="001B3EE4">
        <w:rPr>
          <w:rFonts w:eastAsiaTheme="minorEastAsia"/>
        </w:rPr>
        <w:t>This</w:t>
      </w:r>
      <w:r w:rsidR="001B3EE4" w:rsidRPr="008B3AD6">
        <w:rPr>
          <w:rFonts w:eastAsiaTheme="minorEastAsia"/>
        </w:rPr>
        <w:t xml:space="preserve"> </w:t>
      </w:r>
      <w:r w:rsidR="00777B9C" w:rsidRPr="008B3AD6">
        <w:rPr>
          <w:rFonts w:eastAsiaTheme="minorEastAsia"/>
        </w:rPr>
        <w:t>leads to inherent assumptions such as that all entities have equal access to one another. As such spatial environmental considerations cannot be explicitly represented in ODE</w:t>
      </w:r>
      <w:r w:rsidR="00BC1D1F">
        <w:rPr>
          <w:rFonts w:eastAsiaTheme="minorEastAsia"/>
        </w:rPr>
        <w:t>s</w:t>
      </w:r>
      <w:r w:rsidR="00777B9C" w:rsidRPr="008B3AD6">
        <w:rPr>
          <w:rFonts w:eastAsiaTheme="minorEastAsia"/>
        </w:rPr>
        <w:t xml:space="preserve"> and instead some basic approaches can be implemented. For instance,</w:t>
      </w:r>
      <w:r w:rsidR="001B3EE4">
        <w:rPr>
          <w:rFonts w:eastAsiaTheme="minorEastAsia"/>
        </w:rPr>
        <w:t xml:space="preserve"> </w:t>
      </w:r>
      <w:r w:rsidR="00777B9C" w:rsidRPr="008B3AD6">
        <w:rPr>
          <w:rFonts w:eastAsiaTheme="minorEastAsia"/>
        </w:rPr>
        <w:t xml:space="preserve"> physiological-based pharmacokinetic models (PBPK) infer some spatial consideration by segregating organs into distinct compartments </w:t>
      </w:r>
      <w:r w:rsidR="00574F83" w:rsidRPr="008B3AD6">
        <w:rPr>
          <w:rFonts w:eastAsiaTheme="minorEastAsia"/>
        </w:rPr>
        <w:fldChar w:fldCharType="begin"/>
      </w:r>
      <w:r w:rsidR="00025067">
        <w:rPr>
          <w:rFonts w:eastAsiaTheme="minorEastAsia"/>
        </w:rPr>
        <w:instrText xml:space="preserve"> ADDIN ZOTERO_ITEM CSL_CITATION {"citationID":"Q2bHNFE3","properties":{"formattedCitation":"(Lahoz-Beneytez et al. 2017)","plainCitation":"(Lahoz-Beneytez et al. 2017)","noteIndex":0},"citationItems":[{"id":3399,"uris":["http://zotero.org/users/2628971/items/9VRW7K5L"],"uri":["http://zotero.org/users/2628971/items/9VRW7K5L"],"itemData":{"id":3399,"type":"article-journal","title":"Physiologically Based Simulations of Deuterated Glucose for Quantifying Cell Turnover in Humans","container-title":"Frontiers in Immunology","volume":"8","source":"Frontiers","abstract":"In vivo [6,6-2H2]-glucose labelling is a state of the art technique for quantifying cell proliferation and cell disappearance in humans. However, there are discrepancies between estimates of T cell proliferation reported in short (one-day) versus long (seven-day) 2H2-glucose studies and very-long (9-week) 2H2O studies. It has been suggested that these discrepancies arise from underestimation of true glucose exposure from intermittent blood sampling in the one-day study. Label availability in glucose studies is normally approximated by a “square pulse”. Since the body glucose pool is small and turns over rapidly the availability of labelled glucose can be subject to large fluctuations and the square pulse approximation may be very inaccurate. Here we model the pharmacokinetics of exogenous labelled glucose using a physiologically based pharmacokinetic (PBPK) model to assess the impact of a more complete description of label availability as a function of time on estimates of CD4+ and CD8+ T cell proliferation and disappearance. The model enabled us to predict the exposure to labelled glucose during the fasting and de-labelling phases, capture the fluctuations of labelled glucose availability caused by the intake of food or high-glucose beverages, and to re-calculate the proliferation and death rates of immune cells. The PBPK model was used to reanalyse experimental data from three previously published studies using different labelling protocols. Although using the PBPK enrichment profile decreased the one-day proliferation estimates by about 4% and 7% for CD4 and CD8+ T cells, respectively, differences with the seven-day and 9-week studies remained significant. We conclude that the approximations underlying the “square pulse” approach – recently suggested as the most plausible hypothesis– only explain a component of the discrepancy in published T cell proliferation rate estimates.","URL":"https://www.frontiersin.org/articles/10.3389/fimmu.2017.00474/full#h10","DOI":"10.3389/fimmu.2017.00474","ISSN":"1664-3224","journalAbbreviation":"Front. Immunol.","language":"English","author":[{"family":"Lahoz-Beneytez","given":"Julio"},{"family":"Schaller","given":"Stephan"},{"family":"Macallan","given":"Derek"},{"family":"Eissing","given":"Thomas"},{"family":"Niederalt","given":"Christoph"},{"family":"Asquith","given":"Becca"}],"issued":{"date-parts":[["2017"]]},"accessed":{"date-parts":[["2018",8,17]]}}}],"schema":"https://github.com/citation-style-language/schema/raw/master/csl-citation.json"} </w:instrText>
      </w:r>
      <w:r w:rsidR="00574F83" w:rsidRPr="008B3AD6">
        <w:rPr>
          <w:rFonts w:eastAsiaTheme="minorEastAsia"/>
        </w:rPr>
        <w:fldChar w:fldCharType="separate"/>
      </w:r>
      <w:r w:rsidR="00025067" w:rsidRPr="00025067">
        <w:rPr>
          <w:lang w:val="en-US"/>
        </w:rPr>
        <w:t>(Lahoz-Beneytez et al. 2017)</w:t>
      </w:r>
      <w:r w:rsidR="00574F83" w:rsidRPr="008B3AD6">
        <w:rPr>
          <w:rFonts w:eastAsiaTheme="minorEastAsia"/>
        </w:rPr>
        <w:fldChar w:fldCharType="end"/>
      </w:r>
      <w:r w:rsidR="007E204D" w:rsidRPr="008B3AD6">
        <w:rPr>
          <w:rFonts w:eastAsiaTheme="minorEastAsia"/>
        </w:rPr>
        <w:t xml:space="preserve"> </w:t>
      </w:r>
      <w:r w:rsidR="00777B9C" w:rsidRPr="008B3AD6">
        <w:rPr>
          <w:rFonts w:eastAsiaTheme="minorEastAsia"/>
        </w:rPr>
        <w:t xml:space="preserve">or </w:t>
      </w:r>
      <w:r w:rsidR="00777B9C" w:rsidRPr="008B3AD6">
        <w:rPr>
          <w:rFonts w:eastAsiaTheme="minorEastAsia"/>
        </w:rPr>
        <w:lastRenderedPageBreak/>
        <w:t>implementing sub-compartments to distinguish being vas</w:t>
      </w:r>
      <w:r w:rsidR="004D17E1" w:rsidRPr="008B3AD6">
        <w:rPr>
          <w:rFonts w:eastAsiaTheme="minorEastAsia"/>
        </w:rPr>
        <w:t xml:space="preserve">cular and non-vascular tissue </w:t>
      </w:r>
      <w:r w:rsidR="004D17E1" w:rsidRPr="008B3AD6">
        <w:rPr>
          <w:rFonts w:eastAsiaTheme="minorEastAsia"/>
        </w:rPr>
        <w:fldChar w:fldCharType="begin"/>
      </w:r>
      <w:r w:rsidR="00025067">
        <w:rPr>
          <w:rFonts w:eastAsiaTheme="minorEastAsia"/>
        </w:rPr>
        <w:instrText xml:space="preserve"> ADDIN ZOTERO_ITEM CSL_CITATION {"citationID":"JOB44cy5","properties":{"formattedCitation":"(Jones and Rowland-Yeo 2013; Kagan et al. 2014a)","plainCitation":"(Jones and Rowland-Yeo 2013; Kagan et al. 2014a)","noteIndex":0},"citationItems":[{"id":3401,"uris":["http://zotero.org/users/2628971/items/RTL9J2RU"],"uri":["http://zotero.org/users/2628971/items/RTL9J2RU"],"itemData":{"id":3401,"type":"article-journal","title":"Basic Concepts in Physiologically Based Pharmacokinetic Modeling in Drug Discovery and Development","container-title":"CPT: Pharmacometrics &amp; Systems Pharmacology","page":"e63","volume":"2","issue":"8","source":"PubMed Central","DOI":"10.1038/psp.2013.41","ISSN":"2163-8306","note":"PMID: 23945604\nPMCID: PMC3828005","journalAbbreviation":"CPT Pharmacometrics Syst Pharmacol","author":[{"family":"Jones","given":"HM"},{"family":"Rowland-Yeo","given":"K"}],"issued":{"date-parts":[["2013",8]]}}},{"id":2375,"uris":["http://zotero.org/users/2628971/items/NFXI8A7J"],"uri":["http://zotero.org/users/2628971/items/NFXI8A7J"],"itemData":{"id":2375,"type":"article-journal","title":"Dual physiologically based pharmacokinetic model of liposomal and nonliposomal amphotericin B disposition","container-title":"Pharmaceutical Research","page":"35-45","volume":"31","issue":"1","source":"PubMed","abstract":"PURPOSE: To investigate the biodistribution of amphotericin B (AmB) in mice and rats following administration of liposomal AmB (AmBisome®) using a physiologically-based pharmacokinetic (PBPK) modeling framework and to utilize this approach for predicting AmBisome® pharmacokinetics in human tissues.\nMETHODS: AmB plasma and tissue concentration-time data, following single and multiple intravenous administration of nonliposomal and liposomal AmB to mice and rats, were extracted from literature. The whole-body PBPK model was constructed and incorporated nonliposomal and liposomal subcompartments. Various structural models for individual organs were evaluated. Allometric relationships were incorporated into the model to scale parameters based on species body weight.\nRESULTS: A non-Michaelis-Menten mechanism was included into the structure of the liver and spleen liposomal compartments to describe saturable uptake of particles by the reticuloendothelial system. The model successfully described plasma and tissue pharmacokinetics of AmB after administration of AmBisome® to rats and mice.\nCONCLUSIONS: The dual PBPK model demonstrated good predictive performance by reasonably simulating AmB exposure in human tissues. This modeling framework can be potentially utilized for optimizing AmBisome® therapy in humans and for investigating pathophysiological factors controlling AmB pharmacokinetics and pharmacodynamics.","DOI":"10.1007/s11095-013-1127-z","ISSN":"1573-904X","note":"PMID: 23793994","journalAbbreviation":"Pharm. Res.","language":"eng","author":[{"family":"Kagan","given":"Leonid"},{"family":"Gershkovich","given":"Pavel"},{"family":"Wasan","given":"Kishor M."},{"family":"Mager","given":"Donald E."}],"issued":{"date-parts":[["2014",1]]}}}],"schema":"https://github.com/citation-style-language/schema/raw/master/csl-citation.json"} </w:instrText>
      </w:r>
      <w:r w:rsidR="004D17E1" w:rsidRPr="008B3AD6">
        <w:rPr>
          <w:rFonts w:eastAsiaTheme="minorEastAsia"/>
        </w:rPr>
        <w:fldChar w:fldCharType="separate"/>
      </w:r>
      <w:r w:rsidR="00C80233">
        <w:rPr>
          <w:lang w:val="en-US"/>
        </w:rPr>
        <w:t>(Jones and Rowl</w:t>
      </w:r>
      <w:r w:rsidR="00E5551E">
        <w:rPr>
          <w:lang w:val="en-US"/>
        </w:rPr>
        <w:t>and-Yeo 2013; Kagan et al. 2014</w:t>
      </w:r>
      <w:r w:rsidR="00C80233">
        <w:rPr>
          <w:lang w:val="en-US"/>
        </w:rPr>
        <w:t>)</w:t>
      </w:r>
      <w:r w:rsidR="004D17E1" w:rsidRPr="008B3AD6">
        <w:rPr>
          <w:rFonts w:eastAsiaTheme="minorEastAsia"/>
        </w:rPr>
        <w:fldChar w:fldCharType="end"/>
      </w:r>
      <w:r w:rsidR="00777B9C" w:rsidRPr="008B3AD6">
        <w:rPr>
          <w:rFonts w:eastAsiaTheme="minorEastAsia"/>
        </w:rPr>
        <w:t xml:space="preserve">. </w:t>
      </w:r>
    </w:p>
    <w:p w14:paraId="40F47307" w14:textId="77777777" w:rsidR="00E24F5C" w:rsidRPr="008B3AD6" w:rsidRDefault="00E24F5C" w:rsidP="004D3811">
      <w:pPr>
        <w:spacing w:line="360" w:lineRule="auto"/>
        <w:jc w:val="both"/>
        <w:rPr>
          <w:rFonts w:eastAsiaTheme="minorEastAsia"/>
        </w:rPr>
      </w:pPr>
    </w:p>
    <w:p w14:paraId="74A47E1F" w14:textId="69A23F5A" w:rsidR="00692EE3" w:rsidRPr="008B3AD6" w:rsidRDefault="00B40F5C" w:rsidP="004D3811">
      <w:pPr>
        <w:spacing w:line="360" w:lineRule="auto"/>
        <w:jc w:val="both"/>
        <w:rPr>
          <w:rFonts w:eastAsiaTheme="minorEastAsia"/>
        </w:rPr>
      </w:pPr>
      <w:r w:rsidRPr="008B3AD6">
        <w:rPr>
          <w:rFonts w:eastAsiaTheme="minorEastAsia"/>
        </w:rPr>
        <w:t xml:space="preserve">ODEs </w:t>
      </w:r>
      <w:r w:rsidR="00D147AE" w:rsidRPr="008B3AD6">
        <w:rPr>
          <w:rFonts w:eastAsiaTheme="minorEastAsia"/>
        </w:rPr>
        <w:t xml:space="preserve">benefit from being, </w:t>
      </w:r>
      <w:r w:rsidRPr="008B3AD6">
        <w:rPr>
          <w:rFonts w:eastAsiaTheme="minorEastAsia"/>
        </w:rPr>
        <w:t>generally</w:t>
      </w:r>
      <w:r w:rsidR="00D147AE" w:rsidRPr="008B3AD6">
        <w:rPr>
          <w:rFonts w:eastAsiaTheme="minorEastAsia"/>
        </w:rPr>
        <w:t>,</w:t>
      </w:r>
      <w:r w:rsidRPr="008B3AD6">
        <w:rPr>
          <w:rFonts w:eastAsiaTheme="minorEastAsia"/>
        </w:rPr>
        <w:t xml:space="preserve"> computationally inexpensive</w:t>
      </w:r>
      <w:r w:rsidR="00D147AE" w:rsidRPr="008B3AD6">
        <w:rPr>
          <w:rFonts w:eastAsiaTheme="minorEastAsia"/>
        </w:rPr>
        <w:t xml:space="preserve"> as they do not require the computational power that are needed for the running of PDEs and Agent-based models (ABMs). ODEs can be implemented in a wide variety of development environments </w:t>
      </w:r>
      <w:r w:rsidR="005C283A" w:rsidRPr="008B3AD6">
        <w:rPr>
          <w:rFonts w:eastAsiaTheme="minorEastAsia"/>
        </w:rPr>
        <w:t xml:space="preserve">such as RStudio </w:t>
      </w:r>
      <w:r w:rsidR="007E204D" w:rsidRPr="008B3AD6">
        <w:rPr>
          <w:rFonts w:eastAsiaTheme="minorEastAsia"/>
        </w:rPr>
        <w:t>and MATLAB</w:t>
      </w:r>
      <w:r w:rsidR="00D147AE" w:rsidRPr="008B3AD6">
        <w:rPr>
          <w:rFonts w:eastAsiaTheme="minorEastAsia"/>
        </w:rPr>
        <w:t xml:space="preserve">. These programmes additionally provide tools for the calibration of these models (see Section </w:t>
      </w:r>
      <w:r w:rsidR="00D147AE" w:rsidRPr="008B3AD6">
        <w:rPr>
          <w:rFonts w:eastAsiaTheme="minorEastAsia"/>
        </w:rPr>
        <w:fldChar w:fldCharType="begin"/>
      </w:r>
      <w:r w:rsidR="00D147AE" w:rsidRPr="008B3AD6">
        <w:rPr>
          <w:rFonts w:eastAsiaTheme="minorEastAsia"/>
        </w:rPr>
        <w:instrText xml:space="preserve"> REF _Ref522268512 \n </w:instrText>
      </w:r>
      <w:r w:rsidR="002B1606" w:rsidRPr="008B3AD6">
        <w:rPr>
          <w:rFonts w:eastAsiaTheme="minorEastAsia"/>
        </w:rPr>
        <w:instrText xml:space="preserve"> \* MERGEFORMAT </w:instrText>
      </w:r>
      <w:r w:rsidR="00D147AE" w:rsidRPr="008B3AD6">
        <w:rPr>
          <w:rFonts w:eastAsiaTheme="minorEastAsia"/>
        </w:rPr>
        <w:fldChar w:fldCharType="separate"/>
      </w:r>
      <w:r w:rsidR="00031DCA">
        <w:rPr>
          <w:rFonts w:eastAsiaTheme="minorEastAsia"/>
        </w:rPr>
        <w:t>1.3.3</w:t>
      </w:r>
      <w:r w:rsidR="00D147AE" w:rsidRPr="008B3AD6">
        <w:rPr>
          <w:rFonts w:eastAsiaTheme="minorEastAsia"/>
        </w:rPr>
        <w:fldChar w:fldCharType="end"/>
      </w:r>
      <w:r w:rsidR="00D147AE" w:rsidRPr="008B3AD6">
        <w:rPr>
          <w:rFonts w:eastAsiaTheme="minorEastAsia"/>
        </w:rPr>
        <w:t xml:space="preserve">). </w:t>
      </w:r>
      <w:r w:rsidR="007734E7" w:rsidRPr="008B3AD6">
        <w:rPr>
          <w:rFonts w:eastAsiaTheme="minorEastAsia"/>
        </w:rPr>
        <w:t xml:space="preserve">Typically for </w:t>
      </w:r>
      <w:r w:rsidR="005D4320" w:rsidRPr="008B3AD6">
        <w:rPr>
          <w:rFonts w:eastAsiaTheme="minorEastAsia"/>
        </w:rPr>
        <w:t>ODE</w:t>
      </w:r>
      <w:r w:rsidR="007734E7" w:rsidRPr="008B3AD6">
        <w:rPr>
          <w:rFonts w:eastAsiaTheme="minorEastAsia"/>
        </w:rPr>
        <w:t xml:space="preserve"> modelling</w:t>
      </w:r>
      <w:r w:rsidR="001153A1" w:rsidRPr="008B3AD6">
        <w:rPr>
          <w:rFonts w:eastAsiaTheme="minorEastAsia"/>
        </w:rPr>
        <w:t>,</w:t>
      </w:r>
      <w:r w:rsidR="007734E7" w:rsidRPr="008B3AD6">
        <w:rPr>
          <w:rFonts w:eastAsiaTheme="minorEastAsia"/>
        </w:rPr>
        <w:t xml:space="preserve"> once the equations describing the system have been constructed the values </w:t>
      </w:r>
      <w:r w:rsidR="00692EE3" w:rsidRPr="008B3AD6">
        <w:rPr>
          <w:rFonts w:eastAsiaTheme="minorEastAsia"/>
        </w:rPr>
        <w:t xml:space="preserve">(or distributions) </w:t>
      </w:r>
      <w:r w:rsidR="007734E7" w:rsidRPr="008B3AD6">
        <w:rPr>
          <w:rFonts w:eastAsiaTheme="minorEastAsia"/>
        </w:rPr>
        <w:t xml:space="preserve">for the parameter values are derived. Parameters may either be derived </w:t>
      </w:r>
      <w:r w:rsidR="00574F83" w:rsidRPr="008B3AD6">
        <w:rPr>
          <w:rFonts w:eastAsiaTheme="minorEastAsia"/>
        </w:rPr>
        <w:t xml:space="preserve">from the literature </w:t>
      </w:r>
      <w:r w:rsidR="00574F83" w:rsidRPr="008B3AD6">
        <w:rPr>
          <w:rFonts w:eastAsiaTheme="minorEastAsia"/>
        </w:rPr>
        <w:fldChar w:fldCharType="begin"/>
      </w:r>
      <w:r w:rsidR="00025067">
        <w:rPr>
          <w:rFonts w:eastAsiaTheme="minorEastAsia"/>
        </w:rPr>
        <w:instrText xml:space="preserve"> ADDIN ZOTERO_ITEM CSL_CITATION {"citationID":"Tg05E49N","properties":{"formattedCitation":"(Lahoz-Beneytez et al. 2016; Siewe et al. 2016)","plainCitation":"(Lahoz-Beneytez et al. 2016; Siewe et al. 2016)","noteIndex":0},"citationItems":[{"id":3398,"uris":["http://zotero.org/users/2628971/items/EX3UPWX7"],"uri":["http://zotero.org/users/2628971/items/EX3UPWX7"],"itemData":{"id":3398,"type":"article-journal","title":"Human neutrophil kinetics: modeling of stable isotope labeling data supports short blood neutrophil half-lives","container-title":"Blood","page":"3431-3438","volume":"127","issue":"26","source":"www.bloodjournal.org","abstract":"Human neutrophils have traditionally been thought to have a short half-life in blood; estimates vary from 4 to 18 hours. This dogma was recently challenged by stable isotope labeling studies with heavy water, which yielded estimates in excess of 3 days. To investigate this disparity, we generated new stable isotope labeling data in healthy adult subjects using both heavy water (n = 4) and deuterium-labeled glucose (n = 9), a compound with more rapid labeling kinetics. To interpret results, we developed a novel mechanistic model and applied it to previously published (n = 5) and newly generated data. We initially constrained the ratio of the blood neutrophil pool to the marrow precursor pool (ratio = 0.26; from published values). Analysis of heavy water data sets yielded turnover rates consistent with a short blood half-life, but parameters, particularly marrow transit time, were poorly defined. Analysis of glucose-labeling data yielded more precise estimates of half-life (0.79 ± 0.25 days; 19 hours) and marrow transit time (5.80 ± 0.42 days). Substitution of this marrow transit time in the heavy water analysis gave a better-defined blood half-life of 0.77 ± 0.14 days (18.5 hours), close to glucose-derived values. Allowing the ratio of blood neutrophils to mitotic neutrophil precursors (R) to vary yielded a best-fit value of 0.19. Reanalysis of the previously published model and data also revealed the origin of their long estimates for neutrophil half-life: an implicit assumption that R is very large, which is physiologically untenable. We conclude that stable isotope labeling in healthy humans is consistent with a blood neutrophil half-life of less than 1 day.","DOI":"10.1182/blood-2016-03-700336","ISSN":"0006-4971, 1528-0020","note":"PMID: 27136946","shortTitle":"Human neutrophil kinetics","language":"en","author":[{"family":"Lahoz-Beneytez","given":"Julio"},{"family":"Elemans","given":"Marjet"},{"family":"Zhang","given":"Yan"},{"family":"Ahmed","given":"Raya"},{"family":"Salam","given":"Arafa"},{"family":"Block","given":"Michael"},{"family":"Niederalt","given":"Christoph"},{"family":"Asquith","given":"Becca"},{"family":"Macallan","given":"Derek"}],"issued":{"date-parts":[["2016",6,30]]}}},{"id":2578,"uris":["http://zotero.org/users/2628971/items/GKTD3VPK"],"uri":["http://zotero.org/users/2628971/items/GKTD3VPK"],"itemData":{"id":2578,"type":"article-journal","title":"Immune response to infection by Leishmania: A mathematical model","container-title":"Mathematical Biosciences","page":"28-43","volume":"276","source":"PubMed","abstract":"Leishmaniasis is a disease caused by the Leishmania parasites. The injection of the parasites into the host occurs when a sand fly, which is the vector, bites the skin of the host. The parasites, which are obligate, take advantage of the immune system response and invade both the classically activated macrophages (M1) and the alternatively activated macrophages (M2). In this paper, we develop a mathematical model to explain the evolution of the disease. Simulations of the model show that, M2 macrophages steadily increase and M1 macrophages steadily decrease, while M1+M2 reach a steady state which is approximately the same as at healthy state of the host. Furthermore, the ratio of Leishmania parasites to macrophages depends homogeneously on their ratio at the time of the initial infection, in agreement with in vitro experimental data. The model is used to simulate treatment by existing or potential new drugs, and to compare the efficacy of different schedules of drug delivery.","DOI":"10.1016/j.mbs.2016.02.015","ISSN":"1879-3134","note":"PMID: 26987853","shortTitle":"Immune response to infection by Leishmania","journalAbbreviation":"Math Biosci","language":"eng","author":[{"family":"Siewe","given":"Nourridine"},{"family":"Yakubu","given":"Abdul-Aziz"},{"family":"Satoskar","given":"Abhay R."},{"family":"Friedman","given":"Avner"}],"issued":{"date-parts":[["2016"]]}}}],"schema":"https://github.com/citation-style-language/schema/raw/master/csl-citation.json"} </w:instrText>
      </w:r>
      <w:r w:rsidR="00574F83" w:rsidRPr="008B3AD6">
        <w:rPr>
          <w:rFonts w:eastAsiaTheme="minorEastAsia"/>
        </w:rPr>
        <w:fldChar w:fldCharType="separate"/>
      </w:r>
      <w:r w:rsidR="00025067" w:rsidRPr="00025067">
        <w:rPr>
          <w:lang w:val="en-US"/>
        </w:rPr>
        <w:t>(Lahoz-Beneytez et al. 2016; Siewe et al. 2016)</w:t>
      </w:r>
      <w:r w:rsidR="00574F83" w:rsidRPr="008B3AD6">
        <w:rPr>
          <w:rFonts w:eastAsiaTheme="minorEastAsia"/>
        </w:rPr>
        <w:fldChar w:fldCharType="end"/>
      </w:r>
      <w:r w:rsidR="00574F83" w:rsidRPr="008B3AD6">
        <w:rPr>
          <w:rFonts w:eastAsiaTheme="minorEastAsia"/>
        </w:rPr>
        <w:t xml:space="preserve">, </w:t>
      </w:r>
      <w:r w:rsidR="007734E7" w:rsidRPr="008B3AD6">
        <w:rPr>
          <w:rFonts w:eastAsiaTheme="minorEastAsia"/>
        </w:rPr>
        <w:t xml:space="preserve">through comparing </w:t>
      </w:r>
      <w:r w:rsidR="00692EE3" w:rsidRPr="008B3AD6">
        <w:rPr>
          <w:rFonts w:eastAsiaTheme="minorEastAsia"/>
        </w:rPr>
        <w:t>the model</w:t>
      </w:r>
      <w:r w:rsidR="007734E7" w:rsidRPr="008B3AD6">
        <w:rPr>
          <w:rFonts w:eastAsiaTheme="minorEastAsia"/>
        </w:rPr>
        <w:t xml:space="preserve"> output</w:t>
      </w:r>
      <w:r w:rsidR="00692EE3" w:rsidRPr="008B3AD6">
        <w:rPr>
          <w:rFonts w:eastAsiaTheme="minorEastAsia"/>
        </w:rPr>
        <w:t xml:space="preserve"> to biological data </w:t>
      </w:r>
      <w:r w:rsidR="00574F83" w:rsidRPr="008B3AD6">
        <w:rPr>
          <w:rFonts w:eastAsiaTheme="minorEastAsia"/>
        </w:rPr>
        <w:fldChar w:fldCharType="begin"/>
      </w:r>
      <w:r w:rsidR="00025067">
        <w:rPr>
          <w:rFonts w:eastAsiaTheme="minorEastAsia"/>
        </w:rPr>
        <w:instrText xml:space="preserve"> ADDIN ZOTERO_ITEM CSL_CITATION {"citationID":"dEyOikBI","properties":{"formattedCitation":"(Hogan et al. 2014; Lahoz-Beneytez et al. 2016)","plainCitation":"(Hogan et al. 2014; Lahoz-Beneytez et al. 2016)","noteIndex":0},"citationItems":[{"id":2620,"uris":["http://zotero.org/users/2628971/items/Z2XWDERH"],"uri":["http://zotero.org/users/2628971/items/Z2XWDERH"],"itemData":{"id":2620,"type":"article-journal","title":"Spatial heterogeneity and peptide availability determine CTL killing efficiency in vivo","container-title":"PLoS computational biology","page":"e1003805","volume":"10","issue":"9","source":"PubMed","abstract":"The rate at which a cytotoxic T lymphocyte (CTL) can survey for infected cells is a key ingredient of models of vertebrate immune responses to intracellular pathogens. Estimates have been obtained using in vivo cytotoxicity assays in which peptide-pulsed splenocytes are killed by CTL in the spleens of immunised mice. However the spleen is a heterogeneous environment and splenocytes comprise multiple cell types. Are some cell types intrinsically more susceptible to lysis than others? Quantitatively, what impacts are made by the spatial distribution of targets and effectors, and the level of peptide-MHC on the target cell surface? To address these questions we revisited the splenocyte killing assay, using CTL specific for an epitope of influenza virus. We found that at the cell population level T cell targets were killed more rapidly than B cells. Using modeling, quantitative imaging and in vitro killing assays we conclude that this difference in vivo likely reflects different migratory patterns of targets within the spleen and a heterogeneous distribution of CTL, with no detectable difference in the intrinsic susceptibilities of the two populations to lysis. Modeling of the stages involved in the detection and killing of peptide-pulsed targets in vitro revealed that peptide dose influenced the ability of CTL to form conjugates with targets but had no detectable effect on the probability that conjugation resulted in lysis, and that T cell targets took longer to lyse than B cells. We also infer that incomplete killing in vivo of cells pulsed with low doses of peptide may be due to a combination of heterogeneity in peptide uptake and the dissociation, but not internalisation, of peptide-MHC complexes. Our analyses demonstrate how population-averaged parameters in models of immune responses can be dissected to account for both spatial and cellular heterogeneity.","DOI":"10.1371/journal.pcbi.1003805","ISSN":"1553-7358","note":"PMID: 25233372\nPMCID: PMC4168979","journalAbbreviation":"PLoS Comput. Biol.","language":"eng","author":[{"family":"Hogan","given":"Thea"},{"family":"Kadolsky","given":"Ulrich"},{"family":"Tung","given":"Sim"},{"family":"Seddon","given":"Benedict"},{"family":"Yates","given":"Andrew"}],"issued":{"date-parts":[["2014",9]]}}},{"id":3398,"uris":["http://zotero.org/users/2628971/items/EX3UPWX7"],"uri":["http://zotero.org/users/2628971/items/EX3UPWX7"],"itemData":{"id":3398,"type":"article-journal","title":"Human neutrophil kinetics: modeling of stable isotope labeling data supports short blood neutrophil half-lives","container-title":"Blood","page":"3431-3438","volume":"127","issue":"26","source":"www.bloodjournal.org","abstract":"Human neutrophils have traditionally been thought to have a short half-life in blood; estimates vary from 4 to 18 hours. This dogma was recently challenged by stable isotope labeling studies with heavy water, which yielded estimates in excess of 3 days. To investigate this disparity, we generated new stable isotope labeling data in healthy adult subjects using both heavy water (n = 4) and deuterium-labeled glucose (n = 9), a compound with more rapid labeling kinetics. To interpret results, we developed a novel mechanistic model and applied it to previously published (n = 5) and newly generated data. We initially constrained the ratio of the blood neutrophil pool to the marrow precursor pool (ratio = 0.26; from published values). Analysis of heavy water data sets yielded turnover rates consistent with a short blood half-life, but parameters, particularly marrow transit time, were poorly defined. Analysis of glucose-labeling data yielded more precise estimates of half-life (0.79 ± 0.25 days; 19 hours) and marrow transit time (5.80 ± 0.42 days). Substitution of this marrow transit time in the heavy water analysis gave a better-defined blood half-life of 0.77 ± 0.14 days (18.5 hours), close to glucose-derived values. Allowing the ratio of blood neutrophils to mitotic neutrophil precursors (R) to vary yielded a best-fit value of 0.19. Reanalysis of the previously published model and data also revealed the origin of their long estimates for neutrophil half-life: an implicit assumption that R is very large, which is physiologically untenable. We conclude that stable isotope labeling in healthy humans is consistent with a blood neutrophil half-life of less than 1 day.","DOI":"10.1182/blood-2016-03-700336","ISSN":"0006-4971, 1528-0020","note":"PMID: 27136946","shortTitle":"Human neutrophil kinetics","language":"en","author":[{"family":"Lahoz-Beneytez","given":"Julio"},{"family":"Elemans","given":"Marjet"},{"family":"Zhang","given":"Yan"},{"family":"Ahmed","given":"Raya"},{"family":"Salam","given":"Arafa"},{"family":"Block","given":"Michael"},{"family":"Niederalt","given":"Christoph"},{"family":"Asquith","given":"Becca"},{"family":"Macallan","given":"Derek"}],"issued":{"date-parts":[["2016",6,30]]}}}],"schema":"https://github.com/citation-style-language/schema/raw/master/csl-citation.json"} </w:instrText>
      </w:r>
      <w:r w:rsidR="00574F83" w:rsidRPr="008B3AD6">
        <w:rPr>
          <w:rFonts w:eastAsiaTheme="minorEastAsia"/>
        </w:rPr>
        <w:fldChar w:fldCharType="separate"/>
      </w:r>
      <w:r w:rsidR="00025067" w:rsidRPr="00025067">
        <w:rPr>
          <w:lang w:val="en-US"/>
        </w:rPr>
        <w:t>(Hogan et al. 2014; Lahoz-Beneytez et al. 2016)</w:t>
      </w:r>
      <w:r w:rsidR="00574F83" w:rsidRPr="008B3AD6">
        <w:rPr>
          <w:rFonts w:eastAsiaTheme="minorEastAsia"/>
        </w:rPr>
        <w:fldChar w:fldCharType="end"/>
      </w:r>
      <w:r w:rsidR="00692EE3" w:rsidRPr="008B3AD6">
        <w:rPr>
          <w:rFonts w:eastAsiaTheme="minorEastAsia"/>
        </w:rPr>
        <w:t xml:space="preserve"> or in theoretical scenarios arbitrary values are supplied to determine the effect on simulation output </w:t>
      </w:r>
      <w:r w:rsidR="007E204D" w:rsidRPr="008B3AD6">
        <w:rPr>
          <w:rFonts w:eastAsiaTheme="minorEastAsia"/>
        </w:rPr>
        <w:fldChar w:fldCharType="begin"/>
      </w:r>
      <w:r w:rsidR="00025067">
        <w:rPr>
          <w:rFonts w:eastAsiaTheme="minorEastAsia"/>
        </w:rPr>
        <w:instrText xml:space="preserve"> ADDIN ZOTERO_ITEM CSL_CITATION {"citationID":"rYU1Fyq1","properties":{"formattedCitation":"(Rob J. De Boer and Perelson 1995)","plainCitation":"(Rob J. De Boer and Perelson 1995)","noteIndex":0},"citationItems":[{"id":3400,"uris":["http://zotero.org/users/2628971/items/UW5SIM3W"],"uri":["http://zotero.org/users/2628971/items/UW5SIM3W"],"itemData":{"id":3400,"type":"article-journal","title":"Towards a general function describing t cell proliferation","container-title":"Journal of Theoretical Biology","page":"567-576","volume":"175","issue":"4","source":"ScienceDirect","abstract":"A new function is proposed for describing the rate of T cell proliferation in response to peptides on antigen-presenting cells. The model improves an earlier model of ours by allowing for a true maximum proliferation rate of the T cells. This is achieved by a simple change of variables that markedly relaxes the conditions for a conventional quasi-steady-state assumption. The new model has the same “ecological” properties as the previous one. Thus the natural competition in the model allows for regulation of T cell population size in the presence of continuous stimulation by antigen. An important feature is the competitive exclusion of T cell clones recognizing the same peptide with different affinities allowing for “affinity selection”. Models for the population dynamics of experienced, naı&amp;#x0308;ve and activated T cells are also developed. These T cell subpopulations compete with one another for antigen. In models with lymphokine production a “proliferation threshold” is obtained that allows for tolerance.","DOI":"10.1006/jtbi.1995.0165","ISSN":"0022-5193","journalAbbreviation":"Journal of Theoretical Biology","author":[{"family":"De Boer","given":"Rob J."},{"family":"Perelson","given":"A. S."}],"issued":{"date-parts":[["1995",8,21]]}}}],"schema":"https://github.com/citation-style-language/schema/raw/master/csl-citation.json"} </w:instrText>
      </w:r>
      <w:r w:rsidR="007E204D" w:rsidRPr="008B3AD6">
        <w:rPr>
          <w:rFonts w:eastAsiaTheme="minorEastAsia"/>
        </w:rPr>
        <w:fldChar w:fldCharType="separate"/>
      </w:r>
      <w:r w:rsidR="00025067" w:rsidRPr="00025067">
        <w:rPr>
          <w:lang w:val="en-US"/>
        </w:rPr>
        <w:t>(De Boer and Perelson 1995)</w:t>
      </w:r>
      <w:r w:rsidR="007E204D" w:rsidRPr="008B3AD6">
        <w:rPr>
          <w:rFonts w:eastAsiaTheme="minorEastAsia"/>
        </w:rPr>
        <w:fldChar w:fldCharType="end"/>
      </w:r>
      <w:r w:rsidR="00692EE3" w:rsidRPr="008B3AD6">
        <w:rPr>
          <w:rFonts w:eastAsiaTheme="minorEastAsia"/>
        </w:rPr>
        <w:t>.</w:t>
      </w:r>
      <w:r w:rsidR="005D4320" w:rsidRPr="008B3AD6">
        <w:rPr>
          <w:rFonts w:eastAsiaTheme="minorEastAsia"/>
        </w:rPr>
        <w:t xml:space="preserve"> </w:t>
      </w:r>
    </w:p>
    <w:p w14:paraId="3DF897AF" w14:textId="77777777" w:rsidR="005D4320" w:rsidRPr="008B3AD6" w:rsidRDefault="005D4320" w:rsidP="004D3811">
      <w:pPr>
        <w:spacing w:line="360" w:lineRule="auto"/>
        <w:jc w:val="both"/>
        <w:rPr>
          <w:rFonts w:eastAsiaTheme="minorEastAsia"/>
        </w:rPr>
      </w:pPr>
    </w:p>
    <w:p w14:paraId="17DA0776" w14:textId="035A9C6A" w:rsidR="001153A1" w:rsidRPr="008B3AD6" w:rsidRDefault="001153A1" w:rsidP="004D3811">
      <w:pPr>
        <w:spacing w:line="360" w:lineRule="auto"/>
        <w:jc w:val="both"/>
        <w:rPr>
          <w:rFonts w:eastAsiaTheme="minorEastAsia"/>
        </w:rPr>
      </w:pPr>
      <w:r w:rsidRPr="008B3AD6">
        <w:rPr>
          <w:rFonts w:eastAsiaTheme="minorEastAsia"/>
        </w:rPr>
        <w:t xml:space="preserve">In a development environment, such as RStudio, </w:t>
      </w:r>
      <w:r w:rsidR="00A10BE7" w:rsidRPr="008B3AD6">
        <w:rPr>
          <w:rFonts w:eastAsiaTheme="minorEastAsia"/>
        </w:rPr>
        <w:t>ODE</w:t>
      </w:r>
      <w:r w:rsidRPr="008B3AD6">
        <w:rPr>
          <w:rFonts w:eastAsiaTheme="minorEastAsia"/>
        </w:rPr>
        <w:t xml:space="preserve"> model</w:t>
      </w:r>
      <w:r w:rsidR="00A10BE7" w:rsidRPr="008B3AD6">
        <w:rPr>
          <w:rFonts w:eastAsiaTheme="minorEastAsia"/>
        </w:rPr>
        <w:t>s</w:t>
      </w:r>
      <w:r w:rsidRPr="008B3AD6">
        <w:rPr>
          <w:rFonts w:eastAsiaTheme="minorEastAsia"/>
        </w:rPr>
        <w:t xml:space="preserve"> can be </w:t>
      </w:r>
      <w:r w:rsidR="00BC1D1F">
        <w:rPr>
          <w:rFonts w:eastAsiaTheme="minorEastAsia"/>
        </w:rPr>
        <w:t>run</w:t>
      </w:r>
      <w:r w:rsidRPr="008B3AD6">
        <w:rPr>
          <w:rFonts w:eastAsiaTheme="minorEastAsia"/>
        </w:rPr>
        <w:t xml:space="preserve"> using either</w:t>
      </w:r>
      <w:r w:rsidR="00A10BE7" w:rsidRPr="008B3AD6">
        <w:rPr>
          <w:rFonts w:eastAsiaTheme="minorEastAsia"/>
        </w:rPr>
        <w:t xml:space="preserve"> </w:t>
      </w:r>
      <w:r w:rsidRPr="008B3AD6">
        <w:rPr>
          <w:rFonts w:eastAsiaTheme="minorEastAsia"/>
        </w:rPr>
        <w:t>deterministic or stochastic solver</w:t>
      </w:r>
      <w:r w:rsidR="00A10BE7" w:rsidRPr="008B3AD6">
        <w:rPr>
          <w:rFonts w:eastAsiaTheme="minorEastAsia"/>
        </w:rPr>
        <w:t>s</w:t>
      </w:r>
      <w:r w:rsidRPr="008B3AD6">
        <w:rPr>
          <w:rFonts w:eastAsiaTheme="minorEastAsia"/>
        </w:rPr>
        <w:t xml:space="preserve">. A deterministic solver ran with the same parameters </w:t>
      </w:r>
      <w:r w:rsidR="00AE7B90" w:rsidRPr="008B3AD6">
        <w:rPr>
          <w:rFonts w:eastAsiaTheme="minorEastAsia"/>
        </w:rPr>
        <w:t xml:space="preserve">and initial conditions (the starting value for the </w:t>
      </w:r>
      <w:r w:rsidR="00BC1D1F">
        <w:rPr>
          <w:rFonts w:eastAsiaTheme="minorEastAsia"/>
        </w:rPr>
        <w:t>populations</w:t>
      </w:r>
      <w:r w:rsidR="00AE7B90" w:rsidRPr="008B3AD6">
        <w:rPr>
          <w:rFonts w:eastAsiaTheme="minorEastAsia"/>
        </w:rPr>
        <w:t xml:space="preserve"> the model describes) will give the same </w:t>
      </w:r>
      <w:r w:rsidRPr="008B3AD6">
        <w:rPr>
          <w:rFonts w:eastAsiaTheme="minorEastAsia"/>
        </w:rPr>
        <w:t>output every time</w:t>
      </w:r>
      <w:r w:rsidR="004C4533" w:rsidRPr="008B3AD6">
        <w:rPr>
          <w:rFonts w:eastAsiaTheme="minorEastAsia"/>
        </w:rPr>
        <w:t xml:space="preserve"> it is </w:t>
      </w:r>
      <w:r w:rsidR="00A10BE7" w:rsidRPr="008B3AD6">
        <w:rPr>
          <w:rFonts w:eastAsiaTheme="minorEastAsia"/>
        </w:rPr>
        <w:t>ran</w:t>
      </w:r>
      <w:r w:rsidR="004C4533" w:rsidRPr="008B3AD6">
        <w:rPr>
          <w:rFonts w:eastAsiaTheme="minorEastAsia"/>
        </w:rPr>
        <w:t>.</w:t>
      </w:r>
      <w:r w:rsidR="00AE7B90" w:rsidRPr="008B3AD6">
        <w:rPr>
          <w:rFonts w:eastAsiaTheme="minorEastAsia"/>
        </w:rPr>
        <w:t xml:space="preserve"> A</w:t>
      </w:r>
      <w:r w:rsidR="00442217" w:rsidRPr="008B3AD6">
        <w:rPr>
          <w:rFonts w:eastAsiaTheme="minorEastAsia"/>
        </w:rPr>
        <w:t xml:space="preserve"> stochastic solver</w:t>
      </w:r>
      <w:r w:rsidR="00BC1D1F">
        <w:rPr>
          <w:rFonts w:eastAsiaTheme="minorEastAsia"/>
        </w:rPr>
        <w:t xml:space="preserve"> </w:t>
      </w:r>
      <w:r w:rsidR="00442217" w:rsidRPr="008B3AD6">
        <w:rPr>
          <w:rFonts w:eastAsiaTheme="minorEastAsia"/>
        </w:rPr>
        <w:t>will give different outputs for the same set of parameters</w:t>
      </w:r>
      <w:r w:rsidR="004C4533" w:rsidRPr="008B3AD6">
        <w:rPr>
          <w:rFonts w:eastAsiaTheme="minorEastAsia"/>
        </w:rPr>
        <w:t xml:space="preserve"> and initial conditions</w:t>
      </w:r>
      <w:r w:rsidR="00442217" w:rsidRPr="008B3AD6">
        <w:rPr>
          <w:rFonts w:eastAsiaTheme="minorEastAsia"/>
        </w:rPr>
        <w:t xml:space="preserve">. </w:t>
      </w:r>
      <w:r w:rsidR="004C4533" w:rsidRPr="008B3AD6">
        <w:rPr>
          <w:rFonts w:eastAsiaTheme="minorEastAsia"/>
        </w:rPr>
        <w:t>T</w:t>
      </w:r>
      <w:r w:rsidR="00AA161C" w:rsidRPr="008B3AD6">
        <w:rPr>
          <w:rFonts w:eastAsiaTheme="minorEastAsia"/>
        </w:rPr>
        <w:t xml:space="preserve">he direct method proposed by Gillespie </w:t>
      </w:r>
      <w:r w:rsidR="004A1BD3" w:rsidRPr="008B3AD6">
        <w:rPr>
          <w:rFonts w:eastAsiaTheme="minorEastAsia"/>
        </w:rPr>
        <w:fldChar w:fldCharType="begin"/>
      </w:r>
      <w:r w:rsidR="00025067">
        <w:rPr>
          <w:rFonts w:eastAsiaTheme="minorEastAsia"/>
        </w:rPr>
        <w:instrText xml:space="preserve"> ADDIN ZOTERO_ITEM CSL_CITATION {"citationID":"Ee3rxeOB","properties":{"formattedCitation":"(Gillespie 1977)","plainCitation":"(Gillespie 1977)","noteIndex":0},"citationItems":[{"id":3397,"uris":["http://zotero.org/users/2628971/items/IJQBCFXK"],"uri":["http://zotero.org/users/2628971/items/IJQBCFXK"],"itemData":{"id":3397,"type":"article-journal","title":"Exact stochastic simulation of coupled chemical reactions","container-title":"The Journal of Physical Chemistry","page":"2340-2361","volume":"81","issue":"25","source":"ACS Publications","DOI":"10.1021/j100540a008","ISSN":"0022-3654","journalAbbreviation":"J. Phys. Chem.","author":[{"family":"Gillespie","given":"Daniel T."}],"issued":{"date-parts":[["1977",12,1]]}}}],"schema":"https://github.com/citation-style-language/schema/raw/master/csl-citation.json"} </w:instrText>
      </w:r>
      <w:r w:rsidR="004A1BD3" w:rsidRPr="008B3AD6">
        <w:rPr>
          <w:rFonts w:eastAsiaTheme="minorEastAsia"/>
        </w:rPr>
        <w:fldChar w:fldCharType="separate"/>
      </w:r>
      <w:r w:rsidR="00025067" w:rsidRPr="00025067">
        <w:rPr>
          <w:lang w:val="en-US"/>
        </w:rPr>
        <w:t>(Gillespie 1977)</w:t>
      </w:r>
      <w:r w:rsidR="004A1BD3" w:rsidRPr="008B3AD6">
        <w:rPr>
          <w:rFonts w:eastAsiaTheme="minorEastAsia"/>
        </w:rPr>
        <w:fldChar w:fldCharType="end"/>
      </w:r>
      <w:r w:rsidR="00AA161C" w:rsidRPr="008B3AD6">
        <w:rPr>
          <w:rFonts w:eastAsiaTheme="minorEastAsia"/>
        </w:rPr>
        <w:t xml:space="preserve"> </w:t>
      </w:r>
      <w:r w:rsidR="004C4533" w:rsidRPr="008B3AD6">
        <w:rPr>
          <w:rFonts w:eastAsiaTheme="minorEastAsia"/>
        </w:rPr>
        <w:t>is a good</w:t>
      </w:r>
      <w:r w:rsidR="00AA161C" w:rsidRPr="008B3AD6">
        <w:rPr>
          <w:rFonts w:eastAsiaTheme="minorEastAsia"/>
        </w:rPr>
        <w:t xml:space="preserve"> example</w:t>
      </w:r>
      <w:r w:rsidR="004C4533" w:rsidRPr="008B3AD6">
        <w:rPr>
          <w:rFonts w:eastAsiaTheme="minorEastAsia"/>
        </w:rPr>
        <w:t xml:space="preserve"> of a stochastic solver.</w:t>
      </w:r>
      <w:r w:rsidR="00AA161C" w:rsidRPr="008B3AD6">
        <w:rPr>
          <w:rFonts w:eastAsiaTheme="minorEastAsia"/>
        </w:rPr>
        <w:t xml:space="preserve"> </w:t>
      </w:r>
      <w:r w:rsidR="00A10BE7" w:rsidRPr="008B3AD6">
        <w:rPr>
          <w:rFonts w:eastAsiaTheme="minorEastAsia"/>
        </w:rPr>
        <w:t xml:space="preserve">When this solver is </w:t>
      </w:r>
      <w:r w:rsidR="001B3EE4">
        <w:rPr>
          <w:rFonts w:eastAsiaTheme="minorEastAsia"/>
        </w:rPr>
        <w:t>ran</w:t>
      </w:r>
      <w:r w:rsidR="00A10BE7" w:rsidRPr="008B3AD6">
        <w:rPr>
          <w:rFonts w:eastAsiaTheme="minorEastAsia"/>
        </w:rPr>
        <w:t>, the supplied</w:t>
      </w:r>
      <w:r w:rsidR="00AA161C" w:rsidRPr="008B3AD6">
        <w:rPr>
          <w:rFonts w:eastAsiaTheme="minorEastAsia"/>
        </w:rPr>
        <w:t xml:space="preserve"> ODE model is initialised followed by the generation of random numbers which determine what functions in the </w:t>
      </w:r>
      <w:r w:rsidR="00BC1D1F" w:rsidRPr="008B3AD6">
        <w:rPr>
          <w:rFonts w:eastAsiaTheme="minorEastAsia"/>
        </w:rPr>
        <w:t xml:space="preserve">ODE </w:t>
      </w:r>
      <w:r w:rsidR="00AA161C" w:rsidRPr="00BC1D1F">
        <w:rPr>
          <w:rFonts w:eastAsiaTheme="minorEastAsia"/>
        </w:rPr>
        <w:t>model</w:t>
      </w:r>
      <w:r w:rsidR="00AA161C" w:rsidRPr="008B3AD6">
        <w:rPr>
          <w:rFonts w:eastAsiaTheme="minorEastAsia"/>
        </w:rPr>
        <w:t xml:space="preserve"> will next occur and </w:t>
      </w:r>
      <w:r w:rsidR="00A10BE7" w:rsidRPr="008B3AD6">
        <w:rPr>
          <w:rFonts w:eastAsiaTheme="minorEastAsia"/>
        </w:rPr>
        <w:t>a</w:t>
      </w:r>
      <w:r w:rsidR="00AA161C" w:rsidRPr="008B3AD6">
        <w:rPr>
          <w:rFonts w:eastAsiaTheme="minorEastAsia"/>
        </w:rPr>
        <w:t xml:space="preserve"> time interval. The time step is increased by the generated interval and the randomly selected function is executed and quantities updated for the interval. This process is iterated until population sizes are zero or the time frame for the simulation has elapsed.</w:t>
      </w:r>
      <w:r w:rsidR="004C4533" w:rsidRPr="008B3AD6">
        <w:rPr>
          <w:rFonts w:eastAsiaTheme="minorEastAsia"/>
        </w:rPr>
        <w:t xml:space="preserve"> Deterministic solvers can be used to make determinations based on a variety of discrete opti</w:t>
      </w:r>
      <w:r w:rsidR="00791C6B" w:rsidRPr="008B3AD6">
        <w:rPr>
          <w:rFonts w:eastAsiaTheme="minorEastAsia"/>
        </w:rPr>
        <w:t>ons, such as in the case of therap</w:t>
      </w:r>
      <w:r w:rsidR="00BC1D1F">
        <w:rPr>
          <w:rFonts w:eastAsiaTheme="minorEastAsia"/>
        </w:rPr>
        <w:t xml:space="preserve">eutic investigations into HIV where an </w:t>
      </w:r>
      <w:r w:rsidR="00BC1D1F">
        <w:rPr>
          <w:rFonts w:eastAsiaTheme="minorEastAsia"/>
          <w:i/>
        </w:rPr>
        <w:t xml:space="preserve">in silico </w:t>
      </w:r>
      <w:r w:rsidR="00791C6B" w:rsidRPr="008B3AD6">
        <w:rPr>
          <w:rFonts w:eastAsiaTheme="minorEastAsia"/>
        </w:rPr>
        <w:t xml:space="preserve">model can be used to </w:t>
      </w:r>
      <w:r w:rsidR="00BC1D1F">
        <w:rPr>
          <w:rFonts w:eastAsiaTheme="minorEastAsia"/>
        </w:rPr>
        <w:t>choose</w:t>
      </w:r>
      <w:r w:rsidR="00791C6B" w:rsidRPr="008B3AD6">
        <w:rPr>
          <w:rFonts w:eastAsiaTheme="minorEastAsia"/>
        </w:rPr>
        <w:t xml:space="preserve"> between different therapies of different efficacies by quantifying the effect of each one. Stochastic solvers can be used for the</w:t>
      </w:r>
      <w:r w:rsidR="00601DF7" w:rsidRPr="008B3AD6">
        <w:rPr>
          <w:rFonts w:eastAsiaTheme="minorEastAsia"/>
        </w:rPr>
        <w:t xml:space="preserve"> investigation of the </w:t>
      </w:r>
      <w:r w:rsidR="00791C6B" w:rsidRPr="008B3AD6">
        <w:rPr>
          <w:rFonts w:eastAsiaTheme="minorEastAsia"/>
        </w:rPr>
        <w:t>likelihood of an outcome occurring</w:t>
      </w:r>
      <w:r w:rsidR="00601DF7" w:rsidRPr="008B3AD6">
        <w:rPr>
          <w:rFonts w:eastAsiaTheme="minorEastAsia"/>
        </w:rPr>
        <w:t xml:space="preserve"> for a given set of functions. For instance, </w:t>
      </w:r>
      <w:r w:rsidR="00F452D2" w:rsidRPr="008B3AD6">
        <w:rPr>
          <w:rFonts w:eastAsiaTheme="minorEastAsia"/>
        </w:rPr>
        <w:t>for a</w:t>
      </w:r>
      <w:r w:rsidR="00BC1D1F">
        <w:rPr>
          <w:rFonts w:eastAsiaTheme="minorEastAsia"/>
        </w:rPr>
        <w:t xml:space="preserve"> mathematical </w:t>
      </w:r>
      <w:r w:rsidR="00F452D2" w:rsidRPr="008B3AD6">
        <w:rPr>
          <w:rFonts w:eastAsiaTheme="minorEastAsia"/>
        </w:rPr>
        <w:t>model of granulomatous inflammation in response to parasitic infection</w:t>
      </w:r>
      <w:r w:rsidR="00601DF7" w:rsidRPr="008B3AD6">
        <w:rPr>
          <w:rFonts w:eastAsiaTheme="minorEastAsia"/>
        </w:rPr>
        <w:t xml:space="preserve"> </w:t>
      </w:r>
      <w:r w:rsidR="004A1BD3" w:rsidRPr="008B3AD6">
        <w:rPr>
          <w:rFonts w:eastAsiaTheme="minorEastAsia"/>
        </w:rPr>
        <w:fldChar w:fldCharType="begin"/>
      </w:r>
      <w:r w:rsidR="00025067">
        <w:rPr>
          <w:rFonts w:eastAsiaTheme="minorEastAsia"/>
        </w:rPr>
        <w:instrText xml:space="preserve"> ADDIN ZOTERO_ITEM CSL_CITATION {"citationID":"WFjmwTHV","properties":{"formattedCitation":"(Albergante et al. 2013)","plainCitation":"(Albergante et al. 2013)","noteIndex":0},"citationItems":[{"id":2607,"uris":["http://zotero.org/users/2628971/items/V9Q4NYEZ"],"uri":["http://zotero.org/users/2628971/items/V9Q4NYEZ"],"itemData":{"id":2607,"type":"article-journal","title":"A Petri net model of granulomatous inflammation: implications for IL-10 mediated control of Leishmania donovani infection","container-title":"PLoS computational biology","page":"e1003334","volume":"9","issue":"11","source":"PubMed","abstract":"Experimental visceral leishmaniasis, caused by infection of mice with the protozoan parasite Leishmania donovani, is characterized by focal accumulation of inflammatory cells in the liver, forming discrete \"granulomas\" within which the parasite is eventually eliminated. To shed new light on fundamental aspects of granuloma formation and function, we have developed an in silico Petri net model that simulates hepatic granuloma development throughout the course of infection. The model was extensively validated by comparison with data derived from experimental studies in mice, and the model robustness was assessed by a sensitivity analysis. The model recapitulated the progression of disease as seen during experimental infection and also faithfully predicted many of the changes in cellular composition seen within granulomas over time. By conducting in silico experiments, we have identified a previously unappreciated level of inter-granuloma diversity in terms of the development of anti-leishmanial activity. Furthermore, by simulating the impact of IL-10 gene deficiency in a variety of lymphocyte and myeloid cell populations, our data suggest a dominant local regulatory role for IL-10 produced by infected Kupffer cells at the core of the granuloma.","DOI":"10.1371/journal.pcbi.1003334","ISSN":"1553-7358","note":"PMID: 24363630\nPMCID: PMC3867212","shortTitle":"A Petri net model of granulomatous inflammation","journalAbbreviation":"PLoS Comput. Biol.","language":"eng","author":[{"family":"Albergante","given":"Luca"},{"family":"Timmis","given":"Jon"},{"family":"Beattie","given":"Lynette"},{"family":"Kaye","given":"Paul M."}],"issued":{"date-parts":[["2013"]]}}}],"schema":"https://github.com/citation-style-language/schema/raw/master/csl-citation.json"} </w:instrText>
      </w:r>
      <w:r w:rsidR="004A1BD3" w:rsidRPr="008B3AD6">
        <w:rPr>
          <w:rFonts w:eastAsiaTheme="minorEastAsia"/>
        </w:rPr>
        <w:fldChar w:fldCharType="separate"/>
      </w:r>
      <w:r w:rsidR="00025067" w:rsidRPr="00025067">
        <w:rPr>
          <w:lang w:val="en-US"/>
        </w:rPr>
        <w:t>(Albergante et al. 2013)</w:t>
      </w:r>
      <w:r w:rsidR="004A1BD3" w:rsidRPr="008B3AD6">
        <w:rPr>
          <w:rFonts w:eastAsiaTheme="minorEastAsia"/>
        </w:rPr>
        <w:fldChar w:fldCharType="end"/>
      </w:r>
      <w:r w:rsidR="00F452D2" w:rsidRPr="008B3AD6">
        <w:rPr>
          <w:rFonts w:eastAsiaTheme="minorEastAsia"/>
        </w:rPr>
        <w:t xml:space="preserve"> solving the </w:t>
      </w:r>
      <w:r w:rsidR="00BC1D1F">
        <w:rPr>
          <w:rFonts w:eastAsiaTheme="minorEastAsia"/>
        </w:rPr>
        <w:t xml:space="preserve">mathematical </w:t>
      </w:r>
      <w:r w:rsidR="00F452D2" w:rsidRPr="008B3AD6">
        <w:rPr>
          <w:rFonts w:eastAsiaTheme="minorEastAsia"/>
        </w:rPr>
        <w:t>model using a stochastic solver found that there was some likelihood of either no relapse in parasite number post-peak burden, a singular relapse or multiple relapses occurring, which would not have been found using a determi</w:t>
      </w:r>
      <w:r w:rsidR="007379BD" w:rsidRPr="008B3AD6">
        <w:rPr>
          <w:rFonts w:eastAsiaTheme="minorEastAsia"/>
        </w:rPr>
        <w:t>ni</w:t>
      </w:r>
      <w:r w:rsidR="00F452D2" w:rsidRPr="008B3AD6">
        <w:rPr>
          <w:rFonts w:eastAsiaTheme="minorEastAsia"/>
        </w:rPr>
        <w:t xml:space="preserve">stic solver. </w:t>
      </w:r>
    </w:p>
    <w:p w14:paraId="14A32377" w14:textId="50D748A3" w:rsidR="00692EE3" w:rsidRPr="008B3AD6" w:rsidRDefault="00692EE3" w:rsidP="004D3811">
      <w:pPr>
        <w:spacing w:line="360" w:lineRule="auto"/>
        <w:jc w:val="both"/>
        <w:rPr>
          <w:rFonts w:eastAsiaTheme="minorEastAsia"/>
        </w:rPr>
      </w:pPr>
    </w:p>
    <w:p w14:paraId="6E0A6E4D" w14:textId="1BAD4D1F" w:rsidR="004C4533" w:rsidRPr="008B3AD6" w:rsidRDefault="005740AD" w:rsidP="004D3811">
      <w:pPr>
        <w:spacing w:line="360" w:lineRule="auto"/>
        <w:jc w:val="both"/>
        <w:rPr>
          <w:rFonts w:eastAsiaTheme="minorEastAsia"/>
        </w:rPr>
      </w:pPr>
      <w:r w:rsidRPr="008B3AD6">
        <w:lastRenderedPageBreak/>
        <w:t xml:space="preserve">In addition to ODEs, </w:t>
      </w:r>
      <w:r w:rsidR="00E33764">
        <w:t xml:space="preserve">PDEs </w:t>
      </w:r>
      <w:r w:rsidR="00A90F1E" w:rsidRPr="008B3AD6">
        <w:t xml:space="preserve">have </w:t>
      </w:r>
      <w:r w:rsidRPr="008B3AD6">
        <w:t xml:space="preserve">sometimes been implemented in immunological research. </w:t>
      </w:r>
      <w:r w:rsidR="009A5C64">
        <w:t>PDEs</w:t>
      </w:r>
      <w:r w:rsidRPr="008B3AD6">
        <w:t xml:space="preserve"> are structured so that equation</w:t>
      </w:r>
      <w:r w:rsidR="009A5C64">
        <w:t>(s)</w:t>
      </w:r>
      <w:r w:rsidRPr="008B3AD6">
        <w:t xml:space="preserve"> contain partial derivatives for two or more independent variables. An example of this within HIV research is the modelling of inter- and intra-host behaviours which are linked by a PDE</w:t>
      </w:r>
      <w:r w:rsidR="00EB609E" w:rsidRPr="008B3AD6">
        <w:t xml:space="preserve"> </w:t>
      </w:r>
      <w:r w:rsidR="00BB16D7" w:rsidRPr="008B3AD6">
        <w:fldChar w:fldCharType="begin"/>
      </w:r>
      <w:r w:rsidR="00C80233">
        <w:instrText xml:space="preserve"> ADDIN ZOTERO_ITEM CSL_CITATION {"citationID":"q4eN3HX7","properties":{"formattedCitation":"(Dorratoltaj et al. 2017a)","plainCitation":"(Dorratoltaj et al. 2017a)","noteIndex":0},"citationItems":[{"id":2753,"uris":["http://zotero.org/users/2628971/items/CC7Z7FFX"],"uri":["http://zotero.org/users/2628971/items/CC7Z7FFX"],"itemData":{"id":2753,"type":"article-journal","title":"Multi-scale immunoepidemiological modeling of within-host and between-host HIV dynamics: systematic review of mathematical models","container-title":"PeerJ","page":"e3877","volume":"5","source":"PubMed","abstract":"OBJECTIVE: The objective of this study is to conduct a systematic review of multi-scale HIV immunoepidemiological models to improve our understanding of the synergistic impact between the HIV viral-immune dynamics at the individual level and HIV transmission dynamics at the population level.\nBACKGROUND: While within-host and between-host models of HIV dynamics have been well studied at a single scale, connecting the immunological and epidemiological scales through multi-scale models is an emerging method to infer the synergistic dynamics of HIV at the individual and population levels.\nMETHODS: We reviewed nine articles using the PRISMA (Preferred Reporting Items for Systematic Reviews and Meta-Analyses) framework that focused on the synergistic dynamics of HIV immunoepidemiological models at the individual and population levels.\nRESULTS: HIV immunoepidemiological models simulate viral immune dynamics at the within-host scale and the epidemiological transmission dynamics at the between-host scale. They account for longitudinal changes in the immune viral dynamics of HIV+ individuals, and their corresponding impact on the transmission dynamics in the population. They are useful to analyze the dynamics of HIV super-infection, co-infection, drug resistance, evolution, and treatment in HIV+ individuals, and their impact on the epidemic pathways in the population. We illustrate the coupling mechanisms of the within-host and between-host scales, their mathematical implementation, and the clinical and public health problems that are appropriate for analysis using HIV immunoepidemiological models.\nCONCLUSION: HIV immunoepidemiological models connect the within-host immune dynamics at the individual level and the epidemiological transmission dynamics at the population level. While multi-scale models add complexity over a single-scale model, they account for the time varying immune viral response of HIV+ individuals, and the corresponding impact on the time-varying risk of transmission of HIV+ individuals to other susceptibles in the population.","DOI":"10.7717/peerj.3877","ISSN":"2167-8359","note":"PMID: 28970973\nPMCID: PMC5623312","shortTitle":"Multi-scale immunoepidemiological modeling of within-host and between-host HIV dynamics","journalAbbreviation":"PeerJ","language":"eng","author":[{"family":"Dorratoltaj","given":"Nargesalsadat"},{"family":"Nikin-Beers","given":"Ryan"},{"family":"Ciupe","given":"Stanca M."},{"family":"Eubank","given":"Stephen G."},{"family":"Abbas","given":"Kaja M."}],"issued":{"date-parts":[["2017"]]}}}],"schema":"https://github.com/citation-style-language/schema/raw/master/csl-citation.json"} </w:instrText>
      </w:r>
      <w:r w:rsidR="00BB16D7" w:rsidRPr="008B3AD6">
        <w:fldChar w:fldCharType="separate"/>
      </w:r>
      <w:r w:rsidR="00E5551E">
        <w:rPr>
          <w:lang w:val="en-US"/>
        </w:rPr>
        <w:t>(Dorratoltaj et al. 2017</w:t>
      </w:r>
      <w:r w:rsidR="00C80233">
        <w:rPr>
          <w:lang w:val="en-US"/>
        </w:rPr>
        <w:t>)</w:t>
      </w:r>
      <w:r w:rsidR="00BB16D7" w:rsidRPr="008B3AD6">
        <w:fldChar w:fldCharType="end"/>
      </w:r>
      <w:r w:rsidRPr="008B3AD6">
        <w:t xml:space="preserve">, in this model the </w:t>
      </w:r>
      <w:r w:rsidR="0037541E" w:rsidRPr="008B3AD6">
        <w:t xml:space="preserve">change in the </w:t>
      </w:r>
      <w:r w:rsidRPr="008B3AD6">
        <w:t xml:space="preserve">number of susceptible and infected individuals is </w:t>
      </w:r>
      <w:r w:rsidR="0037541E" w:rsidRPr="008B3AD6">
        <w:t xml:space="preserve">captured with infected individuals structured by the time since they were infected. Additionally, </w:t>
      </w:r>
      <w:r w:rsidR="001B3EE4">
        <w:t>PDE</w:t>
      </w:r>
      <w:r w:rsidR="001B3EE4" w:rsidRPr="008B3AD6">
        <w:t xml:space="preserve"> </w:t>
      </w:r>
      <w:r w:rsidR="0037541E" w:rsidRPr="008B3AD6">
        <w:t xml:space="preserve">models have also been implemented to model both time and space, an advantage over ODEs if spatial consideration is relevant to the model, however they still assume homogeneity </w:t>
      </w:r>
      <w:r w:rsidR="00BB16D7" w:rsidRPr="008B3AD6">
        <w:t>in the populations they model</w:t>
      </w:r>
      <w:r w:rsidR="0037541E" w:rsidRPr="008B3AD6">
        <w:t>. PDEs are also inherently</w:t>
      </w:r>
      <w:r w:rsidR="00216DBD" w:rsidRPr="008B3AD6">
        <w:t xml:space="preserve"> more complex requiring both expert knowledge for their design and implementation as well as an increase in the computational burden for running these models.</w:t>
      </w:r>
    </w:p>
    <w:p w14:paraId="6A8393D0" w14:textId="77777777" w:rsidR="009F3A0D" w:rsidRPr="008B3AD6" w:rsidRDefault="009F3A0D" w:rsidP="004D3811">
      <w:pPr>
        <w:spacing w:line="360" w:lineRule="auto"/>
        <w:jc w:val="both"/>
      </w:pPr>
    </w:p>
    <w:p w14:paraId="55776139" w14:textId="30102278" w:rsidR="00AB3115" w:rsidRPr="008B3AD6" w:rsidRDefault="00000EC4" w:rsidP="004D3811">
      <w:pPr>
        <w:pStyle w:val="Heading4"/>
        <w:jc w:val="both"/>
      </w:pPr>
      <w:bookmarkStart w:id="69" w:name="_Toc3716058"/>
      <w:r>
        <w:t>Agent-</w:t>
      </w:r>
      <w:r w:rsidR="00216DBD" w:rsidRPr="008B3AD6">
        <w:t>Based Models</w:t>
      </w:r>
      <w:bookmarkEnd w:id="69"/>
    </w:p>
    <w:p w14:paraId="26DEB1BB" w14:textId="57144682" w:rsidR="00CA3FAB" w:rsidRPr="008B3AD6" w:rsidRDefault="00F00952" w:rsidP="004D3811">
      <w:pPr>
        <w:spacing w:line="360" w:lineRule="auto"/>
        <w:jc w:val="both"/>
      </w:pPr>
      <w:r w:rsidRPr="008B3AD6">
        <w:t xml:space="preserve">In </w:t>
      </w:r>
      <w:r w:rsidR="001503DD" w:rsidRPr="008B3AD6">
        <w:t>addition</w:t>
      </w:r>
      <w:r w:rsidRPr="008B3AD6">
        <w:t xml:space="preserve"> to mathematical models, a more recent development</w:t>
      </w:r>
      <w:r w:rsidR="006665CE" w:rsidRPr="008B3AD6">
        <w:t xml:space="preserve"> is in computational approaches to modelling</w:t>
      </w:r>
      <w:r w:rsidR="00391C34">
        <w:t xml:space="preserve"> biological systems</w:t>
      </w:r>
      <w:r w:rsidR="006665CE" w:rsidRPr="008B3AD6">
        <w:t xml:space="preserve">. </w:t>
      </w:r>
      <w:r w:rsidR="00000EC4">
        <w:t>ABMs</w:t>
      </w:r>
      <w:r w:rsidR="006665CE" w:rsidRPr="008B3AD6">
        <w:t xml:space="preserve"> are one of the best examples of </w:t>
      </w:r>
      <w:r w:rsidR="00670B2D">
        <w:t>a computational</w:t>
      </w:r>
      <w:r w:rsidR="006665CE" w:rsidRPr="008B3AD6">
        <w:t xml:space="preserve"> approach which have seen high utilisation within biological but also ecolog</w:t>
      </w:r>
      <w:r w:rsidR="00BB16D7" w:rsidRPr="008B3AD6">
        <w:t xml:space="preserve">ical and sociological studies </w:t>
      </w:r>
      <w:r w:rsidR="00BB16D7" w:rsidRPr="008B3AD6">
        <w:fldChar w:fldCharType="begin"/>
      </w:r>
      <w:r w:rsidR="00025067">
        <w:instrText xml:space="preserve"> ADDIN ZOTERO_ITEM CSL_CITATION {"citationID":"hRpw6VIb","properties":{"formattedCitation":"(Gilbert 2008; McLane et al. 2011)","plainCitation":"(Gilbert 2008; McLane et al. 2011)","noteIndex":0},"citationItems":[{"id":3413,"uris":["http://zotero.org/users/2628971/items/BYPYMFE5"],"uri":["http://zotero.org/users/2628971/items/BYPYMFE5"],"itemData":{"id":3413,"type":"book","title":"Agent-based models","collection-title":"Quantitative applications in the social sciences","collection-number":"no. 07-153","publisher":"Sage Publications","publisher-place":"Los Angeles","number-of-pages":"98","source":"Library of Congress ISBN","event-place":"Los Angeles","ISBN":"978-1-4129-4964-4","call-number":"HA29 .G527 2008","note":"OCLC: ocn122974218","author":[{"family":"Gilbert","given":"G. Nigel"}],"issued":{"date-parts":[["2008"]]}}},{"id":3396,"uris":["http://zotero.org/users/2628971/items/I4WLFWUB"],"uri":["http://zotero.org/users/2628971/items/I4WLFWUB"],"itemData":{"id":3396,"type":"article-journal","title":"The role of agent-based models in wildlife ecology and management","container-title":"Ecological Modelling","page":"1544-1556","volume":"222","issue":"8","source":"ScienceDirect","abstract":"Conservation planning of critical habitats for wildlife species at risk is a priority topic that requires the knowledge of how animals select and use their habitat, and how they respond to future developmental changes in their environment. This paper explores the role of a habitat-modeling methodological approach, agent-based modeling, which we advocate as a promising approach for ecological research. Agent-based models (ABMs) are capable of simultaneously distinguishing animal densities from habitat quality, can explicitly represent the environment and its dynamism, can accommodate spatial patterns of inter- and intra-species mechanisms, and can explore feedbacks and adaptations inherent in these systems. ABMs comprise autonomous, individual entities; each with dynamic, adaptive behaviors and heterogeneous characteristics that interact with each other and with their environment. These interactions result in emergent outcomes that can be used to quantitatively examine critical habitats from the individual- to population-level. ABMs can also explore how wildlife will respond to potential changes in environmental conditions, since they can readily incorporate adaptive animal-movement ecology in a changing landscape. This paper describes the necessary elements of an ABM developed specifically for understanding wildlife habitat selection, reviews the current empirical literature on ABMs in wildlife ecology and management, and evaluates the current and future roles these ABMs can play, specifically with regards to scenario planning of designated critical habitats.","DOI":"10.1016/j.ecolmodel.2011.01.020","ISSN":"0304-3800","journalAbbreviation":"Ecological Modelling","author":[{"family":"McLane","given":"Adam J."},{"family":"Semeniuk","given":"Christina"},{"family":"McDermid","given":"Gregory J."},{"family":"Marceau","given":"Danielle J."}],"issued":{"date-parts":[["2011",4,24]]}}}],"schema":"https://github.com/citation-style-language/schema/raw/master/csl-citation.json"} </w:instrText>
      </w:r>
      <w:r w:rsidR="00BB16D7" w:rsidRPr="008B3AD6">
        <w:fldChar w:fldCharType="separate"/>
      </w:r>
      <w:r w:rsidR="00025067" w:rsidRPr="00025067">
        <w:rPr>
          <w:lang w:val="en-US"/>
        </w:rPr>
        <w:t>(Gilbert 2008; McLane et al. 2011)</w:t>
      </w:r>
      <w:r w:rsidR="00BB16D7" w:rsidRPr="008B3AD6">
        <w:fldChar w:fldCharType="end"/>
      </w:r>
      <w:r w:rsidR="006665CE" w:rsidRPr="008B3AD6">
        <w:t>.</w:t>
      </w:r>
      <w:r w:rsidR="001503DD" w:rsidRPr="008B3AD6">
        <w:t xml:space="preserve"> These computational models implement </w:t>
      </w:r>
      <w:r w:rsidR="00CA3FAB" w:rsidRPr="008B3AD6">
        <w:t>each individual member of a population explicitly, in contrast to aforementioned mathematical approaches, and these individuals are referred to as ‘agents’</w:t>
      </w:r>
      <w:r w:rsidR="00670B2D">
        <w:t>. This implementation allows for system wide behaviours to emerge from the interactions of individual agents</w:t>
      </w:r>
      <w:r w:rsidR="00CA3FAB" w:rsidRPr="008B3AD6">
        <w:t xml:space="preserve">. Each agent can </w:t>
      </w:r>
      <w:r w:rsidR="001503DD" w:rsidRPr="008B3AD6">
        <w:t>p</w:t>
      </w:r>
      <w:r w:rsidR="00CA3FAB" w:rsidRPr="008B3AD6">
        <w:t>osses</w:t>
      </w:r>
      <w:r w:rsidR="001503DD" w:rsidRPr="008B3AD6">
        <w:t>s its own</w:t>
      </w:r>
      <w:r w:rsidR="00CA3FAB" w:rsidRPr="008B3AD6">
        <w:t xml:space="preserve"> set of behaviours and</w:t>
      </w:r>
      <w:r w:rsidR="001503DD" w:rsidRPr="008B3AD6">
        <w:t xml:space="preserve"> attributes </w:t>
      </w:r>
      <w:r w:rsidR="00CA3FAB" w:rsidRPr="008B3AD6">
        <w:t>allowing for more complex population structures to be simulated</w:t>
      </w:r>
      <w:r w:rsidR="001503DD" w:rsidRPr="008B3AD6">
        <w:t xml:space="preserve">. The computational model will also specify the rules and logical statements for each agent, </w:t>
      </w:r>
      <w:r w:rsidR="00CA3FAB" w:rsidRPr="008B3AD6">
        <w:t>for instance in ODEs the death of uninfected T cells is represented as a rate but in an ABM a logical statement that evaluates whether the T cell has reached its full lifespan could be used.</w:t>
      </w:r>
      <w:r w:rsidR="004B3387" w:rsidRPr="008B3AD6">
        <w:t xml:space="preserve"> </w:t>
      </w:r>
      <w:r w:rsidR="00CA3FAB" w:rsidRPr="008B3AD6">
        <w:t>In addition to allowing for more complexity in the representation of agents themselves, ABMs also can explicitly represent spatial consider</w:t>
      </w:r>
      <w:r w:rsidR="004B3387" w:rsidRPr="008B3AD6">
        <w:t xml:space="preserve">ations including environmental factors, such as </w:t>
      </w:r>
      <w:r w:rsidR="00BB16D7" w:rsidRPr="008B3AD6">
        <w:t xml:space="preserve">the </w:t>
      </w:r>
      <w:r w:rsidR="00F87D39" w:rsidRPr="008B3AD6">
        <w:t>amount</w:t>
      </w:r>
      <w:r w:rsidR="004B3387" w:rsidRPr="008B3AD6">
        <w:t xml:space="preserve"> of chemokines at an agent’s location </w:t>
      </w:r>
      <w:r w:rsidR="00F87D39" w:rsidRPr="008B3AD6">
        <w:fldChar w:fldCharType="begin"/>
      </w:r>
      <w:r w:rsidR="00025067">
        <w:instrText xml:space="preserve"> ADDIN ZOTERO_ITEM CSL_CITATION {"citationID":"7J5t3IfV","properties":{"formattedCitation":"(Flugge et al. 2009; Moyo et al. 2018)","plainCitation":"(Flugge et al. 2009; Moyo et al. 2018)","noteIndex":0},"citationItems":[{"id":303,"uris":["http://zotero.org/users/2628971/items/I4Q6N5IX"],"uri":["http://zotero.org/users/2628971/items/I4Q6N5IX"],"itemData":{"id":303,"type":"paper-conference","title":"Modelling and simulation of granuloma formation in visceral leishmaniasis","container-title":"IEEE Congress on Evolutionary Computation, 2009. CEC '09","page":"3052-3059","source":"IEEE Xplore","event":"IEEE Congress on Evolutionary Computation, 2009. CEC '09","abstract":"Visceral leishmaniasis is a parasitic disease that is usually fatal if untreated. Host resistance is thought to involve the accumulation of inflammatory cells into structures called granulomas. To date, the possible processes underlying granuloma formation are not fully understood. The importance of modelling in immunology is increasing particularly for dynamic processes that are hard to study in vivo over extended periods of time. Appropriate modelling can provide novel insights that might help deepen the understanding of phenomena and/or help guide experimental work. This paper discusses initial studies on the regulation of granuloma using a combination of UML like modelling and agent based simulation.","DOI":"10.1109/CEC.2009.4983329","author":[{"family":"Flugge","given":"A.J."},{"family":"Timmis","given":"J."},{"family":"Andrews","given":"P."},{"family":"Moore","given":"J."},{"family":"Kaye","given":"P."}],"issued":{"date-parts":[["2009",5]]}}},{"id":2567,"uris":["http://zotero.org/users/2628971/items/BATTH2JT"],"uri":["http://zotero.org/users/2628971/items/BATTH2JT"],"itemData":{"id":2567,"type":"article-journal","title":"Macrophage Transactivation for Chemokine Production Identified as a Negative Regulator of Granulomatous Inflammation Using Agent-Based Modeling","container-title":"Frontiers in Immunology","volume":"9","source":"PubMed Central","abstract":"Cellular activation in trans by interferons, cytokines, and chemokines is a commonly recognized mechanism to amplify immune effector function and limit pathogen spread. However, an optimal host response also requires that collateral damage associated with inflammation is limited. This may be particularly so in the case of granulomatous inflammation, where an excessive number and/or excessively florid granulomas can have significant pathological consequences. Here, we have combined transcriptomics, agent-based modeling, and in vivo experimental approaches to study constraints on hepatic granuloma formation in a murine model of experimental leishmaniasis. We demonstrate that chemokine production by non-infected Kupffer cells in the Leishmania donovani-infected liver promotes competition with infected KCs for available iNKT cells, ultimately inhibiting the extent of granulomatous inflammation. We propose trans-activation for chemokine production as a novel broadly applicable mechanism that may operate early in infection to limit excessive focal inflammation.","URL":"https://www.ncbi.nlm.nih.gov/pmc/articles/PMC5880939/","DOI":"10.3389/fimmu.2018.00637","ISSN":"1664-3224","note":"PMID: 29636754\nPMCID: PMC5880939","journalAbbreviation":"Front Immunol","author":[{"family":"Moyo","given":"Daniel"},{"family":"Beattie","given":"Lynette"},{"family":"Andrews","given":"Paul S."},{"family":"Moore","given":"John W. J."},{"family":"Timmis","given":"Jon"},{"family":"Sawtell","given":"Amy"},{"family":"Hoehme","given":"Stefan"},{"family":"Sampson","given":"Adam T."},{"family":"Kaye","given":"Paul M."}],"issued":{"date-parts":[["2018",3,27]]},"accessed":{"date-parts":[["2018",6,14]]}}}],"schema":"https://github.com/citation-style-language/schema/raw/master/csl-citation.json"} </w:instrText>
      </w:r>
      <w:r w:rsidR="00F87D39" w:rsidRPr="008B3AD6">
        <w:fldChar w:fldCharType="separate"/>
      </w:r>
      <w:r w:rsidR="00025067" w:rsidRPr="00025067">
        <w:rPr>
          <w:lang w:val="en-US"/>
        </w:rPr>
        <w:t>(Flugge et al. 2009; Moyo et al. 2018)</w:t>
      </w:r>
      <w:r w:rsidR="00F87D39" w:rsidRPr="008B3AD6">
        <w:fldChar w:fldCharType="end"/>
      </w:r>
      <w:r w:rsidR="004B3387" w:rsidRPr="008B3AD6">
        <w:t xml:space="preserve">, or population factors, such as physical contact between two agents </w:t>
      </w:r>
      <w:r w:rsidR="00F87D39" w:rsidRPr="008B3AD6">
        <w:fldChar w:fldCharType="begin"/>
      </w:r>
      <w:r w:rsidR="00025067">
        <w:instrText xml:space="preserve"> ADDIN ZOTERO_ITEM CSL_CITATION {"citationID":"ScsnUUTg","properties":{"formattedCitation":"(Alden et al. 2012)","plainCitation":"(Alden et al. 2012)","noteIndex":0},"citationItems":[{"id":2604,"uris":["http://zotero.org/users/2628971/items/T69YLHVT"],"uri":["http://zotero.org/users/2628971/items/T69YLHVT"],"itemData":{"id":2604,"type":"article-journal","title":"Pairing experimentation and computational modeling to understand the role of tissue inducer cells in the development of lymphoid organs","container-title":"Frontiers in Immunology","volume":"3","source":"Frontiers","abstract":"The use of genetic tools, imaging technologies and ex vivo culture systems has provided significant insights into the role of tissue inducer cells and associated signalling pathways in the formation and function of lymphoid organs. Despite advances in experimental technologies, the molecular and cellular process orchestrating the formation of a complex 3-dimensional tissue is difficult to dissect using current approaches. Therefore, a robust set of simulation tools have been developed to model the processes involved in lymphoid tissue development. Specifically the role of different tissue inducer cell populations in the dynamic formation of Peyer's Patches has been examined. Utilising approaches from critical systems engineering an unbiased model of lymphoid tissue inducer cell function has been developed, that permits the development of emerging behaviours that are statistically not different from that observed in vivo. These results provide the confidence to utilise statistical methods to explore how the simulator predicts cellular behaviour and outcomes under different physiological conditions. Such methods, known as sensitivity analysis techniques, can provide insight into when a component part of the system (such as a particular cell type, adhesion molecule, or chemokine) begins to have an influence on observed behaviour, and quantifies the effect a component part has on the end result: the formation of lymphoid tissue. Through use of such a principled approach in the design, calibration, and analysis of a computer simulation, a robust in silico tool can be developed which can both further the understanding of a biological system being explored, and act as a tool for the generation of hypotheses which can be tested utilising experimental approaches.","URL":"https://www.frontiersin.org/articles/10.3389/fimmu.2012.00172/full","DOI":"10.3389/fimmu.2012.00172","ISSN":"1664-3224","journalAbbreviation":"Front. Immunol.","language":"English","author":[{"family":"Alden","given":"Kieran"},{"family":"Timmis","given":"Jon"},{"family":"Andrews","given":"Paul S."},{"family":"Veiga-Fernandes","given":"Henrique"},{"family":"Coles","given":"Mark Christopher"}],"issued":{"date-parts":[["2012"]]},"accessed":{"date-parts":[["2018",6,18]]}}}],"schema":"https://github.com/citation-style-language/schema/raw/master/csl-citation.json"} </w:instrText>
      </w:r>
      <w:r w:rsidR="00F87D39" w:rsidRPr="008B3AD6">
        <w:fldChar w:fldCharType="separate"/>
      </w:r>
      <w:r w:rsidR="00025067" w:rsidRPr="00025067">
        <w:rPr>
          <w:lang w:val="en-US"/>
        </w:rPr>
        <w:t>(Alden et al. 2012)</w:t>
      </w:r>
      <w:r w:rsidR="00F87D39" w:rsidRPr="008B3AD6">
        <w:fldChar w:fldCharType="end"/>
      </w:r>
      <w:r w:rsidR="004B3387" w:rsidRPr="008B3AD6">
        <w:t>.</w:t>
      </w:r>
    </w:p>
    <w:p w14:paraId="1366850B" w14:textId="15D5E7AA" w:rsidR="004B3387" w:rsidRPr="008B3AD6" w:rsidRDefault="004B3387" w:rsidP="004D3811">
      <w:pPr>
        <w:spacing w:line="360" w:lineRule="auto"/>
        <w:jc w:val="both"/>
      </w:pPr>
    </w:p>
    <w:p w14:paraId="2BBD50AA" w14:textId="2ED3BC45" w:rsidR="00806442" w:rsidRDefault="00806442" w:rsidP="004D3811">
      <w:pPr>
        <w:spacing w:line="360" w:lineRule="auto"/>
        <w:jc w:val="both"/>
      </w:pPr>
      <w:r w:rsidRPr="008B3AD6">
        <w:t xml:space="preserve">By way of an example, </w:t>
      </w:r>
      <w:r w:rsidR="009F0E22" w:rsidRPr="008B3AD6">
        <w:t>Rutherford and colleagues presented an ABM which simulated the spread of an unspecified sexually transmitted infection</w:t>
      </w:r>
      <w:r w:rsidRPr="008B3AD6">
        <w:t xml:space="preserve"> (STI)</w:t>
      </w:r>
      <w:r w:rsidR="00F87D39" w:rsidRPr="008B3AD6">
        <w:t xml:space="preserve"> </w:t>
      </w:r>
      <w:r w:rsidR="00F87D39" w:rsidRPr="008B3AD6">
        <w:fldChar w:fldCharType="begin"/>
      </w:r>
      <w:r w:rsidR="00025067">
        <w:instrText xml:space="preserve"> ADDIN ZOTERO_ITEM CSL_CITATION {"citationID":"nFufLbUu","properties":{"formattedCitation":"(Rutherford, Friesen, and McLeod 2012)","plainCitation":"(Rutherford, Friesen, and McLeod 2012)","noteIndex":0},"citationItems":[{"id":3412,"uris":["http://zotero.org/users/2628971/items/EPNW846Y"],"uri":["http://zotero.org/users/2628971/items/EPNW846Y"],"itemData":{"id":3412,"type":"article-journal","title":"An Agent Based Model for Simulating the Spread of Sexually Transmitted Infections","container-title":"Online Journal of Public Health Informatics","volume":"4","issue":"3","source":"PubMed Central","abstract":"This work uses agent-based modelling (ABM) to simulate sexually transmitted infection (STIs) spread within a population of 1000 agents over a 10-year period, as a preliminary investigation of the suitability of ABM methodology to simulate STI spread. The work contrasts compartmentalized mathematical models that fail to account for individual agents, and ABMs commonly applied to simulate the spread of respiratory infections. The model was developed in C++ using the Boost 1.47.0 libraries for the normal distribution and OpenGL for visualization. Sixteen agent parameters interact individually and in combination to govern agent profiles and behaviours relative to infection probabilities. The simulation results provide qualitative comparisons of STI mitigation strategies, including the impact of condom use, promiscuity, the form of the friend network, and mandatory STI testing. Individual and population-wide impacts were explored, with individual risk being impacted much more dramatically by population-level behaviour changes as compared to individual behaviour changes.","URL":"https://www.ncbi.nlm.nih.gov/pmc/articles/PMC3615823/","DOI":"10.5210/ojphi.v4i3.4292","ISSN":"1947-2579","note":"PMID: 23569641\nPMCID: PMC3615823","journalAbbreviation":"Online J Public Health Inform","author":[{"family":"Rutherford","given":"Grant"},{"family":"Friesen","given":"Marcia R"},{"family":"McLeod","given":"Robert D"}],"issued":{"date-parts":[["2012",12,19]]},"accessed":{"date-parts":[["2018",8,17]]}}}],"schema":"https://github.com/citation-style-language/schema/raw/master/csl-citation.json"} </w:instrText>
      </w:r>
      <w:r w:rsidR="00F87D39" w:rsidRPr="008B3AD6">
        <w:fldChar w:fldCharType="separate"/>
      </w:r>
      <w:r w:rsidR="00025067" w:rsidRPr="00025067">
        <w:rPr>
          <w:lang w:val="en-US"/>
        </w:rPr>
        <w:t>(Rutherford, Friesen, and McLeod 2012)</w:t>
      </w:r>
      <w:r w:rsidR="00F87D39" w:rsidRPr="008B3AD6">
        <w:fldChar w:fldCharType="end"/>
      </w:r>
      <w:r w:rsidR="009F0E22" w:rsidRPr="008B3AD6">
        <w:t xml:space="preserve">. In this model each agent had a set of characteristics </w:t>
      </w:r>
      <w:r w:rsidRPr="008B3AD6">
        <w:t>including</w:t>
      </w:r>
      <w:r w:rsidR="009F0E22" w:rsidRPr="008B3AD6">
        <w:t xml:space="preserve"> their gender, the probability they would wear a condom for sexual encounters and the probability of the agent ending an existing monogamous relationship. When the model </w:t>
      </w:r>
      <w:r w:rsidR="005D3B25" w:rsidRPr="008B3AD6">
        <w:t>is</w:t>
      </w:r>
      <w:r w:rsidR="009F0E22" w:rsidRPr="008B3AD6">
        <w:t xml:space="preserve"> initialised</w:t>
      </w:r>
      <w:r w:rsidR="006D5596" w:rsidRPr="008B3AD6">
        <w:t>, parameter</w:t>
      </w:r>
      <w:r w:rsidR="009F0E22" w:rsidRPr="008B3AD6">
        <w:t xml:space="preserve"> </w:t>
      </w:r>
      <w:r w:rsidR="009F0E22" w:rsidRPr="008B3AD6">
        <w:lastRenderedPageBreak/>
        <w:t xml:space="preserve">values for these fields </w:t>
      </w:r>
      <w:r w:rsidR="006D5596" w:rsidRPr="008B3AD6">
        <w:t>are</w:t>
      </w:r>
      <w:r w:rsidR="009F0E22" w:rsidRPr="008B3AD6">
        <w:t xml:space="preserve"> generated from existing </w:t>
      </w:r>
      <w:r w:rsidR="006D5596" w:rsidRPr="008B3AD6">
        <w:t xml:space="preserve">biological </w:t>
      </w:r>
      <w:r w:rsidR="009F0E22" w:rsidRPr="008B3AD6">
        <w:t xml:space="preserve">population </w:t>
      </w:r>
      <w:r w:rsidR="002E5F7A" w:rsidRPr="008B3AD6">
        <w:t xml:space="preserve">data. During the running of the model </w:t>
      </w:r>
      <w:r w:rsidR="006509BD">
        <w:t xml:space="preserve">agents </w:t>
      </w:r>
      <w:r w:rsidR="006D5596" w:rsidRPr="008B3AD6">
        <w:t>can</w:t>
      </w:r>
      <w:r w:rsidR="002E5F7A" w:rsidRPr="008B3AD6">
        <w:t xml:space="preserve"> either enter, maintain or exit a monogamous relationship, have sexual encounters, spread infection or be checked for infection. </w:t>
      </w:r>
      <w:r w:rsidRPr="008B3AD6">
        <w:t>F</w:t>
      </w:r>
      <w:r w:rsidR="002E5F7A" w:rsidRPr="008B3AD6">
        <w:t xml:space="preserve">or this ABM there was </w:t>
      </w:r>
      <w:r w:rsidRPr="008B3AD6">
        <w:t xml:space="preserve">no </w:t>
      </w:r>
      <w:r w:rsidR="002E5F7A" w:rsidRPr="008B3AD6">
        <w:t xml:space="preserve">explicit spatial considerations and all interactions were based on the </w:t>
      </w:r>
      <w:r w:rsidRPr="008B3AD6">
        <w:t xml:space="preserve">values for </w:t>
      </w:r>
      <w:r w:rsidR="002E5F7A" w:rsidRPr="008B3AD6">
        <w:t>characteristics each agent possessed. This ABM allowed investigations into both individual and population level behaviours</w:t>
      </w:r>
      <w:r w:rsidRPr="008B3AD6">
        <w:t xml:space="preserve"> and </w:t>
      </w:r>
      <w:r w:rsidR="002E5F7A" w:rsidRPr="008B3AD6">
        <w:t>show</w:t>
      </w:r>
      <w:r w:rsidRPr="008B3AD6">
        <w:t>ed</w:t>
      </w:r>
      <w:r w:rsidR="002E5F7A" w:rsidRPr="008B3AD6">
        <w:t xml:space="preserve"> that an increase in condom use most significantly changed the </w:t>
      </w:r>
      <w:r w:rsidRPr="008B3AD6">
        <w:t>individual’s</w:t>
      </w:r>
      <w:r w:rsidR="002E5F7A" w:rsidRPr="008B3AD6">
        <w:t xml:space="preserve"> likelihood of acquiring a </w:t>
      </w:r>
      <w:r w:rsidRPr="008B3AD6">
        <w:t>STI</w:t>
      </w:r>
      <w:r w:rsidR="002E5F7A" w:rsidRPr="008B3AD6">
        <w:t xml:space="preserve"> </w:t>
      </w:r>
      <w:r w:rsidRPr="008B3AD6">
        <w:t xml:space="preserve">and that the level of promiscuity heavily impacted the population prevalence of disease. Deriving these factors is not possible in </w:t>
      </w:r>
      <w:r w:rsidR="00844E99" w:rsidRPr="008B3AD6">
        <w:t>traditional</w:t>
      </w:r>
      <w:r w:rsidRPr="008B3AD6">
        <w:t xml:space="preserve"> ODE systems of disease spread as they can only represent the average population response</w:t>
      </w:r>
      <w:r w:rsidR="00844E99" w:rsidRPr="008B3AD6">
        <w:t>. This also means ODEs</w:t>
      </w:r>
      <w:r w:rsidRPr="008B3AD6">
        <w:t xml:space="preserve"> </w:t>
      </w:r>
      <w:r w:rsidR="00D66FF0" w:rsidRPr="008B3AD6">
        <w:t>can be</w:t>
      </w:r>
      <w:r w:rsidRPr="008B3AD6">
        <w:t xml:space="preserve"> prone to either over- or under-estimate</w:t>
      </w:r>
      <w:r w:rsidR="00844E99" w:rsidRPr="008B3AD6">
        <w:t xml:space="preserve"> population responses</w:t>
      </w:r>
      <w:r w:rsidR="00C728E6" w:rsidRPr="008B3AD6">
        <w:t xml:space="preserve"> </w:t>
      </w:r>
      <w:r w:rsidR="00844E99" w:rsidRPr="008B3AD6">
        <w:t xml:space="preserve">if the underlying mechanisms are highly sensitive to small perturbations. </w:t>
      </w:r>
      <w:r w:rsidR="00D32E46">
        <w:t xml:space="preserve">An ABM approach however also has certain disadvantages. </w:t>
      </w:r>
      <w:r w:rsidR="00FA3049">
        <w:t>ABMs typically contain some inherently stochastic mechanisms such that there is a need to quantify the uncertainty in results. ABMs can be computationally expensive to simulate, and multiple runs can exacerbate the running time needed. Further to this, w</w:t>
      </w:r>
      <w:r w:rsidR="00D32E46">
        <w:t xml:space="preserve">hilst the emergence of system wide behaviours is a strength for an ABM it can also be a weakness if there is ambiguity for which low-level processes contributed to the appearance of these system wide results. Whilst the ABMs underlying theoretical mechanisms may have been well documented and evidenced their operation during the simulation may not be easy to understand, which can reduce confidence in simulation outputs </w:t>
      </w:r>
      <w:r w:rsidR="00E51D3C">
        <w:fldChar w:fldCharType="begin"/>
      </w:r>
      <w:r w:rsidR="00C80233">
        <w:instrText xml:space="preserve"> ADDIN ZOTERO_ITEM CSL_CITATION {"citationID":"fUI97Z8y","properties":{"formattedCitation":"(Manzo 2014)","plainCitation":"(Manzo 2014)","noteIndex":0},"citationItems":[{"id":3792,"uris":["http://zotero.org/users/2628971/items/UIE9QJ9I"],"uri":["http://zotero.org/users/2628971/items/UIE9QJ9I"],"itemData":{"id":3792,"type":"article-journal","title":"Potentialities and Limitations of Agent-based Simulations. An introduction","container-title":"Revue française de sociologie","page":"653-688","volume":"55","issue":"4","archive":"Cairn.info","abstract":"This article has a general goal: it provides an overview of the main theoretical and methodological dimensions structuring the field of research that is based on agent-based modelling and simulation. It also has a more specific aim, namely to help the reader better understand the contributions in the special issue the Revue Française de Sociologie is devoting to this method. To meet both requirements, the article addresses the following points: 1) the originality of agent-based modelling and simulation; 2) the kind of explanation facilitated by this method; 3) the method’s computational root; 4) its flexibility in dealing with the “micro–macro transition” problem; 5) the link that can be established between agent-based modelling and empirical data; 6) the criticisms this method usually receives.","ISSN":"9782724633771","shortTitle":"Potentialities and Limitations of Agent-based Simulations","journalAbbreviation":"Revue française de sociologie","language":"EN","author":[{"family":"Manzo","given":"Gianluca"}],"translator":[{"family":"Matthews","given":"Toby"}],"issued":{"date-parts":[["2014"]]}}}],"schema":"https://github.com/citation-style-language/schema/raw/master/csl-citation.json"} </w:instrText>
      </w:r>
      <w:r w:rsidR="00E51D3C">
        <w:fldChar w:fldCharType="separate"/>
      </w:r>
      <w:r w:rsidR="00C80233" w:rsidRPr="00C80233">
        <w:rPr>
          <w:lang w:val="en-US"/>
        </w:rPr>
        <w:t>(Manzo 2014)</w:t>
      </w:r>
      <w:r w:rsidR="00E51D3C">
        <w:fldChar w:fldCharType="end"/>
      </w:r>
      <w:r w:rsidR="00D32E46">
        <w:t xml:space="preserve">. </w:t>
      </w:r>
    </w:p>
    <w:p w14:paraId="7EB22FE4" w14:textId="77777777" w:rsidR="00FA3049" w:rsidRPr="008B3AD6" w:rsidRDefault="00FA3049" w:rsidP="004D3811">
      <w:pPr>
        <w:spacing w:line="360" w:lineRule="auto"/>
        <w:jc w:val="both"/>
      </w:pPr>
    </w:p>
    <w:p w14:paraId="7324411D" w14:textId="2E6F18B9" w:rsidR="00806442" w:rsidRPr="008B3AD6" w:rsidRDefault="00A14BB2" w:rsidP="004D3811">
      <w:pPr>
        <w:spacing w:line="360" w:lineRule="auto"/>
        <w:jc w:val="both"/>
      </w:pPr>
      <w:r w:rsidRPr="008B3AD6">
        <w:t>Lastly, ODEs</w:t>
      </w:r>
      <w:r w:rsidR="00391C34">
        <w:t xml:space="preserve"> and PDEs</w:t>
      </w:r>
      <w:r w:rsidR="00F84D57" w:rsidRPr="008B3AD6">
        <w:t xml:space="preserve"> can be integrated into ABMs to form hybridised models. Considering the above example of STI spread, if we imagine this was HIV</w:t>
      </w:r>
      <w:r w:rsidR="00931364" w:rsidRPr="008B3AD6">
        <w:t>,</w:t>
      </w:r>
      <w:r w:rsidR="00F84D57" w:rsidRPr="008B3AD6">
        <w:t xml:space="preserve"> an</w:t>
      </w:r>
      <w:r w:rsidR="00FA3049">
        <w:t xml:space="preserve"> ‘infectiousness’</w:t>
      </w:r>
      <w:r w:rsidR="00F84D57" w:rsidRPr="008B3AD6">
        <w:t xml:space="preserve"> attribute </w:t>
      </w:r>
      <w:r w:rsidR="00FA3049">
        <w:t>could</w:t>
      </w:r>
      <w:r w:rsidR="00F84D57" w:rsidRPr="008B3AD6">
        <w:t xml:space="preserve"> be derived from the ODE</w:t>
      </w:r>
      <w:r w:rsidR="00FA3049">
        <w:t>s</w:t>
      </w:r>
      <w:r w:rsidR="00F84D57" w:rsidRPr="008B3AD6">
        <w:t xml:space="preserve"> described in equations 1.1-1.3</w:t>
      </w:r>
      <w:r w:rsidR="00FA3049">
        <w:t xml:space="preserve"> for each agent</w:t>
      </w:r>
      <w:r w:rsidR="00F84D57" w:rsidRPr="008B3AD6">
        <w:t xml:space="preserve">. For example, </w:t>
      </w:r>
      <w:r w:rsidR="00931364" w:rsidRPr="008B3AD6">
        <w:t xml:space="preserve">we could state that </w:t>
      </w:r>
      <w:r w:rsidR="00F84D57" w:rsidRPr="008B3AD6">
        <w:t>when the virion particles grow to be greater than a certain threshold th</w:t>
      </w:r>
      <w:r w:rsidR="00931364" w:rsidRPr="008B3AD6">
        <w:t>e</w:t>
      </w:r>
      <w:r w:rsidR="00FA3049">
        <w:t xml:space="preserve"> individual becomes infectious, t</w:t>
      </w:r>
      <w:r w:rsidR="00931364" w:rsidRPr="008B3AD6">
        <w:t xml:space="preserve">his would </w:t>
      </w:r>
      <w:r w:rsidR="00F84D57" w:rsidRPr="008B3AD6">
        <w:t xml:space="preserve">update the attribute for the </w:t>
      </w:r>
      <w:r w:rsidR="00931364" w:rsidRPr="008B3AD6">
        <w:t xml:space="preserve">agent in the </w:t>
      </w:r>
      <w:r w:rsidR="00F84D57" w:rsidRPr="008B3AD6">
        <w:t>model</w:t>
      </w:r>
      <w:r w:rsidR="00FA3049">
        <w:t xml:space="preserve"> thus altering the processes the agent takes part in</w:t>
      </w:r>
      <w:r w:rsidR="00F84D57" w:rsidRPr="008B3AD6">
        <w:t xml:space="preserve">. Whilst this method can be complex it can allow for more biologically realistic multi-scale (simultaneously simulating events on different scales) </w:t>
      </w:r>
      <w:r w:rsidR="00FA3049">
        <w:t xml:space="preserve">computational </w:t>
      </w:r>
      <w:r w:rsidR="00F84D57" w:rsidRPr="008B3AD6">
        <w:t xml:space="preserve">models. </w:t>
      </w:r>
    </w:p>
    <w:p w14:paraId="4063BF98" w14:textId="2284CDBD" w:rsidR="00216DBD" w:rsidRPr="008B3AD6" w:rsidRDefault="00216DBD" w:rsidP="004D3811">
      <w:pPr>
        <w:spacing w:line="360" w:lineRule="auto"/>
        <w:jc w:val="both"/>
      </w:pPr>
    </w:p>
    <w:p w14:paraId="5BD590E4" w14:textId="40B9B6DB" w:rsidR="00105EDF" w:rsidRPr="008B3AD6" w:rsidRDefault="00105EDF" w:rsidP="004D3811">
      <w:pPr>
        <w:spacing w:line="360" w:lineRule="auto"/>
        <w:jc w:val="both"/>
      </w:pPr>
      <w:r w:rsidRPr="008B3AD6">
        <w:t xml:space="preserve">When selecting the modelling approach to use the </w:t>
      </w:r>
      <w:r w:rsidR="0020600A" w:rsidRPr="008B3AD6">
        <w:t>scope of the issue at hand and the question</w:t>
      </w:r>
      <w:r w:rsidR="006A6703" w:rsidRPr="008B3AD6">
        <w:t>s</w:t>
      </w:r>
      <w:r w:rsidR="0020600A" w:rsidRPr="008B3AD6">
        <w:t xml:space="preserve"> that the </w:t>
      </w:r>
      <w:r w:rsidR="00FA3049">
        <w:rPr>
          <w:i/>
        </w:rPr>
        <w:t xml:space="preserve">in silico </w:t>
      </w:r>
      <w:r w:rsidR="0020600A" w:rsidRPr="008B3AD6">
        <w:t xml:space="preserve">model is asking need to be considered. Generally, if the </w:t>
      </w:r>
      <w:r w:rsidR="00FA3049">
        <w:rPr>
          <w:i/>
        </w:rPr>
        <w:t xml:space="preserve">in silico </w:t>
      </w:r>
      <w:r w:rsidR="0020600A" w:rsidRPr="008B3AD6">
        <w:t>model seeks to predict or describe population level behaviours with no spatial considerations then ODEs are more suited, PDEs if the investigation requires measuring two or more inde</w:t>
      </w:r>
      <w:r w:rsidR="005D4320" w:rsidRPr="008B3AD6">
        <w:t>pendent</w:t>
      </w:r>
      <w:r w:rsidR="0020600A" w:rsidRPr="008B3AD6">
        <w:t xml:space="preserve"> variables (such as space and time)</w:t>
      </w:r>
      <w:r w:rsidR="005D4320" w:rsidRPr="008B3AD6">
        <w:t xml:space="preserve"> without population heterogeneity</w:t>
      </w:r>
      <w:r w:rsidR="0020600A" w:rsidRPr="008B3AD6">
        <w:t xml:space="preserve">. If the </w:t>
      </w:r>
      <w:r w:rsidR="00FA3049">
        <w:t xml:space="preserve">area </w:t>
      </w:r>
      <w:r w:rsidR="00FA3049">
        <w:lastRenderedPageBreak/>
        <w:t>of study</w:t>
      </w:r>
      <w:r w:rsidR="0020600A" w:rsidRPr="008B3AD6">
        <w:t xml:space="preserve"> focuses on individual level </w:t>
      </w:r>
      <w:r w:rsidR="005D4320" w:rsidRPr="008B3AD6">
        <w:t>behaviours,</w:t>
      </w:r>
      <w:r w:rsidR="0020600A" w:rsidRPr="008B3AD6">
        <w:t xml:space="preserve"> then an ABM may be more suited. This summary has been previously described by Cosgrove and </w:t>
      </w:r>
      <w:r w:rsidR="005D4320" w:rsidRPr="008B3AD6">
        <w:t xml:space="preserve">colleagues </w:t>
      </w:r>
      <w:r w:rsidR="005D4320" w:rsidRPr="008B3AD6">
        <w:fldChar w:fldCharType="begin"/>
      </w:r>
      <w:r w:rsidR="00025067">
        <w:instrText xml:space="preserve"> ADDIN ZOTERO_ITEM CSL_CITATION {"citationID":"Ki5l0lEO","properties":{"formattedCitation":"(J. Cosgrove et al. 2015)","plainCitation":"(J. Cosgrove et al. 2015)","noteIndex":0},"citationItems":[{"id":3411,"uris":["http://zotero.org/users/2628971/items/D3VBIBVY"],"uri":["http://zotero.org/users/2628971/items/D3VBIBVY"],"itemData":{"id":3411,"type":"article-journal","title":"Agent-Based Modeling in Systems Pharmacology","container-title":"CPT: pharmacometrics &amp; systems pharmacology","page":"615-629","volume":"4","issue":"11","source":"PubMed","abstract":"Modeling and simulation (M&amp;S) techniques provide a platform for knowledge integration and hypothesis testing to gain insights into biological systems that would not be possible a priori. Agent-based modeling (ABM) is an M&amp;S technique that focuses on describing individual components rather than homogenous populations. This tutorial introduces ABM to systems pharmacologists, using relevant case studies to highlight how ABM-specific strengths have yielded success in the area of preclinical mechanistic modeling.","DOI":"10.1002/psp4.12018","ISSN":"2163-8306","note":"PMID: 26783498\nPMCID: PMC4716580","journalAbbreviation":"CPT Pharmacometrics Syst Pharmacol","language":"eng","author":[{"family":"Cosgrove","given":"J."},{"family":"Butler","given":"J."},{"family":"Alden","given":"K."},{"family":"Read","given":"M."},{"family":"Kumar","given":"V."},{"family":"Cucurull-Sanchez","given":"L."},{"family":"Timmis","given":"J."},{"family":"Coles","given":"M."}],"issued":{"date-parts":[["2015",11]]}}}],"schema":"https://github.com/citation-style-language/schema/raw/master/csl-citation.json"} </w:instrText>
      </w:r>
      <w:r w:rsidR="005D4320" w:rsidRPr="008B3AD6">
        <w:fldChar w:fldCharType="separate"/>
      </w:r>
      <w:r w:rsidR="00025067" w:rsidRPr="00025067">
        <w:rPr>
          <w:lang w:val="en-US"/>
        </w:rPr>
        <w:t>(J. Cosgrove et al. 2015)</w:t>
      </w:r>
      <w:r w:rsidR="005D4320" w:rsidRPr="008B3AD6">
        <w:fldChar w:fldCharType="end"/>
      </w:r>
      <w:r w:rsidR="0020600A" w:rsidRPr="008B3AD6">
        <w:t xml:space="preserve"> </w:t>
      </w:r>
      <w:r w:rsidR="00CC0144" w:rsidRPr="008B3AD6">
        <w:t xml:space="preserve">as shown in </w:t>
      </w:r>
      <w:r w:rsidR="0074700A">
        <w:rPr>
          <w:b/>
        </w:rPr>
        <w:fldChar w:fldCharType="begin"/>
      </w:r>
      <w:r w:rsidR="0074700A">
        <w:rPr>
          <w:b/>
        </w:rPr>
        <w:instrText xml:space="preserve"> REF _Ref523926619  \* MERGEFORMAT </w:instrText>
      </w:r>
      <w:r w:rsidR="0074700A">
        <w:rPr>
          <w:b/>
        </w:rPr>
        <w:fldChar w:fldCharType="separate"/>
      </w:r>
      <w:r w:rsidR="00031DCA" w:rsidRPr="00031DCA">
        <w:rPr>
          <w:b/>
        </w:rPr>
        <w:t xml:space="preserve">Figure </w:t>
      </w:r>
      <w:r w:rsidR="00031DCA" w:rsidRPr="00031DCA">
        <w:rPr>
          <w:b/>
          <w:noProof/>
        </w:rPr>
        <w:t>1.5</w:t>
      </w:r>
      <w:r w:rsidR="0074700A">
        <w:rPr>
          <w:b/>
          <w:noProof/>
        </w:rPr>
        <w:fldChar w:fldCharType="end"/>
      </w:r>
      <w:r w:rsidR="00CC0144" w:rsidRPr="008B3AD6">
        <w:t xml:space="preserve">. </w:t>
      </w:r>
      <w:r w:rsidR="006A6703" w:rsidRPr="008B3AD6">
        <w:t>However, t</w:t>
      </w:r>
      <w:r w:rsidR="00CC0144" w:rsidRPr="008B3AD6">
        <w:t xml:space="preserve">he best modelling approach, whether it be </w:t>
      </w:r>
      <w:r w:rsidR="006A6703" w:rsidRPr="008B3AD6">
        <w:t>ODE, PDE</w:t>
      </w:r>
      <w:r w:rsidR="00CC0144" w:rsidRPr="008B3AD6">
        <w:t xml:space="preserve"> or ABM, is unlikely to be immediately apparent or justifiable from examination of the biological domain</w:t>
      </w:r>
      <w:r w:rsidR="006A6703" w:rsidRPr="008B3AD6">
        <w:t xml:space="preserve"> alone.</w:t>
      </w:r>
      <w:r w:rsidR="00F45343" w:rsidRPr="008B3AD6">
        <w:t xml:space="preserve"> </w:t>
      </w:r>
      <w:r w:rsidR="006A6703" w:rsidRPr="008B3AD6">
        <w:t>I</w:t>
      </w:r>
      <w:r w:rsidR="00FA3049">
        <w:t xml:space="preserve">n the development of an </w:t>
      </w:r>
      <w:r w:rsidR="00FA3049">
        <w:rPr>
          <w:i/>
        </w:rPr>
        <w:t xml:space="preserve">in silico </w:t>
      </w:r>
      <w:r w:rsidR="00F45343" w:rsidRPr="008B3AD6">
        <w:t xml:space="preserve">model the scope and </w:t>
      </w:r>
      <w:r w:rsidR="00FA3049">
        <w:t xml:space="preserve">investigative </w:t>
      </w:r>
      <w:r w:rsidR="00F45343" w:rsidRPr="008B3AD6">
        <w:t>questions</w:t>
      </w:r>
      <w:r w:rsidR="00FA3049">
        <w:t>/hypotheses</w:t>
      </w:r>
      <w:r w:rsidR="00F45343" w:rsidRPr="008B3AD6">
        <w:t xml:space="preserve"> we </w:t>
      </w:r>
      <w:r w:rsidR="00FA3049">
        <w:t>seek to examine</w:t>
      </w:r>
      <w:r w:rsidR="00F45343" w:rsidRPr="008B3AD6">
        <w:t xml:space="preserve"> can be captured leading us to the best candidate. A well-established process for model development, which incorporates the selection of a modelling approach is described below.</w:t>
      </w:r>
    </w:p>
    <w:p w14:paraId="5F7C8455" w14:textId="18DFA3CF" w:rsidR="00626C81" w:rsidRPr="008B3AD6" w:rsidRDefault="00CD3F99" w:rsidP="004D3811">
      <w:pPr>
        <w:spacing w:line="360" w:lineRule="auto"/>
        <w:jc w:val="both"/>
      </w:pPr>
      <w:r>
        <w:rPr>
          <w:noProof/>
        </w:rPr>
        <w:drawing>
          <wp:anchor distT="0" distB="0" distL="114300" distR="114300" simplePos="0" relativeHeight="251970560" behindDoc="0" locked="0" layoutInCell="1" allowOverlap="1" wp14:anchorId="662ED5E7" wp14:editId="7BC1D51B">
            <wp:simplePos x="0" y="0"/>
            <wp:positionH relativeFrom="column">
              <wp:posOffset>487650</wp:posOffset>
            </wp:positionH>
            <wp:positionV relativeFrom="paragraph">
              <wp:posOffset>217805</wp:posOffset>
            </wp:positionV>
            <wp:extent cx="3769995" cy="3674332"/>
            <wp:effectExtent l="0" t="0" r="0" b="0"/>
            <wp:wrapTopAndBottom/>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Picture 167"/>
                    <pic:cNvPicPr>
                      <a:picLocks noChangeAspect="1"/>
                    </pic:cNvPicPr>
                  </pic:nvPicPr>
                  <pic:blipFill>
                    <a:blip r:embed="rId24">
                      <a:extLst>
                        <a:ext uri="{28A0092B-C50C-407E-A947-70E740481C1C}">
                          <a14:useLocalDpi xmlns:a14="http://schemas.microsoft.com/office/drawing/2010/main" val="0"/>
                        </a:ext>
                      </a:extLst>
                    </a:blip>
                    <a:stretch>
                      <a:fillRect/>
                    </a:stretch>
                  </pic:blipFill>
                  <pic:spPr>
                    <a:xfrm>
                      <a:off x="0" y="0"/>
                      <a:ext cx="3769995" cy="3674332"/>
                    </a:xfrm>
                    <a:prstGeom prst="rect">
                      <a:avLst/>
                    </a:prstGeom>
                  </pic:spPr>
                </pic:pic>
              </a:graphicData>
            </a:graphic>
          </wp:anchor>
        </w:drawing>
      </w:r>
      <w:r>
        <w:rPr>
          <w:noProof/>
        </w:rPr>
        <mc:AlternateContent>
          <mc:Choice Requires="wps">
            <w:drawing>
              <wp:anchor distT="0" distB="0" distL="114300" distR="114300" simplePos="0" relativeHeight="251971584" behindDoc="0" locked="0" layoutInCell="1" allowOverlap="1" wp14:anchorId="569C0328" wp14:editId="56196B70">
                <wp:simplePos x="0" y="0"/>
                <wp:positionH relativeFrom="column">
                  <wp:posOffset>45720</wp:posOffset>
                </wp:positionH>
                <wp:positionV relativeFrom="paragraph">
                  <wp:posOffset>4040505</wp:posOffset>
                </wp:positionV>
                <wp:extent cx="5467985" cy="866995"/>
                <wp:effectExtent l="0" t="0" r="5715" b="0"/>
                <wp:wrapTopAndBottom/>
                <wp:docPr id="168" name="Text Box 168"/>
                <wp:cNvGraphicFramePr/>
                <a:graphic xmlns:a="http://schemas.openxmlformats.org/drawingml/2006/main">
                  <a:graphicData uri="http://schemas.microsoft.com/office/word/2010/wordprocessingShape">
                    <wps:wsp>
                      <wps:cNvSpPr txBox="1"/>
                      <wps:spPr>
                        <a:xfrm>
                          <a:off x="0" y="0"/>
                          <a:ext cx="5467985" cy="866995"/>
                        </a:xfrm>
                        <a:prstGeom prst="rect">
                          <a:avLst/>
                        </a:prstGeom>
                        <a:solidFill>
                          <a:prstClr val="white"/>
                        </a:solidFill>
                        <a:ln>
                          <a:noFill/>
                        </a:ln>
                      </wps:spPr>
                      <wps:txbx>
                        <w:txbxContent>
                          <w:p w14:paraId="606D578E" w14:textId="5C3A0888" w:rsidR="00F61130" w:rsidRPr="00626C81" w:rsidRDefault="00F61130" w:rsidP="000234FA">
                            <w:pPr>
                              <w:pStyle w:val="Caption"/>
                              <w:spacing w:line="360" w:lineRule="auto"/>
                              <w:jc w:val="both"/>
                              <w:rPr>
                                <w:sz w:val="20"/>
                                <w:szCs w:val="20"/>
                              </w:rPr>
                            </w:pPr>
                            <w:bookmarkStart w:id="70" w:name="_Ref523926619"/>
                            <w:bookmarkStart w:id="71" w:name="_Toc525227186"/>
                            <w:bookmarkStart w:id="72" w:name="_Toc536814125"/>
                            <w:r w:rsidRPr="00626C81">
                              <w:rPr>
                                <w:b/>
                                <w:sz w:val="20"/>
                                <w:szCs w:val="20"/>
                              </w:rPr>
                              <w:t xml:space="preserve">Figure </w:t>
                            </w:r>
                            <w:r>
                              <w:rPr>
                                <w:b/>
                                <w:sz w:val="20"/>
                                <w:szCs w:val="20"/>
                              </w:rPr>
                              <w:fldChar w:fldCharType="begin"/>
                            </w:r>
                            <w:r>
                              <w:rPr>
                                <w:b/>
                                <w:sz w:val="20"/>
                                <w:szCs w:val="20"/>
                              </w:rPr>
                              <w:instrText xml:space="preserve"> STYLEREF 1 \s </w:instrText>
                            </w:r>
                            <w:r>
                              <w:rPr>
                                <w:b/>
                                <w:sz w:val="20"/>
                                <w:szCs w:val="20"/>
                              </w:rPr>
                              <w:fldChar w:fldCharType="separate"/>
                            </w:r>
                            <w:r>
                              <w:rPr>
                                <w:b/>
                                <w:noProof/>
                                <w:sz w:val="20"/>
                                <w:szCs w:val="20"/>
                              </w:rPr>
                              <w:t>1</w:t>
                            </w:r>
                            <w:r>
                              <w:rPr>
                                <w:b/>
                                <w:sz w:val="20"/>
                                <w:szCs w:val="20"/>
                              </w:rPr>
                              <w:fldChar w:fldCharType="end"/>
                            </w:r>
                            <w:r>
                              <w:rPr>
                                <w:b/>
                                <w:sz w:val="20"/>
                                <w:szCs w:val="20"/>
                              </w:rPr>
                              <w:t>.</w:t>
                            </w:r>
                            <w:r>
                              <w:rPr>
                                <w:b/>
                                <w:sz w:val="20"/>
                                <w:szCs w:val="20"/>
                              </w:rPr>
                              <w:fldChar w:fldCharType="begin"/>
                            </w:r>
                            <w:r>
                              <w:rPr>
                                <w:b/>
                                <w:sz w:val="20"/>
                                <w:szCs w:val="20"/>
                              </w:rPr>
                              <w:instrText xml:space="preserve"> SEQ Figure \* ARABIC \s 1 </w:instrText>
                            </w:r>
                            <w:r>
                              <w:rPr>
                                <w:b/>
                                <w:sz w:val="20"/>
                                <w:szCs w:val="20"/>
                              </w:rPr>
                              <w:fldChar w:fldCharType="separate"/>
                            </w:r>
                            <w:r>
                              <w:rPr>
                                <w:b/>
                                <w:noProof/>
                                <w:sz w:val="20"/>
                                <w:szCs w:val="20"/>
                              </w:rPr>
                              <w:t>6</w:t>
                            </w:r>
                            <w:r>
                              <w:rPr>
                                <w:b/>
                                <w:sz w:val="20"/>
                                <w:szCs w:val="20"/>
                              </w:rPr>
                              <w:fldChar w:fldCharType="end"/>
                            </w:r>
                            <w:bookmarkEnd w:id="70"/>
                            <w:r w:rsidRPr="00626C81">
                              <w:rPr>
                                <w:b/>
                                <w:sz w:val="20"/>
                                <w:szCs w:val="20"/>
                              </w:rPr>
                              <w:t xml:space="preserve"> - Capturing Spatial features &amp; Population Heterogeneity in Different Models. </w:t>
                            </w:r>
                            <w:r>
                              <w:rPr>
                                <w:sz w:val="20"/>
                                <w:szCs w:val="20"/>
                              </w:rPr>
                              <w:t>Different types of models are able to capture differing aspects of the scenarios they model, the above diagram represents the types of models that can be used to capture combinations of Spatial features and heterogeneity in populations. Adapted from (Cosgrove et al., 2015).</w:t>
                            </w:r>
                            <w:bookmarkEnd w:id="71"/>
                            <w:bookmarkEnd w:id="72"/>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569C0328" id="Text Box 168" o:spid="_x0000_s1034" type="#_x0000_t202" style="position:absolute;left:0;text-align:left;margin-left:3.6pt;margin-top:318.15pt;width:430.55pt;height:68.25pt;z-index:2519715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mbA5dMQIAAGsEAAAOAAAAZHJzL2Uyb0RvYy54bWysVMGO2jAQvVfqP1i+l8CqUIgIK8qKqhLa&#13;&#10;XQmqPRvHIZZsj2sbEvr1HTsJ2257qnpxxjPjsd97M1net1qRi3BeginoZDSmRBgOpTSngn47bD/M&#13;&#10;KfGBmZIpMKKgV+Hp/er9u2Vjc3EHNahSOIJFjM8bW9A6BJtnmee10MyPwAqDwQqcZgG37pSVjjVY&#13;&#10;XavsbjyeZQ240jrgwnv0PnRBukr1q0rw8FRVXgSiCopvC2l1aT3GNVstWX5yzNaS989g//AKzaTB&#13;&#10;S2+lHlhg5OzkH6W05A48VGHEQWdQVZKLhAHRTMZv0OxrZkXCguR4e6PJ/7+y/PHy7IgsUbsZSmWY&#13;&#10;RpEOog3kM7Qk+pChxvocE/cWU0OLAcwe/B6dEXhbOR2/CIlgHLm+3viN5Tg6px9nnxbzKSUcY/PZ&#13;&#10;bLGYxjLZ62nrfPgiQJNoFNShfolWdtn50KUOKfEyD0qWW6lU3MTARjlyYah1U8sg+uK/ZSkTcw3E&#13;&#10;U13B6MkixA5KtEJ7bBMpN/hHKK+I3kHXQd7yrcT7dsyHZ+awZRAwjkF4wqVS0BQUeouSGtyPv/lj&#13;&#10;PiqJUUoabMGC+u9n5gQl6qtBjWO/DoYbjONgmLPeACKd4IBZnkw84IIazMqBfsHpWMdbMMQMx7sK&#13;&#10;GgZzE7pBwOniYr1OSdiVloWd2VseSw+8HtoX5myvSkA9H2FoTpa/EafL7VhenwNUMikXee1Y7OnG&#13;&#10;jk7a99MXR+bXfcp6/UesfgIAAP//AwBQSwMEFAAGAAgAAAAhAEPi46TiAAAADgEAAA8AAABkcnMv&#13;&#10;ZG93bnJldi54bWxMj0FPwzAMhe9I/IfIk7ggltJJXdU1nWCFGxw2pp29NrTVGqdK0rX795gTXCxb&#13;&#10;z/78Xr6dTS+u2vnOkoLnZQRCU2XrjhoFx6/3pxSED0g19pa0gpv2sC3u73LMajvRXl8PoREMIZ+h&#13;&#10;gjaEIZPSV6026Jd20MTat3UGA4+ukbXDieGml3EUJdJgR/yhxUHvWl1dDqNRkJRunPa0eyyPbx/4&#13;&#10;OTTx6fV2UuphMZcbLi8bEEHP4e8CfjOwfyjY2NmOVHvRK1jHvMi8VbICwXqapNycWVjHKcgil/9j&#13;&#10;FD8AAAD//wMAUEsBAi0AFAAGAAgAAAAhALaDOJL+AAAA4QEAABMAAAAAAAAAAAAAAAAAAAAAAFtD&#13;&#10;b250ZW50X1R5cGVzXS54bWxQSwECLQAUAAYACAAAACEAOP0h/9YAAACUAQAACwAAAAAAAAAAAAAA&#13;&#10;AAAvAQAAX3JlbHMvLnJlbHNQSwECLQAUAAYACAAAACEAJmwOXTECAABrBAAADgAAAAAAAAAAAAAA&#13;&#10;AAAuAgAAZHJzL2Uyb0RvYy54bWxQSwECLQAUAAYACAAAACEAQ+LjpOIAAAAOAQAADwAAAAAAAAAA&#13;&#10;AAAAAACLBAAAZHJzL2Rvd25yZXYueG1sUEsFBgAAAAAEAAQA8wAAAJoFAAAAAA==&#13;&#10;" stroked="f">
                <v:textbox inset="0,0,0,0">
                  <w:txbxContent>
                    <w:p w14:paraId="606D578E" w14:textId="5C3A0888" w:rsidR="00F61130" w:rsidRPr="00626C81" w:rsidRDefault="00F61130" w:rsidP="000234FA">
                      <w:pPr>
                        <w:pStyle w:val="Caption"/>
                        <w:spacing w:line="360" w:lineRule="auto"/>
                        <w:jc w:val="both"/>
                        <w:rPr>
                          <w:sz w:val="20"/>
                          <w:szCs w:val="20"/>
                        </w:rPr>
                      </w:pPr>
                      <w:bookmarkStart w:id="73" w:name="_Ref523926619"/>
                      <w:bookmarkStart w:id="74" w:name="_Toc525227186"/>
                      <w:bookmarkStart w:id="75" w:name="_Toc536814125"/>
                      <w:r w:rsidRPr="00626C81">
                        <w:rPr>
                          <w:b/>
                          <w:sz w:val="20"/>
                          <w:szCs w:val="20"/>
                        </w:rPr>
                        <w:t xml:space="preserve">Figure </w:t>
                      </w:r>
                      <w:r>
                        <w:rPr>
                          <w:b/>
                          <w:sz w:val="20"/>
                          <w:szCs w:val="20"/>
                        </w:rPr>
                        <w:fldChar w:fldCharType="begin"/>
                      </w:r>
                      <w:r>
                        <w:rPr>
                          <w:b/>
                          <w:sz w:val="20"/>
                          <w:szCs w:val="20"/>
                        </w:rPr>
                        <w:instrText xml:space="preserve"> STYLEREF 1 \s </w:instrText>
                      </w:r>
                      <w:r>
                        <w:rPr>
                          <w:b/>
                          <w:sz w:val="20"/>
                          <w:szCs w:val="20"/>
                        </w:rPr>
                        <w:fldChar w:fldCharType="separate"/>
                      </w:r>
                      <w:r>
                        <w:rPr>
                          <w:b/>
                          <w:noProof/>
                          <w:sz w:val="20"/>
                          <w:szCs w:val="20"/>
                        </w:rPr>
                        <w:t>1</w:t>
                      </w:r>
                      <w:r>
                        <w:rPr>
                          <w:b/>
                          <w:sz w:val="20"/>
                          <w:szCs w:val="20"/>
                        </w:rPr>
                        <w:fldChar w:fldCharType="end"/>
                      </w:r>
                      <w:r>
                        <w:rPr>
                          <w:b/>
                          <w:sz w:val="20"/>
                          <w:szCs w:val="20"/>
                        </w:rPr>
                        <w:t>.</w:t>
                      </w:r>
                      <w:r>
                        <w:rPr>
                          <w:b/>
                          <w:sz w:val="20"/>
                          <w:szCs w:val="20"/>
                        </w:rPr>
                        <w:fldChar w:fldCharType="begin"/>
                      </w:r>
                      <w:r>
                        <w:rPr>
                          <w:b/>
                          <w:sz w:val="20"/>
                          <w:szCs w:val="20"/>
                        </w:rPr>
                        <w:instrText xml:space="preserve"> SEQ Figure \* ARABIC \s 1 </w:instrText>
                      </w:r>
                      <w:r>
                        <w:rPr>
                          <w:b/>
                          <w:sz w:val="20"/>
                          <w:szCs w:val="20"/>
                        </w:rPr>
                        <w:fldChar w:fldCharType="separate"/>
                      </w:r>
                      <w:r>
                        <w:rPr>
                          <w:b/>
                          <w:noProof/>
                          <w:sz w:val="20"/>
                          <w:szCs w:val="20"/>
                        </w:rPr>
                        <w:t>6</w:t>
                      </w:r>
                      <w:r>
                        <w:rPr>
                          <w:b/>
                          <w:sz w:val="20"/>
                          <w:szCs w:val="20"/>
                        </w:rPr>
                        <w:fldChar w:fldCharType="end"/>
                      </w:r>
                      <w:bookmarkEnd w:id="73"/>
                      <w:r w:rsidRPr="00626C81">
                        <w:rPr>
                          <w:b/>
                          <w:sz w:val="20"/>
                          <w:szCs w:val="20"/>
                        </w:rPr>
                        <w:t xml:space="preserve"> - Capturing Spatial features &amp; Population Heterogeneity in Different Models. </w:t>
                      </w:r>
                      <w:r>
                        <w:rPr>
                          <w:sz w:val="20"/>
                          <w:szCs w:val="20"/>
                        </w:rPr>
                        <w:t>Different types of models are able to capture differing aspects of the scenarios they model, the above diagram represents the types of models that can be used to capture combinations of Spatial features and heterogeneity in populations. Adapted from (Cosgrove et al., 2015).</w:t>
                      </w:r>
                      <w:bookmarkEnd w:id="74"/>
                      <w:bookmarkEnd w:id="75"/>
                    </w:p>
                  </w:txbxContent>
                </v:textbox>
                <w10:wrap type="topAndBottom"/>
              </v:shape>
            </w:pict>
          </mc:Fallback>
        </mc:AlternateContent>
      </w:r>
    </w:p>
    <w:p w14:paraId="26D1EE43" w14:textId="4A506988" w:rsidR="00626C81" w:rsidRPr="008B3AD6" w:rsidRDefault="00626C81" w:rsidP="004D3811">
      <w:pPr>
        <w:spacing w:line="360" w:lineRule="auto"/>
        <w:jc w:val="both"/>
      </w:pPr>
    </w:p>
    <w:p w14:paraId="309F3E71" w14:textId="77777777" w:rsidR="00105EDF" w:rsidRPr="008B3AD6" w:rsidRDefault="00105EDF" w:rsidP="004D3811">
      <w:pPr>
        <w:spacing w:line="360" w:lineRule="auto"/>
        <w:jc w:val="both"/>
      </w:pPr>
    </w:p>
    <w:p w14:paraId="0AFC4DB7" w14:textId="54048FDB" w:rsidR="00AB3115" w:rsidRPr="008B3AD6" w:rsidRDefault="00AB3115" w:rsidP="004D3811">
      <w:pPr>
        <w:pStyle w:val="Heading3"/>
        <w:jc w:val="both"/>
      </w:pPr>
      <w:r w:rsidRPr="008B3AD6">
        <w:t xml:space="preserve"> </w:t>
      </w:r>
      <w:bookmarkStart w:id="76" w:name="_Ref522488036"/>
      <w:bookmarkStart w:id="77" w:name="_Toc3716059"/>
      <w:r w:rsidR="00120034" w:rsidRPr="008B3AD6">
        <w:t xml:space="preserve">CoSMoS: </w:t>
      </w:r>
      <w:r w:rsidRPr="008B3AD6">
        <w:t>A Framework for Model Development</w:t>
      </w:r>
      <w:bookmarkEnd w:id="76"/>
      <w:bookmarkEnd w:id="77"/>
      <w:r w:rsidRPr="008B3AD6">
        <w:t xml:space="preserve"> </w:t>
      </w:r>
    </w:p>
    <w:p w14:paraId="7E04A795" w14:textId="77777777" w:rsidR="0068538F" w:rsidRPr="008B3AD6" w:rsidRDefault="0068538F" w:rsidP="0068538F">
      <w:pPr>
        <w:pStyle w:val="Heading4"/>
      </w:pPr>
      <w:bookmarkStart w:id="78" w:name="_Toc3716060"/>
      <w:r w:rsidRPr="008B3AD6">
        <w:t>Overview</w:t>
      </w:r>
      <w:bookmarkEnd w:id="78"/>
    </w:p>
    <w:p w14:paraId="139DEC87" w14:textId="332C8CA7" w:rsidR="0068538F" w:rsidRPr="008B3AD6" w:rsidRDefault="0068538F" w:rsidP="0068538F">
      <w:pPr>
        <w:spacing w:line="360" w:lineRule="auto"/>
        <w:jc w:val="both"/>
      </w:pPr>
      <w:r w:rsidRPr="008B3AD6">
        <w:t>The Complex Systems Modelling and Simulation (CoSMoS) process</w:t>
      </w:r>
      <w:r w:rsidR="00601C8D" w:rsidRPr="008B3AD6">
        <w:t xml:space="preserve"> </w:t>
      </w:r>
      <w:r w:rsidR="00601C8D" w:rsidRPr="008B3AD6">
        <w:fldChar w:fldCharType="begin"/>
      </w:r>
      <w:r w:rsidR="00025067">
        <w:instrText xml:space="preserve"> ADDIN ZOTERO_ITEM CSL_CITATION {"citationID":"OxWZBXNj","properties":{"formattedCitation":"(Andrews et al. 2010)","plainCitation":"(Andrews et al. 2010)","noteIndex":0},"citationItems":[{"id":307,"uris":["http://zotero.org/users/2628971/items/39PAA9VH"],"uri":["http://zotero.org/users/2628971/items/39PAA9VH"],"itemData":{"id":307,"type":"article-journal","title":"The CoSMoS Process, Version 0.1: A Process for the Modelling and Simulation of Complex Systems","container-title":"The CoSMoS Process, Version 0.1: A Process for the Modelling and Simulation of Complex Systems","URL":"http://www-users.cs.york.ac.uk/~susan/bib/ss/nonstd/tr453.pdf","author":[{"family":"Andrews","given":"Paul S."},{"family":"Polack","given":"Fiona A. C."},{"family":"Sampson","given":"Adam T."},{"family":"Stepney","given":"Susan"},{"family":"Timmis","given":"Jon"},{"family":"Andrews","given":"Paul S."},{"family":"Polack","given":"Fiona A. C."},{"family":"Sampson","given":"Adam T."},{"family":"Stepney","given":"Susan"},{"family":"Timmis","given":"Jon"}],"issued":{"date-parts":[["2010",3,1]]}}}],"schema":"https://github.com/citation-style-language/schema/raw/master/csl-citation.json"} </w:instrText>
      </w:r>
      <w:r w:rsidR="00601C8D" w:rsidRPr="008B3AD6">
        <w:fldChar w:fldCharType="separate"/>
      </w:r>
      <w:r w:rsidR="00025067" w:rsidRPr="00025067">
        <w:rPr>
          <w:lang w:val="en-US"/>
        </w:rPr>
        <w:t>(Andrews et al. 2010)</w:t>
      </w:r>
      <w:r w:rsidR="00601C8D" w:rsidRPr="008B3AD6">
        <w:fldChar w:fldCharType="end"/>
      </w:r>
      <w:r w:rsidR="00601C8D" w:rsidRPr="008B3AD6">
        <w:t xml:space="preserve"> </w:t>
      </w:r>
      <w:r w:rsidRPr="008B3AD6">
        <w:t xml:space="preserve"> is a generic framework that supports to development of simulation and analysis techniques for scientific research. Although not designed solely for biological systems, the CoSMoS process has previously been employed to develop and interrogate a wide variety of </w:t>
      </w:r>
      <w:r w:rsidRPr="008B3AD6">
        <w:lastRenderedPageBreak/>
        <w:t xml:space="preserve">biologically based simulations such as chemokine distribution and dynamics </w:t>
      </w:r>
      <w:r w:rsidR="00601C8D" w:rsidRPr="008B3AD6">
        <w:fldChar w:fldCharType="begin"/>
      </w:r>
      <w:r w:rsidR="00025067">
        <w:instrText xml:space="preserve"> ADDIN ZOTERO_ITEM CSL_CITATION {"citationID":"TWmROnXg","properties":{"formattedCitation":"(Jason Cosgrove 2017)","plainCitation":"(Jason Cosgrove 2017)","noteIndex":0},"citationItems":[{"id":2563,"uris":["http://zotero.org/users/2628971/items/AJDJMDKZ"],"uri":["http://zotero.org/users/2628971/items/AJDJMDKZ"],"itemData":{"id":2563,"type":"thesis","title":"The Spatial Distribution and Dynamics of CXCL13 in Lymphoid Tissues","publisher":"University of York","genre":"PhD","source":"etheses.whiterose.ac.uk","abstract":"Morphogens are soluble signalling molecules that regulate a broad spectrum of biological processes. However, the distances and scales over which this regulation occurs are unclear. To date, many studies have highlighted source-sink mechanisms for morphogen gradient formation but fail to take the role of the tissue microenvironment into account. Using a systems-based approach we show that the chemokine CXCL13 is regulated by the B-cell microenvironment on distinct but interconnected levels of biological organization.\nCXCL13 is a key determinant of humoral immune responses, regulating the localisation of lymphocytes within lymphoid tissues. Due to a complex and dynamic interaction network occurring over broad spatiotemporal scales, mapping the spatial distribution of CXCL13 in situ is challenging. To address this we have mapped the 3-dimensional organisation of CXCL13+ stromal cells in situ using a fluorescent reporter system, identifying three distinct but interconnected stromal subsets that are unique in their network properties. We quantify CXCL13 dynamics using high-speed narrowfield microscopy in collagen matrix and lymph node tissue sections with results suggesting that diffusion is highly constrained by local tissue microanatomy.\nHowever, this data alone is insufficient to describe CXCL13 gradient formation. To consolidate this data we employ a quantitative modelling approach hybridising different techniques into a high fidelity in silico representation of the B-follicle, where immune cells can interact with stroma capable of creating and shaping complex physiological gradients. Simulation analyses and immunohistochemistry suggest that chemokine fields within the follicle are dynamic and non-uniform, with multiobjective optimization analysis suggesting that this spatial configuration is designed to promote scanning rates. Taken in concert, our data suggests that CXCL13 acts over short distances creating a complex landscape of expression. Importantly, this study provides a basis for understanding the spatial distribution of morphogens with complex binding behaviours.","URL":"http://etheses.whiterose.ac.uk/19258/","author":[{"family":"Cosgrove","given":"Jason"}],"issued":{"date-parts":[["2017",9]]},"accessed":{"date-parts":[["2018",6,18]]}}}],"schema":"https://github.com/citation-style-language/schema/raw/master/csl-citation.json"} </w:instrText>
      </w:r>
      <w:r w:rsidR="00601C8D" w:rsidRPr="008B3AD6">
        <w:fldChar w:fldCharType="separate"/>
      </w:r>
      <w:r w:rsidR="00025067" w:rsidRPr="00025067">
        <w:rPr>
          <w:lang w:val="en-US"/>
        </w:rPr>
        <w:t>(Cosgrove 2017)</w:t>
      </w:r>
      <w:r w:rsidR="00601C8D" w:rsidRPr="008B3AD6">
        <w:fldChar w:fldCharType="end"/>
      </w:r>
      <w:r w:rsidRPr="008B3AD6">
        <w:t xml:space="preserve">, </w:t>
      </w:r>
      <w:r w:rsidR="00601C8D" w:rsidRPr="008B3AD6">
        <w:t>h</w:t>
      </w:r>
      <w:r w:rsidRPr="008B3AD6">
        <w:t xml:space="preserve">epatic inflammation </w:t>
      </w:r>
      <w:r w:rsidR="00601C8D" w:rsidRPr="008B3AD6">
        <w:fldChar w:fldCharType="begin"/>
      </w:r>
      <w:r w:rsidR="00025067">
        <w:instrText xml:space="preserve"> ADDIN ZOTERO_ITEM CSL_CITATION {"citationID":"O5LDplES","properties":{"formattedCitation":"(Moyo 2014)","plainCitation":"(Moyo 2014)","noteIndex":0},"citationItems":[{"id":3635,"uris":["http://zotero.org/users/2628971/items/A7C3ALDJ"],"uri":["http://zotero.org/users/2628971/items/A7C3ALDJ"],"itemData":{"id":3635,"type":"thesis","title":"Investigating The Dynamics of Hepatic Inflammation Through Simulation","publisher":"University of York","publisher-place":"York","event-place":"York","abstract":"Inflammation is a fundamental mechanism for the body to induce repair and healing in tissues, and exacerbated inflammatory responses are associated with a wide variety of diseases and disorders. Categorising the various cells, proteins, and precise mechanisms involved in initiating and driving inflammation poses significant challenges, due to the complex interplay that occurs between them.\n \n In this thesis, I will introduce a deadly parasitic disease called Visceral Leishmaniasis (VL) as a case study in using computational modelling techniques to elucidate the mechanisms underpinning inflammation. During VL infection, inflammatory aggregations of immune system cells form, these are called granulomas. Granulomas function to contain and subsequently remove infection. Whilst immunological studies have provided insights into the structure and function of granulomas, there remains a breadth of questions which laboratory techniques are currently incapable of answering. As such, the challenges facing biologists from a scientific perspective will be addressed, I will then argue after a thorough review of the relevant literature, that agent-based computational modelling is a logical choice for research into granuloma formation, and that such models can help answer some outstanding questions in the field.\n \n The thesis presents the process of designing and developing the first spatially resolved model of liver localised granuloma formation during VL. The development and use of modelling and simulation to study granulomas has involved close collaboration with immunologists at all stages through conceptualisation, modelling, implementation, and also results interpretation. I describe the use of established statistical techniques to instill confidence in both the model, and the results it can produce through simulation. \n \n Through iterative hypothesis generation and testing, the research undertaken has allowed for several predictions to be made, some of which have biological significance and which were later validated experimentally. Specifically, transcriptomic data analysis revealed that both infected and uninfected Kupffer cells are equally capable of responding to infection in a similar manner, something which wasn't previously evident in the literature. Using this transcriptomic data, I investigated through simulation, several experimental scenarios and elucidated a novel mechanism of immune system regulation in the liver microenvironment. Using an experimental model of Leishmania donovani infection, I demonstrated that such an immune regulatory mechanism can be overcome with the expansion of early promoter cells called Natural Killer T cells.","URL":"http://etheses.whiterose.ac.uk/6967/","author":[{"family":"Moyo","given":"Daniel"}],"issued":{"date-parts":[["2014",10,3]]},"accessed":{"date-parts":[["2018",8,28]]}}}],"schema":"https://github.com/citation-style-language/schema/raw/master/csl-citation.json"} </w:instrText>
      </w:r>
      <w:r w:rsidR="00601C8D" w:rsidRPr="008B3AD6">
        <w:fldChar w:fldCharType="separate"/>
      </w:r>
      <w:r w:rsidR="00025067" w:rsidRPr="00025067">
        <w:rPr>
          <w:lang w:val="en-US"/>
        </w:rPr>
        <w:t>(Moyo 2014)</w:t>
      </w:r>
      <w:r w:rsidR="00601C8D" w:rsidRPr="008B3AD6">
        <w:fldChar w:fldCharType="end"/>
      </w:r>
      <w:r w:rsidRPr="008B3AD6">
        <w:t>,</w:t>
      </w:r>
      <w:r w:rsidR="006A6703" w:rsidRPr="008B3AD6">
        <w:t xml:space="preserve"> lymphoid tissue organogenesis </w:t>
      </w:r>
      <w:r w:rsidR="006A6703" w:rsidRPr="008B3AD6">
        <w:fldChar w:fldCharType="begin"/>
      </w:r>
      <w:r w:rsidR="00025067">
        <w:instrText xml:space="preserve"> ADDIN ZOTERO_ITEM CSL_CITATION {"citationID":"zzWvgYNw","properties":{"formattedCitation":"(Alden et al. 2012)","plainCitation":"(Alden et al. 2012)","noteIndex":0},"citationItems":[{"id":2604,"uris":["http://zotero.org/users/2628971/items/T69YLHVT"],"uri":["http://zotero.org/users/2628971/items/T69YLHVT"],"itemData":{"id":2604,"type":"article-journal","title":"Pairing experimentation and computational modeling to understand the role of tissue inducer cells in the development of lymphoid organs","container-title":"Frontiers in Immunology","volume":"3","source":"Frontiers","abstract":"The use of genetic tools, imaging technologies and ex vivo culture systems has provided significant insights into the role of tissue inducer cells and associated signalling pathways in the formation and function of lymphoid organs. Despite advances in experimental technologies, the molecular and cellular process orchestrating the formation of a complex 3-dimensional tissue is difficult to dissect using current approaches. Therefore, a robust set of simulation tools have been developed to model the processes involved in lymphoid tissue development. Specifically the role of different tissue inducer cell populations in the dynamic formation of Peyer's Patches has been examined. Utilising approaches from critical systems engineering an unbiased model of lymphoid tissue inducer cell function has been developed, that permits the development of emerging behaviours that are statistically not different from that observed in vivo. These results provide the confidence to utilise statistical methods to explore how the simulator predicts cellular behaviour and outcomes under different physiological conditions. Such methods, known as sensitivity analysis techniques, can provide insight into when a component part of the system (such as a particular cell type, adhesion molecule, or chemokine) begins to have an influence on observed behaviour, and quantifies the effect a component part has on the end result: the formation of lymphoid tissue. Through use of such a principled approach in the design, calibration, and analysis of a computer simulation, a robust in silico tool can be developed which can both further the understanding of a biological system being explored, and act as a tool for the generation of hypotheses which can be tested utilising experimental approaches.","URL":"https://www.frontiersin.org/articles/10.3389/fimmu.2012.00172/full","DOI":"10.3389/fimmu.2012.00172","ISSN":"1664-3224","journalAbbreviation":"Front. Immunol.","language":"English","author":[{"family":"Alden","given":"Kieran"},{"family":"Timmis","given":"Jon"},{"family":"Andrews","given":"Paul S."},{"family":"Veiga-Fernandes","given":"Henrique"},{"family":"Coles","given":"Mark Christopher"}],"issued":{"date-parts":[["2012"]]},"accessed":{"date-parts":[["2018",6,18]]}}}],"schema":"https://github.com/citation-style-language/schema/raw/master/csl-citation.json"} </w:instrText>
      </w:r>
      <w:r w:rsidR="006A6703" w:rsidRPr="008B3AD6">
        <w:fldChar w:fldCharType="separate"/>
      </w:r>
      <w:r w:rsidR="00025067" w:rsidRPr="00025067">
        <w:rPr>
          <w:lang w:val="en-US"/>
        </w:rPr>
        <w:t>(Alden et al. 2012)</w:t>
      </w:r>
      <w:r w:rsidR="006A6703" w:rsidRPr="008B3AD6">
        <w:fldChar w:fldCharType="end"/>
      </w:r>
      <w:r w:rsidRPr="008B3AD6">
        <w:t xml:space="preserve"> and </w:t>
      </w:r>
      <w:r w:rsidRPr="00FA3049">
        <w:rPr>
          <w:i/>
        </w:rPr>
        <w:t>Helicobacter hepaticus</w:t>
      </w:r>
      <w:r w:rsidRPr="008B3AD6">
        <w:t>-induced intestinal inflammation</w:t>
      </w:r>
      <w:r w:rsidR="006A6703" w:rsidRPr="008B3AD6">
        <w:t xml:space="preserve"> </w:t>
      </w:r>
      <w:r w:rsidR="006A6703" w:rsidRPr="008B3AD6">
        <w:fldChar w:fldCharType="begin"/>
      </w:r>
      <w:r w:rsidR="00025067">
        <w:instrText xml:space="preserve"> ADDIN ZOTERO_ITEM CSL_CITATION {"citationID":"0XL7OffA","properties":{"formattedCitation":"(Evans 2016)","plainCitation":"(Evans 2016)","noteIndex":0},"citationItems":[{"id":2612,"uris":["http://zotero.org/users/2628971/items/W55UH82A"],"uri":["http://zotero.org/users/2628971/items/W55UH82A"],"itemData":{"id":2612,"type":"thesis","title":"A Computational Approach to Studying the Processes Active During Helicobacter hepaticus-Induced Intestinal Inflammation","publisher":"University of York","genre":"phd","source":"etheses.whiterose.ac.uk","abstract":"Inflammatory bowel disease (IBD) is a chronic inflammatory condition of the gastro-intestinal tract that usually manifests as either ulcerative colitis or Crohn's disease. Helicobacter hepaticus (Hh)-induced colitis is a mouse model of intestinal inflammation whereby IL-10 knock out mice are infected with Hh, resulting in pathology similar to that seen in Crohn's disease. \n\nFollowing the Complex Systems Modelling and Simulation (CoSMoS) process, a principled approach to the engineering of simulations of complex systems, we have developed IBDSim, a computational model of the processes active in the intestinal tract during Hh-induced colitis. IBDSim is a hybrid agent-based model (ABM) that combines agent-based modelling with systems biology and quantitative systems pharmacology approaches, to capture both cell- and system-level behaviours. In combining these approaches, the Automated Simulation Parameter Alteration and SensItivity Analysis toolkit (ASPASIA) was developed to aid in the calibration and analysis of models written in Systems Biology Mark-up Language (SBML), where the addition of an intervention is required for key behaviours to emerge. SBML models generated using this toolkit could then be incorporated into IBDSim.","URL":"http://etheses.whiterose.ac.uk/16125/","author":[{"family":"Evans","given":"Stephanie"}],"issued":{"date-parts":[["2016",9]]},"accessed":{"date-parts":[["2018",6,19]]}}}],"schema":"https://github.com/citation-style-language/schema/raw/master/csl-citation.json"} </w:instrText>
      </w:r>
      <w:r w:rsidR="006A6703" w:rsidRPr="008B3AD6">
        <w:fldChar w:fldCharType="separate"/>
      </w:r>
      <w:r w:rsidR="00025067" w:rsidRPr="00025067">
        <w:rPr>
          <w:lang w:val="en-US"/>
        </w:rPr>
        <w:t>(Evans 2016)</w:t>
      </w:r>
      <w:r w:rsidR="006A6703" w:rsidRPr="008B3AD6">
        <w:fldChar w:fldCharType="end"/>
      </w:r>
      <w:r w:rsidRPr="008B3AD6">
        <w:t>, showing a strong grounding in immunological</w:t>
      </w:r>
      <w:r w:rsidR="00FA3049">
        <w:t xml:space="preserve"> </w:t>
      </w:r>
      <w:r w:rsidR="00FA3049">
        <w:rPr>
          <w:i/>
        </w:rPr>
        <w:t>in silico</w:t>
      </w:r>
      <w:r w:rsidRPr="008B3AD6">
        <w:t xml:space="preserve"> modelling whilst not being limited to this area of study. Application of the CoSMoS process allows for transparent and </w:t>
      </w:r>
      <w:r w:rsidR="00FA3049">
        <w:t xml:space="preserve">principled </w:t>
      </w:r>
      <w:r w:rsidR="00FA3049">
        <w:rPr>
          <w:i/>
        </w:rPr>
        <w:t>in silico</w:t>
      </w:r>
      <w:r w:rsidRPr="008B3AD6">
        <w:t xml:space="preserve"> model development through the utilisation of a step wise process whereby the final </w:t>
      </w:r>
      <w:r w:rsidR="00FA3049">
        <w:rPr>
          <w:i/>
        </w:rPr>
        <w:t xml:space="preserve">in </w:t>
      </w:r>
      <w:r w:rsidR="00FA3049" w:rsidRPr="00FA3049">
        <w:rPr>
          <w:i/>
        </w:rPr>
        <w:t>silico</w:t>
      </w:r>
      <w:r w:rsidR="00FA3049">
        <w:t xml:space="preserve"> </w:t>
      </w:r>
      <w:r w:rsidRPr="00FA3049">
        <w:t>model</w:t>
      </w:r>
      <w:r w:rsidRPr="008B3AD6">
        <w:t xml:space="preserve"> is achiev</w:t>
      </w:r>
      <w:r w:rsidR="00FA3049">
        <w:t xml:space="preserve">ed through the development of theoretical </w:t>
      </w:r>
      <w:r w:rsidRPr="008B3AD6">
        <w:t>domain, platform, simulation and results model</w:t>
      </w:r>
      <w:r w:rsidR="00FA3049">
        <w:t>s</w:t>
      </w:r>
      <w:r w:rsidRPr="008B3AD6">
        <w:t xml:space="preserve">, shown in </w:t>
      </w:r>
      <w:r w:rsidR="0074700A">
        <w:rPr>
          <w:b/>
        </w:rPr>
        <w:fldChar w:fldCharType="begin"/>
      </w:r>
      <w:r w:rsidR="0074700A">
        <w:rPr>
          <w:b/>
        </w:rPr>
        <w:instrText xml:space="preserve"> REF _Ref523926707  \* MERGEFORMAT </w:instrText>
      </w:r>
      <w:r w:rsidR="0074700A">
        <w:rPr>
          <w:b/>
        </w:rPr>
        <w:fldChar w:fldCharType="separate"/>
      </w:r>
      <w:r w:rsidR="00E5551E" w:rsidRPr="00E5551E">
        <w:rPr>
          <w:b/>
        </w:rPr>
        <w:t xml:space="preserve">Figure </w:t>
      </w:r>
      <w:r w:rsidR="00E5551E" w:rsidRPr="00E5551E">
        <w:rPr>
          <w:b/>
          <w:noProof/>
        </w:rPr>
        <w:t>1.7</w:t>
      </w:r>
      <w:r w:rsidR="0074700A">
        <w:rPr>
          <w:b/>
          <w:noProof/>
        </w:rPr>
        <w:fldChar w:fldCharType="end"/>
      </w:r>
      <w:r w:rsidRPr="008B3AD6">
        <w:t>. Whilst the ordering of these processes is set</w:t>
      </w:r>
      <w:r w:rsidR="00FA3049">
        <w:t>,</w:t>
      </w:r>
      <w:r w:rsidRPr="008B3AD6">
        <w:t xml:space="preserve"> the CoSMoS process is not a </w:t>
      </w:r>
      <w:r w:rsidR="00FA3049">
        <w:t xml:space="preserve">strictly </w:t>
      </w:r>
      <w:r w:rsidRPr="008B3AD6">
        <w:t>linear process, models may be further developed through the discovery of new evidence, expert opinions or re-evaluation of information/model implementations to identify errors in outputs and as such the CoSMoS process at heart is an iterative process.</w:t>
      </w:r>
    </w:p>
    <w:p w14:paraId="2C87B203" w14:textId="00AE4EB1" w:rsidR="0068538F" w:rsidRPr="008B3AD6" w:rsidRDefault="00CD3F99" w:rsidP="0068538F">
      <w:pPr>
        <w:spacing w:line="360" w:lineRule="auto"/>
        <w:jc w:val="both"/>
      </w:pPr>
      <w:r>
        <w:rPr>
          <w:noProof/>
        </w:rPr>
        <w:drawing>
          <wp:anchor distT="0" distB="0" distL="114300" distR="114300" simplePos="0" relativeHeight="251976704" behindDoc="0" locked="0" layoutInCell="1" allowOverlap="1" wp14:anchorId="096CF2E8" wp14:editId="283B80A1">
            <wp:simplePos x="0" y="0"/>
            <wp:positionH relativeFrom="column">
              <wp:posOffset>480060</wp:posOffset>
            </wp:positionH>
            <wp:positionV relativeFrom="paragraph">
              <wp:posOffset>269875</wp:posOffset>
            </wp:positionV>
            <wp:extent cx="4615815" cy="1949450"/>
            <wp:effectExtent l="0" t="0" r="0" b="6350"/>
            <wp:wrapTopAndBottom/>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Picture 170"/>
                    <pic:cNvPicPr>
                      <a:picLocks noChangeAspect="1"/>
                    </pic:cNvPicPr>
                  </pic:nvPicPr>
                  <pic:blipFill>
                    <a:blip r:embed="rId25">
                      <a:extLst>
                        <a:ext uri="{28A0092B-C50C-407E-A947-70E740481C1C}">
                          <a14:useLocalDpi xmlns:a14="http://schemas.microsoft.com/office/drawing/2010/main" val="0"/>
                        </a:ext>
                      </a:extLst>
                    </a:blip>
                    <a:stretch>
                      <a:fillRect/>
                    </a:stretch>
                  </pic:blipFill>
                  <pic:spPr>
                    <a:xfrm>
                      <a:off x="0" y="0"/>
                      <a:ext cx="4615815" cy="1949450"/>
                    </a:xfrm>
                    <a:prstGeom prst="rect">
                      <a:avLst/>
                    </a:prstGeom>
                  </pic:spPr>
                </pic:pic>
              </a:graphicData>
            </a:graphic>
          </wp:anchor>
        </w:drawing>
      </w:r>
      <w:r>
        <w:rPr>
          <w:noProof/>
        </w:rPr>
        <mc:AlternateContent>
          <mc:Choice Requires="wps">
            <w:drawing>
              <wp:anchor distT="0" distB="0" distL="114300" distR="114300" simplePos="0" relativeHeight="251977728" behindDoc="0" locked="0" layoutInCell="1" allowOverlap="1" wp14:anchorId="3A0D9998" wp14:editId="0DC26B45">
                <wp:simplePos x="0" y="0"/>
                <wp:positionH relativeFrom="column">
                  <wp:posOffset>480060</wp:posOffset>
                </wp:positionH>
                <wp:positionV relativeFrom="paragraph">
                  <wp:posOffset>2306320</wp:posOffset>
                </wp:positionV>
                <wp:extent cx="4615815" cy="1548727"/>
                <wp:effectExtent l="0" t="0" r="0" b="1270"/>
                <wp:wrapTopAndBottom/>
                <wp:docPr id="171" name="Text Box 171"/>
                <wp:cNvGraphicFramePr/>
                <a:graphic xmlns:a="http://schemas.openxmlformats.org/drawingml/2006/main">
                  <a:graphicData uri="http://schemas.microsoft.com/office/word/2010/wordprocessingShape">
                    <wps:wsp>
                      <wps:cNvSpPr txBox="1"/>
                      <wps:spPr>
                        <a:xfrm>
                          <a:off x="0" y="0"/>
                          <a:ext cx="4615815" cy="1548727"/>
                        </a:xfrm>
                        <a:prstGeom prst="rect">
                          <a:avLst/>
                        </a:prstGeom>
                        <a:solidFill>
                          <a:prstClr val="white"/>
                        </a:solidFill>
                        <a:ln>
                          <a:noFill/>
                        </a:ln>
                      </wps:spPr>
                      <wps:txbx>
                        <w:txbxContent>
                          <w:p w14:paraId="04999C61" w14:textId="5FEADB3C" w:rsidR="00F61130" w:rsidRPr="00657D24" w:rsidRDefault="00F61130" w:rsidP="000234FA">
                            <w:pPr>
                              <w:pStyle w:val="Caption"/>
                              <w:spacing w:line="360" w:lineRule="auto"/>
                              <w:jc w:val="both"/>
                              <w:rPr>
                                <w:sz w:val="20"/>
                                <w:szCs w:val="20"/>
                              </w:rPr>
                            </w:pPr>
                            <w:bookmarkStart w:id="79" w:name="_Ref523926707"/>
                            <w:bookmarkStart w:id="80" w:name="_Toc525227187"/>
                            <w:bookmarkStart w:id="81" w:name="_Toc536814126"/>
                            <w:r w:rsidRPr="00657D24">
                              <w:rPr>
                                <w:b/>
                                <w:sz w:val="20"/>
                                <w:szCs w:val="20"/>
                              </w:rPr>
                              <w:t xml:space="preserve">Figure </w:t>
                            </w:r>
                            <w:r>
                              <w:rPr>
                                <w:b/>
                                <w:sz w:val="20"/>
                                <w:szCs w:val="20"/>
                              </w:rPr>
                              <w:fldChar w:fldCharType="begin"/>
                            </w:r>
                            <w:r>
                              <w:rPr>
                                <w:b/>
                                <w:sz w:val="20"/>
                                <w:szCs w:val="20"/>
                              </w:rPr>
                              <w:instrText xml:space="preserve"> STYLEREF 1 \s </w:instrText>
                            </w:r>
                            <w:r>
                              <w:rPr>
                                <w:b/>
                                <w:sz w:val="20"/>
                                <w:szCs w:val="20"/>
                              </w:rPr>
                              <w:fldChar w:fldCharType="separate"/>
                            </w:r>
                            <w:r>
                              <w:rPr>
                                <w:b/>
                                <w:noProof/>
                                <w:sz w:val="20"/>
                                <w:szCs w:val="20"/>
                              </w:rPr>
                              <w:t>1</w:t>
                            </w:r>
                            <w:r>
                              <w:rPr>
                                <w:b/>
                                <w:sz w:val="20"/>
                                <w:szCs w:val="20"/>
                              </w:rPr>
                              <w:fldChar w:fldCharType="end"/>
                            </w:r>
                            <w:r>
                              <w:rPr>
                                <w:b/>
                                <w:sz w:val="20"/>
                                <w:szCs w:val="20"/>
                              </w:rPr>
                              <w:t>.</w:t>
                            </w:r>
                            <w:r>
                              <w:rPr>
                                <w:b/>
                                <w:sz w:val="20"/>
                                <w:szCs w:val="20"/>
                              </w:rPr>
                              <w:fldChar w:fldCharType="begin"/>
                            </w:r>
                            <w:r>
                              <w:rPr>
                                <w:b/>
                                <w:sz w:val="20"/>
                                <w:szCs w:val="20"/>
                              </w:rPr>
                              <w:instrText xml:space="preserve"> SEQ Figure \* ARABIC \s 1 </w:instrText>
                            </w:r>
                            <w:r>
                              <w:rPr>
                                <w:b/>
                                <w:sz w:val="20"/>
                                <w:szCs w:val="20"/>
                              </w:rPr>
                              <w:fldChar w:fldCharType="separate"/>
                            </w:r>
                            <w:r>
                              <w:rPr>
                                <w:b/>
                                <w:noProof/>
                                <w:sz w:val="20"/>
                                <w:szCs w:val="20"/>
                              </w:rPr>
                              <w:t>7</w:t>
                            </w:r>
                            <w:r>
                              <w:rPr>
                                <w:b/>
                                <w:sz w:val="20"/>
                                <w:szCs w:val="20"/>
                              </w:rPr>
                              <w:fldChar w:fldCharType="end"/>
                            </w:r>
                            <w:bookmarkEnd w:id="79"/>
                            <w:r w:rsidRPr="00657D24">
                              <w:rPr>
                                <w:b/>
                                <w:sz w:val="20"/>
                                <w:szCs w:val="20"/>
                              </w:rPr>
                              <w:t xml:space="preserve"> - Schematic Representation of the CoSMoS Process.</w:t>
                            </w:r>
                            <w:r>
                              <w:rPr>
                                <w:sz w:val="20"/>
                                <w:szCs w:val="20"/>
                              </w:rPr>
                              <w:t xml:space="preserve"> The domain refers to the biological system of interest, following from this a domain model which encapsulates our current understanding of the system is described. The platform model describes the ‘model specifications’ that describe how the domain model can be described in a mathematical/computational model. Using the platform model an executable software model, the simulation model, is generated. The understanding that is generated through utilisation of the simulation model is referred to as the Results Model.</w:t>
                            </w:r>
                            <w:bookmarkEnd w:id="80"/>
                            <w:bookmarkEnd w:id="81"/>
                            <w:r>
                              <w:rPr>
                                <w:sz w:val="20"/>
                                <w:szCs w:val="20"/>
                              </w:rP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3A0D9998" id="Text Box 171" o:spid="_x0000_s1035" type="#_x0000_t202" style="position:absolute;left:0;text-align:left;margin-left:37.8pt;margin-top:181.6pt;width:363.45pt;height:121.95pt;z-index:2519777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xp7bdMwIAAGwEAAAOAAAAZHJzL2Uyb0RvYy54bWysVFFv2yAQfp+0/4B4XxxHTZNacaosVaZJ&#13;&#10;UVspmfpMMMRImGNAYme/fgeO263b07QXfNwdB9/33Xlx3zWanIXzCkxJ89GYEmE4VMocS/ptv/k0&#13;&#10;p8QHZiqmwYiSXoSn98uPHxatLcQEatCVcASLGF+0tqR1CLbIMs9r0TA/AisMBiW4hgXcumNWOdZi&#13;&#10;9UZnk/H4NmvBVdYBF96j96EP0mWqL6Xg4UlKLwLRJcW3hbS6tB7imi0XrDg6ZmvFr89g//CKhimD&#13;&#10;l76WemCBkZNTf5RqFHfgQYYRhyYDKRUXCQOiycfv0OxqZkXCguR4+0qT/39l+eP52RFVoXaznBLD&#13;&#10;GhRpL7pAPkNHog8Zaq0vMHFnMTV0GMDswe/RGYF30jXxi5AIxpHryyu/sRxH581tPp3nU0o4xvLp&#13;&#10;zXw2mcU62dtx63z4IqAh0SipQwETr+y89aFPHVLibR60qjZK67iJgbV25MxQ7LZWQVyL/5alTcw1&#13;&#10;EE/1BaMnixh7LNEK3aFLrNwNOA9QXRC+g76FvOUbhfdtmQ/PzGHPIGKcg/CEi9TQlhSuFiU1uB9/&#13;&#10;88d8lBKjlLTYgyX130/MCUr0V4Mix4YdDDcYh8Ewp2YNiBRlw9ckEw+4oAdTOmhecDxW8RYMMcPx&#13;&#10;rpKGwVyHfhJwvLhYrVIStqVlYWt2lsfSA6/77oU5e1UloKCPMHQnK96J0+f2LK9OAaRKykVeexav&#13;&#10;dGNLJ+2v4xdn5td9ynr7SSx/AgAA//8DAFBLAwQUAAYACAAAACEA8C/v+eMAAAAPAQAADwAAAGRy&#13;&#10;cy9kb3ducmV2LnhtbExPy07DMBC8I/EP1iJxQdRuqqZVGqeCBm5waKl6dmOTRMTryHaa9O9ZTvQy&#13;&#10;0mpm55FvJ9uxi/GhdShhPhPADFZOt1hLOH69P6+BhahQq86hkXA1AbbF/V2uMu1G3JvLIdaMTDBk&#13;&#10;SkITY59xHqrGWBVmrjdI3LfzVkU6fc21VyOZ244nQqTcqhYpoVG92TWm+jkMVkJa+mHc4+6pPL59&#13;&#10;qM++Tk6v15OUjw9TuSF42QCLZor/H/C3gfpDQcXObkAdWCdhtUxJKWGRLhJgJFiLZAnsTBFiNQde&#13;&#10;5Px2R/ELAAD//wMAUEsBAi0AFAAGAAgAAAAhALaDOJL+AAAA4QEAABMAAAAAAAAAAAAAAAAAAAAA&#13;&#10;AFtDb250ZW50X1R5cGVzXS54bWxQSwECLQAUAAYACAAAACEAOP0h/9YAAACUAQAACwAAAAAAAAAA&#13;&#10;AAAAAAAvAQAAX3JlbHMvLnJlbHNQSwECLQAUAAYACAAAACEAsae23TMCAABsBAAADgAAAAAAAAAA&#13;&#10;AAAAAAAuAgAAZHJzL2Uyb0RvYy54bWxQSwECLQAUAAYACAAAACEA8C/v+eMAAAAPAQAADwAAAAAA&#13;&#10;AAAAAAAAAACNBAAAZHJzL2Rvd25yZXYueG1sUEsFBgAAAAAEAAQA8wAAAJ0FAAAAAA==&#13;&#10;" stroked="f">
                <v:textbox inset="0,0,0,0">
                  <w:txbxContent>
                    <w:p w14:paraId="04999C61" w14:textId="5FEADB3C" w:rsidR="00F61130" w:rsidRPr="00657D24" w:rsidRDefault="00F61130" w:rsidP="000234FA">
                      <w:pPr>
                        <w:pStyle w:val="Caption"/>
                        <w:spacing w:line="360" w:lineRule="auto"/>
                        <w:jc w:val="both"/>
                        <w:rPr>
                          <w:sz w:val="20"/>
                          <w:szCs w:val="20"/>
                        </w:rPr>
                      </w:pPr>
                      <w:bookmarkStart w:id="82" w:name="_Ref523926707"/>
                      <w:bookmarkStart w:id="83" w:name="_Toc525227187"/>
                      <w:bookmarkStart w:id="84" w:name="_Toc536814126"/>
                      <w:r w:rsidRPr="00657D24">
                        <w:rPr>
                          <w:b/>
                          <w:sz w:val="20"/>
                          <w:szCs w:val="20"/>
                        </w:rPr>
                        <w:t xml:space="preserve">Figure </w:t>
                      </w:r>
                      <w:r>
                        <w:rPr>
                          <w:b/>
                          <w:sz w:val="20"/>
                          <w:szCs w:val="20"/>
                        </w:rPr>
                        <w:fldChar w:fldCharType="begin"/>
                      </w:r>
                      <w:r>
                        <w:rPr>
                          <w:b/>
                          <w:sz w:val="20"/>
                          <w:szCs w:val="20"/>
                        </w:rPr>
                        <w:instrText xml:space="preserve"> STYLEREF 1 \s </w:instrText>
                      </w:r>
                      <w:r>
                        <w:rPr>
                          <w:b/>
                          <w:sz w:val="20"/>
                          <w:szCs w:val="20"/>
                        </w:rPr>
                        <w:fldChar w:fldCharType="separate"/>
                      </w:r>
                      <w:r>
                        <w:rPr>
                          <w:b/>
                          <w:noProof/>
                          <w:sz w:val="20"/>
                          <w:szCs w:val="20"/>
                        </w:rPr>
                        <w:t>1</w:t>
                      </w:r>
                      <w:r>
                        <w:rPr>
                          <w:b/>
                          <w:sz w:val="20"/>
                          <w:szCs w:val="20"/>
                        </w:rPr>
                        <w:fldChar w:fldCharType="end"/>
                      </w:r>
                      <w:r>
                        <w:rPr>
                          <w:b/>
                          <w:sz w:val="20"/>
                          <w:szCs w:val="20"/>
                        </w:rPr>
                        <w:t>.</w:t>
                      </w:r>
                      <w:r>
                        <w:rPr>
                          <w:b/>
                          <w:sz w:val="20"/>
                          <w:szCs w:val="20"/>
                        </w:rPr>
                        <w:fldChar w:fldCharType="begin"/>
                      </w:r>
                      <w:r>
                        <w:rPr>
                          <w:b/>
                          <w:sz w:val="20"/>
                          <w:szCs w:val="20"/>
                        </w:rPr>
                        <w:instrText xml:space="preserve"> SEQ Figure \* ARABIC \s 1 </w:instrText>
                      </w:r>
                      <w:r>
                        <w:rPr>
                          <w:b/>
                          <w:sz w:val="20"/>
                          <w:szCs w:val="20"/>
                        </w:rPr>
                        <w:fldChar w:fldCharType="separate"/>
                      </w:r>
                      <w:r>
                        <w:rPr>
                          <w:b/>
                          <w:noProof/>
                          <w:sz w:val="20"/>
                          <w:szCs w:val="20"/>
                        </w:rPr>
                        <w:t>7</w:t>
                      </w:r>
                      <w:r>
                        <w:rPr>
                          <w:b/>
                          <w:sz w:val="20"/>
                          <w:szCs w:val="20"/>
                        </w:rPr>
                        <w:fldChar w:fldCharType="end"/>
                      </w:r>
                      <w:bookmarkEnd w:id="82"/>
                      <w:r w:rsidRPr="00657D24">
                        <w:rPr>
                          <w:b/>
                          <w:sz w:val="20"/>
                          <w:szCs w:val="20"/>
                        </w:rPr>
                        <w:t xml:space="preserve"> - Schematic Representation of the CoSMoS Process.</w:t>
                      </w:r>
                      <w:r>
                        <w:rPr>
                          <w:sz w:val="20"/>
                          <w:szCs w:val="20"/>
                        </w:rPr>
                        <w:t xml:space="preserve"> The domain refers to the biological system of interest, following from this a domain model which encapsulates our current understanding of the system is described. The platform model describes the ‘model specifications’ that describe how the domain model can be described in a mathematical/computational model. Using the platform model an executable software model, the simulation model, is generated. The understanding that is generated through utilisation of the simulation model is referred to as the Results Model.</w:t>
                      </w:r>
                      <w:bookmarkEnd w:id="83"/>
                      <w:bookmarkEnd w:id="84"/>
                      <w:r>
                        <w:rPr>
                          <w:sz w:val="20"/>
                          <w:szCs w:val="20"/>
                        </w:rPr>
                        <w:t xml:space="preserve"> </w:t>
                      </w:r>
                    </w:p>
                  </w:txbxContent>
                </v:textbox>
                <w10:wrap type="topAndBottom"/>
              </v:shape>
            </w:pict>
          </mc:Fallback>
        </mc:AlternateContent>
      </w:r>
    </w:p>
    <w:p w14:paraId="55C2A708" w14:textId="43286C49" w:rsidR="00657D24" w:rsidRPr="008B3AD6" w:rsidRDefault="00657D24" w:rsidP="0068538F">
      <w:pPr>
        <w:spacing w:line="360" w:lineRule="auto"/>
        <w:jc w:val="both"/>
      </w:pPr>
    </w:p>
    <w:p w14:paraId="6CC4F50E" w14:textId="54526B43" w:rsidR="0068538F" w:rsidRPr="008B3AD6" w:rsidRDefault="0068538F" w:rsidP="0068538F">
      <w:pPr>
        <w:spacing w:line="360" w:lineRule="auto"/>
        <w:jc w:val="both"/>
      </w:pPr>
      <w:r w:rsidRPr="008B3AD6">
        <w:t>The research context is a product of the CoSMoS process and captures the scope and the motivation/purpose behind implementation and utilisation of the models generated. There are no strict guidelines as to what components form the research context, but they may include high-level goals, scientific evidence (either through published work or expert opinions) and hypotheses. Additionally, it may also include the requirements for the project such as validation criteria or allocation of resources. The research context defi</w:t>
      </w:r>
      <w:r w:rsidR="00FA3049">
        <w:t xml:space="preserve">nes and identifies the domain relating it </w:t>
      </w:r>
      <w:r w:rsidRPr="008B3AD6">
        <w:t xml:space="preserve">to the phenomena under investigation in the real-world </w:t>
      </w:r>
      <w:r w:rsidRPr="008B3AD6">
        <w:lastRenderedPageBreak/>
        <w:t>without any augmentation or extrapolation. Once the research context is generated and the domain defined the domain model can be described.</w:t>
      </w:r>
    </w:p>
    <w:p w14:paraId="5AF9FD5D" w14:textId="77777777" w:rsidR="0068538F" w:rsidRPr="008B3AD6" w:rsidRDefault="0068538F" w:rsidP="0068538F">
      <w:pPr>
        <w:spacing w:line="360" w:lineRule="auto"/>
        <w:jc w:val="both"/>
      </w:pPr>
    </w:p>
    <w:p w14:paraId="4379CC8D" w14:textId="62745E79" w:rsidR="0068538F" w:rsidRPr="008B3AD6" w:rsidRDefault="0068538F" w:rsidP="0068538F">
      <w:pPr>
        <w:spacing w:line="360" w:lineRule="auto"/>
        <w:jc w:val="both"/>
      </w:pPr>
      <w:r w:rsidRPr="008B3AD6">
        <w:t>Models in the context of the CoSMoS process are abstract entities representing aspects of system behaviours, scientific observations, simplifications and/or deductions. Thus, the domain model, as the first model instantiation in the CoSMoS process, represents aspects of system behaviours, scientific observations and abstractions of the real-world phenomena within the domain. The components of this model are abstract descriptions such as diagrams, sketches, scientific data or any chosen media. Importantly the domain model focuses on scientific understanding and it does not account for considerations of model implementation, this occurs in the platform model. The platform model details the implementation of the domain model into a simulation and broadly is an abstraction of the simulation model and its code. It details ‘how’ the behaviours will be implemented and executed, this to some extent addresses the hardware and software technologies that can be applied. The platform model may for instance be a collection of diagrams that map domain model behaviours to their implementation in a simulation. The platform model should not contain features that result in emergent properties described in the domain, thus aiming to negate the possibility of ‘hard coding’ expected behaviours rather than allowing their emergence through the collective action of low-level behaviours. The platform model leads to the development of the simulation model, a composition of hardware and/or software and code/equations that form the computation/mathematical representation of the domain from which simulations can be run. This should incorporate the default settings of the model such as parameters, mechanisms for</w:t>
      </w:r>
      <w:r w:rsidR="00867F49">
        <w:t xml:space="preserve"> the</w:t>
      </w:r>
      <w:r w:rsidRPr="008B3AD6">
        <w:t xml:space="preserve"> </w:t>
      </w:r>
      <w:r w:rsidR="00867F49" w:rsidRPr="008B3AD6">
        <w:t xml:space="preserve">entry/retrieval </w:t>
      </w:r>
      <w:r w:rsidR="00867F49">
        <w:t xml:space="preserve">of </w:t>
      </w:r>
      <w:r w:rsidRPr="008B3AD6">
        <w:t>data. Following the simulation model is the results model, a product that represents the outputs from exploring our model and is used to understand the outcomes that are obtained, it also encompasses the verification and validation of hypotheses that were generated in the research context</w:t>
      </w:r>
      <w:r w:rsidR="00FA3049">
        <w:t>, using methods such as model calibration</w:t>
      </w:r>
      <w:r w:rsidRPr="008B3AD6">
        <w:t>.</w:t>
      </w:r>
    </w:p>
    <w:p w14:paraId="32A9090D" w14:textId="77777777" w:rsidR="0068538F" w:rsidRPr="008B3AD6" w:rsidRDefault="0068538F" w:rsidP="0068538F">
      <w:pPr>
        <w:spacing w:line="360" w:lineRule="auto"/>
        <w:jc w:val="both"/>
      </w:pPr>
    </w:p>
    <w:p w14:paraId="19CD0AAC" w14:textId="77777777" w:rsidR="0068538F" w:rsidRPr="008B3AD6" w:rsidRDefault="0068538F" w:rsidP="0068538F">
      <w:pPr>
        <w:pStyle w:val="Heading4"/>
      </w:pPr>
      <w:bookmarkStart w:id="85" w:name="_Ref524272637"/>
      <w:bookmarkStart w:id="86" w:name="_Ref524272777"/>
      <w:bookmarkStart w:id="87" w:name="_Toc3716061"/>
      <w:r w:rsidRPr="008B3AD6">
        <w:t>Products</w:t>
      </w:r>
      <w:bookmarkEnd w:id="85"/>
      <w:bookmarkEnd w:id="86"/>
      <w:bookmarkEnd w:id="87"/>
    </w:p>
    <w:p w14:paraId="6A1F1EE1" w14:textId="5944F03F" w:rsidR="0068538F" w:rsidRPr="008B3AD6" w:rsidRDefault="0068538F" w:rsidP="0068538F">
      <w:pPr>
        <w:spacing w:line="360" w:lineRule="auto"/>
        <w:jc w:val="both"/>
      </w:pPr>
      <w:r w:rsidRPr="008B3AD6">
        <w:t>Whilst there are no explicit requirements for products generated throughout the CoSMoS process an approach that produces diagrammatic representations as components of both the domain and platform has previously been implemen</w:t>
      </w:r>
      <w:r w:rsidR="006A6703" w:rsidRPr="008B3AD6">
        <w:t xml:space="preserve">ted </w:t>
      </w:r>
      <w:r w:rsidR="006A6703" w:rsidRPr="008B3AD6">
        <w:fldChar w:fldCharType="begin"/>
      </w:r>
      <w:r w:rsidR="00025067">
        <w:instrText xml:space="preserve"> ADDIN ZOTERO_ITEM CSL_CITATION {"citationID":"bIwThvDV","properties":{"formattedCitation":"(M. Read et al. 2014)","plainCitation":"(M. Read et al. 2014)","noteIndex":0},"citationItems":[{"id":2616,"uris":["http://zotero.org/users/2628971/items/XK6PXK5C"],"uri":["http://zotero.org/users/2628971/items/XK6PXK5C"],"itemData":{"id":2616,"type":"article-journal","title":"Modelling biological behaviours with the unified modelling language: an immunological case study and critique","container-title":"Journal of The Royal Society Interface","page":"20140704","volume":"11","issue":"99","source":"rsif.royalsocietypublishing.org","abstract":"We present a framework to assist the diagrammatic modelling of complex biological systems using the unified modelling language (UML). The framework comprises three levels of modelling, ranging in scope from the dynamics of individual model entities to system-level emergent properties. By way of an immunological case study of the mouse disease experimental autoimmune encephalomyelitis, we show how the framework can be used to produce models that capture and communicate the biological system, detailing how biological entities, interactions and behaviours lead to higher-level emergent properties observed in the real world. We demonstrate how the UML can be successfully applied within our framework, and provide a critique of UML's ability to capture concepts fundamental to immunology and biology more generally. We show how specialized, well-explained diagrams with less formal semantics can be used where no suitable UML formalism exists. We highlight UML's lack of expressive ability concerning cyclic feedbacks in cellular networks, and the compounding concurrency arising from huge numbers of stochastic, interacting agents. To compensate for this, we propose several additional relationships for expressing these concepts in UML's activity diagram. We also demonstrate the ambiguous nature of class diagrams when applied to complex biology, and question their utility in modelling such dynamic systems. Models created through our framework are non-executable, and expressly free of simulation implementation concerns. They are a valuable complement and precursor to simulation specifications and implementations, focusing purely on thoroughly exploring the biology, recording hypotheses and assumptions, and serve as a communication medium detailing exactly how a simulation relates to the real biology.","DOI":"10.1098/rsif.2014.0704","ISSN":"1742-5689, 1742-5662","note":"PMID: 25142524","shortTitle":"Modelling biological behaviours with the unified modelling language","language":"en","author":[{"family":"Read","given":"Mark"},{"family":"Andrews","given":"Paul S."},{"family":"Timmis","given":"Jon"},{"family":"Kumar","given":"Vipin"}],"issued":{"date-parts":[["2014",10,6]]}}}],"schema":"https://github.com/citation-style-language/schema/raw/master/csl-citation.json"} </w:instrText>
      </w:r>
      <w:r w:rsidR="006A6703" w:rsidRPr="008B3AD6">
        <w:fldChar w:fldCharType="separate"/>
      </w:r>
      <w:r w:rsidR="00E5551E">
        <w:rPr>
          <w:lang w:val="en-US"/>
        </w:rPr>
        <w:t>(</w:t>
      </w:r>
      <w:r w:rsidR="00025067" w:rsidRPr="00025067">
        <w:rPr>
          <w:lang w:val="en-US"/>
        </w:rPr>
        <w:t>Read et al. 2014)</w:t>
      </w:r>
      <w:r w:rsidR="006A6703" w:rsidRPr="008B3AD6">
        <w:fldChar w:fldCharType="end"/>
      </w:r>
      <w:r w:rsidRPr="008B3AD6">
        <w:t xml:space="preserve">. In this approach the products generated are an expected behaviours diagram, activity diagrams and state diagrams. </w:t>
      </w:r>
      <w:r w:rsidR="00E00D77">
        <w:t>E</w:t>
      </w:r>
      <w:r w:rsidRPr="008B3AD6">
        <w:t>xpected behaviour diagram</w:t>
      </w:r>
      <w:r w:rsidR="00E00D77">
        <w:t>s</w:t>
      </w:r>
      <w:r w:rsidRPr="008B3AD6">
        <w:t xml:space="preserve"> </w:t>
      </w:r>
      <w:r w:rsidR="00E00D77">
        <w:t>are beneficial as they link</w:t>
      </w:r>
      <w:r w:rsidRPr="008B3AD6">
        <w:t xml:space="preserve"> the research context</w:t>
      </w:r>
      <w:r w:rsidR="00E00D77">
        <w:t>, such as results from published data,</w:t>
      </w:r>
      <w:r w:rsidRPr="008B3AD6">
        <w:t xml:space="preserve"> to behaviours within the system</w:t>
      </w:r>
      <w:r w:rsidR="00E00D77">
        <w:t xml:space="preserve"> being studied, helping to </w:t>
      </w:r>
      <w:r w:rsidR="00E00D77">
        <w:lastRenderedPageBreak/>
        <w:t>scope what entities to include/exclude</w:t>
      </w:r>
      <w:r w:rsidRPr="008B3AD6">
        <w:t xml:space="preserve">. </w:t>
      </w:r>
      <w:r w:rsidR="00E00D77">
        <w:t>These expected behaviour diagrams contain links</w:t>
      </w:r>
      <w:r w:rsidRPr="008B3AD6">
        <w:t xml:space="preserve"> </w:t>
      </w:r>
      <w:r w:rsidR="00E00D77">
        <w:t xml:space="preserve">between </w:t>
      </w:r>
      <w:r w:rsidRPr="008B3AD6">
        <w:t>observable phenomena, the time scales for their appearance and the hypotheses of how low-level behaviours contribute to the emerge</w:t>
      </w:r>
      <w:r w:rsidR="00E00D77">
        <w:t>nce of the observable phenomena.</w:t>
      </w:r>
      <w:r w:rsidRPr="008B3AD6">
        <w:t xml:space="preserve"> </w:t>
      </w:r>
      <w:r w:rsidR="00E00D77">
        <w:t>They</w:t>
      </w:r>
      <w:r w:rsidRPr="008B3AD6">
        <w:t xml:space="preserve"> can also include a diagram</w:t>
      </w:r>
      <w:r w:rsidR="00E00D77">
        <w:t>matic</w:t>
      </w:r>
      <w:r w:rsidRPr="008B3AD6">
        <w:t xml:space="preserve"> abstraction of the system with phenomena linked to t</w:t>
      </w:r>
      <w:r w:rsidR="00E00D77">
        <w:t>he relevant diagram components.</w:t>
      </w:r>
    </w:p>
    <w:p w14:paraId="2F573EBE" w14:textId="6101FB1A" w:rsidR="00664714" w:rsidRPr="008B3AD6" w:rsidRDefault="00664714" w:rsidP="0068538F">
      <w:pPr>
        <w:spacing w:line="360" w:lineRule="auto"/>
        <w:jc w:val="both"/>
      </w:pPr>
    </w:p>
    <w:p w14:paraId="172A40C3" w14:textId="00DD0773" w:rsidR="0068538F" w:rsidRPr="008B3AD6" w:rsidRDefault="00CF6F99" w:rsidP="0068538F">
      <w:pPr>
        <w:spacing w:line="360" w:lineRule="auto"/>
        <w:jc w:val="both"/>
      </w:pPr>
      <w:r>
        <w:rPr>
          <w:noProof/>
        </w:rPr>
        <w:drawing>
          <wp:anchor distT="0" distB="0" distL="114300" distR="114300" simplePos="0" relativeHeight="252132352" behindDoc="0" locked="0" layoutInCell="1" allowOverlap="1" wp14:anchorId="3A738378" wp14:editId="67A1C0E4">
            <wp:simplePos x="0" y="0"/>
            <wp:positionH relativeFrom="column">
              <wp:posOffset>895057</wp:posOffset>
            </wp:positionH>
            <wp:positionV relativeFrom="paragraph">
              <wp:posOffset>2162028</wp:posOffset>
            </wp:positionV>
            <wp:extent cx="3959225" cy="4150360"/>
            <wp:effectExtent l="0" t="0" r="3175" b="2540"/>
            <wp:wrapTopAndBottom/>
            <wp:docPr id="473" name="Picture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3" name="Picture 473"/>
                    <pic:cNvPicPr>
                      <a:picLocks noChangeAspect="1"/>
                    </pic:cNvPicPr>
                  </pic:nvPicPr>
                  <pic:blipFill rotWithShape="1">
                    <a:blip r:embed="rId26">
                      <a:extLst>
                        <a:ext uri="{28A0092B-C50C-407E-A947-70E740481C1C}">
                          <a14:useLocalDpi xmlns:a14="http://schemas.microsoft.com/office/drawing/2010/main" val="0"/>
                        </a:ext>
                      </a:extLst>
                    </a:blip>
                    <a:srcRect t="12526" b="13591"/>
                    <a:stretch/>
                  </pic:blipFill>
                  <pic:spPr bwMode="auto">
                    <a:xfrm>
                      <a:off x="0" y="0"/>
                      <a:ext cx="3959225" cy="4150360"/>
                    </a:xfrm>
                    <a:prstGeom prst="rect">
                      <a:avLst/>
                    </a:prstGeom>
                    <a:ln>
                      <a:noFill/>
                    </a:ln>
                    <a:extLst>
                      <a:ext uri="{53640926-AAD7-44D8-BBD7-CCE9431645EC}">
                        <a14:shadowObscured xmlns:a14="http://schemas.microsoft.com/office/drawing/2010/main"/>
                      </a:ext>
                    </a:extLst>
                  </pic:spPr>
                </pic:pic>
              </a:graphicData>
            </a:graphic>
          </wp:anchor>
        </w:drawing>
      </w:r>
      <w:r w:rsidR="00664714">
        <w:rPr>
          <w:noProof/>
        </w:rPr>
        <mc:AlternateContent>
          <mc:Choice Requires="wps">
            <w:drawing>
              <wp:anchor distT="0" distB="0" distL="114300" distR="114300" simplePos="0" relativeHeight="252133376" behindDoc="0" locked="0" layoutInCell="1" allowOverlap="1" wp14:anchorId="284F6399" wp14:editId="0B3978CF">
                <wp:simplePos x="0" y="0"/>
                <wp:positionH relativeFrom="column">
                  <wp:posOffset>-1905</wp:posOffset>
                </wp:positionH>
                <wp:positionV relativeFrom="paragraph">
                  <wp:posOffset>6651625</wp:posOffset>
                </wp:positionV>
                <wp:extent cx="5759450" cy="1283970"/>
                <wp:effectExtent l="0" t="0" r="6350" b="0"/>
                <wp:wrapTopAndBottom/>
                <wp:docPr id="542" name="Text Box 542"/>
                <wp:cNvGraphicFramePr/>
                <a:graphic xmlns:a="http://schemas.openxmlformats.org/drawingml/2006/main">
                  <a:graphicData uri="http://schemas.microsoft.com/office/word/2010/wordprocessingShape">
                    <wps:wsp>
                      <wps:cNvSpPr txBox="1"/>
                      <wps:spPr>
                        <a:xfrm>
                          <a:off x="0" y="0"/>
                          <a:ext cx="5759450" cy="1283970"/>
                        </a:xfrm>
                        <a:prstGeom prst="rect">
                          <a:avLst/>
                        </a:prstGeom>
                        <a:solidFill>
                          <a:prstClr val="white"/>
                        </a:solidFill>
                        <a:ln>
                          <a:noFill/>
                        </a:ln>
                      </wps:spPr>
                      <wps:txbx>
                        <w:txbxContent>
                          <w:p w14:paraId="125217C8" w14:textId="668A9777" w:rsidR="00F61130" w:rsidRPr="005A5BF1" w:rsidRDefault="00F61130" w:rsidP="00664714">
                            <w:pPr>
                              <w:pStyle w:val="Caption"/>
                              <w:spacing w:line="360" w:lineRule="auto"/>
                              <w:jc w:val="both"/>
                              <w:rPr>
                                <w:noProof/>
                              </w:rPr>
                            </w:pPr>
                            <w:bookmarkStart w:id="88" w:name="_Ref518734850"/>
                            <w:bookmarkStart w:id="89" w:name="_Toc525227188"/>
                            <w:bookmarkStart w:id="90" w:name="_Toc536814127"/>
                            <w:r w:rsidRPr="00AA14EC">
                              <w:rPr>
                                <w:b/>
                                <w:color w:val="auto"/>
                                <w:sz w:val="20"/>
                                <w:szCs w:val="20"/>
                              </w:rPr>
                              <w:t xml:space="preserve">Figure </w:t>
                            </w:r>
                            <w:r>
                              <w:rPr>
                                <w:b/>
                                <w:color w:val="auto"/>
                                <w:sz w:val="20"/>
                                <w:szCs w:val="20"/>
                              </w:rPr>
                              <w:fldChar w:fldCharType="begin"/>
                            </w:r>
                            <w:r>
                              <w:rPr>
                                <w:b/>
                                <w:color w:val="auto"/>
                                <w:sz w:val="20"/>
                                <w:szCs w:val="20"/>
                              </w:rPr>
                              <w:instrText xml:space="preserve"> STYLEREF 1 \s </w:instrText>
                            </w:r>
                            <w:r>
                              <w:rPr>
                                <w:b/>
                                <w:color w:val="auto"/>
                                <w:sz w:val="20"/>
                                <w:szCs w:val="20"/>
                              </w:rPr>
                              <w:fldChar w:fldCharType="separate"/>
                            </w:r>
                            <w:r>
                              <w:rPr>
                                <w:b/>
                                <w:noProof/>
                                <w:color w:val="auto"/>
                                <w:sz w:val="20"/>
                                <w:szCs w:val="20"/>
                              </w:rPr>
                              <w:t>1</w:t>
                            </w:r>
                            <w:r>
                              <w:rPr>
                                <w:b/>
                                <w:color w:val="auto"/>
                                <w:sz w:val="20"/>
                                <w:szCs w:val="20"/>
                              </w:rPr>
                              <w:fldChar w:fldCharType="end"/>
                            </w:r>
                            <w:r>
                              <w:rPr>
                                <w:b/>
                                <w:color w:val="auto"/>
                                <w:sz w:val="20"/>
                                <w:szCs w:val="20"/>
                              </w:rPr>
                              <w:t>.</w:t>
                            </w:r>
                            <w:r>
                              <w:rPr>
                                <w:b/>
                                <w:color w:val="auto"/>
                                <w:sz w:val="20"/>
                                <w:szCs w:val="20"/>
                              </w:rPr>
                              <w:fldChar w:fldCharType="begin"/>
                            </w:r>
                            <w:r>
                              <w:rPr>
                                <w:b/>
                                <w:color w:val="auto"/>
                                <w:sz w:val="20"/>
                                <w:szCs w:val="20"/>
                              </w:rPr>
                              <w:instrText xml:space="preserve"> SEQ Figure \* ARABIC \s 1 </w:instrText>
                            </w:r>
                            <w:r>
                              <w:rPr>
                                <w:b/>
                                <w:color w:val="auto"/>
                                <w:sz w:val="20"/>
                                <w:szCs w:val="20"/>
                              </w:rPr>
                              <w:fldChar w:fldCharType="separate"/>
                            </w:r>
                            <w:r>
                              <w:rPr>
                                <w:b/>
                                <w:noProof/>
                                <w:color w:val="auto"/>
                                <w:sz w:val="20"/>
                                <w:szCs w:val="20"/>
                              </w:rPr>
                              <w:t>8</w:t>
                            </w:r>
                            <w:r>
                              <w:rPr>
                                <w:b/>
                                <w:color w:val="auto"/>
                                <w:sz w:val="20"/>
                                <w:szCs w:val="20"/>
                              </w:rPr>
                              <w:fldChar w:fldCharType="end"/>
                            </w:r>
                            <w:bookmarkEnd w:id="88"/>
                            <w:r>
                              <w:rPr>
                                <w:b/>
                                <w:color w:val="auto"/>
                                <w:sz w:val="20"/>
                                <w:szCs w:val="20"/>
                              </w:rPr>
                              <w:t xml:space="preserve"> </w:t>
                            </w:r>
                            <w:r w:rsidRPr="00AA14EC">
                              <w:rPr>
                                <w:b/>
                                <w:color w:val="auto"/>
                                <w:sz w:val="20"/>
                                <w:szCs w:val="20"/>
                              </w:rPr>
                              <w:t xml:space="preserve">- Example </w:t>
                            </w:r>
                            <w:r>
                              <w:rPr>
                                <w:b/>
                                <w:sz w:val="20"/>
                                <w:szCs w:val="20"/>
                              </w:rPr>
                              <w:t xml:space="preserve">of a UML-like </w:t>
                            </w:r>
                            <w:r w:rsidRPr="00112B82">
                              <w:rPr>
                                <w:b/>
                                <w:sz w:val="20"/>
                                <w:szCs w:val="20"/>
                              </w:rPr>
                              <w:t xml:space="preserve">Activity Diagram. </w:t>
                            </w:r>
                            <w:r w:rsidRPr="00112B82">
                              <w:rPr>
                                <w:sz w:val="20"/>
                                <w:szCs w:val="20"/>
                              </w:rPr>
                              <w:t xml:space="preserve">Activity diagrams </w:t>
                            </w:r>
                            <w:r>
                              <w:rPr>
                                <w:sz w:val="20"/>
                                <w:szCs w:val="20"/>
                              </w:rPr>
                              <w:t>represent</w:t>
                            </w:r>
                            <w:r w:rsidRPr="00112B82">
                              <w:rPr>
                                <w:sz w:val="20"/>
                                <w:szCs w:val="20"/>
                              </w:rPr>
                              <w:t xml:space="preserve"> processes described in the domain and platform models. A cell can be considered a token in the system, it is initialised and transfers to a behaviour or activity, grey rectangles, if it meets the requirements, denoted by square brackets, it may proceed to the next activity. A fork will split the token allowing multiple activities. A decision node will divert the token down a path depending on whether certain criteria are met. A join will synchronise multiple tokens but does not condense them into one whilst a merge node will collapse multiple tokens into a single token.</w:t>
                            </w:r>
                            <w:bookmarkEnd w:id="89"/>
                            <w:bookmarkEnd w:id="90"/>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84F6399" id="Text Box 542" o:spid="_x0000_s1036" type="#_x0000_t202" style="position:absolute;left:0;text-align:left;margin-left:-.15pt;margin-top:523.75pt;width:453.5pt;height:101.1pt;z-index:2521333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7qtoBNQIAAG0EAAAOAAAAZHJzL2Uyb0RvYy54bWysVMFuGjEQvVfqP1i+lwUamgSxRJSIqhJK&#13;&#10;IkGVs/HarCXb49qGXfr1HXtZaNOeql7M7Mx4PO+9GWYPrdHkKHxQYEs6GgwpEZZDpey+pN+2qw93&#13;&#10;lITIbMU0WFHSkwj0Yf7+3axxUzGGGnQlPMEiNkwbV9I6RjctisBrYVgYgBMWgxK8YRE//b6oPGuw&#13;&#10;utHFeDj8VDTgK+eBixDQ+9gF6TzXl1Lw+CxlEJHokmJvMZ8+n7t0FvMZm+49c7Xi5zbYP3RhmLL4&#13;&#10;6KXUI4uMHLz6o5RR3EMAGQccTAFSKi4yBkQzGr5Bs6mZExkLkhPchabw/8ryp+OLJ6oq6eRmTIll&#13;&#10;BkXaijaSz9CS5EOGGhemmLhxmBpbDKDSvT+gMwFvpTfpFyERjCPXpwu/qRxH5+R2cn8zwRDH2Gh8&#13;&#10;9/H+NitQXK87H+IXAYYko6QeBcy8suM6RGwFU/uU9FoAraqV0jp9pMBSe3JkKHZTqyhSk3jjtyxt&#13;&#10;U66FdKsLJ0+RMHZYkhXbXZtZGeUGk2sH1Qnxe+hmKDi+UvjgmoX4wjwODeLCRYjPeEgNTUnhbFFS&#13;&#10;g//xN3/KRy0xSkmDQ1jS8P3AvKBEf7WocprY3vC9sesNezBLQKgjXDHHs4kXfNS9KT2YV9yPRXoF&#13;&#10;Q8xyfKuksTeXsVsF3C8uFouchHPpWFzbjeOpdE/stn1l3p1liajoE/TjyaZv1OlyO5oXhwhSZemu&#13;&#10;LJ75xpnO+pz3Ly3Nr9856/ovMf8JAAD//wMAUEsDBBQABgAIAAAAIQDhiGIa5AAAABABAAAPAAAA&#13;&#10;ZHJzL2Rvd25yZXYueG1sTE89T8MwEN2R+A/WIbGg1iaUhKZxKmjKBkNL1dlNTBIRnyPbadJ/z3WC&#13;&#10;5aR79+59ZOvJdOysnW8tSnicC2AaS1u1WEs4fL3PXoD5oLBSnUUt4aI9rPPbm0yllR1xp8/7UDMS&#13;&#10;QZ8qCU0Ifcq5LxttlJ/bXiPdvq0zKtDqal45NZK46XgkRMyNapEcGtXrTaPLn/1gJMSFG8Ydbh6K&#13;&#10;w/ZDffZ1dHy7HKW8v5uKFY3XFbCgp/D3AdcOlB9yCnayA1aedRJmT0QkWCySZ2BEWIo4AXYiKFos&#13;&#10;E+B5xv8XyX8BAAD//wMAUEsBAi0AFAAGAAgAAAAhALaDOJL+AAAA4QEAABMAAAAAAAAAAAAAAAAA&#13;&#10;AAAAAFtDb250ZW50X1R5cGVzXS54bWxQSwECLQAUAAYACAAAACEAOP0h/9YAAACUAQAACwAAAAAA&#13;&#10;AAAAAAAAAAAvAQAAX3JlbHMvLnJlbHNQSwECLQAUAAYACAAAACEAO6raATUCAABtBAAADgAAAAAA&#13;&#10;AAAAAAAAAAAuAgAAZHJzL2Uyb0RvYy54bWxQSwECLQAUAAYACAAAACEA4YhiGuQAAAAQAQAADwAA&#13;&#10;AAAAAAAAAAAAAACPBAAAZHJzL2Rvd25yZXYueG1sUEsFBgAAAAAEAAQA8wAAAKAFAAAAAA==&#13;&#10;" stroked="f">
                <v:textbox inset="0,0,0,0">
                  <w:txbxContent>
                    <w:p w14:paraId="125217C8" w14:textId="668A9777" w:rsidR="00F61130" w:rsidRPr="005A5BF1" w:rsidRDefault="00F61130" w:rsidP="00664714">
                      <w:pPr>
                        <w:pStyle w:val="Caption"/>
                        <w:spacing w:line="360" w:lineRule="auto"/>
                        <w:jc w:val="both"/>
                        <w:rPr>
                          <w:noProof/>
                        </w:rPr>
                      </w:pPr>
                      <w:bookmarkStart w:id="91" w:name="_Ref518734850"/>
                      <w:bookmarkStart w:id="92" w:name="_Toc525227188"/>
                      <w:bookmarkStart w:id="93" w:name="_Toc536814127"/>
                      <w:r w:rsidRPr="00AA14EC">
                        <w:rPr>
                          <w:b/>
                          <w:color w:val="auto"/>
                          <w:sz w:val="20"/>
                          <w:szCs w:val="20"/>
                        </w:rPr>
                        <w:t xml:space="preserve">Figure </w:t>
                      </w:r>
                      <w:r>
                        <w:rPr>
                          <w:b/>
                          <w:color w:val="auto"/>
                          <w:sz w:val="20"/>
                          <w:szCs w:val="20"/>
                        </w:rPr>
                        <w:fldChar w:fldCharType="begin"/>
                      </w:r>
                      <w:r>
                        <w:rPr>
                          <w:b/>
                          <w:color w:val="auto"/>
                          <w:sz w:val="20"/>
                          <w:szCs w:val="20"/>
                        </w:rPr>
                        <w:instrText xml:space="preserve"> STYLEREF 1 \s </w:instrText>
                      </w:r>
                      <w:r>
                        <w:rPr>
                          <w:b/>
                          <w:color w:val="auto"/>
                          <w:sz w:val="20"/>
                          <w:szCs w:val="20"/>
                        </w:rPr>
                        <w:fldChar w:fldCharType="separate"/>
                      </w:r>
                      <w:r>
                        <w:rPr>
                          <w:b/>
                          <w:noProof/>
                          <w:color w:val="auto"/>
                          <w:sz w:val="20"/>
                          <w:szCs w:val="20"/>
                        </w:rPr>
                        <w:t>1</w:t>
                      </w:r>
                      <w:r>
                        <w:rPr>
                          <w:b/>
                          <w:color w:val="auto"/>
                          <w:sz w:val="20"/>
                          <w:szCs w:val="20"/>
                        </w:rPr>
                        <w:fldChar w:fldCharType="end"/>
                      </w:r>
                      <w:r>
                        <w:rPr>
                          <w:b/>
                          <w:color w:val="auto"/>
                          <w:sz w:val="20"/>
                          <w:szCs w:val="20"/>
                        </w:rPr>
                        <w:t>.</w:t>
                      </w:r>
                      <w:r>
                        <w:rPr>
                          <w:b/>
                          <w:color w:val="auto"/>
                          <w:sz w:val="20"/>
                          <w:szCs w:val="20"/>
                        </w:rPr>
                        <w:fldChar w:fldCharType="begin"/>
                      </w:r>
                      <w:r>
                        <w:rPr>
                          <w:b/>
                          <w:color w:val="auto"/>
                          <w:sz w:val="20"/>
                          <w:szCs w:val="20"/>
                        </w:rPr>
                        <w:instrText xml:space="preserve"> SEQ Figure \* ARABIC \s 1 </w:instrText>
                      </w:r>
                      <w:r>
                        <w:rPr>
                          <w:b/>
                          <w:color w:val="auto"/>
                          <w:sz w:val="20"/>
                          <w:szCs w:val="20"/>
                        </w:rPr>
                        <w:fldChar w:fldCharType="separate"/>
                      </w:r>
                      <w:r>
                        <w:rPr>
                          <w:b/>
                          <w:noProof/>
                          <w:color w:val="auto"/>
                          <w:sz w:val="20"/>
                          <w:szCs w:val="20"/>
                        </w:rPr>
                        <w:t>8</w:t>
                      </w:r>
                      <w:r>
                        <w:rPr>
                          <w:b/>
                          <w:color w:val="auto"/>
                          <w:sz w:val="20"/>
                          <w:szCs w:val="20"/>
                        </w:rPr>
                        <w:fldChar w:fldCharType="end"/>
                      </w:r>
                      <w:bookmarkEnd w:id="91"/>
                      <w:r>
                        <w:rPr>
                          <w:b/>
                          <w:color w:val="auto"/>
                          <w:sz w:val="20"/>
                          <w:szCs w:val="20"/>
                        </w:rPr>
                        <w:t xml:space="preserve"> </w:t>
                      </w:r>
                      <w:r w:rsidRPr="00AA14EC">
                        <w:rPr>
                          <w:b/>
                          <w:color w:val="auto"/>
                          <w:sz w:val="20"/>
                          <w:szCs w:val="20"/>
                        </w:rPr>
                        <w:t xml:space="preserve">- Example </w:t>
                      </w:r>
                      <w:r>
                        <w:rPr>
                          <w:b/>
                          <w:sz w:val="20"/>
                          <w:szCs w:val="20"/>
                        </w:rPr>
                        <w:t xml:space="preserve">of a UML-like </w:t>
                      </w:r>
                      <w:r w:rsidRPr="00112B82">
                        <w:rPr>
                          <w:b/>
                          <w:sz w:val="20"/>
                          <w:szCs w:val="20"/>
                        </w:rPr>
                        <w:t xml:space="preserve">Activity Diagram. </w:t>
                      </w:r>
                      <w:r w:rsidRPr="00112B82">
                        <w:rPr>
                          <w:sz w:val="20"/>
                          <w:szCs w:val="20"/>
                        </w:rPr>
                        <w:t xml:space="preserve">Activity diagrams </w:t>
                      </w:r>
                      <w:r>
                        <w:rPr>
                          <w:sz w:val="20"/>
                          <w:szCs w:val="20"/>
                        </w:rPr>
                        <w:t>represent</w:t>
                      </w:r>
                      <w:r w:rsidRPr="00112B82">
                        <w:rPr>
                          <w:sz w:val="20"/>
                          <w:szCs w:val="20"/>
                        </w:rPr>
                        <w:t xml:space="preserve"> processes described in the domain and platform models. A cell can be considered a token in the system, it is initialised and transfers to a behaviour or activity, grey rectangles, if it meets the requirements, denoted by square brackets, it may proceed to the next activity. A fork will split the token allowing multiple activities. A decision node will divert the token down a path depending on whether certain criteria are met. A join will synchronise multiple tokens but does not condense them into one whilst a merge node will collapse multiple tokens into a single token.</w:t>
                      </w:r>
                      <w:bookmarkEnd w:id="92"/>
                      <w:bookmarkEnd w:id="93"/>
                    </w:p>
                  </w:txbxContent>
                </v:textbox>
                <w10:wrap type="topAndBottom"/>
              </v:shape>
            </w:pict>
          </mc:Fallback>
        </mc:AlternateContent>
      </w:r>
      <w:r w:rsidR="00664714">
        <w:t>A</w:t>
      </w:r>
      <w:r w:rsidR="00FA3049">
        <w:t xml:space="preserve">n adaptation of the </w:t>
      </w:r>
      <w:r w:rsidR="0068538F" w:rsidRPr="008B3AD6">
        <w:t>Unified Modelling Language (UML)</w:t>
      </w:r>
      <w:r w:rsidR="006A6703" w:rsidRPr="008B3AD6">
        <w:t xml:space="preserve"> </w:t>
      </w:r>
      <w:r w:rsidR="006A6703" w:rsidRPr="008B3AD6">
        <w:fldChar w:fldCharType="begin"/>
      </w:r>
      <w:r w:rsidR="00025067">
        <w:instrText xml:space="preserve"> ADDIN ZOTERO_ITEM CSL_CITATION {"citationID":"PWJJJrY7","properties":{"formattedCitation":"(Rumbaugh, Jacobson, and Booch 2004)","plainCitation":"(Rumbaugh, Jacobson, and Booch 2004)","noteIndex":0},"citationItems":[{"id":3639,"uris":["http://zotero.org/users/2628971/items/X8TP4UXN"],"uri":["http://zotero.org/users/2628971/items/X8TP4UXN"],"itemData":{"id":3639,"type":"book","title":"Unified Modeling Language Reference Manual, The (2Nd Edition)","publisher":"Pearson Higher Education","source":"ACM Digital Library","abstract":"“If you are a serious user of UML, there is no other book quite like this one. I have been involved with the UML specification process for some time, but I still found myself learning things while reading through this book-especially on the changes and new capabilities that have come with UML.” ï� ï� ï� ï� ï� ï� ï� ï� ï� -Ed Seidewitz, Chief Architect, IntelliData Technologies CorporationThe latest version of the Unified Modeling Language-UML 2.0-has increased its capabilities as the standard notation for modeling software-intensive systems. Like most standards documents, however, the official UML specification is difficult to read and navigate. In addition, UML 2.0 is far more complex than previous versions, making a thorough reference book more essential than ever.In this significantly updated and expanded edition of the definitive reference to the standard, James Rumbaugh, Ivar Jacobson, and Grady Booch-the UML's creators-clearly and completely describe UML concepts, including major revisions to sequence diagrams, activity models, state machines, components, internal structure of classes and components, and profiles. Whether you are capturing requirements, developing software architectures, designing implementations, or trying to understand existing systems, this is the book for you.Highlights include: Alphabetical dictionary of articles covering every UML concept Integrated summary of UML concepts by diagram type Two-color diagrams with extensive annotations in blue Thorough coverage of both semantics and notation, separated in each article for easy reference Further explanations of concepts whose meaning or purpose is obscure in the original specifications Discussion sections offering usage advice and additional insight into tricky concepts Notation summary, with references to individual articles A hyperlinked version of the book in Adobe Reader format on CD-ROM, an excellent resource for browsing or searching the text for specific information An enhanced online index available on the book's web site allowing readers to quickly and easily search the entire text for specific topicsThe result is an indispensable resource for anyone who needs to understand the inner workings of the industry standard modeling language.","ISBN":"0-321-24562-8","author":[{"family":"Rumbaugh","given":"James"},{"family":"Jacobson","given":"Ivar"},{"family":"Booch","given":"Grady"}],"issued":{"date-parts":[["2004"]]}}}],"schema":"https://github.com/citation-style-language/schema/raw/master/csl-citation.json"} </w:instrText>
      </w:r>
      <w:r w:rsidR="006A6703" w:rsidRPr="008B3AD6">
        <w:fldChar w:fldCharType="separate"/>
      </w:r>
      <w:r w:rsidR="00025067" w:rsidRPr="00025067">
        <w:rPr>
          <w:lang w:val="en-US"/>
        </w:rPr>
        <w:t>(Rumbaugh, Jacobson, and Booch 2004)</w:t>
      </w:r>
      <w:r w:rsidR="006A6703" w:rsidRPr="008B3AD6">
        <w:fldChar w:fldCharType="end"/>
      </w:r>
      <w:r w:rsidR="00FA3049">
        <w:t>,</w:t>
      </w:r>
      <w:r w:rsidR="00664714">
        <w:t xml:space="preserve"> originally intended to standardise the notation of a software systems design, was used to create a</w:t>
      </w:r>
      <w:r w:rsidR="00664714" w:rsidRPr="008B3AD6">
        <w:t>ctivity and state diagrams</w:t>
      </w:r>
      <w:r w:rsidR="00664714">
        <w:t xml:space="preserve"> which</w:t>
      </w:r>
      <w:r w:rsidR="00FA3049">
        <w:t xml:space="preserve"> p</w:t>
      </w:r>
      <w:r w:rsidR="0068538F" w:rsidRPr="008B3AD6">
        <w:t>rovide general representations of the activities and states of biological entities</w:t>
      </w:r>
      <w:r w:rsidR="00664714">
        <w:t xml:space="preserve"> </w:t>
      </w:r>
      <w:r w:rsidR="00664714">
        <w:fldChar w:fldCharType="begin"/>
      </w:r>
      <w:r w:rsidR="00C80233">
        <w:instrText xml:space="preserve"> ADDIN ZOTERO_ITEM CSL_CITATION {"citationID":"Tod0RUGg","properties":{"formattedCitation":"(M. Read et al. 2014)","plainCitation":"(M. Read et al. 2014)","noteIndex":0},"citationItems":[{"id":2616,"uris":["http://zotero.org/users/2628971/items/XK6PXK5C"],"uri":["http://zotero.org/users/2628971/items/XK6PXK5C"],"itemData":{"id":2616,"type":"article-journal","title":"Modelling biological behaviours with the unified modelling language: an immunological case study and critique","container-title":"Journal of The Royal Society Interface","page":"20140704","volume":"11","issue":"99","source":"rsif.royalsocietypublishing.org","abstract":"We present a framework to assist the diagrammatic modelling of complex biological systems using the unified modelling language (UML). The framework comprises three levels of modelling, ranging in scope from the dynamics of individual model entities to system-level emergent properties. By way of an immunological case study of the mouse disease experimental autoimmune encephalomyelitis, we show how the framework can be used to produce models that capture and communicate the biological system, detailing how biological entities, interactions and behaviours lead to higher-level emergent properties observed in the real world. We demonstrate how the UML can be successfully applied within our framework, and provide a critique of UML's ability to capture concepts fundamental to immunology and biology more generally. We show how specialized, well-explained diagrams with less formal semantics can be used where no suitable UML formalism exists. We highlight UML's lack of expressive ability concerning cyclic feedbacks in cellular networks, and the compounding concurrency arising from huge numbers of stochastic, interacting agents. To compensate for this, we propose several additional relationships for expressing these concepts in UML's activity diagram. We also demonstrate the ambiguous nature of class diagrams when applied to complex biology, and question their utility in modelling such dynamic systems. Models created through our framework are non-executable, and expressly free of simulation implementation concerns. They are a valuable complement and precursor to simulation specifications and implementations, focusing purely on thoroughly exploring the biology, recording hypotheses and assumptions, and serve as a communication medium detailing exactly how a simulation relates to the real biology.","DOI":"10.1098/rsif.2014.0704","ISSN":"1742-5689, 1742-5662","note":"PMID: 25142524","shortTitle":"Modelling biological behaviours with the unified modelling language","language":"en","author":[{"family":"Read","given":"Mark"},{"family":"Andrews","given":"Paul S."},{"family":"Timmis","given":"Jon"},{"family":"Kumar","given":"Vipin"}],"issued":{"date-parts":[["2014",10,6]]}}}],"schema":"https://github.com/citation-style-language/schema/raw/master/csl-citation.json"} </w:instrText>
      </w:r>
      <w:r w:rsidR="00664714">
        <w:fldChar w:fldCharType="separate"/>
      </w:r>
      <w:r w:rsidR="00E5551E">
        <w:rPr>
          <w:lang w:val="en-US"/>
        </w:rPr>
        <w:t>(</w:t>
      </w:r>
      <w:r w:rsidR="00C80233" w:rsidRPr="00C80233">
        <w:rPr>
          <w:lang w:val="en-US"/>
        </w:rPr>
        <w:t>Read et al. 2014)</w:t>
      </w:r>
      <w:r w:rsidR="00664714">
        <w:fldChar w:fldCharType="end"/>
      </w:r>
      <w:r w:rsidR="0068538F" w:rsidRPr="008B3AD6">
        <w:t xml:space="preserve">. Activity diagrams further break down the expected behaviours diagram by representing the stages (or </w:t>
      </w:r>
      <w:r w:rsidR="001C1993">
        <w:t>low-level</w:t>
      </w:r>
      <w:r w:rsidR="00664714">
        <w:t xml:space="preserve"> </w:t>
      </w:r>
      <w:r w:rsidR="0068538F" w:rsidRPr="008B3AD6">
        <w:t xml:space="preserve">activities) that result in the emergence of the observable phenomena. A variety of interactions for individual or multiple entities can be represented through UML such as an activity resulting in concurrent outputs or the convergence of activities towards a singular outcome. Typically, activity </w:t>
      </w:r>
      <w:r w:rsidR="0068538F" w:rsidRPr="008B3AD6">
        <w:lastRenderedPageBreak/>
        <w:t xml:space="preserve">diagrams represent the workflow for entities describing its transition from an initial point to a final point, </w:t>
      </w:r>
      <w:r w:rsidR="0068538F" w:rsidRPr="00664714">
        <w:t xml:space="preserve">shown in </w:t>
      </w:r>
      <w:r w:rsidR="00664714" w:rsidRPr="00664714">
        <w:rPr>
          <w:b/>
        </w:rPr>
        <w:fldChar w:fldCharType="begin"/>
      </w:r>
      <w:r w:rsidR="00664714" w:rsidRPr="00664714">
        <w:instrText xml:space="preserve"> REF _Ref518734850 </w:instrText>
      </w:r>
      <w:r w:rsidR="00664714">
        <w:instrText xml:space="preserve"> \* MERGEFORMAT </w:instrText>
      </w:r>
      <w:r w:rsidR="00664714" w:rsidRPr="00664714">
        <w:rPr>
          <w:b/>
        </w:rPr>
        <w:fldChar w:fldCharType="separate"/>
      </w:r>
      <w:r w:rsidR="00664714" w:rsidRPr="00664714">
        <w:rPr>
          <w:b/>
        </w:rPr>
        <w:t xml:space="preserve">Figure </w:t>
      </w:r>
      <w:r w:rsidR="00664714" w:rsidRPr="00664714">
        <w:rPr>
          <w:b/>
          <w:noProof/>
        </w:rPr>
        <w:t>1</w:t>
      </w:r>
      <w:r w:rsidR="00664714" w:rsidRPr="00664714">
        <w:rPr>
          <w:b/>
        </w:rPr>
        <w:t>.</w:t>
      </w:r>
      <w:r w:rsidR="00664714" w:rsidRPr="00664714">
        <w:rPr>
          <w:b/>
          <w:noProof/>
        </w:rPr>
        <w:t>8</w:t>
      </w:r>
      <w:r w:rsidR="00664714" w:rsidRPr="00664714">
        <w:rPr>
          <w:b/>
        </w:rPr>
        <w:fldChar w:fldCharType="end"/>
      </w:r>
      <w:r w:rsidR="0068538F" w:rsidRPr="00664714">
        <w:t>. These</w:t>
      </w:r>
      <w:r w:rsidR="0068538F" w:rsidRPr="008B3AD6">
        <w:t xml:space="preserve"> activities may require an entity to be in a certain state for their occurrence or result in a change of state proceeding the activity occurring. State diagrams represent the attributes and/or features of</w:t>
      </w:r>
      <w:r w:rsidR="00664714">
        <w:t xml:space="preserve"> each individual</w:t>
      </w:r>
      <w:r w:rsidR="0068538F" w:rsidRPr="008B3AD6">
        <w:t xml:space="preserve"> entit</w:t>
      </w:r>
      <w:r w:rsidR="00664714">
        <w:t>y</w:t>
      </w:r>
      <w:r w:rsidR="0068538F" w:rsidRPr="008B3AD6">
        <w:t xml:space="preserve"> at a</w:t>
      </w:r>
      <w:r w:rsidR="00664714">
        <w:t>ny</w:t>
      </w:r>
      <w:r w:rsidR="0068538F" w:rsidRPr="008B3AD6">
        <w:t xml:space="preserve"> given point </w:t>
      </w:r>
      <w:r w:rsidR="00664714">
        <w:t>during the simulation</w:t>
      </w:r>
      <w:r w:rsidR="0068538F" w:rsidRPr="008B3AD6">
        <w:t xml:space="preserve">. They can capture the criteria needed for entities to transition between states. State and activity diagrams are inherently linked as they describe different facets of the same entity but can be further connected through the description of state specific activities or activities resulting </w:t>
      </w:r>
      <w:r w:rsidR="0068538F" w:rsidRPr="00664714">
        <w:t xml:space="preserve">in state changes. </w:t>
      </w:r>
      <w:r w:rsidR="00664714" w:rsidRPr="00664714">
        <w:rPr>
          <w:b/>
        </w:rPr>
        <w:fldChar w:fldCharType="begin"/>
      </w:r>
      <w:r w:rsidR="00664714" w:rsidRPr="00664714">
        <w:instrText xml:space="preserve"> REF _Ref518563505 </w:instrText>
      </w:r>
      <w:r w:rsidR="00664714">
        <w:instrText xml:space="preserve"> \* MERGEFORMAT </w:instrText>
      </w:r>
      <w:r w:rsidR="00664714" w:rsidRPr="00664714">
        <w:rPr>
          <w:b/>
        </w:rPr>
        <w:fldChar w:fldCharType="separate"/>
      </w:r>
      <w:r w:rsidR="00664714" w:rsidRPr="00664714">
        <w:rPr>
          <w:b/>
        </w:rPr>
        <w:t xml:space="preserve">Figure </w:t>
      </w:r>
      <w:r w:rsidR="00664714" w:rsidRPr="00664714">
        <w:rPr>
          <w:b/>
          <w:noProof/>
        </w:rPr>
        <w:t>1</w:t>
      </w:r>
      <w:r w:rsidR="00664714" w:rsidRPr="00664714">
        <w:rPr>
          <w:b/>
        </w:rPr>
        <w:t>.</w:t>
      </w:r>
      <w:r w:rsidR="00664714" w:rsidRPr="00664714">
        <w:rPr>
          <w:b/>
          <w:noProof/>
        </w:rPr>
        <w:t>9</w:t>
      </w:r>
      <w:r w:rsidR="00664714" w:rsidRPr="00664714">
        <w:rPr>
          <w:b/>
        </w:rPr>
        <w:fldChar w:fldCharType="end"/>
      </w:r>
      <w:r w:rsidR="00664714" w:rsidRPr="00664714">
        <w:rPr>
          <w:b/>
        </w:rPr>
        <w:t xml:space="preserve"> </w:t>
      </w:r>
      <w:r w:rsidR="0068538F" w:rsidRPr="00664714">
        <w:t>shows</w:t>
      </w:r>
      <w:r w:rsidR="0068538F" w:rsidRPr="008B3AD6">
        <w:t xml:space="preserve"> a generic example of a </w:t>
      </w:r>
      <w:r w:rsidR="00664714">
        <w:rPr>
          <w:noProof/>
        </w:rPr>
        <mc:AlternateContent>
          <mc:Choice Requires="wps">
            <w:drawing>
              <wp:anchor distT="0" distB="0" distL="114300" distR="114300" simplePos="0" relativeHeight="252130304" behindDoc="0" locked="0" layoutInCell="1" allowOverlap="1" wp14:anchorId="766AB699" wp14:editId="36DC467C">
                <wp:simplePos x="0" y="0"/>
                <wp:positionH relativeFrom="column">
                  <wp:posOffset>-2197</wp:posOffset>
                </wp:positionH>
                <wp:positionV relativeFrom="paragraph">
                  <wp:posOffset>4300948</wp:posOffset>
                </wp:positionV>
                <wp:extent cx="5765800" cy="1057910"/>
                <wp:effectExtent l="0" t="0" r="0" b="0"/>
                <wp:wrapTopAndBottom/>
                <wp:docPr id="450" name="Text Box 450"/>
                <wp:cNvGraphicFramePr/>
                <a:graphic xmlns:a="http://schemas.openxmlformats.org/drawingml/2006/main">
                  <a:graphicData uri="http://schemas.microsoft.com/office/word/2010/wordprocessingShape">
                    <wps:wsp>
                      <wps:cNvSpPr txBox="1"/>
                      <wps:spPr>
                        <a:xfrm>
                          <a:off x="0" y="0"/>
                          <a:ext cx="5765800" cy="1057910"/>
                        </a:xfrm>
                        <a:prstGeom prst="rect">
                          <a:avLst/>
                        </a:prstGeom>
                        <a:solidFill>
                          <a:prstClr val="white"/>
                        </a:solidFill>
                        <a:ln>
                          <a:noFill/>
                        </a:ln>
                      </wps:spPr>
                      <wps:txbx>
                        <w:txbxContent>
                          <w:p w14:paraId="24AED76D" w14:textId="2D86974B" w:rsidR="00F61130" w:rsidRPr="00394041" w:rsidRDefault="00F61130" w:rsidP="00664714">
                            <w:pPr>
                              <w:pStyle w:val="Caption"/>
                              <w:spacing w:line="360" w:lineRule="auto"/>
                              <w:jc w:val="both"/>
                              <w:rPr>
                                <w:b/>
                                <w:noProof/>
                                <w:sz w:val="20"/>
                                <w:szCs w:val="20"/>
                                <w:lang w:eastAsia="en-GB"/>
                              </w:rPr>
                            </w:pPr>
                            <w:bookmarkStart w:id="94" w:name="_Ref518563505"/>
                            <w:bookmarkStart w:id="95" w:name="_Toc525227189"/>
                            <w:bookmarkStart w:id="96" w:name="_Toc536814128"/>
                            <w:r w:rsidRPr="00394041">
                              <w:rPr>
                                <w:b/>
                                <w:sz w:val="20"/>
                                <w:szCs w:val="20"/>
                              </w:rPr>
                              <w:t xml:space="preserve">Figure </w:t>
                            </w:r>
                            <w:r>
                              <w:rPr>
                                <w:b/>
                                <w:sz w:val="20"/>
                                <w:szCs w:val="20"/>
                              </w:rPr>
                              <w:fldChar w:fldCharType="begin"/>
                            </w:r>
                            <w:r>
                              <w:rPr>
                                <w:b/>
                                <w:sz w:val="20"/>
                                <w:szCs w:val="20"/>
                              </w:rPr>
                              <w:instrText xml:space="preserve"> STYLEREF 1 \s </w:instrText>
                            </w:r>
                            <w:r>
                              <w:rPr>
                                <w:b/>
                                <w:sz w:val="20"/>
                                <w:szCs w:val="20"/>
                              </w:rPr>
                              <w:fldChar w:fldCharType="separate"/>
                            </w:r>
                            <w:r>
                              <w:rPr>
                                <w:b/>
                                <w:noProof/>
                                <w:sz w:val="20"/>
                                <w:szCs w:val="20"/>
                              </w:rPr>
                              <w:t>1</w:t>
                            </w:r>
                            <w:r>
                              <w:rPr>
                                <w:b/>
                                <w:sz w:val="20"/>
                                <w:szCs w:val="20"/>
                              </w:rPr>
                              <w:fldChar w:fldCharType="end"/>
                            </w:r>
                            <w:r>
                              <w:rPr>
                                <w:b/>
                                <w:sz w:val="20"/>
                                <w:szCs w:val="20"/>
                              </w:rPr>
                              <w:t>.</w:t>
                            </w:r>
                            <w:r>
                              <w:rPr>
                                <w:b/>
                                <w:sz w:val="20"/>
                                <w:szCs w:val="20"/>
                              </w:rPr>
                              <w:fldChar w:fldCharType="begin"/>
                            </w:r>
                            <w:r>
                              <w:rPr>
                                <w:b/>
                                <w:sz w:val="20"/>
                                <w:szCs w:val="20"/>
                              </w:rPr>
                              <w:instrText xml:space="preserve"> SEQ Figure \* ARABIC \s 1 </w:instrText>
                            </w:r>
                            <w:r>
                              <w:rPr>
                                <w:b/>
                                <w:sz w:val="20"/>
                                <w:szCs w:val="20"/>
                              </w:rPr>
                              <w:fldChar w:fldCharType="separate"/>
                            </w:r>
                            <w:r>
                              <w:rPr>
                                <w:b/>
                                <w:noProof/>
                                <w:sz w:val="20"/>
                                <w:szCs w:val="20"/>
                              </w:rPr>
                              <w:t>9</w:t>
                            </w:r>
                            <w:r>
                              <w:rPr>
                                <w:b/>
                                <w:sz w:val="20"/>
                                <w:szCs w:val="20"/>
                              </w:rPr>
                              <w:fldChar w:fldCharType="end"/>
                            </w:r>
                            <w:bookmarkEnd w:id="94"/>
                            <w:r w:rsidRPr="00394041">
                              <w:rPr>
                                <w:b/>
                                <w:sz w:val="20"/>
                                <w:szCs w:val="20"/>
                              </w:rPr>
                              <w:t xml:space="preserve"> - Example of a UML</w:t>
                            </w:r>
                            <w:r>
                              <w:rPr>
                                <w:b/>
                                <w:sz w:val="20"/>
                                <w:szCs w:val="20"/>
                              </w:rPr>
                              <w:t>-like</w:t>
                            </w:r>
                            <w:r w:rsidRPr="00394041">
                              <w:rPr>
                                <w:b/>
                                <w:sz w:val="20"/>
                                <w:szCs w:val="20"/>
                              </w:rPr>
                              <w:t xml:space="preserve"> State Diagram. </w:t>
                            </w:r>
                            <w:r w:rsidRPr="00394041">
                              <w:rPr>
                                <w:sz w:val="20"/>
                                <w:szCs w:val="20"/>
                              </w:rPr>
                              <w:t xml:space="preserve">State diagrams represent the </w:t>
                            </w:r>
                            <w:r>
                              <w:rPr>
                                <w:sz w:val="20"/>
                                <w:szCs w:val="20"/>
                              </w:rPr>
                              <w:t>states</w:t>
                            </w:r>
                            <w:r w:rsidRPr="00394041">
                              <w:rPr>
                                <w:sz w:val="20"/>
                                <w:szCs w:val="20"/>
                              </w:rPr>
                              <w:t xml:space="preserve"> that entities described within the domain and platform models may exist in. Rectangles represent distinct states. Sub-states may exist and are denoted by nesting of rectangles within rectangles, for instance an entity may exist as “White AND Grey AND Red” or “White AND Green” but cannot be “White AND Grey AND Green”. Entities initially enter the system via the black circle and exit at a separate black circle.</w:t>
                            </w:r>
                            <w:bookmarkEnd w:id="95"/>
                            <w:bookmarkEnd w:id="96"/>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66AB699" id="Text Box 450" o:spid="_x0000_s1037" type="#_x0000_t202" style="position:absolute;left:0;text-align:left;margin-left:-.15pt;margin-top:338.65pt;width:454pt;height:83.3pt;z-index:2521303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C03R2NQIAAG0EAAAOAAAAZHJzL2Uyb0RvYy54bWysVMFu2zAMvQ/YPwi6L06Kpe2COkXWosOA&#13;&#10;oi2QDD0rslwLkEVNUmJnX78nOU63bqdhF5kiKUrvPdJX131r2F75oMmWfDaZcqaspErbl5J/29x9&#13;&#10;uOQsRGErYciqkh9U4NfL9++uOrdQZ9SQqZRnKGLDonMlb2J0i6IIslGtCBNyyiJYk29FxNa/FJUX&#13;&#10;Haq3pjibTs+LjnzlPEkVAry3Q5Avc/26VjI+1nVQkZmS420xrz6v27QWyyuxePHCNVoenyH+4RWt&#13;&#10;0BaXnkrdiijYzus/SrVaegpUx4mktqC61lJlDEAzm75Bs26EUxkLyAnuRFP4f2Xlw/7JM12V/OMc&#13;&#10;/FjRQqSN6iP7TD1LPjDUubBA4tohNfYIQOnRH+BMwPvat+kLSAxx1Dqc+E3lJJzzi/P55RQhidhs&#13;&#10;Or/4NMv1i9fjzof4RVHLklFyDwEzr2J/HyKegtQxJd0WyOjqThuTNilwYzzbC4jdNTqq9Eic+C3L&#13;&#10;2JRrKZ0awslTJIwDlmTFfttnVmYnoFuqDsDvaeih4OSdxoX3IsQn4dE0wIVBiI9YakNdyelocdaQ&#13;&#10;//E3f8qHlohy1qEJSx6+74RXnJmvFiqjZBwNPxrb0bC79oYAdYYRczKbOOCjGc3aU/uM+VilWxAS&#13;&#10;VuKuksfRvInDKGC+pFqtchL60ol4b9dOptIjsZv+WXh3lCVC0Qca21Ms3qgz5A40r3aRap2lS8QO&#13;&#10;LB75Rk9nfY7zl4bm133Oev1LLH8CAAD//wMAUEsDBBQABgAIAAAAIQCV/8Nx4wAAAA4BAAAPAAAA&#13;&#10;ZHJzL2Rvd25yZXYueG1sTI9Bb8IwDIXvk/YfIiPtMkE6mCiUpmij2207wBBn04S2WuNUTUrLv593&#13;&#10;2i6WrWd/fi/djrYRV9P52pGCp1kEwlDhdE2lguPX+3QFwgckjY0jo+BmPGyz+7sUE+0G2pvrIZSC&#13;&#10;IeQTVFCF0CZS+qIyFv3MtYZYu7jOYuCxK6XucGC4beQ8ipbSYk38ocLW7CpTfB96q2CZd/2wp91j&#13;&#10;fnz7wM+2nJ9ebyelHiZjvuHysgERzBj+LuA3A/uHjI2dXU/ai0bBdMGLzItjblhfR3EM4qxg9bxY&#13;&#10;g8xS+T9G9gMAAP//AwBQSwECLQAUAAYACAAAACEAtoM4kv4AAADhAQAAEwAAAAAAAAAAAAAAAAAA&#13;&#10;AAAAW0NvbnRlbnRfVHlwZXNdLnhtbFBLAQItABQABgAIAAAAIQA4/SH/1gAAAJQBAAALAAAAAAAA&#13;&#10;AAAAAAAAAC8BAABfcmVscy8ucmVsc1BLAQItABQABgAIAAAAIQDC03R2NQIAAG0EAAAOAAAAAAAA&#13;&#10;AAAAAAAAAC4CAABkcnMvZTJvRG9jLnhtbFBLAQItABQABgAIAAAAIQCV/8Nx4wAAAA4BAAAPAAAA&#13;&#10;AAAAAAAAAAAAAI8EAABkcnMvZG93bnJldi54bWxQSwUGAAAAAAQABADzAAAAnwUAAAAA&#13;&#10;" stroked="f">
                <v:textbox inset="0,0,0,0">
                  <w:txbxContent>
                    <w:p w14:paraId="24AED76D" w14:textId="2D86974B" w:rsidR="00F61130" w:rsidRPr="00394041" w:rsidRDefault="00F61130" w:rsidP="00664714">
                      <w:pPr>
                        <w:pStyle w:val="Caption"/>
                        <w:spacing w:line="360" w:lineRule="auto"/>
                        <w:jc w:val="both"/>
                        <w:rPr>
                          <w:b/>
                          <w:noProof/>
                          <w:sz w:val="20"/>
                          <w:szCs w:val="20"/>
                          <w:lang w:eastAsia="en-GB"/>
                        </w:rPr>
                      </w:pPr>
                      <w:bookmarkStart w:id="97" w:name="_Ref518563505"/>
                      <w:bookmarkStart w:id="98" w:name="_Toc525227189"/>
                      <w:bookmarkStart w:id="99" w:name="_Toc536814128"/>
                      <w:r w:rsidRPr="00394041">
                        <w:rPr>
                          <w:b/>
                          <w:sz w:val="20"/>
                          <w:szCs w:val="20"/>
                        </w:rPr>
                        <w:t xml:space="preserve">Figure </w:t>
                      </w:r>
                      <w:r>
                        <w:rPr>
                          <w:b/>
                          <w:sz w:val="20"/>
                          <w:szCs w:val="20"/>
                        </w:rPr>
                        <w:fldChar w:fldCharType="begin"/>
                      </w:r>
                      <w:r>
                        <w:rPr>
                          <w:b/>
                          <w:sz w:val="20"/>
                          <w:szCs w:val="20"/>
                        </w:rPr>
                        <w:instrText xml:space="preserve"> STYLEREF 1 \s </w:instrText>
                      </w:r>
                      <w:r>
                        <w:rPr>
                          <w:b/>
                          <w:sz w:val="20"/>
                          <w:szCs w:val="20"/>
                        </w:rPr>
                        <w:fldChar w:fldCharType="separate"/>
                      </w:r>
                      <w:r>
                        <w:rPr>
                          <w:b/>
                          <w:noProof/>
                          <w:sz w:val="20"/>
                          <w:szCs w:val="20"/>
                        </w:rPr>
                        <w:t>1</w:t>
                      </w:r>
                      <w:r>
                        <w:rPr>
                          <w:b/>
                          <w:sz w:val="20"/>
                          <w:szCs w:val="20"/>
                        </w:rPr>
                        <w:fldChar w:fldCharType="end"/>
                      </w:r>
                      <w:r>
                        <w:rPr>
                          <w:b/>
                          <w:sz w:val="20"/>
                          <w:szCs w:val="20"/>
                        </w:rPr>
                        <w:t>.</w:t>
                      </w:r>
                      <w:r>
                        <w:rPr>
                          <w:b/>
                          <w:sz w:val="20"/>
                          <w:szCs w:val="20"/>
                        </w:rPr>
                        <w:fldChar w:fldCharType="begin"/>
                      </w:r>
                      <w:r>
                        <w:rPr>
                          <w:b/>
                          <w:sz w:val="20"/>
                          <w:szCs w:val="20"/>
                        </w:rPr>
                        <w:instrText xml:space="preserve"> SEQ Figure \* ARABIC \s 1 </w:instrText>
                      </w:r>
                      <w:r>
                        <w:rPr>
                          <w:b/>
                          <w:sz w:val="20"/>
                          <w:szCs w:val="20"/>
                        </w:rPr>
                        <w:fldChar w:fldCharType="separate"/>
                      </w:r>
                      <w:r>
                        <w:rPr>
                          <w:b/>
                          <w:noProof/>
                          <w:sz w:val="20"/>
                          <w:szCs w:val="20"/>
                        </w:rPr>
                        <w:t>9</w:t>
                      </w:r>
                      <w:r>
                        <w:rPr>
                          <w:b/>
                          <w:sz w:val="20"/>
                          <w:szCs w:val="20"/>
                        </w:rPr>
                        <w:fldChar w:fldCharType="end"/>
                      </w:r>
                      <w:bookmarkEnd w:id="97"/>
                      <w:r w:rsidRPr="00394041">
                        <w:rPr>
                          <w:b/>
                          <w:sz w:val="20"/>
                          <w:szCs w:val="20"/>
                        </w:rPr>
                        <w:t xml:space="preserve"> - Example of a UML</w:t>
                      </w:r>
                      <w:r>
                        <w:rPr>
                          <w:b/>
                          <w:sz w:val="20"/>
                          <w:szCs w:val="20"/>
                        </w:rPr>
                        <w:t>-like</w:t>
                      </w:r>
                      <w:r w:rsidRPr="00394041">
                        <w:rPr>
                          <w:b/>
                          <w:sz w:val="20"/>
                          <w:szCs w:val="20"/>
                        </w:rPr>
                        <w:t xml:space="preserve"> State Diagram. </w:t>
                      </w:r>
                      <w:r w:rsidRPr="00394041">
                        <w:rPr>
                          <w:sz w:val="20"/>
                          <w:szCs w:val="20"/>
                        </w:rPr>
                        <w:t xml:space="preserve">State diagrams represent the </w:t>
                      </w:r>
                      <w:r>
                        <w:rPr>
                          <w:sz w:val="20"/>
                          <w:szCs w:val="20"/>
                        </w:rPr>
                        <w:t>states</w:t>
                      </w:r>
                      <w:r w:rsidRPr="00394041">
                        <w:rPr>
                          <w:sz w:val="20"/>
                          <w:szCs w:val="20"/>
                        </w:rPr>
                        <w:t xml:space="preserve"> that entities described within the domain and platform models may exist in. Rectangles represent distinct states. Sub-states may exist and are denoted by nesting of rectangles within rectangles, for instance an entity may exist as “White AND Grey AND Red” or “White AND Green” but cannot be “White AND Grey AND Green”. Entities initially enter the system via the black circle and exit at a separate black circle.</w:t>
                      </w:r>
                      <w:bookmarkEnd w:id="98"/>
                      <w:bookmarkEnd w:id="99"/>
                    </w:p>
                  </w:txbxContent>
                </v:textbox>
                <w10:wrap type="topAndBottom"/>
              </v:shape>
            </w:pict>
          </mc:Fallback>
        </mc:AlternateContent>
      </w:r>
      <w:r w:rsidR="00664714">
        <w:rPr>
          <w:noProof/>
        </w:rPr>
        <w:drawing>
          <wp:anchor distT="0" distB="0" distL="114300" distR="114300" simplePos="0" relativeHeight="252129280" behindDoc="0" locked="0" layoutInCell="1" allowOverlap="1" wp14:anchorId="742AC4CC" wp14:editId="3B88E01C">
            <wp:simplePos x="0" y="0"/>
            <wp:positionH relativeFrom="column">
              <wp:posOffset>1063625</wp:posOffset>
            </wp:positionH>
            <wp:positionV relativeFrom="paragraph">
              <wp:posOffset>2154034</wp:posOffset>
            </wp:positionV>
            <wp:extent cx="3588385" cy="2357755"/>
            <wp:effectExtent l="0" t="0" r="5715" b="4445"/>
            <wp:wrapTopAndBottom/>
            <wp:docPr id="483" name="Picture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3" name="Picture 483"/>
                    <pic:cNvPicPr>
                      <a:picLocks noChangeAspect="1"/>
                    </pic:cNvPicPr>
                  </pic:nvPicPr>
                  <pic:blipFill rotWithShape="1">
                    <a:blip r:embed="rId27">
                      <a:extLst>
                        <a:ext uri="{28A0092B-C50C-407E-A947-70E740481C1C}">
                          <a14:useLocalDpi xmlns:a14="http://schemas.microsoft.com/office/drawing/2010/main" val="0"/>
                        </a:ext>
                      </a:extLst>
                    </a:blip>
                    <a:srcRect l="11553" t="35716" r="11298" b="28564"/>
                    <a:stretch/>
                  </pic:blipFill>
                  <pic:spPr bwMode="auto">
                    <a:xfrm>
                      <a:off x="0" y="0"/>
                      <a:ext cx="3588385" cy="2357755"/>
                    </a:xfrm>
                    <a:prstGeom prst="rect">
                      <a:avLst/>
                    </a:prstGeom>
                    <a:ln>
                      <a:noFill/>
                    </a:ln>
                    <a:extLst>
                      <a:ext uri="{53640926-AAD7-44D8-BBD7-CCE9431645EC}">
                        <a14:shadowObscured xmlns:a14="http://schemas.microsoft.com/office/drawing/2010/main"/>
                      </a:ext>
                    </a:extLst>
                  </pic:spPr>
                </pic:pic>
              </a:graphicData>
            </a:graphic>
          </wp:anchor>
        </w:drawing>
      </w:r>
      <w:r w:rsidR="0068538F" w:rsidRPr="008B3AD6">
        <w:t xml:space="preserve">state diagram. </w:t>
      </w:r>
    </w:p>
    <w:p w14:paraId="097D18BE" w14:textId="08C17D1C" w:rsidR="00105EDF" w:rsidRPr="008B3AD6" w:rsidRDefault="00105EDF" w:rsidP="004D3811">
      <w:pPr>
        <w:spacing w:line="360" w:lineRule="auto"/>
        <w:jc w:val="both"/>
      </w:pPr>
    </w:p>
    <w:p w14:paraId="436A7688" w14:textId="6CCE587E" w:rsidR="00AB3115" w:rsidRPr="008B3AD6" w:rsidRDefault="00AB3115" w:rsidP="004D3811">
      <w:pPr>
        <w:pStyle w:val="Heading3"/>
        <w:jc w:val="both"/>
      </w:pPr>
      <w:r w:rsidRPr="008B3AD6">
        <w:t xml:space="preserve"> </w:t>
      </w:r>
      <w:bookmarkStart w:id="100" w:name="_Ref522268512"/>
      <w:bookmarkStart w:id="101" w:name="_Toc3716062"/>
      <w:r w:rsidRPr="008B3AD6">
        <w:t xml:space="preserve">Calibration of </w:t>
      </w:r>
      <w:r w:rsidR="00664714">
        <w:rPr>
          <w:i/>
        </w:rPr>
        <w:t>in silico</w:t>
      </w:r>
      <w:r w:rsidR="00664714">
        <w:t xml:space="preserve"> </w:t>
      </w:r>
      <w:r w:rsidRPr="008B3AD6">
        <w:t>Models</w:t>
      </w:r>
      <w:bookmarkEnd w:id="100"/>
      <w:bookmarkEnd w:id="101"/>
    </w:p>
    <w:p w14:paraId="1E8BE94C" w14:textId="10853F76" w:rsidR="0068538F" w:rsidRPr="008B3AD6" w:rsidRDefault="00B62206" w:rsidP="00B62206">
      <w:pPr>
        <w:spacing w:line="360" w:lineRule="auto"/>
        <w:jc w:val="both"/>
        <w:rPr>
          <w:color w:val="000000" w:themeColor="text1"/>
        </w:rPr>
      </w:pPr>
      <w:r w:rsidRPr="008B3AD6">
        <w:rPr>
          <w:color w:val="000000" w:themeColor="text1"/>
        </w:rPr>
        <w:t>Through the CoSMoS process a</w:t>
      </w:r>
      <w:r w:rsidR="008D3B7A">
        <w:rPr>
          <w:color w:val="000000" w:themeColor="text1"/>
        </w:rPr>
        <w:t xml:space="preserve">n </w:t>
      </w:r>
      <w:r w:rsidR="008D3B7A">
        <w:rPr>
          <w:i/>
          <w:color w:val="000000" w:themeColor="text1"/>
        </w:rPr>
        <w:t>in silico</w:t>
      </w:r>
      <w:r w:rsidRPr="008B3AD6">
        <w:rPr>
          <w:color w:val="000000" w:themeColor="text1"/>
        </w:rPr>
        <w:t xml:space="preserve"> model is implemented that captures the </w:t>
      </w:r>
      <w:r w:rsidR="001C1993">
        <w:rPr>
          <w:color w:val="000000" w:themeColor="text1"/>
        </w:rPr>
        <w:t>specifications developed through the domain and platform models</w:t>
      </w:r>
      <w:r w:rsidRPr="008B3AD6">
        <w:rPr>
          <w:color w:val="000000" w:themeColor="text1"/>
        </w:rPr>
        <w:t xml:space="preserve">. </w:t>
      </w:r>
      <w:r w:rsidR="001C1993">
        <w:rPr>
          <w:color w:val="000000" w:themeColor="text1"/>
        </w:rPr>
        <w:t>Mechanisms describing abstracted</w:t>
      </w:r>
      <w:r w:rsidRPr="008B3AD6">
        <w:rPr>
          <w:color w:val="000000" w:themeColor="text1"/>
        </w:rPr>
        <w:t xml:space="preserve"> biological </w:t>
      </w:r>
      <w:r w:rsidR="001C1993">
        <w:rPr>
          <w:color w:val="000000" w:themeColor="text1"/>
        </w:rPr>
        <w:t>processes specified in the platform model are translated i</w:t>
      </w:r>
      <w:r w:rsidRPr="008B3AD6">
        <w:rPr>
          <w:color w:val="000000" w:themeColor="text1"/>
        </w:rPr>
        <w:t>nto a computational/mathematical language</w:t>
      </w:r>
      <w:r w:rsidR="001C1993">
        <w:rPr>
          <w:color w:val="000000" w:themeColor="text1"/>
        </w:rPr>
        <w:t xml:space="preserve"> to develop the simulation model</w:t>
      </w:r>
      <w:r w:rsidRPr="008B3AD6">
        <w:rPr>
          <w:color w:val="000000" w:themeColor="text1"/>
        </w:rPr>
        <w:t xml:space="preserve">. These </w:t>
      </w:r>
      <w:r w:rsidR="001C1993">
        <w:rPr>
          <w:color w:val="000000" w:themeColor="text1"/>
        </w:rPr>
        <w:t>abstracted processes</w:t>
      </w:r>
      <w:r w:rsidRPr="008B3AD6">
        <w:rPr>
          <w:color w:val="000000" w:themeColor="text1"/>
        </w:rPr>
        <w:t xml:space="preserve"> may have associated parameters </w:t>
      </w:r>
      <w:r w:rsidR="001C1993">
        <w:rPr>
          <w:color w:val="000000" w:themeColor="text1"/>
        </w:rPr>
        <w:t>that describe an abstract of their behaviour</w:t>
      </w:r>
      <w:r w:rsidRPr="008B3AD6">
        <w:rPr>
          <w:color w:val="000000" w:themeColor="text1"/>
        </w:rPr>
        <w:t xml:space="preserve">, </w:t>
      </w:r>
      <w:r w:rsidR="001C1993">
        <w:rPr>
          <w:color w:val="000000" w:themeColor="text1"/>
        </w:rPr>
        <w:t>the parameter</w:t>
      </w:r>
      <w:r w:rsidRPr="008B3AD6">
        <w:rPr>
          <w:color w:val="000000" w:themeColor="text1"/>
        </w:rPr>
        <w:t xml:space="preserve"> value may be known through derivation of the research context, domain or different models. In some instances, the values for these parameters are not known either due to a lack of data or the parameter itself cannot be directly translated to a biologically derived value</w:t>
      </w:r>
      <w:r w:rsidR="001C1993">
        <w:rPr>
          <w:color w:val="000000" w:themeColor="text1"/>
        </w:rPr>
        <w:t>.</w:t>
      </w:r>
      <w:r w:rsidRPr="008B3AD6">
        <w:rPr>
          <w:color w:val="000000" w:themeColor="text1"/>
        </w:rPr>
        <w:t xml:space="preserve"> </w:t>
      </w:r>
      <w:r w:rsidR="001C1993">
        <w:rPr>
          <w:color w:val="000000" w:themeColor="text1"/>
        </w:rPr>
        <w:t>C</w:t>
      </w:r>
      <w:r w:rsidRPr="008B3AD6">
        <w:rPr>
          <w:color w:val="000000" w:themeColor="text1"/>
        </w:rPr>
        <w:t>alibration of the</w:t>
      </w:r>
      <w:r w:rsidR="001C1993">
        <w:rPr>
          <w:color w:val="000000" w:themeColor="text1"/>
        </w:rPr>
        <w:t xml:space="preserve"> </w:t>
      </w:r>
      <w:r w:rsidR="001C1993">
        <w:rPr>
          <w:i/>
          <w:color w:val="000000" w:themeColor="text1"/>
        </w:rPr>
        <w:t>in silico</w:t>
      </w:r>
      <w:r w:rsidRPr="008B3AD6">
        <w:rPr>
          <w:color w:val="000000" w:themeColor="text1"/>
        </w:rPr>
        <w:t xml:space="preserve"> model</w:t>
      </w:r>
      <w:r w:rsidR="001C1993">
        <w:rPr>
          <w:color w:val="000000" w:themeColor="text1"/>
        </w:rPr>
        <w:t xml:space="preserve">, a process whereby parameter values are adjusted </w:t>
      </w:r>
      <w:r w:rsidR="00F30303">
        <w:rPr>
          <w:color w:val="000000" w:themeColor="text1"/>
        </w:rPr>
        <w:t>to obtain a modular output that sufficiently matches supplied data,</w:t>
      </w:r>
      <w:r w:rsidRPr="008B3AD6">
        <w:rPr>
          <w:color w:val="000000" w:themeColor="text1"/>
        </w:rPr>
        <w:t xml:space="preserve"> can be used to derive the unknown values</w:t>
      </w:r>
      <w:r w:rsidR="00F30303">
        <w:rPr>
          <w:color w:val="000000" w:themeColor="text1"/>
        </w:rPr>
        <w:t>. The sufficiency of calibration can be user-defined or based on a statistical measure</w:t>
      </w:r>
      <w:r w:rsidRPr="008B3AD6">
        <w:rPr>
          <w:color w:val="000000" w:themeColor="text1"/>
        </w:rPr>
        <w:t>. Some of the main approaches to calibration are introduced below.</w:t>
      </w:r>
    </w:p>
    <w:p w14:paraId="36635416" w14:textId="77777777" w:rsidR="00B62206" w:rsidRPr="008B3AD6" w:rsidRDefault="00B62206" w:rsidP="0068538F"/>
    <w:p w14:paraId="6BC7A453" w14:textId="0F026C3E" w:rsidR="004D3F97" w:rsidRPr="008B3AD6" w:rsidRDefault="004D3F97" w:rsidP="004D3811">
      <w:pPr>
        <w:pStyle w:val="Heading4"/>
        <w:jc w:val="both"/>
      </w:pPr>
      <w:bookmarkStart w:id="102" w:name="_Toc3716063"/>
      <w:r w:rsidRPr="008B3AD6">
        <w:t>Frequentist Approach</w:t>
      </w:r>
      <w:bookmarkEnd w:id="102"/>
    </w:p>
    <w:p w14:paraId="64F7F7D7" w14:textId="7F2CD420" w:rsidR="004D3F97" w:rsidRPr="008B3AD6" w:rsidRDefault="004D3F97" w:rsidP="004D3811">
      <w:pPr>
        <w:pStyle w:val="NormalWeb"/>
        <w:shd w:val="clear" w:color="auto" w:fill="FFFFFF"/>
        <w:spacing w:before="0" w:beforeAutospacing="0" w:after="315" w:afterAutospacing="0" w:line="360" w:lineRule="auto"/>
        <w:jc w:val="both"/>
        <w:rPr>
          <w:iCs/>
          <w:color w:val="000000" w:themeColor="text1"/>
        </w:rPr>
      </w:pPr>
      <w:r w:rsidRPr="008B3AD6">
        <w:rPr>
          <w:color w:val="000000" w:themeColor="text1"/>
        </w:rPr>
        <w:t xml:space="preserve">Frequentist </w:t>
      </w:r>
      <w:r w:rsidR="00F30303" w:rsidRPr="008B3AD6">
        <w:rPr>
          <w:color w:val="000000" w:themeColor="text1"/>
        </w:rPr>
        <w:t xml:space="preserve">calibration </w:t>
      </w:r>
      <w:r w:rsidRPr="008B3AD6">
        <w:rPr>
          <w:color w:val="000000" w:themeColor="text1"/>
        </w:rPr>
        <w:t xml:space="preserve">tests whether an event occurs or not based on experimental data. The probability of the event occurring is based upon long run experimental data, meaning the experiment is repeated under same conditions to obtain results. As the number of experiments tends to infinity the probability, or frequency, we obtain will tend towards its exact value. A very basic example would be if the fairness of a coin was to be determined. For this we could flip a coin multiple times and measure the number of heads. The degree of fairness could be constructed as: Number of Heads </w:t>
      </w:r>
      <w:r w:rsidRPr="008B3AD6">
        <w:rPr>
          <w:color w:val="000000" w:themeColor="text1"/>
        </w:rPr>
        <w:sym w:font="Symbol" w:char="F0B8"/>
      </w:r>
      <w:r w:rsidRPr="008B3AD6">
        <w:rPr>
          <w:color w:val="000000" w:themeColor="text1"/>
        </w:rPr>
        <w:t xml:space="preserve"> Total Coin Tosses. Each coin toss is an experiment, but we cannot repeat these experiments infinitely, so we must choose a stopping point and as we repeat the experiment (i.e. flip the coin more) we tend towards the exact value. One of the main disadvantages of a frequentist approach is that the result depends o</w:t>
      </w:r>
      <w:r w:rsidRPr="008B3AD6">
        <w:rPr>
          <w:iCs/>
          <w:color w:val="000000" w:themeColor="text1"/>
        </w:rPr>
        <w:t>n the number of t</w:t>
      </w:r>
      <w:r w:rsidR="00F30303">
        <w:rPr>
          <w:iCs/>
          <w:color w:val="000000" w:themeColor="text1"/>
        </w:rPr>
        <w:t>imes the experiment is repeated and so can make cross-studies difficult if their sample numbers differ.</w:t>
      </w:r>
    </w:p>
    <w:p w14:paraId="17EBDE55" w14:textId="5E3994C7" w:rsidR="004D3F97" w:rsidRPr="008B3AD6" w:rsidRDefault="004D3F97" w:rsidP="004D3811">
      <w:pPr>
        <w:pStyle w:val="NormalWeb"/>
        <w:shd w:val="clear" w:color="auto" w:fill="FFFFFF"/>
        <w:spacing w:before="0" w:beforeAutospacing="0" w:after="315" w:afterAutospacing="0" w:line="360" w:lineRule="auto"/>
        <w:jc w:val="both"/>
        <w:rPr>
          <w:color w:val="000000" w:themeColor="text1"/>
        </w:rPr>
      </w:pPr>
      <w:r w:rsidRPr="008B3AD6">
        <w:rPr>
          <w:iCs/>
          <w:color w:val="000000" w:themeColor="text1"/>
        </w:rPr>
        <w:t xml:space="preserve">One of the major </w:t>
      </w:r>
      <w:r w:rsidR="00F30303" w:rsidRPr="008B3AD6">
        <w:rPr>
          <w:color w:val="000000" w:themeColor="text1"/>
        </w:rPr>
        <w:t xml:space="preserve">calibration </w:t>
      </w:r>
      <w:r w:rsidRPr="008B3AD6">
        <w:rPr>
          <w:iCs/>
          <w:color w:val="000000" w:themeColor="text1"/>
        </w:rPr>
        <w:t>techniques utilised in a frequentist approach is the maximum likelihood estimation (MLE)</w:t>
      </w:r>
      <w:r w:rsidR="000234FA" w:rsidRPr="008B3AD6">
        <w:rPr>
          <w:iCs/>
          <w:color w:val="000000" w:themeColor="text1"/>
        </w:rPr>
        <w:t xml:space="preserve">, </w:t>
      </w:r>
      <w:r w:rsidR="000234FA" w:rsidRPr="008B3AD6">
        <w:rPr>
          <w:color w:val="000000" w:themeColor="text1"/>
        </w:rPr>
        <w:t xml:space="preserve">shown in </w:t>
      </w:r>
      <w:r w:rsidR="000234FA" w:rsidRPr="008B3AD6">
        <w:rPr>
          <w:color w:val="000000" w:themeColor="text1"/>
        </w:rPr>
        <w:fldChar w:fldCharType="begin"/>
      </w:r>
      <w:r w:rsidR="000234FA" w:rsidRPr="008B3AD6">
        <w:rPr>
          <w:color w:val="000000" w:themeColor="text1"/>
        </w:rPr>
        <w:instrText xml:space="preserve"> REF _Ref523928099  \* MERGEFORMAT </w:instrText>
      </w:r>
      <w:r w:rsidR="000234FA" w:rsidRPr="008B3AD6">
        <w:rPr>
          <w:color w:val="000000" w:themeColor="text1"/>
        </w:rPr>
        <w:fldChar w:fldCharType="separate"/>
      </w:r>
      <w:r w:rsidR="00E5551E" w:rsidRPr="00E5551E">
        <w:rPr>
          <w:b/>
        </w:rPr>
        <w:t xml:space="preserve">Figure </w:t>
      </w:r>
      <w:r w:rsidR="00E5551E" w:rsidRPr="00E5551E">
        <w:rPr>
          <w:b/>
          <w:noProof/>
        </w:rPr>
        <w:t>1.10</w:t>
      </w:r>
      <w:r w:rsidR="000234FA" w:rsidRPr="008B3AD6">
        <w:rPr>
          <w:color w:val="000000" w:themeColor="text1"/>
        </w:rPr>
        <w:fldChar w:fldCharType="end"/>
      </w:r>
      <w:r w:rsidRPr="008B3AD6">
        <w:rPr>
          <w:iCs/>
          <w:color w:val="000000" w:themeColor="text1"/>
        </w:rPr>
        <w:t xml:space="preserve">. </w:t>
      </w:r>
      <w:r w:rsidR="000C6E86" w:rsidRPr="008B3AD6">
        <w:rPr>
          <w:iCs/>
          <w:color w:val="000000" w:themeColor="text1"/>
        </w:rPr>
        <w:t>The</w:t>
      </w:r>
      <w:r w:rsidRPr="008B3AD6">
        <w:rPr>
          <w:iCs/>
          <w:color w:val="000000" w:themeColor="text1"/>
        </w:rPr>
        <w:t xml:space="preserve"> </w:t>
      </w:r>
      <w:r w:rsidR="000C6E86" w:rsidRPr="008B3AD6">
        <w:rPr>
          <w:iCs/>
          <w:color w:val="000000" w:themeColor="text1"/>
        </w:rPr>
        <w:t xml:space="preserve">basis for this </w:t>
      </w:r>
      <w:r w:rsidRPr="008B3AD6">
        <w:rPr>
          <w:iCs/>
          <w:color w:val="000000" w:themeColor="text1"/>
        </w:rPr>
        <w:t xml:space="preserve">technique </w:t>
      </w:r>
      <w:r w:rsidR="000C6E86" w:rsidRPr="008B3AD6">
        <w:rPr>
          <w:iCs/>
          <w:color w:val="000000" w:themeColor="text1"/>
        </w:rPr>
        <w:t>is to determine the likelihood of the specified model generating</w:t>
      </w:r>
      <w:r w:rsidRPr="008B3AD6">
        <w:rPr>
          <w:iCs/>
          <w:color w:val="000000" w:themeColor="text1"/>
        </w:rPr>
        <w:t xml:space="preserve"> given observed data</w:t>
      </w:r>
      <w:r w:rsidR="000C6E86" w:rsidRPr="008B3AD6">
        <w:rPr>
          <w:iCs/>
          <w:color w:val="000000" w:themeColor="text1"/>
        </w:rPr>
        <w:t xml:space="preserve"> with the aim to maximise this likelihood</w:t>
      </w:r>
      <w:r w:rsidRPr="008B3AD6">
        <w:rPr>
          <w:iCs/>
          <w:color w:val="000000" w:themeColor="text1"/>
        </w:rPr>
        <w:t>. MLE seeks to find the parameter(s) which have the highest likelihood of explaining the data</w:t>
      </w:r>
      <w:r w:rsidR="000C6E86" w:rsidRPr="008B3AD6">
        <w:rPr>
          <w:iCs/>
          <w:color w:val="000000" w:themeColor="text1"/>
        </w:rPr>
        <w:t xml:space="preserve"> </w:t>
      </w:r>
      <w:r w:rsidR="000C6E86" w:rsidRPr="008B3AD6">
        <w:rPr>
          <w:iCs/>
          <w:color w:val="000000" w:themeColor="text1"/>
        </w:rPr>
        <w:fldChar w:fldCharType="begin"/>
      </w:r>
      <w:r w:rsidR="00025067">
        <w:rPr>
          <w:iCs/>
          <w:color w:val="000000" w:themeColor="text1"/>
        </w:rPr>
        <w:instrText xml:space="preserve"> ADDIN ZOTERO_ITEM CSL_CITATION {"citationID":"k9Ax4rul","properties":{"formattedCitation":"(Cole, Chu, and Greenland 2014)","plainCitation":"(Cole, Chu, and Greenland 2014)","noteIndex":0},"citationItems":[{"id":3640,"uris":["http://zotero.org/users/2628971/items/AILGZCX4"],"uri":["http://zotero.org/users/2628971/items/AILGZCX4"],"itemData":{"id":3640,"type":"article-journal","title":"Maximum Likelihood, Profile Likelihood, and Penalized Likelihood: A Primer","container-title":"American Journal of Epidemiology","page":"252-260","volume":"179","issue":"2","source":"PubMed Central","abstract":"The method of maximum likelihood is widely used in epidemiology, yet many epidemiologists receive little or no education in the conceptual underpinnings of the approach. Here we provide a primer on maximum likelihood and some important extensions which have proven useful in epidemiologic research, and which reveal connections between maximum likelihood and Bayesian methods. For a given data set and probability model, maximum likelihood finds values of the model parameters that give the observed data the highest probability. As with all inferential statistical methods, maximum likelihood is based on an assumed model and cannot account for bias sources that are not controlled by the model or the study design. Maximum likelihood is nonetheless popular, because it is computationally straightforward and intuitive and because maximum likelihood estimators have desirable large-sample properties in the (largely fictitious) case in which the model has been correctly specified. Here, we work through an example to illustrate the mechanics of maximum likelihood estimation and indicate how improvements can be made easily with commercial software. We then describe recent extensions and generalizations which are better suited to observational health research and which should arguably replace standard maximum likelihood as the default method.","DOI":"10.1093/aje/kwt245","ISSN":"0002-9262","note":"PMID: 24173548\nPMCID: PMC3873110","shortTitle":"Maximum Likelihood, Profile Likelihood, and Penalized Likelihood","journalAbbreviation":"Am J Epidemiol","author":[{"family":"Cole","given":"Stephen R."},{"family":"Chu","given":"Haitao"},{"family":"Greenland","given":"Sander"}],"issued":{"date-parts":[["2014",1,15]]}}}],"schema":"https://github.com/citation-style-language/schema/raw/master/csl-citation.json"} </w:instrText>
      </w:r>
      <w:r w:rsidR="000C6E86" w:rsidRPr="008B3AD6">
        <w:rPr>
          <w:iCs/>
          <w:color w:val="000000" w:themeColor="text1"/>
        </w:rPr>
        <w:fldChar w:fldCharType="separate"/>
      </w:r>
      <w:r w:rsidR="00025067" w:rsidRPr="00025067">
        <w:rPr>
          <w:color w:val="000000"/>
          <w:lang w:val="en-US"/>
        </w:rPr>
        <w:t>(Cole, Chu, and Greenland 2014)</w:t>
      </w:r>
      <w:r w:rsidR="000C6E86" w:rsidRPr="008B3AD6">
        <w:rPr>
          <w:iCs/>
          <w:color w:val="000000" w:themeColor="text1"/>
        </w:rPr>
        <w:fldChar w:fldCharType="end"/>
      </w:r>
      <w:r w:rsidRPr="008B3AD6">
        <w:rPr>
          <w:iCs/>
          <w:color w:val="000000" w:themeColor="text1"/>
        </w:rPr>
        <w:t xml:space="preserve">. For this method the likelihood must be calculated, typically </w:t>
      </w:r>
      <w:r w:rsidR="000C6E86" w:rsidRPr="008B3AD6">
        <w:rPr>
          <w:iCs/>
          <w:color w:val="000000" w:themeColor="text1"/>
        </w:rPr>
        <w:t xml:space="preserve">using </w:t>
      </w:r>
      <w:r w:rsidRPr="008B3AD6">
        <w:rPr>
          <w:iCs/>
          <w:color w:val="000000" w:themeColor="text1"/>
        </w:rPr>
        <w:t xml:space="preserve">a log-likelihood function, </w:t>
      </w:r>
      <w:r w:rsidR="000C6E86" w:rsidRPr="008B3AD6">
        <w:rPr>
          <w:iCs/>
          <w:color w:val="000000" w:themeColor="text1"/>
        </w:rPr>
        <w:t>with the</w:t>
      </w:r>
      <w:r w:rsidRPr="008B3AD6">
        <w:rPr>
          <w:iCs/>
          <w:color w:val="000000" w:themeColor="text1"/>
        </w:rPr>
        <w:t xml:space="preserve"> likelihood thought of as the probability of observing the data given the parameters. It is important to note a key difference in frequentist to </w:t>
      </w:r>
      <w:r w:rsidR="00F30303">
        <w:rPr>
          <w:iCs/>
          <w:color w:val="000000" w:themeColor="text1"/>
        </w:rPr>
        <w:t>B</w:t>
      </w:r>
      <w:r w:rsidRPr="008B3AD6">
        <w:rPr>
          <w:iCs/>
          <w:color w:val="000000" w:themeColor="text1"/>
        </w:rPr>
        <w:t xml:space="preserve">ayesian approaches, introduced in the following sections, </w:t>
      </w:r>
      <w:r w:rsidR="000C6E86" w:rsidRPr="008B3AD6">
        <w:rPr>
          <w:iCs/>
          <w:color w:val="000000" w:themeColor="text1"/>
        </w:rPr>
        <w:t xml:space="preserve">is </w:t>
      </w:r>
      <w:r w:rsidRPr="008B3AD6">
        <w:rPr>
          <w:iCs/>
          <w:color w:val="000000" w:themeColor="text1"/>
        </w:rPr>
        <w:t>that no prior information is used in the inference of the parameters</w:t>
      </w:r>
      <w:r w:rsidR="000C6E86" w:rsidRPr="008B3AD6">
        <w:rPr>
          <w:iCs/>
          <w:color w:val="000000" w:themeColor="text1"/>
        </w:rPr>
        <w:t xml:space="preserve"> using MLE</w:t>
      </w:r>
      <w:r w:rsidRPr="008B3AD6">
        <w:rPr>
          <w:iCs/>
          <w:color w:val="000000" w:themeColor="text1"/>
        </w:rPr>
        <w:t xml:space="preserve"> and that initially whilst the parameters may be unknown they are derived as fixed deterministic values.</w:t>
      </w:r>
    </w:p>
    <w:p w14:paraId="4EBD1395" w14:textId="24023F74" w:rsidR="004D3F97" w:rsidRPr="008B3AD6" w:rsidRDefault="004D3F97" w:rsidP="004D3811">
      <w:pPr>
        <w:pStyle w:val="Heading4"/>
        <w:jc w:val="both"/>
      </w:pPr>
      <w:bookmarkStart w:id="103" w:name="_Toc3716064"/>
      <w:r w:rsidRPr="008B3AD6">
        <w:t>Bayesian Approach</w:t>
      </w:r>
      <w:bookmarkEnd w:id="103"/>
    </w:p>
    <w:p w14:paraId="41456220" w14:textId="72882AB1" w:rsidR="009F70AC" w:rsidRDefault="004D3F97" w:rsidP="004D3811">
      <w:pPr>
        <w:spacing w:line="360" w:lineRule="auto"/>
        <w:jc w:val="both"/>
        <w:rPr>
          <w:color w:val="000000" w:themeColor="text1"/>
        </w:rPr>
      </w:pPr>
      <w:r w:rsidRPr="008B3AD6">
        <w:rPr>
          <w:color w:val="000000" w:themeColor="text1"/>
        </w:rPr>
        <w:t xml:space="preserve">Differing from the frequentist approach, a Bayesian approach is based on the ability to revise our understanding of a system given new evidence or data. As with Frequentist approaches we seek to discover the parameters which are the likeliest to describe that data however we evaluate these parameters as having densities/distributions, in contrast to being fixed values. Bayesian approaches are based upon Bayes theory </w:t>
      </w:r>
      <w:r w:rsidR="000C6E86" w:rsidRPr="008B3AD6">
        <w:rPr>
          <w:color w:val="000000" w:themeColor="text1"/>
        </w:rPr>
        <w:fldChar w:fldCharType="begin"/>
      </w:r>
      <w:r w:rsidR="00025067">
        <w:rPr>
          <w:color w:val="000000" w:themeColor="text1"/>
        </w:rPr>
        <w:instrText xml:space="preserve"> ADDIN ZOTERO_ITEM CSL_CITATION {"citationID":"ctDFyraH","properties":{"formattedCitation":"(Bayes 1763)","plainCitation":"(Bayes 1763)","noteIndex":0},"citationItems":[{"id":3643,"uris":["http://zotero.org/users/2628971/items/6ZZYVNW2"],"uri":["http://zotero.org/users/2628971/items/6ZZYVNW2"],"itemData":{"id":3643,"type":"article-journal","title":"LII. An essay towards solving a problem in the doctrine of chances. By the late Rev. Mr. Bayes, F. R. S. communicated by Mr. Price, in a letter to John Canton, A. M. F. R. S","container-title":"Philosophical Transactions","page":"370-418","volume":"53","source":"rstl.royalsocietypublishing.org","abstract":"Extract\nDear Sir, I Now send you an essay which I have found among the papers of our deceased friend Mr. Bayes, and which, in my opinion, has great merit, and well deserves to be preserved.","DOI":"10.1098/rstl.1763.0053","ISSN":"0261-0523,","journalAbbreviation":"Phil. Trans.","language":"en","author":[{"family":"Bayes","given":"Thomas"}],"issued":{"date-parts":[["1763",1,1]]}}}],"schema":"https://github.com/citation-style-language/schema/raw/master/csl-citation.json"} </w:instrText>
      </w:r>
      <w:r w:rsidR="000C6E86" w:rsidRPr="008B3AD6">
        <w:rPr>
          <w:color w:val="000000" w:themeColor="text1"/>
        </w:rPr>
        <w:fldChar w:fldCharType="separate"/>
      </w:r>
      <w:r w:rsidR="00025067" w:rsidRPr="00025067">
        <w:rPr>
          <w:color w:val="000000"/>
          <w:lang w:val="en-US"/>
        </w:rPr>
        <w:t>(Bayes 1763)</w:t>
      </w:r>
      <w:r w:rsidR="000C6E86" w:rsidRPr="008B3AD6">
        <w:rPr>
          <w:color w:val="000000" w:themeColor="text1"/>
        </w:rPr>
        <w:fldChar w:fldCharType="end"/>
      </w:r>
      <w:r w:rsidRPr="008B3AD6">
        <w:rPr>
          <w:color w:val="000000" w:themeColor="text1"/>
        </w:rPr>
        <w:t xml:space="preserve"> which</w:t>
      </w:r>
      <w:r w:rsidR="00E3644B">
        <w:rPr>
          <w:color w:val="000000" w:themeColor="text1"/>
        </w:rPr>
        <w:t xml:space="preserve"> for calibration purposes can be</w:t>
      </w:r>
      <w:r w:rsidR="009F70AC">
        <w:rPr>
          <w:color w:val="000000" w:themeColor="text1"/>
        </w:rPr>
        <w:t xml:space="preserve"> shown as:</w:t>
      </w:r>
    </w:p>
    <w:p w14:paraId="22E2AC0C" w14:textId="2B639CC7" w:rsidR="009F70AC" w:rsidRDefault="00E3644B" w:rsidP="009F70AC">
      <w:pPr>
        <w:spacing w:line="360" w:lineRule="auto"/>
        <w:jc w:val="center"/>
        <w:rPr>
          <w:color w:val="000000" w:themeColor="text1"/>
        </w:rPr>
      </w:pPr>
      <w:r>
        <w:rPr>
          <w:color w:val="000000" w:themeColor="text1"/>
        </w:rPr>
        <w:t>P</w:t>
      </w:r>
      <w:r w:rsidR="009F70AC">
        <w:rPr>
          <w:color w:val="000000" w:themeColor="text1"/>
        </w:rPr>
        <w:t>(</w:t>
      </w:r>
      <w:r>
        <w:rPr>
          <w:color w:val="000000" w:themeColor="text1"/>
        </w:rPr>
        <w:sym w:font="Symbol" w:char="F071"/>
      </w:r>
      <w:r w:rsidR="009F70AC">
        <w:rPr>
          <w:color w:val="000000" w:themeColor="text1"/>
        </w:rPr>
        <w:t>|</w:t>
      </w:r>
      <w:r>
        <w:rPr>
          <w:color w:val="000000" w:themeColor="text1"/>
        </w:rPr>
        <w:t>X</w:t>
      </w:r>
      <w:r w:rsidR="009F70AC">
        <w:rPr>
          <w:color w:val="000000" w:themeColor="text1"/>
        </w:rPr>
        <w:t>) = (P(</w:t>
      </w:r>
      <w:r>
        <w:rPr>
          <w:color w:val="000000" w:themeColor="text1"/>
        </w:rPr>
        <w:t>X</w:t>
      </w:r>
      <w:r w:rsidR="009F70AC">
        <w:rPr>
          <w:color w:val="000000" w:themeColor="text1"/>
        </w:rPr>
        <w:t>|</w:t>
      </w:r>
      <w:r>
        <w:rPr>
          <w:color w:val="000000" w:themeColor="text1"/>
        </w:rPr>
        <w:sym w:font="Symbol" w:char="F071"/>
      </w:r>
      <w:r w:rsidR="009F70AC">
        <w:rPr>
          <w:color w:val="000000" w:themeColor="text1"/>
        </w:rPr>
        <w:t>)P(</w:t>
      </w:r>
      <w:r>
        <w:rPr>
          <w:color w:val="000000" w:themeColor="text1"/>
        </w:rPr>
        <w:sym w:font="Symbol" w:char="F071"/>
      </w:r>
      <w:r>
        <w:rPr>
          <w:color w:val="000000" w:themeColor="text1"/>
        </w:rPr>
        <w:t>))</w:t>
      </w:r>
      <w:r w:rsidR="009F70AC">
        <w:rPr>
          <w:color w:val="000000" w:themeColor="text1"/>
        </w:rPr>
        <w:t>/P(</w:t>
      </w:r>
      <w:r>
        <w:rPr>
          <w:color w:val="000000" w:themeColor="text1"/>
        </w:rPr>
        <w:t>X</w:t>
      </w:r>
      <w:r w:rsidR="009F70AC">
        <w:rPr>
          <w:color w:val="000000" w:themeColor="text1"/>
        </w:rPr>
        <w:t>)</w:t>
      </w:r>
    </w:p>
    <w:p w14:paraId="46A51784" w14:textId="25593B59" w:rsidR="004D3F97" w:rsidRPr="008B3AD6" w:rsidRDefault="009F70AC" w:rsidP="004D3811">
      <w:pPr>
        <w:spacing w:line="360" w:lineRule="auto"/>
        <w:jc w:val="both"/>
        <w:rPr>
          <w:color w:val="000000" w:themeColor="text1"/>
        </w:rPr>
      </w:pPr>
      <w:r>
        <w:rPr>
          <w:color w:val="000000" w:themeColor="text1"/>
        </w:rPr>
        <w:lastRenderedPageBreak/>
        <w:t>Where t</w:t>
      </w:r>
      <w:r w:rsidR="004D3F97" w:rsidRPr="008B3AD6">
        <w:rPr>
          <w:color w:val="000000" w:themeColor="text1"/>
        </w:rPr>
        <w:t xml:space="preserve">he likelihood of the parameters </w:t>
      </w:r>
      <w:r w:rsidR="00E3644B">
        <w:rPr>
          <w:color w:val="000000" w:themeColor="text1"/>
        </w:rPr>
        <w:t>(</w:t>
      </w:r>
      <w:r w:rsidR="00E3644B">
        <w:rPr>
          <w:color w:val="000000" w:themeColor="text1"/>
        </w:rPr>
        <w:sym w:font="Symbol" w:char="F071"/>
      </w:r>
      <w:r w:rsidR="00E3644B">
        <w:rPr>
          <w:color w:val="000000" w:themeColor="text1"/>
        </w:rPr>
        <w:t xml:space="preserve">) </w:t>
      </w:r>
      <w:r w:rsidR="004D3F97" w:rsidRPr="008B3AD6">
        <w:rPr>
          <w:color w:val="000000" w:themeColor="text1"/>
        </w:rPr>
        <w:t>given the data</w:t>
      </w:r>
      <w:r w:rsidR="00E3644B">
        <w:rPr>
          <w:color w:val="000000" w:themeColor="text1"/>
        </w:rPr>
        <w:t xml:space="preserve"> (X)</w:t>
      </w:r>
      <w:r>
        <w:rPr>
          <w:color w:val="000000" w:themeColor="text1"/>
        </w:rPr>
        <w:t xml:space="preserve"> (their posterior distributions) [P</w:t>
      </w:r>
      <w:r w:rsidR="00E3644B">
        <w:rPr>
          <w:color w:val="000000" w:themeColor="text1"/>
        </w:rPr>
        <w:t>(</w:t>
      </w:r>
      <w:r w:rsidR="00E3644B">
        <w:rPr>
          <w:color w:val="000000" w:themeColor="text1"/>
        </w:rPr>
        <w:sym w:font="Symbol" w:char="F071"/>
      </w:r>
      <w:r w:rsidR="00E3644B">
        <w:rPr>
          <w:color w:val="000000" w:themeColor="text1"/>
        </w:rPr>
        <w:t>|X</w:t>
      </w:r>
      <w:r>
        <w:rPr>
          <w:color w:val="000000" w:themeColor="text1"/>
        </w:rPr>
        <w:t>)]</w:t>
      </w:r>
      <w:r w:rsidR="004D3F97" w:rsidRPr="008B3AD6">
        <w:rPr>
          <w:color w:val="000000" w:themeColor="text1"/>
        </w:rPr>
        <w:t xml:space="preserve"> is equal to the</w:t>
      </w:r>
      <w:r w:rsidR="00E3644B">
        <w:rPr>
          <w:color w:val="000000" w:themeColor="text1"/>
        </w:rPr>
        <w:t xml:space="preserve"> </w:t>
      </w:r>
      <w:r w:rsidR="00E3644B" w:rsidRPr="008B3AD6">
        <w:rPr>
          <w:color w:val="000000" w:themeColor="text1"/>
        </w:rPr>
        <w:t xml:space="preserve">probability of the data given the parameters (the likelihood) </w:t>
      </w:r>
      <w:r w:rsidR="00E3644B">
        <w:rPr>
          <w:color w:val="000000" w:themeColor="text1"/>
        </w:rPr>
        <w:t xml:space="preserve">[P(B|A)] multiplied by the likelihood </w:t>
      </w:r>
      <w:r w:rsidR="004D3F97" w:rsidRPr="008B3AD6">
        <w:rPr>
          <w:color w:val="000000" w:themeColor="text1"/>
        </w:rPr>
        <w:t>of the parameters (their prior distributions)</w:t>
      </w:r>
      <w:r>
        <w:rPr>
          <w:color w:val="000000" w:themeColor="text1"/>
        </w:rPr>
        <w:t xml:space="preserve"> [P(</w:t>
      </w:r>
      <w:r w:rsidR="00E3644B">
        <w:rPr>
          <w:color w:val="000000" w:themeColor="text1"/>
        </w:rPr>
        <w:sym w:font="Symbol" w:char="F071"/>
      </w:r>
      <w:r>
        <w:rPr>
          <w:color w:val="000000" w:themeColor="text1"/>
        </w:rPr>
        <w:t>)]</w:t>
      </w:r>
      <w:r w:rsidR="00E3644B">
        <w:rPr>
          <w:color w:val="000000" w:themeColor="text1"/>
        </w:rPr>
        <w:t xml:space="preserve"> </w:t>
      </w:r>
      <w:r w:rsidR="004D3F97" w:rsidRPr="008B3AD6">
        <w:rPr>
          <w:color w:val="000000" w:themeColor="text1"/>
        </w:rPr>
        <w:t>normalised to the data</w:t>
      </w:r>
      <w:r>
        <w:rPr>
          <w:color w:val="000000" w:themeColor="text1"/>
        </w:rPr>
        <w:t xml:space="preserve"> [P(B)]</w:t>
      </w:r>
      <w:r w:rsidR="004D3F97" w:rsidRPr="008B3AD6">
        <w:rPr>
          <w:color w:val="000000" w:themeColor="text1"/>
        </w:rPr>
        <w:t xml:space="preserve">. Thus, from this we can see that Bayesian parameterisation relies on conditional probability, something not accounted for in Frequentist approaches. </w:t>
      </w:r>
    </w:p>
    <w:p w14:paraId="4683FB5E" w14:textId="77777777" w:rsidR="004D3F97" w:rsidRPr="008B3AD6" w:rsidRDefault="004D3F97" w:rsidP="004D3811">
      <w:pPr>
        <w:spacing w:line="360" w:lineRule="auto"/>
        <w:jc w:val="both"/>
        <w:rPr>
          <w:color w:val="000000" w:themeColor="text1"/>
        </w:rPr>
      </w:pPr>
    </w:p>
    <w:p w14:paraId="504F2BE0" w14:textId="3E49D5F8" w:rsidR="004D3F97" w:rsidRPr="008B3AD6" w:rsidRDefault="004D3F97" w:rsidP="004D3811">
      <w:pPr>
        <w:spacing w:line="360" w:lineRule="auto"/>
        <w:jc w:val="both"/>
        <w:rPr>
          <w:color w:val="000000" w:themeColor="text1"/>
        </w:rPr>
      </w:pPr>
      <w:r w:rsidRPr="008B3AD6">
        <w:rPr>
          <w:color w:val="000000" w:themeColor="text1"/>
        </w:rPr>
        <w:t>The prior distributions encapsulate our initial understanding about the unknown parameters, for instance for our previous coin flip example we could assume our initial understanding (our prior</w:t>
      </w:r>
      <w:r w:rsidR="00E3644B">
        <w:rPr>
          <w:color w:val="000000" w:themeColor="text1"/>
        </w:rPr>
        <w:t xml:space="preserve"> knowledge</w:t>
      </w:r>
      <w:r w:rsidRPr="008B3AD6">
        <w:rPr>
          <w:color w:val="000000" w:themeColor="text1"/>
        </w:rPr>
        <w:t>) for the fairness of our coin would be that is sits between 0 – 1. We could assume an equal likelihood of the fairness being the boundary values (and any value in between) meaning we would provide a uniform distribution. We then need to calculate the likelihood, in Bayesian approaches a common technique is to use the method of least squares. This method will evaluate the data generated using the parameters against the original observed data. This evaluation is the summation of the squared differences between the matched observed (parameter-derived) and expected (original data) outputs, as the name implies least squares seeks to reduce the value of the summed squared differences to as minimal a value as possible. Once the likelihood of the parameters has been evaluated a posterior distribution can be formed for each parameter, these describe the probability that a given parameter value can be used to generate the data.</w:t>
      </w:r>
    </w:p>
    <w:p w14:paraId="08530B57" w14:textId="77777777" w:rsidR="004D3F97" w:rsidRPr="008B3AD6" w:rsidRDefault="004D3F97" w:rsidP="004D3811">
      <w:pPr>
        <w:spacing w:line="360" w:lineRule="auto"/>
        <w:jc w:val="both"/>
        <w:rPr>
          <w:color w:val="000000" w:themeColor="text1"/>
        </w:rPr>
      </w:pPr>
    </w:p>
    <w:p w14:paraId="74E6CFB6" w14:textId="16F32B91" w:rsidR="004D3F97" w:rsidRPr="008B3AD6" w:rsidRDefault="004D3F97" w:rsidP="004D3811">
      <w:pPr>
        <w:spacing w:line="360" w:lineRule="auto"/>
        <w:jc w:val="both"/>
        <w:rPr>
          <w:color w:val="000000" w:themeColor="text1"/>
        </w:rPr>
      </w:pPr>
      <w:r w:rsidRPr="008B3AD6">
        <w:rPr>
          <w:color w:val="000000" w:themeColor="text1"/>
        </w:rPr>
        <w:t>Bayesian parameter estimation is a well-established and highly utilised approach to</w:t>
      </w:r>
      <w:r w:rsidR="00E3644B">
        <w:rPr>
          <w:color w:val="000000" w:themeColor="text1"/>
        </w:rPr>
        <w:t xml:space="preserve"> </w:t>
      </w:r>
      <w:r w:rsidR="00E3644B">
        <w:rPr>
          <w:i/>
          <w:color w:val="000000" w:themeColor="text1"/>
        </w:rPr>
        <w:t>in silico</w:t>
      </w:r>
      <w:r w:rsidRPr="008B3AD6">
        <w:rPr>
          <w:color w:val="000000" w:themeColor="text1"/>
        </w:rPr>
        <w:t xml:space="preserve"> model calibration</w:t>
      </w:r>
      <w:r w:rsidR="00FF609E" w:rsidRPr="008B3AD6">
        <w:rPr>
          <w:color w:val="000000" w:themeColor="text1"/>
        </w:rPr>
        <w:t>, examples include</w:t>
      </w:r>
      <w:r w:rsidRPr="008B3AD6">
        <w:rPr>
          <w:color w:val="000000" w:themeColor="text1"/>
        </w:rPr>
        <w:t xml:space="preserve"> </w:t>
      </w:r>
      <w:r w:rsidR="000B71D6" w:rsidRPr="008B3AD6">
        <w:rPr>
          <w:color w:val="000000" w:themeColor="text1"/>
        </w:rPr>
        <w:fldChar w:fldCharType="begin"/>
      </w:r>
      <w:r w:rsidR="00025067">
        <w:rPr>
          <w:color w:val="000000" w:themeColor="text1"/>
        </w:rPr>
        <w:instrText xml:space="preserve"> ADDIN ZOTERO_ITEM CSL_CITATION {"citationID":"leYKwFY9","properties":{"formattedCitation":"(Hogan et al. 2014; Elemans et al. 2014; Gajewska et al. 2014)","plainCitation":"(Hogan et al. 2014; Elemans et al. 2014; Gajewska et al. 2014)","noteIndex":0},"citationItems":[{"id":2620,"uris":["http://zotero.org/users/2628971/items/Z2XWDERH"],"uri":["http://zotero.org/users/2628971/items/Z2XWDERH"],"itemData":{"id":2620,"type":"article-journal","title":"Spatial heterogeneity and peptide availability determine CTL killing efficiency in vivo","container-title":"PLoS computational biology","page":"e1003805","volume":"10","issue":"9","source":"PubMed","abstract":"The rate at which a cytotoxic T lymphocyte (CTL) can survey for infected cells is a key ingredient of models of vertebrate immune responses to intracellular pathogens. Estimates have been obtained using in vivo cytotoxicity assays in which peptide-pulsed splenocytes are killed by CTL in the spleens of immunised mice. However the spleen is a heterogeneous environment and splenocytes comprise multiple cell types. Are some cell types intrinsically more susceptible to lysis than others? Quantitatively, what impacts are made by the spatial distribution of targets and effectors, and the level of peptide-MHC on the target cell surface? To address these questions we revisited the splenocyte killing assay, using CTL specific for an epitope of influenza virus. We found that at the cell population level T cell targets were killed more rapidly than B cells. Using modeling, quantitative imaging and in vitro killing assays we conclude that this difference in vivo likely reflects different migratory patterns of targets within the spleen and a heterogeneous distribution of CTL, with no detectable difference in the intrinsic susceptibilities of the two populations to lysis. Modeling of the stages involved in the detection and killing of peptide-pulsed targets in vitro revealed that peptide dose influenced the ability of CTL to form conjugates with targets but had no detectable effect on the probability that conjugation resulted in lysis, and that T cell targets took longer to lyse than B cells. We also infer that incomplete killing in vivo of cells pulsed with low doses of peptide may be due to a combination of heterogeneity in peptide uptake and the dissociation, but not internalisation, of peptide-MHC complexes. Our analyses demonstrate how population-averaged parameters in models of immune responses can be dissected to account for both spatial and cellular heterogeneity.","DOI":"10.1371/journal.pcbi.1003805","ISSN":"1553-7358","note":"PMID: 25233372\nPMCID: PMC4168979","journalAbbreviation":"PLoS Comput. Biol.","language":"eng","author":[{"family":"Hogan","given":"Thea"},{"family":"Kadolsky","given":"Ulrich"},{"family":"Tung","given":"Sim"},{"family":"Seddon","given":"Benedict"},{"family":"Yates","given":"Andrew"}],"issued":{"date-parts":[["2014",9]]}},"label":"page"},{"id":3655,"uris":["http://zotero.org/users/2628971/items/RXWN595I"],"uri":["http://zotero.org/users/2628971/items/RXWN595I"],"itemData":{"id":3655,"type":"article-journal","title":"Rates of CTL Killing in Persistent Viral Infection In Vivo","container-title":"PLoS Computational Biology","volume":"10","issue":"4","source":"PubMed Central","abstract":"The CD8+ cytotoxic T lymphocyte (CTL) response is an important defence against viral invasion. Although CTL-mediated cytotoxicity has been widely studied for many years, the rate at which virus-infected cells are killed in vivo by the CTL response is poorly understood. To date the rate of CTL killing in vivo has been estimated for three virus infections but the estimates differ considerably, and killing of HIV-1-infected cells was unexpectedly low. This raises questions about the typical anti-viral capability of CTL and whether CTL killing is abnormally low in HIV-1. We estimated the rate of killing of infected cells by CD8+ T cells in two distinct persistent virus infections: sheep infected with Bovine Leukemia Virus (BLV) and humans infected with Human T Lymphotropic Virus type 1 (HTLV-1) which together with existing data allows us to study a total of five viruses in parallel. Although both BLV and HTLV-1 infection are characterised by large expansions of chronically activated CTL with immediate effector function ex vivo and no evidence of overt immune suppression, our estimates are at the lower end of the reported range. This enables us to put current estimates into perspective and shows that CTL killing of HIV-infected cells may not be atypically low. The estimates at the higher end of the range are obtained in more manipulated systems and may thus represent the potential rather than the realised CTL efficiency., Virus replication is countered by a range of innate and adaptive host defences. One important and widely studied adaptive defence is the CD8+ cytotoxic T lymphocyte (CTL) response. Quantification of the in vivo lytic capability of CTLs is essential for a detailed understanding of the immune response. This includes understanding the balance between viral replication and viral clearance, understanding the rate limiting steps in CTL killing and thus how killing can be increased and understanding the failure of CTL vaccines. However, the typical rate at which virus-infected cells are killed by the CTL response in vivo is poorly understood. Current estimates differ considerably and are especially low for HIV-1-infection. We estimated the rate of killing of infected cells by CD8+ T cells in two distinct persistent virus infections which enables us to put current estimates into perspective. We show that CTL killing of HIV-infected cells may not be atypically low. The estimates at the higher end of the range are obtained in more manipulated systems and may thus represent the potential rather than the realised CTL efficiency.","URL":"https://www.ncbi.nlm.nih.gov/pmc/articles/PMC3974637/","DOI":"10.1371/journal.pcbi.1003534","ISSN":"1553-734X","note":"PMID: 24699260\nPMCID: PMC3974637","journalAbbreviation":"PLoS Comput Biol","author":[{"family":"Elemans","given":"Marjet"},{"family":"Florins","given":"Arnaud"},{"family":"Willems","given":"Luc"},{"family":"Asquith","given":"Becca"}],"issued":{"date-parts":[["2014",4,3]]},"accessed":{"date-parts":[["2018",8,29]]}},"label":"page"},{"id":3649,"uris":["http://zotero.org/users/2628971/items/RLHI38B7"],"uri":["http://zotero.org/users/2628971/items/RLHI38B7"],"itemData":{"id":3649,"type":"article-journal","title":"The acute effects of daily nicotine intake on heart rate--a toxicokinetic and toxicodynamic modelling study","container-title":"Regulatory toxicology and pharmacology: RTP","page":"312-324","volume":"70","issue":"1","source":"PubMed","abstract":"Joint physiologically-based toxicokinetic and toxicodynamic (PBTK/TD) modelling was applied to simulate concentration-time profiles of nicotine, a well-known stimulant, in the human body following single and repeated dosing. Both kinetic and dynamic models were first calibrated by using in vivo literature data for the Caucasian population. The models were then used to estimate the blood and liver concentrations of nicotine in terms of the Area Under Curve (AUC) and the peak concentration (Cmax) for selected exposure scenarios based on inhalation (cigarette smoking), oral intake (nicotine lozenges) and dermal absorption (nicotine patches). The model simulations indicated that whereas frequent cigarette smoking gives rise to high AUC and Cmax in blood, the use of nicotine-rich dermal patches leads to high AUC and Cmax in the liver. Venous blood concentrations were used to estimate one of the most common acute effects, mean heart rate, both at rest and during exercise. These estimations showed that cigarette smoking causes a high peak heart rate, whereas dermal absorption causes a high mean heart rate over 48h. This study illustrates the potential of using PBTK/TD modelling in the safety assessment of nicotine-containing products.","DOI":"10.1016/j.yrtph.2014.07.015","ISSN":"1096-0295","note":"PMID: 25066669","journalAbbreviation":"Regul. Toxicol. Pharmacol.","language":"eng","author":[{"family":"Gajewska","given":"M."},{"family":"Worth","given":"A."},{"family":"Urani","given":"C."},{"family":"Briesen","given":"H."},{"family":"Schramm","given":"K.-W."}],"issued":{"date-parts":[["2014",10]]}}}],"schema":"https://github.com/citation-style-language/schema/raw/master/csl-citation.json"} </w:instrText>
      </w:r>
      <w:r w:rsidR="000B71D6" w:rsidRPr="008B3AD6">
        <w:rPr>
          <w:color w:val="000000" w:themeColor="text1"/>
        </w:rPr>
        <w:fldChar w:fldCharType="separate"/>
      </w:r>
      <w:r w:rsidR="00025067" w:rsidRPr="00025067">
        <w:rPr>
          <w:color w:val="000000"/>
          <w:lang w:val="en-US"/>
        </w:rPr>
        <w:t>(Hogan et al. 2014; Elemans et al. 2014; Gajewska et al. 2014)</w:t>
      </w:r>
      <w:r w:rsidR="000B71D6" w:rsidRPr="008B3AD6">
        <w:rPr>
          <w:color w:val="000000" w:themeColor="text1"/>
        </w:rPr>
        <w:fldChar w:fldCharType="end"/>
      </w:r>
      <w:r w:rsidR="000234FA" w:rsidRPr="008B3AD6">
        <w:rPr>
          <w:color w:val="000000" w:themeColor="text1"/>
        </w:rPr>
        <w:t xml:space="preserve">, and </w:t>
      </w:r>
      <w:r w:rsidR="00E3644B">
        <w:rPr>
          <w:color w:val="000000" w:themeColor="text1"/>
        </w:rPr>
        <w:t xml:space="preserve">is </w:t>
      </w:r>
      <w:r w:rsidR="000234FA" w:rsidRPr="008B3AD6">
        <w:rPr>
          <w:color w:val="000000" w:themeColor="text1"/>
        </w:rPr>
        <w:t xml:space="preserve">summarised in </w:t>
      </w:r>
      <w:r w:rsidR="000234FA" w:rsidRPr="008B3AD6">
        <w:rPr>
          <w:color w:val="000000" w:themeColor="text1"/>
        </w:rPr>
        <w:fldChar w:fldCharType="begin"/>
      </w:r>
      <w:r w:rsidR="000234FA" w:rsidRPr="008B3AD6">
        <w:rPr>
          <w:color w:val="000000" w:themeColor="text1"/>
        </w:rPr>
        <w:instrText xml:space="preserve"> REF _Ref523928099  \* MERGEFORMAT </w:instrText>
      </w:r>
      <w:r w:rsidR="000234FA" w:rsidRPr="008B3AD6">
        <w:rPr>
          <w:color w:val="000000" w:themeColor="text1"/>
        </w:rPr>
        <w:fldChar w:fldCharType="separate"/>
      </w:r>
      <w:r w:rsidR="00E5551E" w:rsidRPr="00E5551E">
        <w:rPr>
          <w:b/>
        </w:rPr>
        <w:t xml:space="preserve">Figure </w:t>
      </w:r>
      <w:r w:rsidR="00E5551E" w:rsidRPr="00E5551E">
        <w:rPr>
          <w:b/>
          <w:noProof/>
        </w:rPr>
        <w:t>1.10</w:t>
      </w:r>
      <w:r w:rsidR="000234FA" w:rsidRPr="008B3AD6">
        <w:rPr>
          <w:color w:val="000000" w:themeColor="text1"/>
        </w:rPr>
        <w:fldChar w:fldCharType="end"/>
      </w:r>
      <w:r w:rsidRPr="008B3AD6">
        <w:rPr>
          <w:color w:val="000000" w:themeColor="text1"/>
        </w:rPr>
        <w:t xml:space="preserve">. As mentioned above, one of its primary advantages is the ability to incorporate previous knowledge into the estimation of parameters. This increases the chances of finding accurate parameter values, so long as the prior information is accurate, and increases confidence in the predicted values. This is especially useful in biological models if directly related parameters, parameters which are implemented such that they are a good reflection of the </w:t>
      </w:r>
      <w:r w:rsidR="00EE5D4C" w:rsidRPr="008B3AD6">
        <w:rPr>
          <w:color w:val="000000" w:themeColor="text1"/>
        </w:rPr>
        <w:t>real-world</w:t>
      </w:r>
      <w:r w:rsidRPr="008B3AD6">
        <w:rPr>
          <w:color w:val="000000" w:themeColor="text1"/>
        </w:rPr>
        <w:t xml:space="preserve"> parameter they represent, are utilised. However, the stipulation of prior distributions for parameter values can be a disadvantage. True prior distributions may be extremely difficult to fully define and reason and</w:t>
      </w:r>
      <w:r w:rsidR="0070186E" w:rsidRPr="008B3AD6">
        <w:rPr>
          <w:color w:val="000000" w:themeColor="text1"/>
        </w:rPr>
        <w:t xml:space="preserve"> can</w:t>
      </w:r>
      <w:r w:rsidRPr="008B3AD6">
        <w:rPr>
          <w:color w:val="000000" w:themeColor="text1"/>
        </w:rPr>
        <w:t xml:space="preserve"> lead to an inaccurate prior supplied, which then biases the </w:t>
      </w:r>
      <w:r w:rsidR="00E3644B">
        <w:rPr>
          <w:color w:val="000000" w:themeColor="text1"/>
        </w:rPr>
        <w:t>calibration</w:t>
      </w:r>
      <w:r w:rsidRPr="008B3AD6">
        <w:rPr>
          <w:color w:val="000000" w:themeColor="text1"/>
        </w:rPr>
        <w:t xml:space="preserve">. As well as this, as there </w:t>
      </w:r>
      <w:r w:rsidR="0070186E" w:rsidRPr="008B3AD6">
        <w:rPr>
          <w:color w:val="000000" w:themeColor="text1"/>
        </w:rPr>
        <w:t>are</w:t>
      </w:r>
      <w:r w:rsidRPr="008B3AD6">
        <w:rPr>
          <w:color w:val="000000" w:themeColor="text1"/>
        </w:rPr>
        <w:t xml:space="preserve"> no pre-defined stopping criteria for the evaluation of the investigated parameters the model could be overfitted, an especially important consideration for datasets with high levels of variation. A related approach to Bayesian parameter estimation is the use </w:t>
      </w:r>
      <w:r w:rsidRPr="008B3AD6">
        <w:rPr>
          <w:color w:val="000000" w:themeColor="text1"/>
        </w:rPr>
        <w:lastRenderedPageBreak/>
        <w:t>of approximate Bayesian computation which is based upon the Bayesian approach but forgoes the use of likelihood functions, this is introduced below.</w:t>
      </w:r>
    </w:p>
    <w:p w14:paraId="55BB616B" w14:textId="77777777" w:rsidR="004D3F97" w:rsidRPr="008B3AD6" w:rsidRDefault="004D3F97" w:rsidP="004D3811">
      <w:pPr>
        <w:spacing w:line="360" w:lineRule="auto"/>
        <w:jc w:val="both"/>
        <w:rPr>
          <w:color w:val="000000" w:themeColor="text1"/>
        </w:rPr>
      </w:pPr>
    </w:p>
    <w:p w14:paraId="109519B8" w14:textId="77777777" w:rsidR="004D3F97" w:rsidRPr="008B3AD6" w:rsidRDefault="004D3F97" w:rsidP="004D3811">
      <w:pPr>
        <w:pStyle w:val="Heading4"/>
        <w:jc w:val="both"/>
      </w:pPr>
      <w:bookmarkStart w:id="104" w:name="_Toc3716065"/>
      <w:r w:rsidRPr="008B3AD6">
        <w:t>Approximate Bayesian Computation</w:t>
      </w:r>
      <w:bookmarkEnd w:id="104"/>
    </w:p>
    <w:p w14:paraId="43086523" w14:textId="5FE364CA" w:rsidR="004D3F97" w:rsidRPr="008B3AD6" w:rsidRDefault="004D3F97" w:rsidP="004D3811">
      <w:pPr>
        <w:spacing w:line="360" w:lineRule="auto"/>
        <w:jc w:val="both"/>
        <w:rPr>
          <w:color w:val="000000" w:themeColor="text1"/>
        </w:rPr>
      </w:pPr>
      <w:r w:rsidRPr="008B3AD6">
        <w:rPr>
          <w:color w:val="000000" w:themeColor="text1"/>
        </w:rPr>
        <w:t xml:space="preserve">Approximate Bayesian Computation (ABC) was first related as a sampling mechanism that yields a posterior distribution for parameter values which </w:t>
      </w:r>
      <w:r w:rsidR="00B62206" w:rsidRPr="008B3AD6">
        <w:rPr>
          <w:color w:val="000000" w:themeColor="text1"/>
        </w:rPr>
        <w:t>approximates</w:t>
      </w:r>
      <w:r w:rsidRPr="008B3AD6">
        <w:rPr>
          <w:color w:val="000000" w:themeColor="text1"/>
        </w:rPr>
        <w:t xml:space="preserve"> the true posterior. Similarly, to Bayesian parameterisation it relates the probability of the parameters given observed data to the probability of the parameters given a summary statistic of the data </w:t>
      </w:r>
      <w:r w:rsidR="00FF609E" w:rsidRPr="008B3AD6">
        <w:rPr>
          <w:color w:val="000000" w:themeColor="text1"/>
        </w:rPr>
        <w:fldChar w:fldCharType="begin"/>
      </w:r>
      <w:r w:rsidR="00025067">
        <w:rPr>
          <w:color w:val="000000" w:themeColor="text1"/>
        </w:rPr>
        <w:instrText xml:space="preserve"> ADDIN ZOTERO_ITEM CSL_CITATION {"citationID":"RtlYkhpO","properties":{"formattedCitation":"(Turner and Van Zandt 2012)","plainCitation":"(Turner and Van Zandt 2012)","noteIndex":0},"citationItems":[{"id":2934,"uris":["http://zotero.org/users/2628971/items/XXI79I2L"],"uri":["http://zotero.org/users/2628971/items/XXI79I2L"],"itemData":{"id":2934,"type":"article-journal","title":"A tutorial on approximate Bayesian computation","container-title":"Journal of Mathematical Psychology","page":"69-85","volume":"56","issue":"2","source":"ScienceDirect","abstract":"This tutorial explains the foundation of approximate Bayesian computation (ABC), an approach to Bayesian inference that does not require the specification of a likelihood function, and hence that can be used to estimate posterior distributions of parameters for simulation-based models. We discuss briefly the philosophy of Bayesian inference and then present several algorithms for ABC. We then apply these algorithms in a number of examples. For most of these examples, the posterior distributions are known, and so we can compare the estimated posteriors derived from ABC to the true posteriors and verify that the algorithms recover the true posteriors accurately. We also consider a popular simulation-based model of recognition memory (REM) for which the true posteriors are unknown. We conclude with a number of recommendations for applying ABC methods to solve real-world problems.","DOI":"10.1016/j.jmp.2012.02.005","ISSN":"0022-2496","journalAbbreviation":"Journal of Mathematical Psychology","author":[{"family":"Turner","given":"Brandon M."},{"family":"Van Zandt","given":"Trisha"}],"issued":{"date-parts":[["2012",4,1]]}}}],"schema":"https://github.com/citation-style-language/schema/raw/master/csl-citation.json"} </w:instrText>
      </w:r>
      <w:r w:rsidR="00FF609E" w:rsidRPr="008B3AD6">
        <w:rPr>
          <w:color w:val="000000" w:themeColor="text1"/>
        </w:rPr>
        <w:fldChar w:fldCharType="separate"/>
      </w:r>
      <w:r w:rsidR="00025067" w:rsidRPr="00025067">
        <w:rPr>
          <w:color w:val="000000"/>
          <w:lang w:val="en-US"/>
        </w:rPr>
        <w:t>(Turner and Van Zandt 2012)</w:t>
      </w:r>
      <w:r w:rsidR="00FF609E" w:rsidRPr="008B3AD6">
        <w:rPr>
          <w:color w:val="000000" w:themeColor="text1"/>
        </w:rPr>
        <w:fldChar w:fldCharType="end"/>
      </w:r>
      <w:r w:rsidRPr="008B3AD6">
        <w:rPr>
          <w:color w:val="000000" w:themeColor="text1"/>
        </w:rPr>
        <w:t xml:space="preserve">. ABC is typically implemented when the </w:t>
      </w:r>
      <w:r w:rsidR="00E3644B">
        <w:rPr>
          <w:i/>
          <w:color w:val="000000" w:themeColor="text1"/>
        </w:rPr>
        <w:t xml:space="preserve">in silico </w:t>
      </w:r>
      <w:r w:rsidRPr="008B3AD6">
        <w:rPr>
          <w:color w:val="000000" w:themeColor="text1"/>
        </w:rPr>
        <w:t xml:space="preserve">model under investigation is too complex to put into analytical form or if there is insufficient data to generate a sufficient likelihood </w:t>
      </w:r>
      <w:r w:rsidR="00FF609E" w:rsidRPr="008B3AD6">
        <w:rPr>
          <w:color w:val="000000" w:themeColor="text1"/>
        </w:rPr>
        <w:fldChar w:fldCharType="begin"/>
      </w:r>
      <w:r w:rsidR="00025067">
        <w:rPr>
          <w:color w:val="000000" w:themeColor="text1"/>
        </w:rPr>
        <w:instrText xml:space="preserve"> ADDIN ZOTERO_ITEM CSL_CITATION {"citationID":"vrAF4LN4","properties":{"formattedCitation":"(Kypraios, Neal, and Prangle 2017)","plainCitation":"(Kypraios, Neal, and Prangle 2017)","noteIndex":0},"citationItems":[{"id":3658,"uris":["http://zotero.org/users/2628971/items/N6NVKFJH"],"uri":["http://zotero.org/users/2628971/items/N6NVKFJH"],"itemData":{"id":3658,"type":"article-journal","title":"A tutorial introduction to Bayesian inference for stochastic epidemic models using Approximate Bayesian Computation","container-title":"Mathematical Biosciences","collection-title":"50th Anniversary Issue","page":"42-53","volume":"287","source":"ScienceDirect","abstract":"Likelihood-based inference for disease outbreak data can be very challenging due to the inherent dependence of the data and the fact that they are usually incomplete. In this paper we review recent Approximate Bayesian Computation (ABC) methods for the analysis of such data by fitting to them stochastic epidemic models without having to calculate the likelihood of the observed data. We consider both non-temporal and temporal-data and illustrate the methods with a number of examples featuring different models and datasets. In addition, we present extensions to existing algorithms which are easy to implement and provide an improvement to the existing methodology. Finally, R code to implement the algorithms presented in the paper is available on https://github.com/kypraios/epiABC.","DOI":"10.1016/j.mbs.2016.07.001","ISSN":"0025-5564","journalAbbreviation":"Mathematical Biosciences","author":[{"family":"Kypraios","given":"Theodore"},{"family":"Neal","given":"Peter"},{"family":"Prangle","given":"Dennis"}],"issued":{"date-parts":[["2017",5,1]]}}}],"schema":"https://github.com/citation-style-language/schema/raw/master/csl-citation.json"} </w:instrText>
      </w:r>
      <w:r w:rsidR="00FF609E" w:rsidRPr="008B3AD6">
        <w:rPr>
          <w:color w:val="000000" w:themeColor="text1"/>
        </w:rPr>
        <w:fldChar w:fldCharType="separate"/>
      </w:r>
      <w:r w:rsidR="00025067" w:rsidRPr="00025067">
        <w:rPr>
          <w:color w:val="000000"/>
          <w:lang w:val="en-US"/>
        </w:rPr>
        <w:t>(Kypraios, Neal, and Prangle 2017)</w:t>
      </w:r>
      <w:r w:rsidR="00FF609E" w:rsidRPr="008B3AD6">
        <w:rPr>
          <w:color w:val="000000" w:themeColor="text1"/>
        </w:rPr>
        <w:fldChar w:fldCharType="end"/>
      </w:r>
      <w:r w:rsidRPr="008B3AD6">
        <w:rPr>
          <w:color w:val="000000" w:themeColor="text1"/>
        </w:rPr>
        <w:t xml:space="preserve">. The key difference between Bayesian and </w:t>
      </w:r>
      <w:r w:rsidR="00E3644B">
        <w:rPr>
          <w:color w:val="000000" w:themeColor="text1"/>
        </w:rPr>
        <w:t>ABC</w:t>
      </w:r>
      <w:r w:rsidRPr="008B3AD6">
        <w:rPr>
          <w:color w:val="000000" w:themeColor="text1"/>
        </w:rPr>
        <w:t xml:space="preserve"> methods is in ABC the calculation of a likelihood is replaced by the computation of some </w:t>
      </w:r>
      <w:r w:rsidR="00D14A98">
        <w:rPr>
          <w:color w:val="000000" w:themeColor="text1"/>
        </w:rPr>
        <w:t xml:space="preserve">residual </w:t>
      </w:r>
      <w:r w:rsidRPr="008B3AD6">
        <w:rPr>
          <w:color w:val="000000" w:themeColor="text1"/>
        </w:rPr>
        <w:t xml:space="preserve">‘distance’ between the simulated data and original data. This distance is evaluated against a defined criterion, such as </w:t>
      </w:r>
      <w:r w:rsidR="00391C34">
        <w:rPr>
          <w:color w:val="000000" w:themeColor="text1"/>
        </w:rPr>
        <w:t xml:space="preserve">a </w:t>
      </w:r>
      <w:r w:rsidRPr="008B3AD6">
        <w:rPr>
          <w:color w:val="000000" w:themeColor="text1"/>
        </w:rPr>
        <w:t xml:space="preserve">threshold that the </w:t>
      </w:r>
      <w:r w:rsidR="00D14A98">
        <w:rPr>
          <w:color w:val="000000" w:themeColor="text1"/>
        </w:rPr>
        <w:t xml:space="preserve">residual </w:t>
      </w:r>
      <w:r w:rsidRPr="008B3AD6">
        <w:rPr>
          <w:color w:val="000000" w:themeColor="text1"/>
        </w:rPr>
        <w:t xml:space="preserve">distance must be below. If below the criteria the supplied parameters would be accepted and likely to give rise to the observed data. </w:t>
      </w:r>
    </w:p>
    <w:p w14:paraId="341CB985" w14:textId="77777777" w:rsidR="004D3F97" w:rsidRPr="008B3AD6" w:rsidRDefault="004D3F97" w:rsidP="004D3811">
      <w:pPr>
        <w:spacing w:line="360" w:lineRule="auto"/>
        <w:jc w:val="both"/>
        <w:rPr>
          <w:color w:val="000000" w:themeColor="text1"/>
        </w:rPr>
      </w:pPr>
    </w:p>
    <w:p w14:paraId="4D05F9EF" w14:textId="403B08AF" w:rsidR="004D3F97" w:rsidRPr="008B3AD6" w:rsidRDefault="004D3F97" w:rsidP="004D3811">
      <w:pPr>
        <w:spacing w:line="360" w:lineRule="auto"/>
        <w:jc w:val="both"/>
        <w:rPr>
          <w:color w:val="000000" w:themeColor="text1"/>
        </w:rPr>
      </w:pPr>
      <w:r w:rsidRPr="008B3AD6">
        <w:rPr>
          <w:color w:val="000000" w:themeColor="text1"/>
        </w:rPr>
        <w:t xml:space="preserve">One of the simplest ways to implement ABC </w:t>
      </w:r>
      <w:r w:rsidR="00D14A98">
        <w:rPr>
          <w:color w:val="000000" w:themeColor="text1"/>
        </w:rPr>
        <w:t>calibration</w:t>
      </w:r>
      <w:r w:rsidRPr="008B3AD6">
        <w:rPr>
          <w:color w:val="000000" w:themeColor="text1"/>
        </w:rPr>
        <w:t xml:space="preserve"> is by use of the ABC rejection sampling technique. For this technique we provide a set of observed summary statistics, a model that is judged to be sufficient to recapitulate the data and prior distributions for parameters captured by the model. Additionally, we provide an acceptance criterion, a value denoting the acceptable </w:t>
      </w:r>
      <w:r w:rsidR="00D14A98">
        <w:rPr>
          <w:color w:val="000000" w:themeColor="text1"/>
        </w:rPr>
        <w:t xml:space="preserve">residual </w:t>
      </w:r>
      <w:r w:rsidRPr="008B3AD6">
        <w:rPr>
          <w:color w:val="000000" w:themeColor="text1"/>
        </w:rPr>
        <w:t>distance between the original observed data and simulated data. The rejection sampler uses the prior distributions to gen</w:t>
      </w:r>
      <w:r w:rsidR="00D14A98">
        <w:rPr>
          <w:color w:val="000000" w:themeColor="text1"/>
        </w:rPr>
        <w:t xml:space="preserve">erate parameter values, if they </w:t>
      </w:r>
      <w:r w:rsidRPr="008B3AD6">
        <w:rPr>
          <w:color w:val="000000" w:themeColor="text1"/>
        </w:rPr>
        <w:t xml:space="preserve">produce data that results in a </w:t>
      </w:r>
      <w:r w:rsidR="00D14A98">
        <w:rPr>
          <w:color w:val="000000" w:themeColor="text1"/>
        </w:rPr>
        <w:t xml:space="preserve">residual distance </w:t>
      </w:r>
      <w:r w:rsidRPr="008B3AD6">
        <w:rPr>
          <w:color w:val="000000" w:themeColor="text1"/>
        </w:rPr>
        <w:t xml:space="preserve">greater than the acceptance criterion the parameter value is rejected. If the </w:t>
      </w:r>
      <w:r w:rsidR="00D14A98">
        <w:rPr>
          <w:color w:val="000000" w:themeColor="text1"/>
        </w:rPr>
        <w:t>residual distance</w:t>
      </w:r>
      <w:r w:rsidRPr="008B3AD6">
        <w:rPr>
          <w:color w:val="000000" w:themeColor="text1"/>
        </w:rPr>
        <w:t xml:space="preserve"> is less than the acceptance criterion the parameter value is accepted. This approach is very simplistic and very easy to implement however if the criterion values are extremely small it leads to high rejection rates of parameters. This is due to the fact that this approach does not account for any previously generated results and thus does not evolve/learn how to produce better results.</w:t>
      </w:r>
    </w:p>
    <w:p w14:paraId="02E1E465" w14:textId="2F03B1F6" w:rsidR="00EE5D4C" w:rsidRPr="008B3AD6" w:rsidRDefault="00EE5D4C" w:rsidP="004D3811">
      <w:pPr>
        <w:spacing w:line="360" w:lineRule="auto"/>
        <w:jc w:val="both"/>
        <w:rPr>
          <w:color w:val="000000" w:themeColor="text1"/>
        </w:rPr>
      </w:pPr>
    </w:p>
    <w:p w14:paraId="3BCEF7D9" w14:textId="2C46FF3F" w:rsidR="00EE5D4C" w:rsidRPr="008B3AD6" w:rsidRDefault="00EE5D4C" w:rsidP="004D3811">
      <w:pPr>
        <w:spacing w:line="360" w:lineRule="auto"/>
        <w:jc w:val="both"/>
        <w:rPr>
          <w:color w:val="000000" w:themeColor="text1"/>
        </w:rPr>
      </w:pPr>
      <w:r w:rsidRPr="008B3AD6">
        <w:rPr>
          <w:color w:val="000000" w:themeColor="text1"/>
        </w:rPr>
        <w:t xml:space="preserve">An example of an ABC </w:t>
      </w:r>
      <w:r w:rsidR="00D14A98">
        <w:rPr>
          <w:color w:val="000000" w:themeColor="text1"/>
        </w:rPr>
        <w:t>iterative approach</w:t>
      </w:r>
      <w:r w:rsidR="000234FA" w:rsidRPr="008B3AD6">
        <w:rPr>
          <w:color w:val="000000" w:themeColor="text1"/>
        </w:rPr>
        <w:t xml:space="preserve">, shown in </w:t>
      </w:r>
      <w:r w:rsidR="000234FA" w:rsidRPr="008B3AD6">
        <w:rPr>
          <w:color w:val="000000" w:themeColor="text1"/>
        </w:rPr>
        <w:fldChar w:fldCharType="begin"/>
      </w:r>
      <w:r w:rsidR="000234FA" w:rsidRPr="008B3AD6">
        <w:rPr>
          <w:color w:val="000000" w:themeColor="text1"/>
        </w:rPr>
        <w:instrText xml:space="preserve"> REF _Ref523928099  \* MERGEFORMAT </w:instrText>
      </w:r>
      <w:r w:rsidR="000234FA" w:rsidRPr="008B3AD6">
        <w:rPr>
          <w:color w:val="000000" w:themeColor="text1"/>
        </w:rPr>
        <w:fldChar w:fldCharType="separate"/>
      </w:r>
      <w:r w:rsidR="00E5551E" w:rsidRPr="00E5551E">
        <w:rPr>
          <w:b/>
        </w:rPr>
        <w:t xml:space="preserve">Figure </w:t>
      </w:r>
      <w:r w:rsidR="00E5551E" w:rsidRPr="00E5551E">
        <w:rPr>
          <w:b/>
          <w:noProof/>
        </w:rPr>
        <w:t>1.10</w:t>
      </w:r>
      <w:r w:rsidR="000234FA" w:rsidRPr="008B3AD6">
        <w:rPr>
          <w:color w:val="000000" w:themeColor="text1"/>
        </w:rPr>
        <w:fldChar w:fldCharType="end"/>
      </w:r>
      <w:r w:rsidR="000234FA" w:rsidRPr="008B3AD6">
        <w:rPr>
          <w:color w:val="000000" w:themeColor="text1"/>
        </w:rPr>
        <w:t>,</w:t>
      </w:r>
      <w:r w:rsidRPr="008B3AD6">
        <w:rPr>
          <w:color w:val="000000" w:themeColor="text1"/>
        </w:rPr>
        <w:t xml:space="preserve"> which does benefit from the accounting of previously generated results is a sequential sampling technique </w:t>
      </w:r>
      <w:r w:rsidR="00105FEB" w:rsidRPr="008B3AD6">
        <w:rPr>
          <w:color w:val="000000" w:themeColor="text1"/>
        </w:rPr>
        <w:fldChar w:fldCharType="begin"/>
      </w:r>
      <w:r w:rsidR="00025067">
        <w:rPr>
          <w:color w:val="000000" w:themeColor="text1"/>
        </w:rPr>
        <w:instrText xml:space="preserve"> ADDIN ZOTERO_ITEM CSL_CITATION {"citationID":"9UDuxBJh","properties":{"formattedCitation":"(Jabot, Faure, and Dumoulin 2013)","plainCitation":"(Jabot, Faure, and Dumoulin 2013)","noteIndex":0},"citationItems":[{"id":2547,"uris":["http://zotero.org/users/2628971/items/36ZBVY3Y"],"uri":["http://zotero.org/users/2628971/items/36ZBVY3Y"],"itemData":{"id":2547,"type":"article-journal","title":"EasyABC: performing efficient approximate Bayesian computation sampling schemes using R","container-title":"Methods in Ecology and Evolution","page":"684-687","volume":"4","issue":"7","source":"Crossref","DOI":"10.1111/2041-210X.12050","ISSN":"2041210X","shortTitle":"EasyABC","language":"en","author":[{"family":"Jabot","given":"Franck"},{"family":"Faure","given":"Thierry"},{"family":"Dumoulin","given":"Nicolas"}],"editor":[{"family":"O'Hara","given":"Robert B."}],"issued":{"date-parts":[["2013",7]]}}}],"schema":"https://github.com/citation-style-language/schema/raw/master/csl-citation.json"} </w:instrText>
      </w:r>
      <w:r w:rsidR="00105FEB" w:rsidRPr="008B3AD6">
        <w:rPr>
          <w:color w:val="000000" w:themeColor="text1"/>
        </w:rPr>
        <w:fldChar w:fldCharType="separate"/>
      </w:r>
      <w:r w:rsidR="00025067" w:rsidRPr="00025067">
        <w:rPr>
          <w:color w:val="000000"/>
          <w:lang w:val="en-US"/>
        </w:rPr>
        <w:t>(Jabot, Faure, and Dumoulin 2013)</w:t>
      </w:r>
      <w:r w:rsidR="00105FEB" w:rsidRPr="008B3AD6">
        <w:rPr>
          <w:color w:val="000000" w:themeColor="text1"/>
        </w:rPr>
        <w:fldChar w:fldCharType="end"/>
      </w:r>
      <w:r w:rsidRPr="008B3AD6">
        <w:rPr>
          <w:color w:val="000000" w:themeColor="text1"/>
        </w:rPr>
        <w:t xml:space="preserve">. This approach works similarly to the above rejection sampling but is extended iteratively. For this, as before, we provide a set of observed summary statistics, a model that is judged to be sufficient to recapitulate the data and prior distributions </w:t>
      </w:r>
      <w:r w:rsidRPr="008B3AD6">
        <w:rPr>
          <w:color w:val="000000" w:themeColor="text1"/>
        </w:rPr>
        <w:lastRenderedPageBreak/>
        <w:t xml:space="preserve">for parameters captured by the model. However, we supply a set of acceptance criteria of decreasing tolerance (as opposed to a single criterion). Parameter values are generated from prior distributions and are rejected if they provide a ‘distance’ between the original and simulation summary statistics greater than the first criterion, accepted if they supply a ‘distance’ less than the criterion. The accepted parameter values generated that satisfy the first criteria value are then used as the prior for achieving parameters under the next criterion, thereby incorporating an accountancy for previously generated results. This process is achieved until every criterion specified has been met. </w:t>
      </w:r>
    </w:p>
    <w:p w14:paraId="502EBE88" w14:textId="5E3A2191" w:rsidR="00A453AC" w:rsidRPr="008B3AD6" w:rsidRDefault="00D14A98" w:rsidP="004D3811">
      <w:pPr>
        <w:spacing w:line="360" w:lineRule="auto"/>
        <w:jc w:val="both"/>
        <w:rPr>
          <w:color w:val="000000" w:themeColor="text1"/>
        </w:rPr>
      </w:pPr>
      <w:r>
        <w:rPr>
          <w:noProof/>
          <w:color w:val="000000" w:themeColor="text1"/>
        </w:rPr>
        <w:drawing>
          <wp:anchor distT="0" distB="0" distL="114300" distR="114300" simplePos="0" relativeHeight="251982848" behindDoc="0" locked="0" layoutInCell="1" allowOverlap="1" wp14:anchorId="3C6C6076" wp14:editId="0D0A5C94">
            <wp:simplePos x="0" y="0"/>
            <wp:positionH relativeFrom="column">
              <wp:posOffset>-190500</wp:posOffset>
            </wp:positionH>
            <wp:positionV relativeFrom="paragraph">
              <wp:posOffset>233045</wp:posOffset>
            </wp:positionV>
            <wp:extent cx="5915660" cy="3239770"/>
            <wp:effectExtent l="0" t="0" r="2540" b="0"/>
            <wp:wrapTopAndBottom/>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Picture 174"/>
                    <pic:cNvPicPr>
                      <a:picLocks noChangeAspect="1"/>
                    </pic:cNvPicPr>
                  </pic:nvPicPr>
                  <pic:blipFill rotWithShape="1">
                    <a:blip r:embed="rId28">
                      <a:extLst>
                        <a:ext uri="{28A0092B-C50C-407E-A947-70E740481C1C}">
                          <a14:useLocalDpi xmlns:a14="http://schemas.microsoft.com/office/drawing/2010/main" val="0"/>
                        </a:ext>
                      </a:extLst>
                    </a:blip>
                    <a:srcRect r="1930"/>
                    <a:stretch/>
                  </pic:blipFill>
                  <pic:spPr bwMode="auto">
                    <a:xfrm>
                      <a:off x="0" y="0"/>
                      <a:ext cx="5915660" cy="3239770"/>
                    </a:xfrm>
                    <a:prstGeom prst="rect">
                      <a:avLst/>
                    </a:prstGeom>
                    <a:ln>
                      <a:noFill/>
                    </a:ln>
                    <a:extLst>
                      <a:ext uri="{53640926-AAD7-44D8-BBD7-CCE9431645EC}">
                        <a14:shadowObscured xmlns:a14="http://schemas.microsoft.com/office/drawing/2010/main"/>
                      </a:ext>
                    </a:extLst>
                  </pic:spPr>
                </pic:pic>
              </a:graphicData>
            </a:graphic>
          </wp:anchor>
        </w:drawing>
      </w:r>
      <w:r>
        <w:rPr>
          <w:noProof/>
          <w:color w:val="000000" w:themeColor="text1"/>
        </w:rPr>
        <mc:AlternateContent>
          <mc:Choice Requires="wps">
            <w:drawing>
              <wp:anchor distT="0" distB="0" distL="114300" distR="114300" simplePos="0" relativeHeight="251983872" behindDoc="0" locked="0" layoutInCell="1" allowOverlap="1" wp14:anchorId="3ECB422E" wp14:editId="618E5B67">
                <wp:simplePos x="0" y="0"/>
                <wp:positionH relativeFrom="column">
                  <wp:posOffset>-149746</wp:posOffset>
                </wp:positionH>
                <wp:positionV relativeFrom="paragraph">
                  <wp:posOffset>3494691</wp:posOffset>
                </wp:positionV>
                <wp:extent cx="5915660" cy="1295400"/>
                <wp:effectExtent l="0" t="0" r="2540" b="0"/>
                <wp:wrapTopAndBottom/>
                <wp:docPr id="177" name="Text Box 177"/>
                <wp:cNvGraphicFramePr/>
                <a:graphic xmlns:a="http://schemas.openxmlformats.org/drawingml/2006/main">
                  <a:graphicData uri="http://schemas.microsoft.com/office/word/2010/wordprocessingShape">
                    <wps:wsp>
                      <wps:cNvSpPr txBox="1"/>
                      <wps:spPr>
                        <a:xfrm>
                          <a:off x="0" y="0"/>
                          <a:ext cx="5915660" cy="1295400"/>
                        </a:xfrm>
                        <a:prstGeom prst="rect">
                          <a:avLst/>
                        </a:prstGeom>
                        <a:solidFill>
                          <a:prstClr val="white"/>
                        </a:solidFill>
                        <a:ln>
                          <a:noFill/>
                        </a:ln>
                      </wps:spPr>
                      <wps:txbx>
                        <w:txbxContent>
                          <w:p w14:paraId="317C2A77" w14:textId="7E333C9E" w:rsidR="00F61130" w:rsidRPr="000234FA" w:rsidRDefault="00F61130" w:rsidP="000234FA">
                            <w:pPr>
                              <w:pStyle w:val="Caption"/>
                              <w:spacing w:line="360" w:lineRule="auto"/>
                              <w:jc w:val="both"/>
                              <w:rPr>
                                <w:sz w:val="20"/>
                                <w:szCs w:val="20"/>
                              </w:rPr>
                            </w:pPr>
                            <w:bookmarkStart w:id="105" w:name="_Ref523928099"/>
                            <w:bookmarkStart w:id="106" w:name="_Toc525227190"/>
                            <w:bookmarkStart w:id="107" w:name="_Toc536814129"/>
                            <w:r w:rsidRPr="000234FA">
                              <w:rPr>
                                <w:b/>
                                <w:sz w:val="20"/>
                                <w:szCs w:val="20"/>
                              </w:rPr>
                              <w:t xml:space="preserve">Figure </w:t>
                            </w:r>
                            <w:r>
                              <w:rPr>
                                <w:b/>
                                <w:sz w:val="20"/>
                                <w:szCs w:val="20"/>
                              </w:rPr>
                              <w:fldChar w:fldCharType="begin"/>
                            </w:r>
                            <w:r>
                              <w:rPr>
                                <w:b/>
                                <w:sz w:val="20"/>
                                <w:szCs w:val="20"/>
                              </w:rPr>
                              <w:instrText xml:space="preserve"> STYLEREF 1 \s </w:instrText>
                            </w:r>
                            <w:r>
                              <w:rPr>
                                <w:b/>
                                <w:sz w:val="20"/>
                                <w:szCs w:val="20"/>
                              </w:rPr>
                              <w:fldChar w:fldCharType="separate"/>
                            </w:r>
                            <w:r>
                              <w:rPr>
                                <w:b/>
                                <w:noProof/>
                                <w:sz w:val="20"/>
                                <w:szCs w:val="20"/>
                              </w:rPr>
                              <w:t>1</w:t>
                            </w:r>
                            <w:r>
                              <w:rPr>
                                <w:b/>
                                <w:sz w:val="20"/>
                                <w:szCs w:val="20"/>
                              </w:rPr>
                              <w:fldChar w:fldCharType="end"/>
                            </w:r>
                            <w:r>
                              <w:rPr>
                                <w:b/>
                                <w:sz w:val="20"/>
                                <w:szCs w:val="20"/>
                              </w:rPr>
                              <w:t>.</w:t>
                            </w:r>
                            <w:r>
                              <w:rPr>
                                <w:b/>
                                <w:sz w:val="20"/>
                                <w:szCs w:val="20"/>
                              </w:rPr>
                              <w:fldChar w:fldCharType="begin"/>
                            </w:r>
                            <w:r>
                              <w:rPr>
                                <w:b/>
                                <w:sz w:val="20"/>
                                <w:szCs w:val="20"/>
                              </w:rPr>
                              <w:instrText xml:space="preserve"> SEQ Figure \* ARABIC \s 1 </w:instrText>
                            </w:r>
                            <w:r>
                              <w:rPr>
                                <w:b/>
                                <w:sz w:val="20"/>
                                <w:szCs w:val="20"/>
                              </w:rPr>
                              <w:fldChar w:fldCharType="separate"/>
                            </w:r>
                            <w:r>
                              <w:rPr>
                                <w:b/>
                                <w:noProof/>
                                <w:sz w:val="20"/>
                                <w:szCs w:val="20"/>
                              </w:rPr>
                              <w:t>10</w:t>
                            </w:r>
                            <w:r>
                              <w:rPr>
                                <w:b/>
                                <w:sz w:val="20"/>
                                <w:szCs w:val="20"/>
                              </w:rPr>
                              <w:fldChar w:fldCharType="end"/>
                            </w:r>
                            <w:bookmarkEnd w:id="105"/>
                            <w:r w:rsidRPr="000234FA">
                              <w:rPr>
                                <w:b/>
                                <w:sz w:val="20"/>
                                <w:szCs w:val="20"/>
                              </w:rPr>
                              <w:t xml:space="preserve"> - Summary of the Frequentist, Bayesian and Approximate Bayesian approaches to model calibration. </w:t>
                            </w:r>
                            <w:r>
                              <w:rPr>
                                <w:sz w:val="20"/>
                                <w:szCs w:val="20"/>
                              </w:rPr>
                              <w:t xml:space="preserve">Typically for the introduced processes, a model is created describing a process alongside biological data. In the above example the value for </w:t>
                            </w:r>
                            <w:r>
                              <w:rPr>
                                <w:i/>
                                <w:sz w:val="20"/>
                                <w:szCs w:val="20"/>
                              </w:rPr>
                              <w:t xml:space="preserve">Rate A </w:t>
                            </w:r>
                            <w:r>
                              <w:rPr>
                                <w:sz w:val="20"/>
                                <w:szCs w:val="20"/>
                              </w:rPr>
                              <w:t xml:space="preserve">is unknown, to calibrate a prior distribution may be supplied (or not) and the model runs, comparing the output it generates to the expected biological data. This analysis will generate a posterior distribution for the </w:t>
                            </w:r>
                            <w:r>
                              <w:rPr>
                                <w:i/>
                                <w:sz w:val="20"/>
                                <w:szCs w:val="20"/>
                              </w:rPr>
                              <w:t>Rate</w:t>
                            </w:r>
                            <w:r>
                              <w:rPr>
                                <w:sz w:val="20"/>
                                <w:szCs w:val="20"/>
                              </w:rPr>
                              <w:t xml:space="preserve"> </w:t>
                            </w:r>
                            <w:r>
                              <w:rPr>
                                <w:i/>
                                <w:sz w:val="20"/>
                                <w:szCs w:val="20"/>
                              </w:rPr>
                              <w:t>A</w:t>
                            </w:r>
                            <w:r>
                              <w:rPr>
                                <w:sz w:val="20"/>
                                <w:szCs w:val="20"/>
                              </w:rPr>
                              <w:t xml:space="preserve"> value, either a density or likelihood plot. Approximate Bayesian techniques generate approximate posteriors which are used as prior distributions for the next iteration of calibration.</w:t>
                            </w:r>
                            <w:bookmarkEnd w:id="106"/>
                            <w:bookmarkEnd w:id="107"/>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3ECB422E" id="Text Box 177" o:spid="_x0000_s1038" type="#_x0000_t202" style="position:absolute;left:0;text-align:left;margin-left:-11.8pt;margin-top:275.15pt;width:465.8pt;height:102pt;z-index:2519838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ybprNQIAAG0EAAAOAAAAZHJzL2Uyb0RvYy54bWysVFFv2yAQfp+0/4B4X5xES7pacaosVaZJ&#13;&#10;VVspmfpMMMRIwDEgsbNfvwPH6dbtadoLPu6Og+/77ry464wmJ+GDAlvRyWhMibAcamUPFf2223z4&#13;&#10;REmIzNZMgxUVPYtA75bv3y1aV4opNKBr4QkWsaFsXUWbGF1ZFIE3wrAwAicsBiV4wyJu/aGoPWux&#13;&#10;utHFdDyeFy342nngIgT03vdBusz1pRQ8PkkZRCS6ovi2mFef131ai+WClQfPXKP45RnsH15hmLJ4&#13;&#10;6bXUPYuMHL36o5RR3EMAGUccTAFSKi4yBkQzGb9Bs22YExkLkhPclabw/8ryx9OzJ6pG7W5uKLHM&#13;&#10;oEg70UXyGTqSfMhQ60KJiVuHqbHDAGYP/oDOBLyT3qQvQiIYR67PV35TOY7O2e1kNp9jiGNsMr2d&#13;&#10;fRxnBYrX486H+EWAIcmoqEcBM6/s9BAiPgVTh5R0WwCt6o3SOm1SYK09OTEUu21UFOmReOK3LG1T&#13;&#10;roV0qg8nT5Ew9liSFbt917MyHYDuoT4jfg99DwXHNwovfGAhPjOPTYO4cBDiEy5SQ1tRuFiUNOB/&#13;&#10;/M2f8lFLjFLSYhNWNHw/Mi8o0V8tqpw6djD8YOwHwx7NGhDqBEfM8WziAR/1YEoP5gXnY5VuwRCz&#13;&#10;HO+qaBzMdexHAeeLi9UqJ2FfOhYf7NbxVHogdte9MO8uskRU9BGG9mTlG3X63J7m1TGCVFm6RGzP&#13;&#10;4oVv7Omsz2X+0tD8us9Zr3+J5U8AAAD//wMAUEsDBBQABgAIAAAAIQB0+ZeB5gAAABABAAAPAAAA&#13;&#10;ZHJzL2Rvd25yZXYueG1sTI/BTsMwEETvSPyDtUhcUGuTkFDSOBU0cINDS9WzG5skIl5HsdOkf89y&#13;&#10;gstKq52ZnZdvZtuxsxl861DC/VIAM1g53WIt4fD5tlgB80GhVp1DI+FiPGyK66tcZdpNuDPnfagZ&#13;&#10;haDPlIQmhD7j3FeNscovXW+Qbl9usCrQOtRcD2qicNvxSIiUW9UifWhUb7aNqb73o5WQlsM47XB7&#13;&#10;Vx5e39VHX0fHl8tRytubuVzTeF4DC2YOfw74ZaD+UFCxkxtRe9ZJWERxSlIJSSJiYKR4EitCPEl4&#13;&#10;TB5i4EXO/4MUPwAAAP//AwBQSwECLQAUAAYACAAAACEAtoM4kv4AAADhAQAAEwAAAAAAAAAAAAAA&#13;&#10;AAAAAAAAW0NvbnRlbnRfVHlwZXNdLnhtbFBLAQItABQABgAIAAAAIQA4/SH/1gAAAJQBAAALAAAA&#13;&#10;AAAAAAAAAAAAAC8BAABfcmVscy8ucmVsc1BLAQItABQABgAIAAAAIQB/ybprNQIAAG0EAAAOAAAA&#13;&#10;AAAAAAAAAAAAAC4CAABkcnMvZTJvRG9jLnhtbFBLAQItABQABgAIAAAAIQB0+ZeB5gAAABABAAAP&#13;&#10;AAAAAAAAAAAAAAAAAI8EAABkcnMvZG93bnJldi54bWxQSwUGAAAAAAQABADzAAAAogUAAAAA&#13;&#10;" stroked="f">
                <v:textbox inset="0,0,0,0">
                  <w:txbxContent>
                    <w:p w14:paraId="317C2A77" w14:textId="7E333C9E" w:rsidR="00F61130" w:rsidRPr="000234FA" w:rsidRDefault="00F61130" w:rsidP="000234FA">
                      <w:pPr>
                        <w:pStyle w:val="Caption"/>
                        <w:spacing w:line="360" w:lineRule="auto"/>
                        <w:jc w:val="both"/>
                        <w:rPr>
                          <w:sz w:val="20"/>
                          <w:szCs w:val="20"/>
                        </w:rPr>
                      </w:pPr>
                      <w:bookmarkStart w:id="108" w:name="_Ref523928099"/>
                      <w:bookmarkStart w:id="109" w:name="_Toc525227190"/>
                      <w:bookmarkStart w:id="110" w:name="_Toc536814129"/>
                      <w:r w:rsidRPr="000234FA">
                        <w:rPr>
                          <w:b/>
                          <w:sz w:val="20"/>
                          <w:szCs w:val="20"/>
                        </w:rPr>
                        <w:t xml:space="preserve">Figure </w:t>
                      </w:r>
                      <w:r>
                        <w:rPr>
                          <w:b/>
                          <w:sz w:val="20"/>
                          <w:szCs w:val="20"/>
                        </w:rPr>
                        <w:fldChar w:fldCharType="begin"/>
                      </w:r>
                      <w:r>
                        <w:rPr>
                          <w:b/>
                          <w:sz w:val="20"/>
                          <w:szCs w:val="20"/>
                        </w:rPr>
                        <w:instrText xml:space="preserve"> STYLEREF 1 \s </w:instrText>
                      </w:r>
                      <w:r>
                        <w:rPr>
                          <w:b/>
                          <w:sz w:val="20"/>
                          <w:szCs w:val="20"/>
                        </w:rPr>
                        <w:fldChar w:fldCharType="separate"/>
                      </w:r>
                      <w:r>
                        <w:rPr>
                          <w:b/>
                          <w:noProof/>
                          <w:sz w:val="20"/>
                          <w:szCs w:val="20"/>
                        </w:rPr>
                        <w:t>1</w:t>
                      </w:r>
                      <w:r>
                        <w:rPr>
                          <w:b/>
                          <w:sz w:val="20"/>
                          <w:szCs w:val="20"/>
                        </w:rPr>
                        <w:fldChar w:fldCharType="end"/>
                      </w:r>
                      <w:r>
                        <w:rPr>
                          <w:b/>
                          <w:sz w:val="20"/>
                          <w:szCs w:val="20"/>
                        </w:rPr>
                        <w:t>.</w:t>
                      </w:r>
                      <w:r>
                        <w:rPr>
                          <w:b/>
                          <w:sz w:val="20"/>
                          <w:szCs w:val="20"/>
                        </w:rPr>
                        <w:fldChar w:fldCharType="begin"/>
                      </w:r>
                      <w:r>
                        <w:rPr>
                          <w:b/>
                          <w:sz w:val="20"/>
                          <w:szCs w:val="20"/>
                        </w:rPr>
                        <w:instrText xml:space="preserve"> SEQ Figure \* ARABIC \s 1 </w:instrText>
                      </w:r>
                      <w:r>
                        <w:rPr>
                          <w:b/>
                          <w:sz w:val="20"/>
                          <w:szCs w:val="20"/>
                        </w:rPr>
                        <w:fldChar w:fldCharType="separate"/>
                      </w:r>
                      <w:r>
                        <w:rPr>
                          <w:b/>
                          <w:noProof/>
                          <w:sz w:val="20"/>
                          <w:szCs w:val="20"/>
                        </w:rPr>
                        <w:t>10</w:t>
                      </w:r>
                      <w:r>
                        <w:rPr>
                          <w:b/>
                          <w:sz w:val="20"/>
                          <w:szCs w:val="20"/>
                        </w:rPr>
                        <w:fldChar w:fldCharType="end"/>
                      </w:r>
                      <w:bookmarkEnd w:id="108"/>
                      <w:r w:rsidRPr="000234FA">
                        <w:rPr>
                          <w:b/>
                          <w:sz w:val="20"/>
                          <w:szCs w:val="20"/>
                        </w:rPr>
                        <w:t xml:space="preserve"> - Summary of the Frequentist, Bayesian and Approximate Bayesian approaches to model calibration. </w:t>
                      </w:r>
                      <w:r>
                        <w:rPr>
                          <w:sz w:val="20"/>
                          <w:szCs w:val="20"/>
                        </w:rPr>
                        <w:t xml:space="preserve">Typically for the introduced processes, a model is created describing a process alongside biological data. In the above example the value for </w:t>
                      </w:r>
                      <w:r>
                        <w:rPr>
                          <w:i/>
                          <w:sz w:val="20"/>
                          <w:szCs w:val="20"/>
                        </w:rPr>
                        <w:t xml:space="preserve">Rate A </w:t>
                      </w:r>
                      <w:r>
                        <w:rPr>
                          <w:sz w:val="20"/>
                          <w:szCs w:val="20"/>
                        </w:rPr>
                        <w:t xml:space="preserve">is unknown, to calibrate a prior distribution may be supplied (or not) and the model runs, comparing the output it generates to the expected biological data. This analysis will generate a posterior distribution for the </w:t>
                      </w:r>
                      <w:r>
                        <w:rPr>
                          <w:i/>
                          <w:sz w:val="20"/>
                          <w:szCs w:val="20"/>
                        </w:rPr>
                        <w:t>Rate</w:t>
                      </w:r>
                      <w:r>
                        <w:rPr>
                          <w:sz w:val="20"/>
                          <w:szCs w:val="20"/>
                        </w:rPr>
                        <w:t xml:space="preserve"> </w:t>
                      </w:r>
                      <w:r>
                        <w:rPr>
                          <w:i/>
                          <w:sz w:val="20"/>
                          <w:szCs w:val="20"/>
                        </w:rPr>
                        <w:t>A</w:t>
                      </w:r>
                      <w:r>
                        <w:rPr>
                          <w:sz w:val="20"/>
                          <w:szCs w:val="20"/>
                        </w:rPr>
                        <w:t xml:space="preserve"> value, either a density or likelihood plot. Approximate Bayesian techniques generate approximate posteriors which are used as prior distributions for the next iteration of calibration.</w:t>
                      </w:r>
                      <w:bookmarkEnd w:id="109"/>
                      <w:bookmarkEnd w:id="110"/>
                    </w:p>
                  </w:txbxContent>
                </v:textbox>
                <w10:wrap type="topAndBottom"/>
              </v:shape>
            </w:pict>
          </mc:Fallback>
        </mc:AlternateContent>
      </w:r>
    </w:p>
    <w:p w14:paraId="45A15733" w14:textId="505CA6C4" w:rsidR="007230D9" w:rsidRDefault="007230D9" w:rsidP="004D3811">
      <w:pPr>
        <w:spacing w:line="360" w:lineRule="auto"/>
        <w:jc w:val="both"/>
        <w:rPr>
          <w:color w:val="000000" w:themeColor="text1"/>
        </w:rPr>
      </w:pPr>
    </w:p>
    <w:p w14:paraId="36A4BD16" w14:textId="33663F7E" w:rsidR="00D00BB4" w:rsidRPr="008B3AD6" w:rsidRDefault="00EC2957" w:rsidP="004D3811">
      <w:pPr>
        <w:spacing w:line="360" w:lineRule="auto"/>
        <w:jc w:val="both"/>
        <w:rPr>
          <w:color w:val="000000" w:themeColor="text1"/>
        </w:rPr>
      </w:pPr>
      <w:r w:rsidRPr="008B3AD6">
        <w:rPr>
          <w:color w:val="000000" w:themeColor="text1"/>
        </w:rPr>
        <w:t xml:space="preserve">Problematically for ABC </w:t>
      </w:r>
      <w:r w:rsidR="00D00BB4" w:rsidRPr="008B3AD6">
        <w:rPr>
          <w:color w:val="000000" w:themeColor="text1"/>
        </w:rPr>
        <w:t xml:space="preserve">we may sometimes wish </w:t>
      </w:r>
      <w:r w:rsidR="00340CC6" w:rsidRPr="008B3AD6">
        <w:rPr>
          <w:color w:val="000000" w:themeColor="text1"/>
        </w:rPr>
        <w:t xml:space="preserve">to </w:t>
      </w:r>
      <w:r w:rsidR="00D14A98">
        <w:rPr>
          <w:color w:val="000000" w:themeColor="text1"/>
        </w:rPr>
        <w:t xml:space="preserve">calibrate the </w:t>
      </w:r>
      <w:r w:rsidR="00D14A98">
        <w:rPr>
          <w:i/>
          <w:color w:val="000000" w:themeColor="text1"/>
        </w:rPr>
        <w:t>in silico</w:t>
      </w:r>
      <w:r w:rsidR="00D14A98">
        <w:rPr>
          <w:color w:val="000000" w:themeColor="text1"/>
        </w:rPr>
        <w:t xml:space="preserve"> model using</w:t>
      </w:r>
      <w:r w:rsidR="00340CC6" w:rsidRPr="008B3AD6">
        <w:rPr>
          <w:color w:val="000000" w:themeColor="text1"/>
        </w:rPr>
        <w:t xml:space="preserve"> multiple </w:t>
      </w:r>
      <w:r w:rsidR="00D14A98">
        <w:rPr>
          <w:color w:val="000000" w:themeColor="text1"/>
        </w:rPr>
        <w:t>populations</w:t>
      </w:r>
      <w:r w:rsidR="00340CC6" w:rsidRPr="008B3AD6">
        <w:rPr>
          <w:color w:val="000000" w:themeColor="text1"/>
        </w:rPr>
        <w:t xml:space="preserve"> (also calle</w:t>
      </w:r>
      <w:r w:rsidRPr="008B3AD6">
        <w:rPr>
          <w:color w:val="000000" w:themeColor="text1"/>
        </w:rPr>
        <w:t>d objectives) within our model. This can be</w:t>
      </w:r>
      <w:r w:rsidR="00D14A98">
        <w:rPr>
          <w:color w:val="000000" w:themeColor="text1"/>
        </w:rPr>
        <w:t xml:space="preserve"> problematic if </w:t>
      </w:r>
      <w:r w:rsidRPr="008B3AD6">
        <w:rPr>
          <w:color w:val="000000" w:themeColor="text1"/>
        </w:rPr>
        <w:t xml:space="preserve">employing a multi-scale model </w:t>
      </w:r>
      <w:r w:rsidR="00D14A98">
        <w:rPr>
          <w:color w:val="000000" w:themeColor="text1"/>
        </w:rPr>
        <w:t xml:space="preserve">with </w:t>
      </w:r>
      <w:r w:rsidRPr="008B3AD6">
        <w:rPr>
          <w:color w:val="000000" w:themeColor="text1"/>
        </w:rPr>
        <w:t>objectives on different scales, for instance objective 1 may have units of x10</w:t>
      </w:r>
      <w:r w:rsidRPr="008B3AD6">
        <w:rPr>
          <w:color w:val="000000" w:themeColor="text1"/>
          <w:vertAlign w:val="superscript"/>
        </w:rPr>
        <w:t>3</w:t>
      </w:r>
      <w:r w:rsidRPr="008B3AD6">
        <w:rPr>
          <w:color w:val="000000" w:themeColor="text1"/>
        </w:rPr>
        <w:t xml:space="preserve"> whilst objective 2 may have units of x10</w:t>
      </w:r>
      <w:r w:rsidRPr="008B3AD6">
        <w:rPr>
          <w:color w:val="000000" w:themeColor="text1"/>
          <w:vertAlign w:val="superscript"/>
        </w:rPr>
        <w:t>6</w:t>
      </w:r>
      <w:r w:rsidRPr="008B3AD6">
        <w:rPr>
          <w:color w:val="000000" w:themeColor="text1"/>
        </w:rPr>
        <w:t xml:space="preserve">. In these instances, it is possible that the </w:t>
      </w:r>
      <w:r w:rsidR="00D14A98">
        <w:rPr>
          <w:color w:val="000000" w:themeColor="text1"/>
        </w:rPr>
        <w:t>calibration</w:t>
      </w:r>
      <w:r w:rsidRPr="008B3AD6">
        <w:rPr>
          <w:color w:val="000000" w:themeColor="text1"/>
        </w:rPr>
        <w:t xml:space="preserve"> favours the objective on the higher</w:t>
      </w:r>
      <w:r w:rsidR="00D14A98">
        <w:rPr>
          <w:color w:val="000000" w:themeColor="text1"/>
        </w:rPr>
        <w:t xml:space="preserve"> scale as the decreases in the residual </w:t>
      </w:r>
      <w:r w:rsidRPr="008B3AD6">
        <w:rPr>
          <w:color w:val="000000" w:themeColor="text1"/>
        </w:rPr>
        <w:t>distances between observed and expected data have a greater magnitude, overshadowing the comparatively smaller decreases for the smaller objectives.</w:t>
      </w:r>
    </w:p>
    <w:p w14:paraId="79521EC3" w14:textId="3DC18F88" w:rsidR="004D3F97" w:rsidRPr="008B3AD6" w:rsidRDefault="004D3F97" w:rsidP="004D3811">
      <w:pPr>
        <w:spacing w:line="360" w:lineRule="auto"/>
        <w:jc w:val="both"/>
        <w:rPr>
          <w:color w:val="000000" w:themeColor="text1"/>
        </w:rPr>
      </w:pPr>
    </w:p>
    <w:p w14:paraId="5E730FFB" w14:textId="55B610B9" w:rsidR="004D3F97" w:rsidRPr="008B3AD6" w:rsidRDefault="004D3F97" w:rsidP="004D3811">
      <w:pPr>
        <w:pStyle w:val="Heading4"/>
        <w:jc w:val="both"/>
      </w:pPr>
      <w:bookmarkStart w:id="111" w:name="_Ref522642114"/>
      <w:bookmarkStart w:id="112" w:name="_Toc3716066"/>
      <w:r w:rsidRPr="008B3AD6">
        <w:lastRenderedPageBreak/>
        <w:t>Multi-Objective</w:t>
      </w:r>
      <w:r w:rsidR="00D00BB4" w:rsidRPr="008B3AD6">
        <w:t xml:space="preserve"> Approach</w:t>
      </w:r>
      <w:bookmarkEnd w:id="111"/>
      <w:bookmarkEnd w:id="112"/>
    </w:p>
    <w:p w14:paraId="4BFFCF00" w14:textId="0D756C19" w:rsidR="00105EDF" w:rsidRPr="008B3AD6" w:rsidRDefault="00F91216" w:rsidP="004D3811">
      <w:pPr>
        <w:spacing w:line="360" w:lineRule="auto"/>
        <w:jc w:val="both"/>
      </w:pPr>
      <w:r w:rsidRPr="008B3AD6">
        <w:t>In some circumstances a</w:t>
      </w:r>
      <w:r w:rsidR="008D61E9">
        <w:t xml:space="preserve">n </w:t>
      </w:r>
      <w:r w:rsidR="008D61E9">
        <w:rPr>
          <w:i/>
        </w:rPr>
        <w:t>in silico</w:t>
      </w:r>
      <w:r w:rsidRPr="008B3AD6">
        <w:t xml:space="preserve"> model may be presented with multiple objectives </w:t>
      </w:r>
      <w:r w:rsidR="008D61E9">
        <w:t>for which we</w:t>
      </w:r>
      <w:r w:rsidRPr="008B3AD6">
        <w:t xml:space="preserve"> wish to simultaneously calibrate our parameters</w:t>
      </w:r>
      <w:r w:rsidR="008D61E9">
        <w:t xml:space="preserve"> with a</w:t>
      </w:r>
      <w:r w:rsidRPr="008B3AD6">
        <w:t xml:space="preserve"> single set of parameters that simultaneously produces the best solution for all of</w:t>
      </w:r>
      <w:r w:rsidR="006509BD">
        <w:t xml:space="preserve"> the</w:t>
      </w:r>
      <w:r w:rsidRPr="008B3AD6">
        <w:t xml:space="preserve"> objectives. However, in coupled systems, where entities exert influence over one another, it is possible that the optimisation of one </w:t>
      </w:r>
      <w:r w:rsidR="008D61E9">
        <w:t>solution</w:t>
      </w:r>
      <w:r w:rsidRPr="008B3AD6">
        <w:t xml:space="preserve"> leads to </w:t>
      </w:r>
      <w:r w:rsidR="0070186E" w:rsidRPr="008B3AD6">
        <w:t>a</w:t>
      </w:r>
      <w:r w:rsidRPr="008B3AD6">
        <w:t xml:space="preserve"> degradation</w:t>
      </w:r>
      <w:r w:rsidR="0070186E" w:rsidRPr="008B3AD6">
        <w:t xml:space="preserve"> in optimisation of a second </w:t>
      </w:r>
      <w:r w:rsidR="008D61E9">
        <w:t xml:space="preserve">solution </w:t>
      </w:r>
      <w:r w:rsidR="008D61E9">
        <w:fldChar w:fldCharType="begin"/>
      </w:r>
      <w:r w:rsidR="00C80233">
        <w:instrText xml:space="preserve"> ADDIN ZOTERO_ITEM CSL_CITATION {"citationID":"yq9wp454","properties":{"formattedCitation":"(Kalyanmoy Deb 2003)","plainCitation":"(Kalyanmoy Deb 2003)","noteIndex":0},"citationItems":[{"id":3795,"uris":["http://zotero.org/users/2628971/items/UPQP4H5Z"],"uri":["http://zotero.org/users/2628971/items/UPQP4H5Z"],"itemData":{"id":3795,"type":"chapter","title":"Multi-objective Evolutionary Algorithms: Introducing Bias Among Pareto-optimal Solutions","container-title":"Advances in Evolutionary Computing: Theory and Applications","collection-title":"Natural Computing Series","publisher":"Springer Berlin Heidelberg","publisher-place":"Berlin, Heidelberg","page":"263-292","source":"Springer Link","event-place":"Berlin, Heidelberg","abstract":"Since the beginning of the 1990s, research and application of multiobjective evolutionary algorithms (MOEAs) have attracted increasing attention. This is mainly due to the ability of evolutionary algorithms to find multiple Paretooptimal solutions in one single simulation run. In this chapter, we present an overview of MOEAs and then discuss a particular algorithm in detail. Although MOEAs can find multiple Pareto-optimal solutions, often, users need to impose a particular order of priority to objectives. In this chapter, we present a few classical techniques to identify a preferred or a compromise solution, and finally suggest a biased sharing technique which can be used during the optimization phase to find a biased distribution of Pareto-optimal solutions in the region of interest. The results are encouraging and suggest further application of the proposed strategy to more complex multi-objective optimization problems.","URL":"https://doi.org/10.1007/978-3-642-18965-4_10","ISBN":"978-3-642-18965-4","note":"DOI: 10.1007/978-3-642-18965-4_10","shortTitle":"Multi-objective Evolutionary Algorithms","language":"en","author":[{"family":"Deb","given":"Kalyanmoy"}],"editor":[{"family":"Ghosh","given":"Ashish"},{"family":"Tsutsui","given":"Shigeyoshi"}],"issued":{"date-parts":[["2003"]]},"accessed":{"date-parts":[["2018",9,18]]}}}],"schema":"https://github.com/citation-style-language/schema/raw/master/csl-citation.json"} </w:instrText>
      </w:r>
      <w:r w:rsidR="008D61E9">
        <w:fldChar w:fldCharType="separate"/>
      </w:r>
      <w:r w:rsidR="00C80233" w:rsidRPr="00C80233">
        <w:rPr>
          <w:lang w:val="en-US"/>
        </w:rPr>
        <w:t>(Deb 2003)</w:t>
      </w:r>
      <w:r w:rsidR="008D61E9">
        <w:fldChar w:fldCharType="end"/>
      </w:r>
      <w:r w:rsidRPr="008B3AD6">
        <w:t xml:space="preserve"> or</w:t>
      </w:r>
      <w:r w:rsidR="0070186E" w:rsidRPr="008B3AD6">
        <w:t>,</w:t>
      </w:r>
      <w:r w:rsidRPr="008B3AD6">
        <w:t xml:space="preserve"> as </w:t>
      </w:r>
      <w:r w:rsidR="0070186E" w:rsidRPr="008B3AD6">
        <w:t xml:space="preserve">described </w:t>
      </w:r>
      <w:r w:rsidRPr="008B3AD6">
        <w:t>above</w:t>
      </w:r>
      <w:r w:rsidR="0070186E" w:rsidRPr="008B3AD6">
        <w:t>,</w:t>
      </w:r>
      <w:r w:rsidRPr="008B3AD6">
        <w:t xml:space="preserve"> scaling issues lead to biasing in the calibration. In these instances, we can use a multi-objective (MOO) approach to provide a solution that is the best trade-off between our objectives.</w:t>
      </w:r>
    </w:p>
    <w:p w14:paraId="1057A317" w14:textId="0D186EBE" w:rsidR="00157ECE" w:rsidRPr="008B3AD6" w:rsidRDefault="00157ECE" w:rsidP="004D3811">
      <w:pPr>
        <w:spacing w:line="360" w:lineRule="auto"/>
        <w:jc w:val="both"/>
      </w:pPr>
    </w:p>
    <w:p w14:paraId="7D5D2A23" w14:textId="5BCBFF51" w:rsidR="00157ECE" w:rsidRPr="008B3AD6" w:rsidRDefault="00073CAC" w:rsidP="004D3811">
      <w:pPr>
        <w:spacing w:line="360" w:lineRule="auto"/>
        <w:jc w:val="both"/>
      </w:pPr>
      <w:r w:rsidRPr="008B3AD6">
        <w:t>Genetic algorithms (GAs) are based on the mechanics of genetic systems</w:t>
      </w:r>
      <w:r w:rsidR="00E3493D" w:rsidRPr="008B3AD6">
        <w:t xml:space="preserve">, using previously generated data as a basis for performance improvement in </w:t>
      </w:r>
      <w:r w:rsidR="006C2AD5" w:rsidRPr="008B3AD6">
        <w:t xml:space="preserve">generated </w:t>
      </w:r>
      <w:r w:rsidR="00E3493D" w:rsidRPr="008B3AD6">
        <w:t xml:space="preserve">‘offspring’. </w:t>
      </w:r>
      <w:r w:rsidR="006C2AD5" w:rsidRPr="008B3AD6">
        <w:t>As summarised</w:t>
      </w:r>
      <w:r w:rsidR="004D3811" w:rsidRPr="008B3AD6">
        <w:t xml:space="preserve"> </w:t>
      </w:r>
      <w:r w:rsidR="006C2AD5" w:rsidRPr="008B3AD6">
        <w:t xml:space="preserve">by </w:t>
      </w:r>
      <w:r w:rsidR="004D3811" w:rsidRPr="008B3AD6">
        <w:t xml:space="preserve">Bandyopadhyay </w:t>
      </w:r>
      <w:r w:rsidR="0055498C" w:rsidRPr="008B3AD6">
        <w:t>and Saha</w:t>
      </w:r>
      <w:r w:rsidR="004D3811" w:rsidRPr="008B3AD6">
        <w:t xml:space="preserve"> </w:t>
      </w:r>
      <w:r w:rsidR="00105FEB" w:rsidRPr="008B3AD6">
        <w:fldChar w:fldCharType="begin"/>
      </w:r>
      <w:r w:rsidR="00025067">
        <w:instrText xml:space="preserve"> ADDIN ZOTERO_ITEM CSL_CITATION {"citationID":"jEbsDBrn","properties":{"formattedCitation":"(Bandyopadhyay and Saha 2013)","plainCitation":"(Bandyopadhyay and Saha 2013)","noteIndex":0},"citationItems":[{"id":3472,"uris":["http://zotero.org/users/2628971/items/LQ7KW7PA"],"uri":["http://zotero.org/users/2628971/items/LQ7KW7PA"],"itemData":{"id":3472,"type":"chapter","title":"Some Single- and Multiobjective Optimization Techniques","container-title":"Unsupervised Classification: Similarity Measures, Classical and Metaheuristic Approaches, and Applications","publisher":"Springer Berlin Heidelberg","publisher-place":"Berlin, Heidelberg","page":"17-58","source":"Springer Link","event-place":"Berlin, Heidelberg","abstract":"Several metaheuristic techniques optimizing both single and multiple objectives are described in detail in this chapter. Mathematical formulations of the single and multiobjective optimization problems are provided. Different concepts related to multiobjective optimization are described in detail. Two popular metaheuristics, namely genetic algorithms and simulated annealing, are elaborately discussed. Several existing multiobjective evolutionary techniques (MOEAs) are described in brief. Apart from MOEAs there exist several multiobjective simulated annealing (MOSA)-based techniques. These are also described in this chapter. Finally a detailed description of a multiobjective simulated annealing-based technique, AMOSA, is provided, along with an analysis of its time complexity. Comparative results with some existing MOEA and MOSA techniques are presented for several benchmark test problems.","URL":"https://doi.org/10.1007/978-3-642-32451-2_2","ISBN":"978-3-642-32451-2","note":"DOI: 10.1007/978-3-642-32451-2_2","language":"en","author":[{"family":"Bandyopadhyay","given":"Sanghamitra"},{"family":"Saha","given":"Sriparna"}],"editor":[{"family":"Bandyopadhyay","given":"Sanghamitra"},{"family":"Saha","given":"Sriparna"}],"issued":{"date-parts":[["2013"]]},"accessed":{"date-parts":[["2018",8,19]]}}}],"schema":"https://github.com/citation-style-language/schema/raw/master/csl-citation.json"} </w:instrText>
      </w:r>
      <w:r w:rsidR="00105FEB" w:rsidRPr="008B3AD6">
        <w:fldChar w:fldCharType="separate"/>
      </w:r>
      <w:r w:rsidR="00025067" w:rsidRPr="00025067">
        <w:rPr>
          <w:lang w:val="en-US"/>
        </w:rPr>
        <w:t>(Bandyopadhyay and Saha 2013)</w:t>
      </w:r>
      <w:r w:rsidR="00105FEB" w:rsidRPr="008B3AD6">
        <w:fldChar w:fldCharType="end"/>
      </w:r>
      <w:r w:rsidR="006C2AD5" w:rsidRPr="008B3AD6">
        <w:t xml:space="preserve">, </w:t>
      </w:r>
      <w:r w:rsidR="00E3493D" w:rsidRPr="008B3AD6">
        <w:t>GAs begin with a population of chromosomes, these are the encoded parameters, this population is initialised and generates a model output. This output is evaluated using a fitness function to ascertain whether termination criteria have been attained, this fitness function provides payoff information which is the only information the parameter sampling is based upon. If termination criteria are not attained the chromosomes reproduce, whereby individual chromosomes are copied proportional to their fitness (higher fitness value means higher number of chromosome copies). Following this reproduction</w:t>
      </w:r>
      <w:r w:rsidR="006A2630">
        <w:t>,</w:t>
      </w:r>
      <w:r w:rsidR="00E3493D" w:rsidRPr="008B3AD6">
        <w:t xml:space="preserve"> crossover and mutation can occur. Crossover refers to the exchange of </w:t>
      </w:r>
      <w:r w:rsidR="006A2630">
        <w:t>information which</w:t>
      </w:r>
      <w:r w:rsidR="00E3493D" w:rsidRPr="008B3AD6">
        <w:t xml:space="preserve"> encod</w:t>
      </w:r>
      <w:r w:rsidR="006A2630">
        <w:t>es parameter values</w:t>
      </w:r>
      <w:r w:rsidR="00E3493D" w:rsidRPr="008B3AD6">
        <w:t xml:space="preserve"> on randomly selected pairs of chromosomes. To bolster the diversity of the population, and recapture any information lost in earlier generations, mutations are introduced. Typically, this occurs by the random substitution </w:t>
      </w:r>
      <w:r w:rsidR="007774F2" w:rsidRPr="008B3AD6">
        <w:t xml:space="preserve">of a random bit position in the encoded parameter information with another </w:t>
      </w:r>
      <w:r w:rsidR="0070186E" w:rsidRPr="008B3AD6">
        <w:t>bit</w:t>
      </w:r>
      <w:r w:rsidR="007774F2" w:rsidRPr="008B3AD6">
        <w:t xml:space="preserve">. This </w:t>
      </w:r>
      <w:r w:rsidR="006A2630">
        <w:t xml:space="preserve">process of </w:t>
      </w:r>
      <w:r w:rsidR="007774F2" w:rsidRPr="008B3AD6">
        <w:t>reproduction, crossover and muta</w:t>
      </w:r>
      <w:r w:rsidR="006A2630">
        <w:t>tion generates a new population which accounts for the highest fitness parameter sets of the current generation and partially captures</w:t>
      </w:r>
      <w:r w:rsidR="007774F2" w:rsidRPr="008B3AD6">
        <w:t xml:space="preserve"> p</w:t>
      </w:r>
      <w:r w:rsidR="006A2630">
        <w:t>reviously generated information. This new population can</w:t>
      </w:r>
      <w:r w:rsidR="007774F2" w:rsidRPr="008B3AD6">
        <w:t xml:space="preserve"> then</w:t>
      </w:r>
      <w:r w:rsidR="006A2630">
        <w:t xml:space="preserve"> be</w:t>
      </w:r>
      <w:r w:rsidR="007774F2" w:rsidRPr="008B3AD6">
        <w:t xml:space="preserve"> evaluated by the fitness function. This process carries on iteratively until the termination criterion are met.</w:t>
      </w:r>
    </w:p>
    <w:p w14:paraId="2FEA4A12" w14:textId="4A286204" w:rsidR="008E798C" w:rsidRPr="008B3AD6" w:rsidRDefault="008E798C" w:rsidP="004D3811">
      <w:pPr>
        <w:spacing w:line="360" w:lineRule="auto"/>
        <w:jc w:val="both"/>
      </w:pPr>
    </w:p>
    <w:p w14:paraId="441C2C03" w14:textId="3E7B73D5" w:rsidR="00EE5D4C" w:rsidRPr="008B3AD6" w:rsidRDefault="008D61E9" w:rsidP="000E10DC">
      <w:pPr>
        <w:spacing w:line="360" w:lineRule="auto"/>
        <w:jc w:val="both"/>
      </w:pPr>
      <w:r w:rsidRPr="008B3AD6">
        <w:t xml:space="preserve">The nondominated sorting genetic algorithm II (NSGA-II) </w:t>
      </w:r>
      <w:r w:rsidRPr="008B3AD6">
        <w:fldChar w:fldCharType="begin"/>
      </w:r>
      <w:r w:rsidR="00C80233">
        <w:instrText xml:space="preserve"> ADDIN ZOTERO_ITEM CSL_CITATION {"citationID":"UdrobPR5","properties":{"formattedCitation":"(K. Deb et al. 2002)","plainCitation":"(K. Deb et al. 2002)","noteIndex":0},"citationItems":[{"id":2582,"uris":["http://zotero.org/users/2628971/items/I66T9HGL"],"uri":["http://zotero.org/users/2628971/items/I66T9HGL"],"itemData":{"id":2582,"type":"article-journal","title":"A fast and elitist multiobjective genetic algorithm: NSGA-II","container-title":"IEEE Transactions on Evolutionary Computation","page":"182-197","volume":"6","issue":"2","source":"IEEE Xplore","abstract":"Multi-objective evolutionary algorithms (MOEAs) that use non-dominated sorting and sharing have been criticized mainly for: (1) their O(MN3) computational complexity (where M is the number of objectives and N is the population size); (2) their non-elitism approach; and (3) the need to specify a sharing parameter. In this paper, we suggest a non-dominated sorting-based MOEA, called NSGA-II (Non-dominated Sorting Genetic Algorithm II), which alleviates all of the above three difficulties. Specifically, a fast non-dominated sorting approach with O(MN2) computational complexity is presented. Also, a selection operator is presented that creates a mating pool by combining the parent and offspring populations and selecting the best N solutions (with respect to fitness and spread). Simulation results on difficult test problems show that NSGA-II is able, for most problems, to find a much better spread of solutions and better convergence near the true Pareto-optimal front compared to the Pareto-archived evolution strategy and the strength-Pareto evolutionary algorithm - two other elitist MOEAs that pay special attention to creating a diverse Pareto-optimal front. Moreover, we modify the definition of dominance in order to solve constrained multi-objective problems efficiently. Simulation results of the constrained NSGA-II on a number of test problems, including a five-objective, seven-constraint nonlinear problem, are compared with another constrained multi-objective optimizer, and the much better performance of NSGA-II is observed","DOI":"10.1109/4235.996017","ISSN":"1089-778X","shortTitle":"A fast and elitist multiobjective genetic algorithm","author":[{"family":"Deb","given":"K."},{"family":"Pratap","given":"A."},{"family":"Agarwal","given":"S."},{"family":"Meyarivan","given":"T."}],"issued":{"date-parts":[["2002",4]]}}}],"schema":"https://github.com/citation-style-language/schema/raw/master/csl-citation.json"} </w:instrText>
      </w:r>
      <w:r w:rsidRPr="008B3AD6">
        <w:fldChar w:fldCharType="separate"/>
      </w:r>
      <w:r w:rsidR="00C80233">
        <w:rPr>
          <w:lang w:val="en-US"/>
        </w:rPr>
        <w:t>(K. Deb et al. 2002)</w:t>
      </w:r>
      <w:r w:rsidRPr="008B3AD6">
        <w:fldChar w:fldCharType="end"/>
      </w:r>
      <w:r w:rsidRPr="008B3AD6">
        <w:t xml:space="preserve"> is an example of a genetic algorithm for the optimisation of multiple objectives. </w:t>
      </w:r>
      <w:r w:rsidR="008E798C" w:rsidRPr="008B3AD6">
        <w:t>NSGA-II is based upon the above principles and additionally accounts for dominance in the generated so</w:t>
      </w:r>
      <w:r w:rsidR="00856954" w:rsidRPr="008B3AD6">
        <w:t>lutions</w:t>
      </w:r>
      <w:r w:rsidR="008E798C" w:rsidRPr="008B3AD6">
        <w:t xml:space="preserve">. </w:t>
      </w:r>
      <w:r w:rsidR="00996ED1" w:rsidRPr="008B3AD6">
        <w:t>Dominance reflects the superiority</w:t>
      </w:r>
      <w:r w:rsidR="0055498C" w:rsidRPr="008B3AD6">
        <w:t>, as measured by the fitness value,</w:t>
      </w:r>
      <w:r w:rsidR="00996ED1" w:rsidRPr="008B3AD6">
        <w:t xml:space="preserve"> of a solution over other </w:t>
      </w:r>
      <w:r w:rsidR="0055498C" w:rsidRPr="008B3AD6">
        <w:t xml:space="preserve">derived </w:t>
      </w:r>
      <w:r w:rsidR="00996ED1" w:rsidRPr="008B3AD6">
        <w:t xml:space="preserve">solutions, </w:t>
      </w:r>
      <w:r w:rsidR="00816702" w:rsidRPr="008B3AD6">
        <w:t>for example</w:t>
      </w:r>
      <w:r w:rsidR="00996ED1" w:rsidRPr="008B3AD6">
        <w:t xml:space="preserve"> solution 1 </w:t>
      </w:r>
      <w:r w:rsidR="006A2630">
        <w:t xml:space="preserve">dominates solution 2 if solution </w:t>
      </w:r>
      <w:r w:rsidR="00996ED1" w:rsidRPr="008B3AD6">
        <w:t xml:space="preserve">1 is no worse than </w:t>
      </w:r>
      <w:r w:rsidR="006A2630">
        <w:lastRenderedPageBreak/>
        <w:t>solution 2</w:t>
      </w:r>
      <w:r w:rsidR="00996ED1" w:rsidRPr="008B3AD6">
        <w:t xml:space="preserve"> in all objectives optimised for </w:t>
      </w:r>
      <w:r w:rsidR="00816702" w:rsidRPr="008B3AD6">
        <w:t>or is better in at least one objective</w:t>
      </w:r>
      <w:r w:rsidR="00856954" w:rsidRPr="008B3AD6">
        <w:t xml:space="preserve"> </w:t>
      </w:r>
      <w:r w:rsidR="00856954" w:rsidRPr="008B3AD6">
        <w:fldChar w:fldCharType="begin"/>
      </w:r>
      <w:r w:rsidR="00025067">
        <w:instrText xml:space="preserve"> ADDIN ZOTERO_ITEM CSL_CITATION {"citationID":"KwQzRAET","properties":{"formattedCitation":"(K. Smith, Everson, and Fieldsend 2004)","plainCitation":"(K. Smith, Everson, and Fieldsend 2004)","noteIndex":0},"citationItems":[{"id":3664,"uris":["http://zotero.org/users/2628971/items/XUIT2XXP"],"uri":["http://zotero.org/users/2628971/items/XUIT2XXP"],"itemData":{"id":3664,"type":"paper-conference","title":"Dominance Measures for Multi-Objective Simulated Annealing","container-title":"in Proceedings of Congress on Evolutionary Computation, CEC04","page":"23–30","source":"CiteSeer","abstract":"Simulated annealing (SA) is a provably convergent optimiser for single-objective (SO) problems. Previously proposed MO extensions have mostly taken the form of an SO SA optimising a composite function of the objectives. We propose an MO SA utilising the relative dominance of a solution as the system energy for optimisation, eliminating problems associated with composite objective functions. We also propose a method for choosing perturbation scalings promoting search both towards and across the Pareto front.","author":[{"family":"Smith","given":"Kevin"},{"family":"Everson","given":"Richard"},{"family":"Fieldsend","given":"Jonathan"}],"issued":{"date-parts":[["2004"]]}}}],"schema":"https://github.com/citation-style-language/schema/raw/master/csl-citation.json"} </w:instrText>
      </w:r>
      <w:r w:rsidR="00856954" w:rsidRPr="008B3AD6">
        <w:fldChar w:fldCharType="separate"/>
      </w:r>
      <w:r w:rsidR="00025067" w:rsidRPr="00025067">
        <w:rPr>
          <w:lang w:val="en-US"/>
        </w:rPr>
        <w:t>(Smith, Everson, and Fieldsend 2004)</w:t>
      </w:r>
      <w:r w:rsidR="00856954" w:rsidRPr="008B3AD6">
        <w:fldChar w:fldCharType="end"/>
      </w:r>
      <w:r w:rsidR="00947095" w:rsidRPr="008B3AD6">
        <w:t xml:space="preserve">, shown in </w:t>
      </w:r>
      <w:r w:rsidR="0074700A">
        <w:rPr>
          <w:b/>
        </w:rPr>
        <w:fldChar w:fldCharType="begin"/>
      </w:r>
      <w:r w:rsidR="0074700A">
        <w:rPr>
          <w:b/>
        </w:rPr>
        <w:instrText xml:space="preserve"> REF _Ref523928536  \* MERGEFORMAT </w:instrText>
      </w:r>
      <w:r w:rsidR="0074700A">
        <w:rPr>
          <w:b/>
        </w:rPr>
        <w:fldChar w:fldCharType="separate"/>
      </w:r>
      <w:r w:rsidR="006A2630" w:rsidRPr="006A2630">
        <w:rPr>
          <w:b/>
        </w:rPr>
        <w:t xml:space="preserve">Figure </w:t>
      </w:r>
      <w:r w:rsidR="006A2630" w:rsidRPr="006A2630">
        <w:rPr>
          <w:b/>
          <w:noProof/>
        </w:rPr>
        <w:t>1.11</w:t>
      </w:r>
      <w:r w:rsidR="0074700A">
        <w:rPr>
          <w:b/>
          <w:noProof/>
        </w:rPr>
        <w:fldChar w:fldCharType="end"/>
      </w:r>
      <w:r w:rsidR="00816702" w:rsidRPr="008B3AD6">
        <w:t xml:space="preserve">. </w:t>
      </w:r>
      <w:r w:rsidR="0055498C" w:rsidRPr="008B3AD6">
        <w:t xml:space="preserve">Dominated solutions may cluster in specific sample spaces detracting from the ability to infer the best trade-off between objectives. </w:t>
      </w:r>
      <w:r w:rsidR="00816702" w:rsidRPr="008B3AD6">
        <w:t xml:space="preserve">NSGA-II provides nondominated solutions by deriving solutions </w:t>
      </w:r>
      <w:r w:rsidR="0055498C" w:rsidRPr="008B3AD6">
        <w:t>superior to the rest of</w:t>
      </w:r>
      <w:r w:rsidR="00856954" w:rsidRPr="008B3AD6">
        <w:t xml:space="preserve"> the</w:t>
      </w:r>
      <w:r w:rsidR="0055498C" w:rsidRPr="008B3AD6">
        <w:t xml:space="preserve"> solutions within the sampled parameter space but inferior to other solutions in at least one objective. Collectively these solutions are known as Pareto-optimal solutions (also called nondominated solutions). </w:t>
      </w:r>
    </w:p>
    <w:p w14:paraId="7A911F91" w14:textId="429AF7F3" w:rsidR="00947095" w:rsidRPr="008B3AD6" w:rsidRDefault="007230D9" w:rsidP="000E10DC">
      <w:pPr>
        <w:spacing w:line="360" w:lineRule="auto"/>
        <w:jc w:val="both"/>
      </w:pPr>
      <w:r>
        <w:rPr>
          <w:noProof/>
        </w:rPr>
        <w:drawing>
          <wp:anchor distT="0" distB="0" distL="114300" distR="114300" simplePos="0" relativeHeight="251988992" behindDoc="0" locked="0" layoutInCell="1" allowOverlap="1" wp14:anchorId="4C5A5152" wp14:editId="2D555CC1">
            <wp:simplePos x="0" y="0"/>
            <wp:positionH relativeFrom="column">
              <wp:posOffset>1239012</wp:posOffset>
            </wp:positionH>
            <wp:positionV relativeFrom="paragraph">
              <wp:posOffset>262890</wp:posOffset>
            </wp:positionV>
            <wp:extent cx="3094990" cy="3599647"/>
            <wp:effectExtent l="0" t="0" r="3810" b="0"/>
            <wp:wrapTopAndBottom/>
            <wp:docPr id="179" name="Pictur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Picture 179"/>
                    <pic:cNvPicPr>
                      <a:picLocks noChangeAspect="1"/>
                    </pic:cNvPicPr>
                  </pic:nvPicPr>
                  <pic:blipFill>
                    <a:blip r:embed="rId29">
                      <a:extLst>
                        <a:ext uri="{28A0092B-C50C-407E-A947-70E740481C1C}">
                          <a14:useLocalDpi xmlns:a14="http://schemas.microsoft.com/office/drawing/2010/main" val="0"/>
                        </a:ext>
                      </a:extLst>
                    </a:blip>
                    <a:stretch>
                      <a:fillRect/>
                    </a:stretch>
                  </pic:blipFill>
                  <pic:spPr>
                    <a:xfrm>
                      <a:off x="0" y="0"/>
                      <a:ext cx="3094990" cy="3599647"/>
                    </a:xfrm>
                    <a:prstGeom prst="rect">
                      <a:avLst/>
                    </a:prstGeom>
                  </pic:spPr>
                </pic:pic>
              </a:graphicData>
            </a:graphic>
          </wp:anchor>
        </w:drawing>
      </w:r>
      <w:r>
        <w:rPr>
          <w:noProof/>
        </w:rPr>
        <mc:AlternateContent>
          <mc:Choice Requires="wps">
            <w:drawing>
              <wp:anchor distT="0" distB="0" distL="114300" distR="114300" simplePos="0" relativeHeight="251990016" behindDoc="0" locked="0" layoutInCell="1" allowOverlap="1" wp14:anchorId="4E2708DB" wp14:editId="3ED425E4">
                <wp:simplePos x="0" y="0"/>
                <wp:positionH relativeFrom="column">
                  <wp:posOffset>68580</wp:posOffset>
                </wp:positionH>
                <wp:positionV relativeFrom="paragraph">
                  <wp:posOffset>3920320</wp:posOffset>
                </wp:positionV>
                <wp:extent cx="5431155" cy="872025"/>
                <wp:effectExtent l="0" t="0" r="4445" b="4445"/>
                <wp:wrapTopAndBottom/>
                <wp:docPr id="180" name="Text Box 180"/>
                <wp:cNvGraphicFramePr/>
                <a:graphic xmlns:a="http://schemas.openxmlformats.org/drawingml/2006/main">
                  <a:graphicData uri="http://schemas.microsoft.com/office/word/2010/wordprocessingShape">
                    <wps:wsp>
                      <wps:cNvSpPr txBox="1"/>
                      <wps:spPr>
                        <a:xfrm>
                          <a:off x="0" y="0"/>
                          <a:ext cx="5431155" cy="872025"/>
                        </a:xfrm>
                        <a:prstGeom prst="rect">
                          <a:avLst/>
                        </a:prstGeom>
                        <a:solidFill>
                          <a:prstClr val="white"/>
                        </a:solidFill>
                        <a:ln>
                          <a:noFill/>
                        </a:ln>
                      </wps:spPr>
                      <wps:txbx>
                        <w:txbxContent>
                          <w:p w14:paraId="3EB78105" w14:textId="4564F3F3" w:rsidR="00F61130" w:rsidRPr="00947095" w:rsidRDefault="00F61130" w:rsidP="00947095">
                            <w:pPr>
                              <w:pStyle w:val="Caption"/>
                              <w:spacing w:line="360" w:lineRule="auto"/>
                              <w:rPr>
                                <w:sz w:val="20"/>
                                <w:szCs w:val="20"/>
                              </w:rPr>
                            </w:pPr>
                            <w:bookmarkStart w:id="113" w:name="_Ref523928536"/>
                            <w:bookmarkStart w:id="114" w:name="_Toc525227191"/>
                            <w:bookmarkStart w:id="115" w:name="_Toc536814130"/>
                            <w:r w:rsidRPr="00947095">
                              <w:rPr>
                                <w:b/>
                                <w:sz w:val="20"/>
                                <w:szCs w:val="20"/>
                              </w:rPr>
                              <w:t xml:space="preserve">Figure </w:t>
                            </w:r>
                            <w:r>
                              <w:rPr>
                                <w:b/>
                                <w:sz w:val="20"/>
                                <w:szCs w:val="20"/>
                              </w:rPr>
                              <w:fldChar w:fldCharType="begin"/>
                            </w:r>
                            <w:r>
                              <w:rPr>
                                <w:b/>
                                <w:sz w:val="20"/>
                                <w:szCs w:val="20"/>
                              </w:rPr>
                              <w:instrText xml:space="preserve"> STYLEREF 1 \s </w:instrText>
                            </w:r>
                            <w:r>
                              <w:rPr>
                                <w:b/>
                                <w:sz w:val="20"/>
                                <w:szCs w:val="20"/>
                              </w:rPr>
                              <w:fldChar w:fldCharType="separate"/>
                            </w:r>
                            <w:r>
                              <w:rPr>
                                <w:b/>
                                <w:noProof/>
                                <w:sz w:val="20"/>
                                <w:szCs w:val="20"/>
                              </w:rPr>
                              <w:t>1</w:t>
                            </w:r>
                            <w:r>
                              <w:rPr>
                                <w:b/>
                                <w:sz w:val="20"/>
                                <w:szCs w:val="20"/>
                              </w:rPr>
                              <w:fldChar w:fldCharType="end"/>
                            </w:r>
                            <w:r>
                              <w:rPr>
                                <w:b/>
                                <w:sz w:val="20"/>
                                <w:szCs w:val="20"/>
                              </w:rPr>
                              <w:t>.</w:t>
                            </w:r>
                            <w:r>
                              <w:rPr>
                                <w:b/>
                                <w:sz w:val="20"/>
                                <w:szCs w:val="20"/>
                              </w:rPr>
                              <w:fldChar w:fldCharType="begin"/>
                            </w:r>
                            <w:r>
                              <w:rPr>
                                <w:b/>
                                <w:sz w:val="20"/>
                                <w:szCs w:val="20"/>
                              </w:rPr>
                              <w:instrText xml:space="preserve"> SEQ Figure \* ARABIC \s 1 </w:instrText>
                            </w:r>
                            <w:r>
                              <w:rPr>
                                <w:b/>
                                <w:sz w:val="20"/>
                                <w:szCs w:val="20"/>
                              </w:rPr>
                              <w:fldChar w:fldCharType="separate"/>
                            </w:r>
                            <w:r>
                              <w:rPr>
                                <w:b/>
                                <w:noProof/>
                                <w:sz w:val="20"/>
                                <w:szCs w:val="20"/>
                              </w:rPr>
                              <w:t>11</w:t>
                            </w:r>
                            <w:r>
                              <w:rPr>
                                <w:b/>
                                <w:sz w:val="20"/>
                                <w:szCs w:val="20"/>
                              </w:rPr>
                              <w:fldChar w:fldCharType="end"/>
                            </w:r>
                            <w:bookmarkEnd w:id="113"/>
                            <w:r w:rsidRPr="00947095">
                              <w:rPr>
                                <w:b/>
                                <w:sz w:val="20"/>
                                <w:szCs w:val="20"/>
                              </w:rPr>
                              <w:t xml:space="preserve"> - Non-dominated Solutions from Multi-Objective Calibration. </w:t>
                            </w:r>
                            <w:r>
                              <w:rPr>
                                <w:sz w:val="20"/>
                                <w:szCs w:val="20"/>
                              </w:rPr>
                              <w:t>Multi-objective calibration seeks to minimise the trade-off</w:t>
                            </w:r>
                            <w:r>
                              <w:rPr>
                                <w:b/>
                                <w:sz w:val="20"/>
                                <w:szCs w:val="20"/>
                              </w:rPr>
                              <w:t xml:space="preserve"> </w:t>
                            </w:r>
                            <w:r w:rsidRPr="00947095">
                              <w:rPr>
                                <w:sz w:val="20"/>
                                <w:szCs w:val="20"/>
                              </w:rPr>
                              <w:t>from</w:t>
                            </w:r>
                            <w:r>
                              <w:rPr>
                                <w:sz w:val="20"/>
                                <w:szCs w:val="20"/>
                              </w:rPr>
                              <w:t xml:space="preserve"> fitting two populations/entities. Non-dominated solutions are those were the given solution is no worse than other solutions for all objectives or is better for at least one. Collectively these non-dominated solutions are called a pareto-front.</w:t>
                            </w:r>
                            <w:bookmarkEnd w:id="114"/>
                            <w:bookmarkEnd w:id="115"/>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4E2708DB" id="Text Box 180" o:spid="_x0000_s1039" type="#_x0000_t202" style="position:absolute;left:0;text-align:left;margin-left:5.4pt;margin-top:308.7pt;width:427.65pt;height:68.65pt;z-index:2519900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SO1w5MgIAAGwEAAAOAAAAZHJzL2Uyb0RvYy54bWysVMFu2zAMvQ/YPwi6L07SZQuMOEWWIsOA&#13;&#10;oi2QDD0rshwLkESNUmJnXz/KjtOu22nYRaZI6knvkfTitrWGnRQGDa7gk9GYM+UklNodCv59t/kw&#13;&#10;5yxE4UphwKmCn1Xgt8v37xaNz9UUajClQkYgLuSNL3gdo8+zLMhaWRFG4JWjYAVoRaQtHrISRUPo&#13;&#10;1mTT8fhT1gCWHkGqEMh71wf5ssOvKiXjY1UFFZkpOL0tdit26z6t2XIh8gMKX2t5eYb4h1dYoR1d&#13;&#10;eoW6E1GwI+o/oKyWCAGqOJJgM6gqLVXHgdhMxm/YbGvhVceFxAn+KlP4f7Dy4fSETJdUuznp44Sl&#13;&#10;Iu1UG9kXaFnykUKNDzklbj2lxpYClD34AzkT8bZCm75EiVGcsM5XfROcJOfs481kMptxJik2/zwd&#13;&#10;T2cJJns57THErwosS0bBkerXySpO9yH2qUNKuiyA0eVGG5M2KbA2yE6Cat3UOqoL+G9ZxqVcB+lU&#13;&#10;D5g8WaLYU0lWbPdtL8rNwHMP5ZnoI/QtFLzcaLrwXoT4JJB6hhjTHMRHWioDTcHhYnFWA/78mz/l&#13;&#10;UykpyllDPVjw8OMoUHFmvjkqcmrYwcDB2A+GO9o1ENUJTZiXnUkHMJrBrBDsM43HKt1CIeEk3VXw&#13;&#10;OJjr2E8CjZdUq1WXRG3pRbx3Wy8T9CDsrn0W6C9liVTQBxi6U+RvqtPn9jKvjhEq3ZUuCdureNGb&#13;&#10;Wror/mX80sy83ndZLz+J5S8AAAD//wMAUEsDBBQABgAIAAAAIQAd9TEi5AAAAA8BAAAPAAAAZHJz&#13;&#10;L2Rvd25yZXYueG1sTI9BT4NAEIXvJv6HzZh4MXahqdBQlkaL3vTQ2vS8ZUcgsrOEXQr9944nvUzy&#13;&#10;Mm/efC/fzrYTFxx860hBvIhAIFXOtFQrOH6+Pa5B+KDJ6M4RKriih21xe5PrzLiJ9ng5hFpwCPlM&#13;&#10;K2hC6DMpfdWg1X7heiTefbnB6sByqKUZ9MThtpPLKEqk1S3xh0b3uGuw+j6MVkFSDuO0p91DeXx9&#13;&#10;1x99vTy9XE9K3d/N5YbH8wZEwDn8XcBvB+aHgsHObiTjRcc6YvzAgXG6AsGGdZLEIM4K0qdVCrLI&#13;&#10;5f8exQ8AAAD//wMAUEsBAi0AFAAGAAgAAAAhALaDOJL+AAAA4QEAABMAAAAAAAAAAAAAAAAAAAAA&#13;&#10;AFtDb250ZW50X1R5cGVzXS54bWxQSwECLQAUAAYACAAAACEAOP0h/9YAAACUAQAACwAAAAAAAAAA&#13;&#10;AAAAAAAvAQAAX3JlbHMvLnJlbHNQSwECLQAUAAYACAAAACEAEjtcOTICAABsBAAADgAAAAAAAAAA&#13;&#10;AAAAAAAuAgAAZHJzL2Uyb0RvYy54bWxQSwECLQAUAAYACAAAACEAHfUxIuQAAAAPAQAADwAAAAAA&#13;&#10;AAAAAAAAAACMBAAAZHJzL2Rvd25yZXYueG1sUEsFBgAAAAAEAAQA8wAAAJ0FAAAAAA==&#13;&#10;" stroked="f">
                <v:textbox inset="0,0,0,0">
                  <w:txbxContent>
                    <w:p w14:paraId="3EB78105" w14:textId="4564F3F3" w:rsidR="00F61130" w:rsidRPr="00947095" w:rsidRDefault="00F61130" w:rsidP="00947095">
                      <w:pPr>
                        <w:pStyle w:val="Caption"/>
                        <w:spacing w:line="360" w:lineRule="auto"/>
                        <w:rPr>
                          <w:sz w:val="20"/>
                          <w:szCs w:val="20"/>
                        </w:rPr>
                      </w:pPr>
                      <w:bookmarkStart w:id="116" w:name="_Ref523928536"/>
                      <w:bookmarkStart w:id="117" w:name="_Toc525227191"/>
                      <w:bookmarkStart w:id="118" w:name="_Toc536814130"/>
                      <w:r w:rsidRPr="00947095">
                        <w:rPr>
                          <w:b/>
                          <w:sz w:val="20"/>
                          <w:szCs w:val="20"/>
                        </w:rPr>
                        <w:t xml:space="preserve">Figure </w:t>
                      </w:r>
                      <w:r>
                        <w:rPr>
                          <w:b/>
                          <w:sz w:val="20"/>
                          <w:szCs w:val="20"/>
                        </w:rPr>
                        <w:fldChar w:fldCharType="begin"/>
                      </w:r>
                      <w:r>
                        <w:rPr>
                          <w:b/>
                          <w:sz w:val="20"/>
                          <w:szCs w:val="20"/>
                        </w:rPr>
                        <w:instrText xml:space="preserve"> STYLEREF 1 \s </w:instrText>
                      </w:r>
                      <w:r>
                        <w:rPr>
                          <w:b/>
                          <w:sz w:val="20"/>
                          <w:szCs w:val="20"/>
                        </w:rPr>
                        <w:fldChar w:fldCharType="separate"/>
                      </w:r>
                      <w:r>
                        <w:rPr>
                          <w:b/>
                          <w:noProof/>
                          <w:sz w:val="20"/>
                          <w:szCs w:val="20"/>
                        </w:rPr>
                        <w:t>1</w:t>
                      </w:r>
                      <w:r>
                        <w:rPr>
                          <w:b/>
                          <w:sz w:val="20"/>
                          <w:szCs w:val="20"/>
                        </w:rPr>
                        <w:fldChar w:fldCharType="end"/>
                      </w:r>
                      <w:r>
                        <w:rPr>
                          <w:b/>
                          <w:sz w:val="20"/>
                          <w:szCs w:val="20"/>
                        </w:rPr>
                        <w:t>.</w:t>
                      </w:r>
                      <w:r>
                        <w:rPr>
                          <w:b/>
                          <w:sz w:val="20"/>
                          <w:szCs w:val="20"/>
                        </w:rPr>
                        <w:fldChar w:fldCharType="begin"/>
                      </w:r>
                      <w:r>
                        <w:rPr>
                          <w:b/>
                          <w:sz w:val="20"/>
                          <w:szCs w:val="20"/>
                        </w:rPr>
                        <w:instrText xml:space="preserve"> SEQ Figure \* ARABIC \s 1 </w:instrText>
                      </w:r>
                      <w:r>
                        <w:rPr>
                          <w:b/>
                          <w:sz w:val="20"/>
                          <w:szCs w:val="20"/>
                        </w:rPr>
                        <w:fldChar w:fldCharType="separate"/>
                      </w:r>
                      <w:r>
                        <w:rPr>
                          <w:b/>
                          <w:noProof/>
                          <w:sz w:val="20"/>
                          <w:szCs w:val="20"/>
                        </w:rPr>
                        <w:t>11</w:t>
                      </w:r>
                      <w:r>
                        <w:rPr>
                          <w:b/>
                          <w:sz w:val="20"/>
                          <w:szCs w:val="20"/>
                        </w:rPr>
                        <w:fldChar w:fldCharType="end"/>
                      </w:r>
                      <w:bookmarkEnd w:id="116"/>
                      <w:r w:rsidRPr="00947095">
                        <w:rPr>
                          <w:b/>
                          <w:sz w:val="20"/>
                          <w:szCs w:val="20"/>
                        </w:rPr>
                        <w:t xml:space="preserve"> - Non-dominated Solutions from Multi-Objective Calibration. </w:t>
                      </w:r>
                      <w:r>
                        <w:rPr>
                          <w:sz w:val="20"/>
                          <w:szCs w:val="20"/>
                        </w:rPr>
                        <w:t>Multi-objective calibration seeks to minimise the trade-off</w:t>
                      </w:r>
                      <w:r>
                        <w:rPr>
                          <w:b/>
                          <w:sz w:val="20"/>
                          <w:szCs w:val="20"/>
                        </w:rPr>
                        <w:t xml:space="preserve"> </w:t>
                      </w:r>
                      <w:r w:rsidRPr="00947095">
                        <w:rPr>
                          <w:sz w:val="20"/>
                          <w:szCs w:val="20"/>
                        </w:rPr>
                        <w:t>from</w:t>
                      </w:r>
                      <w:r>
                        <w:rPr>
                          <w:sz w:val="20"/>
                          <w:szCs w:val="20"/>
                        </w:rPr>
                        <w:t xml:space="preserve"> fitting two populations/entities. Non-dominated solutions are those were the given solution is no worse than other solutions for all objectives or is better for at least one. Collectively these non-dominated solutions are called a pareto-front.</w:t>
                      </w:r>
                      <w:bookmarkEnd w:id="117"/>
                      <w:bookmarkEnd w:id="118"/>
                    </w:p>
                  </w:txbxContent>
                </v:textbox>
                <w10:wrap type="topAndBottom"/>
              </v:shape>
            </w:pict>
          </mc:Fallback>
        </mc:AlternateContent>
      </w:r>
    </w:p>
    <w:p w14:paraId="2AED1771" w14:textId="77777777" w:rsidR="00947095" w:rsidRPr="008B3AD6" w:rsidRDefault="00947095" w:rsidP="00B07FAD">
      <w:pPr>
        <w:spacing w:line="360" w:lineRule="auto"/>
        <w:jc w:val="both"/>
      </w:pPr>
    </w:p>
    <w:p w14:paraId="2C375C1D" w14:textId="13557A46" w:rsidR="005C1847" w:rsidRPr="008B3AD6" w:rsidRDefault="005C1847" w:rsidP="00B07FAD">
      <w:pPr>
        <w:spacing w:line="360" w:lineRule="auto"/>
        <w:jc w:val="both"/>
      </w:pPr>
      <w:r w:rsidRPr="008B3AD6">
        <w:t>The choice of calibration technique depends on the</w:t>
      </w:r>
      <w:r w:rsidR="006A2630">
        <w:t xml:space="preserve"> </w:t>
      </w:r>
      <w:r w:rsidR="006A2630">
        <w:rPr>
          <w:i/>
        </w:rPr>
        <w:t>in silico</w:t>
      </w:r>
      <w:r w:rsidRPr="008B3AD6">
        <w:t xml:space="preserve"> model being parameterised, including </w:t>
      </w:r>
      <w:r w:rsidR="006A2630">
        <w:t>its</w:t>
      </w:r>
      <w:r w:rsidRPr="008B3AD6">
        <w:t xml:space="preserve"> complexity, the data it can generate and the data it is compared against. Computational power available may be an issue for complex models and thus impact the method selected. Once a method has been utilised and successful calibration achieved the model should undergo some form of validation, described below.</w:t>
      </w:r>
    </w:p>
    <w:p w14:paraId="3444276D" w14:textId="77777777" w:rsidR="005C1847" w:rsidRPr="008B3AD6" w:rsidRDefault="005C1847" w:rsidP="00B07FAD">
      <w:pPr>
        <w:spacing w:line="360" w:lineRule="auto"/>
        <w:jc w:val="both"/>
      </w:pPr>
    </w:p>
    <w:p w14:paraId="77712E1D" w14:textId="73A4F9E6" w:rsidR="00AB3115" w:rsidRPr="008B3AD6" w:rsidRDefault="00AB3115" w:rsidP="00E869ED">
      <w:pPr>
        <w:pStyle w:val="Heading3"/>
        <w:jc w:val="both"/>
      </w:pPr>
      <w:r w:rsidRPr="008B3AD6">
        <w:t xml:space="preserve"> </w:t>
      </w:r>
      <w:bookmarkStart w:id="119" w:name="_Toc3716067"/>
      <w:r w:rsidRPr="008B3AD6">
        <w:t xml:space="preserve">Validation of </w:t>
      </w:r>
      <w:r w:rsidR="0065037C" w:rsidRPr="008B3AD6">
        <w:t xml:space="preserve">Mathematical/Computational </w:t>
      </w:r>
      <w:r w:rsidRPr="008B3AD6">
        <w:t>Models</w:t>
      </w:r>
      <w:bookmarkEnd w:id="119"/>
    </w:p>
    <w:p w14:paraId="5A672931" w14:textId="03772CCB" w:rsidR="00F27B0B" w:rsidRPr="008B3AD6" w:rsidRDefault="006A2630" w:rsidP="00E869ED">
      <w:pPr>
        <w:spacing w:line="360" w:lineRule="auto"/>
        <w:jc w:val="both"/>
      </w:pPr>
      <w:r>
        <w:t>The previous section introduced</w:t>
      </w:r>
      <w:r w:rsidR="00B07FAD" w:rsidRPr="008B3AD6">
        <w:t xml:space="preserve"> different methods available </w:t>
      </w:r>
      <w:r>
        <w:t xml:space="preserve">for the calibration of </w:t>
      </w:r>
      <w:r>
        <w:rPr>
          <w:i/>
        </w:rPr>
        <w:t xml:space="preserve">in silico </w:t>
      </w:r>
      <w:r w:rsidR="00B07FAD" w:rsidRPr="008B3AD6">
        <w:t>models, deriving the optimal or most likely parameters to describe</w:t>
      </w:r>
      <w:r>
        <w:t xml:space="preserve"> pre-existing </w:t>
      </w:r>
      <w:r w:rsidR="00B07FAD" w:rsidRPr="008B3AD6">
        <w:t xml:space="preserve">data. </w:t>
      </w:r>
      <w:r w:rsidR="00B07FAD" w:rsidRPr="008B3AD6">
        <w:lastRenderedPageBreak/>
        <w:t>However</w:t>
      </w:r>
      <w:r w:rsidR="00495F8B" w:rsidRPr="008B3AD6">
        <w:t>,</w:t>
      </w:r>
      <w:r w:rsidR="00B07FAD" w:rsidRPr="008B3AD6">
        <w:t xml:space="preserve"> successful calibration of a</w:t>
      </w:r>
      <w:r>
        <w:t xml:space="preserve">n </w:t>
      </w:r>
      <w:r>
        <w:rPr>
          <w:i/>
        </w:rPr>
        <w:t>in silico</w:t>
      </w:r>
      <w:r w:rsidR="00B07FAD" w:rsidRPr="008B3AD6">
        <w:t xml:space="preserve"> model does not guarantee the validity of </w:t>
      </w:r>
      <w:r>
        <w:t>that</w:t>
      </w:r>
      <w:r w:rsidR="00B07FAD" w:rsidRPr="008B3AD6">
        <w:t xml:space="preserve"> model in answering scientific questions posed. Indeed, it has previously been described that </w:t>
      </w:r>
      <w:r w:rsidR="00E869ED" w:rsidRPr="008B3AD6">
        <w:t xml:space="preserve">when </w:t>
      </w:r>
      <w:r w:rsidR="00B07FAD" w:rsidRPr="008B3AD6">
        <w:t xml:space="preserve">parameter values </w:t>
      </w:r>
      <w:r w:rsidR="00E869ED" w:rsidRPr="008B3AD6">
        <w:t xml:space="preserve">are specifically </w:t>
      </w:r>
      <w:r w:rsidR="00B07FAD" w:rsidRPr="008B3AD6">
        <w:t xml:space="preserve">adjusted to fit an initial set of data </w:t>
      </w:r>
      <w:r w:rsidR="00E869ED" w:rsidRPr="008B3AD6">
        <w:t xml:space="preserve">the resulting model </w:t>
      </w:r>
      <w:r w:rsidR="00B07FAD" w:rsidRPr="008B3AD6">
        <w:t xml:space="preserve">gave poorer fits to additional experimental data compared </w:t>
      </w:r>
      <w:r w:rsidR="00E869ED" w:rsidRPr="008B3AD6">
        <w:t xml:space="preserve">when compared </w:t>
      </w:r>
      <w:r w:rsidR="00B07FAD" w:rsidRPr="008B3AD6">
        <w:t>against</w:t>
      </w:r>
      <w:r w:rsidR="00E869ED" w:rsidRPr="008B3AD6">
        <w:t xml:space="preserve"> new</w:t>
      </w:r>
      <w:r w:rsidR="00B07FAD" w:rsidRPr="008B3AD6">
        <w:t xml:space="preserve"> model outputs </w:t>
      </w:r>
      <w:r w:rsidR="00856954" w:rsidRPr="008B3AD6">
        <w:fldChar w:fldCharType="begin"/>
      </w:r>
      <w:r w:rsidR="00025067">
        <w:instrText xml:space="preserve"> ADDIN ZOTERO_ITEM CSL_CITATION {"citationID":"XZ1p93ja","properties":{"formattedCitation":"(Hopkins and Leipold 1996)","plainCitation":"(Hopkins and Leipold 1996)","noteIndex":0},"citationItems":[{"id":3475,"uris":["http://zotero.org/users/2628971/items/IVAAEI4D"],"uri":["http://zotero.org/users/2628971/items/IVAAEI4D"],"itemData":{"id":3475,"type":"article-journal","title":"On the Dangers of Adjusting the Parameter Values of Mechanism-Based Mathematical Models","container-title":"Journal of Theoretical Biology","page":"417-427","volume":"183","issue":"4","source":"ScienceDirect","abstract":"Mechanism-based mathematical models describe systems in terms of identifiable physical processes, and the parameters are assumed to have fundamental physical significance. Ideally, the parameter values are measured independent of the system being modeled, but these values are often adjusted to give the best fit of model predictions to experimental data. A systematic investigation of the effects of such parameter adjustment was conducted by developing a model system comprising a known reaction mechanism and known rate constants. Simulations of experiments were run, and then attempts were made to model the system under a variety of problematic, but realistic, conditions. (1) When one rate constant was seriously in error, adjustment of a different rate constant gave the greatest improvement in the model fit. (2) When a contaminant was present in the experiment, the effects could be hidden by the adjustment of the rate constants. (3) When an incorrect reaction mechanism was assumed, the error could be hidden by parameter adjustment if the concentrations of only one of the reacting species were considered or if an unweighted fit was used for the optimization. (4) Parameter values adjusted for one set of experimental conditions gave a poorer fit than did the unadjusted parameter values when attempting to model a new set of experimental conditions (addition of an inhibitor). These results show the potential dangers of adjusting parameter values and the importance of measuring as many variables as possible in a complex system.","DOI":"10.1006/jtbi.1996.0232","ISSN":"0022-5193","journalAbbreviation":"Journal of Theoretical Biology","author":[{"family":"Hopkins","given":"Joy C."},{"family":"Leipold","given":"Robert J."}],"issued":{"date-parts":[["1996",12,21]]}}}],"schema":"https://github.com/citation-style-language/schema/raw/master/csl-citation.json"} </w:instrText>
      </w:r>
      <w:r w:rsidR="00856954" w:rsidRPr="008B3AD6">
        <w:fldChar w:fldCharType="separate"/>
      </w:r>
      <w:r w:rsidR="00025067" w:rsidRPr="00025067">
        <w:rPr>
          <w:lang w:val="en-US"/>
        </w:rPr>
        <w:t>(Hopkins and Leipold 1996)</w:t>
      </w:r>
      <w:r w:rsidR="00856954" w:rsidRPr="008B3AD6">
        <w:fldChar w:fldCharType="end"/>
      </w:r>
      <w:r w:rsidR="00B07FAD" w:rsidRPr="008B3AD6">
        <w:t xml:space="preserve">. </w:t>
      </w:r>
      <w:r w:rsidR="00E869ED" w:rsidRPr="008B3AD6">
        <w:t>I</w:t>
      </w:r>
      <w:r w:rsidR="00495F8B" w:rsidRPr="008B3AD6">
        <w:t xml:space="preserve">f </w:t>
      </w:r>
      <w:r>
        <w:t xml:space="preserve">an </w:t>
      </w:r>
      <w:r>
        <w:rPr>
          <w:i/>
        </w:rPr>
        <w:t>in silico</w:t>
      </w:r>
      <w:r w:rsidR="00495F8B" w:rsidRPr="008B3AD6">
        <w:t xml:space="preserve"> model</w:t>
      </w:r>
      <w:r w:rsidR="00B07FAD" w:rsidRPr="008B3AD6">
        <w:t xml:space="preserve"> lack</w:t>
      </w:r>
      <w:r w:rsidR="00495F8B" w:rsidRPr="008B3AD6">
        <w:t>s</w:t>
      </w:r>
      <w:r w:rsidR="00B07FAD" w:rsidRPr="008B3AD6">
        <w:t xml:space="preserve"> validation</w:t>
      </w:r>
      <w:r w:rsidR="00495F8B" w:rsidRPr="008B3AD6">
        <w:t xml:space="preserve"> it may</w:t>
      </w:r>
      <w:r w:rsidR="00B07FAD" w:rsidRPr="008B3AD6">
        <w:t xml:space="preserve"> lead to a lack of trust in </w:t>
      </w:r>
      <w:r w:rsidR="00495F8B" w:rsidRPr="008B3AD6">
        <w:t>investigations</w:t>
      </w:r>
      <w:r w:rsidR="00F27B0B" w:rsidRPr="008B3AD6">
        <w:t xml:space="preserve"> utilising the defined model </w:t>
      </w:r>
      <w:r w:rsidR="009E6632" w:rsidRPr="008B3AD6">
        <w:fldChar w:fldCharType="begin"/>
      </w:r>
      <w:r w:rsidR="00025067">
        <w:instrText xml:space="preserve"> ADDIN ZOTERO_ITEM CSL_CITATION {"citationID":"jPidNDXi","properties":{"formattedCitation":"(Polack 2010)","plainCitation":"(Polack 2010)","noteIndex":0},"citationItems":[{"id":3668,"uris":["http://zotero.org/users/2628971/items/DU55656L"],"uri":["http://zotero.org/users/2628971/items/DU55656L"],"itemData":{"id":3668,"type":"paper-conference","title":"Arguing validation of simulations in science","container-title":"Workshop on Complex Systems Modelling and Simulation","page":"51-74","author":[{"family":"Polack","given":"Fiona AC"}],"issued":{"date-parts":[["2010"]]}}}],"schema":"https://github.com/citation-style-language/schema/raw/master/csl-citation.json"} </w:instrText>
      </w:r>
      <w:r w:rsidR="009E6632" w:rsidRPr="008B3AD6">
        <w:fldChar w:fldCharType="separate"/>
      </w:r>
      <w:r w:rsidR="00025067" w:rsidRPr="00025067">
        <w:rPr>
          <w:lang w:val="en-US"/>
        </w:rPr>
        <w:t>(Polack 2010)</w:t>
      </w:r>
      <w:r w:rsidR="009E6632" w:rsidRPr="008B3AD6">
        <w:fldChar w:fldCharType="end"/>
      </w:r>
      <w:r w:rsidR="00F27B0B" w:rsidRPr="008B3AD6">
        <w:t xml:space="preserve">. </w:t>
      </w:r>
      <w:r>
        <w:rPr>
          <w:i/>
        </w:rPr>
        <w:t>In silico</w:t>
      </w:r>
      <w:r w:rsidR="00F27B0B" w:rsidRPr="008B3AD6">
        <w:t xml:space="preserve"> models have previously been criticised for</w:t>
      </w:r>
      <w:r w:rsidR="00495F8B" w:rsidRPr="008B3AD6">
        <w:t xml:space="preserve"> reasons such as</w:t>
      </w:r>
      <w:r w:rsidR="00F27B0B" w:rsidRPr="008B3AD6">
        <w:t xml:space="preserve"> </w:t>
      </w:r>
      <w:r w:rsidR="005D50E9" w:rsidRPr="008B3AD6">
        <w:t>their perceived ambiguity in how outputs are achieved</w:t>
      </w:r>
      <w:r w:rsidR="009E6632" w:rsidRPr="008B3AD6">
        <w:t xml:space="preserve"> </w:t>
      </w:r>
      <w:r w:rsidR="009E6632" w:rsidRPr="008B3AD6">
        <w:fldChar w:fldCharType="begin"/>
      </w:r>
      <w:r w:rsidR="00025067">
        <w:instrText xml:space="preserve"> ADDIN ZOTERO_ITEM CSL_CITATION {"citationID":"oun1XHRf","properties":{"formattedCitation":"(Paolo, Noble, and Bullock 2000)","plainCitation":"(Paolo, Noble, and Bullock 2000)","noteIndex":0},"citationItems":[{"id":3486,"uris":["http://zotero.org/users/2628971/items/424C3DYH"],"uri":["http://zotero.org/users/2628971/items/424C3DYH"],"itemData":{"id":3486,"type":"book","title":"Simulation Models as Opaque Thought Experiments","source":"CiteSeer","abstract":"We review and critique a range of perspectives on the  scientific role of individual-based evolutionary simulation  models as they are used within artificial life.  We find that such models have the potential to enrich  existing modelling enterprises through their strength  in modelling systems of interacting entities. Furthermore,  simulation techniques promise to provide theoreticians  in various fields with entirely new conceptual,  as well as methodological, approaches. However,  the precise manner in which simulations can be used  as models is not clear. We present two apparently  opposed perspectives on this issue: simulation models  as \"emergent computational thought experiments\"  and simulation models as realistic simulacra. Through  analysing the role that armchair thought experiments  play in science, we develop a role for simulation models  as opaque thought experiments, that is, thought experiments  in which the consequences follow from the  premises, but in a non-obvious m...","author":[{"family":"Paolo","given":"Ezequiel A. Di"},{"family":"Noble","given":"Jason"},{"family":"Bullock","given":"Seth"}],"issued":{"date-parts":[["2000"]]}}}],"schema":"https://github.com/citation-style-language/schema/raw/master/csl-citation.json"} </w:instrText>
      </w:r>
      <w:r w:rsidR="009E6632" w:rsidRPr="008B3AD6">
        <w:fldChar w:fldCharType="separate"/>
      </w:r>
      <w:r w:rsidR="00025067" w:rsidRPr="00025067">
        <w:rPr>
          <w:lang w:val="en-US"/>
        </w:rPr>
        <w:t>(Paolo, Noble, and Bullock 2000)</w:t>
      </w:r>
      <w:r w:rsidR="009E6632" w:rsidRPr="008B3AD6">
        <w:fldChar w:fldCharType="end"/>
      </w:r>
      <w:r w:rsidR="005D50E9" w:rsidRPr="008B3AD6">
        <w:t xml:space="preserve">, </w:t>
      </w:r>
      <w:r w:rsidR="00495F8B" w:rsidRPr="008B3AD6">
        <w:t>in some cases the use of</w:t>
      </w:r>
      <w:r w:rsidR="005D50E9" w:rsidRPr="008B3AD6">
        <w:t xml:space="preserve"> radical simplifications or, conversely, model complexity </w:t>
      </w:r>
      <w:r w:rsidR="00495F8B" w:rsidRPr="008B3AD6">
        <w:t xml:space="preserve">used as an </w:t>
      </w:r>
      <w:r w:rsidR="005D50E9" w:rsidRPr="008B3AD6">
        <w:t>obstructi</w:t>
      </w:r>
      <w:r w:rsidR="00495F8B" w:rsidRPr="008B3AD6">
        <w:t>on to</w:t>
      </w:r>
      <w:r w:rsidR="005D50E9" w:rsidRPr="008B3AD6">
        <w:t xml:space="preserve"> </w:t>
      </w:r>
      <w:r w:rsidR="00495F8B" w:rsidRPr="008B3AD6">
        <w:t>validation</w:t>
      </w:r>
      <w:r w:rsidR="005D50E9" w:rsidRPr="008B3AD6">
        <w:t xml:space="preserve"> </w:t>
      </w:r>
      <w:r w:rsidR="009E6632" w:rsidRPr="008B3AD6">
        <w:fldChar w:fldCharType="begin"/>
      </w:r>
      <w:r w:rsidR="00025067">
        <w:instrText xml:space="preserve"> ADDIN ZOTERO_ITEM CSL_CITATION {"citationID":"myjPfo2a","properties":{"formattedCitation":"(Avula, Kalman, and Liapis 2014)","plainCitation":"(Avula, Kalman, and Liapis 2014)","noteIndex":0},"citationItems":[{"id":3484,"uris":["http://zotero.org/users/2628971/items/D9PMWN2Y"],"uri":["http://zotero.org/users/2628971/items/D9PMWN2Y"],"itemData":{"id":3484,"type":"book","title":"Mathematical Modelling in Science and Technology: The Fourth International Conference, Zurich, Switzerland, August 1983","publisher":"Elsevier","number-of-pages":"1023","source":"Google Books","abstract":"Mathematical Modelling in Science and Technology: The Fourth International Conference covers the proceedings of the Fourth International Conference by the same title, held at the Swiss Federal Institute of Technology, Zurich, Switzerland on August 15-17, 1983. Mathematical modeling is a powerful tool to solve many complex problems presented by scientific and technological developments.This book is organized into 20 parts encompassing 180 chapters. The first parts present the basic principles, methodology, systems theory, parameter estimation, system identification, and optimization of mathematical modeling. The succeeding parts discuss the features of stochastic and numerical modeling and simulation languages. Considerable parts deal with the application areas of mathematical modeling, such as in chemical engineering, solid and fluid mechanics, water resources, medicine, economics, transportation, and industry. The last parts tackle the application of mathematical modeling in student management and other academic cases.This book will prove useful to researchers in various science and technology fields.","ISBN":"978-1-4831-9059-4","note":"Google-Books-ID: OIXiBQAAQBAJ","shortTitle":"Mathematical Modelling in Science and Technology","language":"en","author":[{"family":"Avula","given":"Xavier J. R."},{"family":"Kalman","given":"Rudolf E."},{"family":"Liapis","given":"Anthanasios I."}],"issued":{"date-parts":[["2014",5,9]]}}}],"schema":"https://github.com/citation-style-language/schema/raw/master/csl-citation.json"} </w:instrText>
      </w:r>
      <w:r w:rsidR="009E6632" w:rsidRPr="008B3AD6">
        <w:fldChar w:fldCharType="separate"/>
      </w:r>
      <w:r w:rsidR="00025067" w:rsidRPr="00025067">
        <w:rPr>
          <w:lang w:val="en-US"/>
        </w:rPr>
        <w:t>(Avula, Kalman, and Liapis 2014)</w:t>
      </w:r>
      <w:r w:rsidR="009E6632" w:rsidRPr="008B3AD6">
        <w:fldChar w:fldCharType="end"/>
      </w:r>
      <w:r w:rsidR="005D50E9" w:rsidRPr="008B3AD6">
        <w:t xml:space="preserve"> and apparent unnecessary or unrealistic assumptio</w:t>
      </w:r>
      <w:r w:rsidR="00495F8B" w:rsidRPr="008B3AD6">
        <w:t xml:space="preserve">ns used to formulate simulations of biological </w:t>
      </w:r>
      <w:r w:rsidR="005D50E9" w:rsidRPr="008B3AD6">
        <w:t xml:space="preserve">processes </w:t>
      </w:r>
      <w:r w:rsidR="009E6632" w:rsidRPr="008B3AD6">
        <w:fldChar w:fldCharType="begin"/>
      </w:r>
      <w:r w:rsidR="00025067">
        <w:instrText xml:space="preserve"> ADDIN ZOTERO_ITEM CSL_CITATION {"citationID":"7tZxQHT6","properties":{"formattedCitation":"(Boutayeb and Chetouani 2006)","plainCitation":"(Boutayeb and Chetouani 2006)","noteIndex":0},"citationItems":[{"id":3481,"uris":["http://zotero.org/users/2628971/items/8WNQT7MN"],"uri":["http://zotero.org/users/2628971/items/8WNQT7MN"],"itemData":{"id":3481,"type":"article-journal","title":"A critical review of mathematical models and data used in diabetology","container-title":"BioMedical Engineering OnLine","page":"43","volume":"5","source":"PubMed Central","abstract":"The literature dealing with mathematical modelling for diabetes is abundant. During the last decades, a variety of models have been devoted to different aspects of diabetes, including glucose and insulin dynamics, management and complications prevention, cost and cost-effectiveness of strategies and epidemiology of diabetes in general. Several reviews are published regularly on mathematical models used for specific aspects of diabetes. In the present paper we propose a global overview of mathematical models dealing with many aspects of diabetes and using various tools. The review includes, side by side, models which are simple and/or comprehensive; deterministic and/or stochastic; continuous and/or discrete; using ordinary differential equations, partial differential equations, optimal control theory, integral equations, matrix analysis and computer algorithms.","DOI":"10.1186/1475-925X-5-43","ISSN":"1475-925X","note":"PMID: 16808835\nPMCID: PMC1553453","journalAbbreviation":"Biomed Eng Online","author":[{"family":"Boutayeb","given":"A"},{"family":"Chetouani","given":"A"}],"issued":{"date-parts":[["2006",6,29]]}}}],"schema":"https://github.com/citation-style-language/schema/raw/master/csl-citation.json"} </w:instrText>
      </w:r>
      <w:r w:rsidR="009E6632" w:rsidRPr="008B3AD6">
        <w:fldChar w:fldCharType="separate"/>
      </w:r>
      <w:r w:rsidR="00025067" w:rsidRPr="00025067">
        <w:rPr>
          <w:lang w:val="en-US"/>
        </w:rPr>
        <w:t>(Boutayeb and Chetouani 2006)</w:t>
      </w:r>
      <w:r w:rsidR="009E6632" w:rsidRPr="008B3AD6">
        <w:fldChar w:fldCharType="end"/>
      </w:r>
      <w:r w:rsidR="005D50E9" w:rsidRPr="008B3AD6">
        <w:t>.</w:t>
      </w:r>
      <w:r w:rsidR="00495F8B" w:rsidRPr="008B3AD6">
        <w:t xml:space="preserve"> To this end </w:t>
      </w:r>
      <w:r w:rsidR="00D72521" w:rsidRPr="008B3AD6">
        <w:t>demonstrating the validity of the model derived results is a key consideration in model development.</w:t>
      </w:r>
    </w:p>
    <w:p w14:paraId="02A0A381" w14:textId="67AD3C44" w:rsidR="001859E6" w:rsidRPr="008B3AD6" w:rsidRDefault="001859E6" w:rsidP="00E869ED">
      <w:pPr>
        <w:spacing w:line="360" w:lineRule="auto"/>
        <w:jc w:val="both"/>
      </w:pPr>
    </w:p>
    <w:p w14:paraId="0B44BF74" w14:textId="6C1B52FD" w:rsidR="00EA74D1" w:rsidRPr="008B3AD6" w:rsidRDefault="005D50E9" w:rsidP="00E869ED">
      <w:pPr>
        <w:spacing w:line="360" w:lineRule="auto"/>
        <w:jc w:val="both"/>
      </w:pPr>
      <w:r w:rsidRPr="008B3AD6">
        <w:t xml:space="preserve">The CoSMoS process (see Section </w:t>
      </w:r>
      <w:r w:rsidR="00931364" w:rsidRPr="008B3AD6">
        <w:fldChar w:fldCharType="begin"/>
      </w:r>
      <w:r w:rsidR="00931364" w:rsidRPr="008B3AD6">
        <w:instrText xml:space="preserve"> REF _Ref522488036 \n </w:instrText>
      </w:r>
      <w:r w:rsidR="00E869ED" w:rsidRPr="008B3AD6">
        <w:instrText xml:space="preserve"> \* MERGEFORMAT </w:instrText>
      </w:r>
      <w:r w:rsidR="00931364" w:rsidRPr="008B3AD6">
        <w:fldChar w:fldCharType="separate"/>
      </w:r>
      <w:r w:rsidR="00031DCA">
        <w:t>1.3.2</w:t>
      </w:r>
      <w:r w:rsidR="00931364" w:rsidRPr="008B3AD6">
        <w:fldChar w:fldCharType="end"/>
      </w:r>
      <w:r w:rsidRPr="008B3AD6">
        <w:t xml:space="preserve">) introduced a </w:t>
      </w:r>
      <w:r w:rsidR="00096B6E">
        <w:t>conceptual</w:t>
      </w:r>
      <w:r w:rsidRPr="008B3AD6">
        <w:t xml:space="preserve"> approach </w:t>
      </w:r>
      <w:r w:rsidR="00096B6E">
        <w:t>to</w:t>
      </w:r>
      <w:r w:rsidRPr="008B3AD6">
        <w:t xml:space="preserve"> validation</w:t>
      </w:r>
      <w:r w:rsidR="00096B6E">
        <w:t>, covering</w:t>
      </w:r>
      <w:r w:rsidRPr="008B3AD6">
        <w:t xml:space="preserve"> engineering validation, calibration and scientific validation</w:t>
      </w:r>
      <w:r w:rsidR="00C27C25" w:rsidRPr="008B3AD6">
        <w:t xml:space="preserve"> </w:t>
      </w:r>
      <w:r w:rsidR="00C27C25" w:rsidRPr="008B3AD6">
        <w:fldChar w:fldCharType="begin"/>
      </w:r>
      <w:r w:rsidR="00025067">
        <w:instrText xml:space="preserve"> ADDIN ZOTERO_ITEM CSL_CITATION {"citationID":"vAKXqh1k","properties":{"formattedCitation":"(Polack 2010)","plainCitation":"(Polack 2010)","noteIndex":0},"citationItems":[{"id":3668,"uris":["http://zotero.org/users/2628971/items/DU55656L"],"uri":["http://zotero.org/users/2628971/items/DU55656L"],"itemData":{"id":3668,"type":"paper-conference","title":"Arguing validation of simulations in science","container-title":"Workshop on Complex Systems Modelling and Simulation","page":"51-74","author":[{"family":"Polack","given":"Fiona AC"}],"issued":{"date-parts":[["2010"]]}}}],"schema":"https://github.com/citation-style-language/schema/raw/master/csl-citation.json"} </w:instrText>
      </w:r>
      <w:r w:rsidR="00C27C25" w:rsidRPr="008B3AD6">
        <w:fldChar w:fldCharType="separate"/>
      </w:r>
      <w:r w:rsidR="00025067" w:rsidRPr="00025067">
        <w:rPr>
          <w:lang w:val="en-US"/>
        </w:rPr>
        <w:t>(Polack 2010)</w:t>
      </w:r>
      <w:r w:rsidR="00C27C25" w:rsidRPr="008B3AD6">
        <w:fldChar w:fldCharType="end"/>
      </w:r>
      <w:r w:rsidRPr="008B3AD6">
        <w:t>.</w:t>
      </w:r>
      <w:r w:rsidR="00E869ED" w:rsidRPr="008B3AD6">
        <w:t xml:space="preserve"> I</w:t>
      </w:r>
      <w:r w:rsidR="0065037C" w:rsidRPr="008B3AD6">
        <w:t>t has</w:t>
      </w:r>
      <w:r w:rsidR="00E869ED" w:rsidRPr="008B3AD6">
        <w:t xml:space="preserve"> also</w:t>
      </w:r>
      <w:r w:rsidR="0065037C" w:rsidRPr="008B3AD6">
        <w:t xml:space="preserve"> been </w:t>
      </w:r>
      <w:r w:rsidR="00E75AB4" w:rsidRPr="008B3AD6">
        <w:t xml:space="preserve">previously </w:t>
      </w:r>
      <w:r w:rsidR="0065037C" w:rsidRPr="008B3AD6">
        <w:t xml:space="preserve">discussed that the credibility of a </w:t>
      </w:r>
      <w:r w:rsidR="006429AB">
        <w:t xml:space="preserve">mathematical </w:t>
      </w:r>
      <w:r w:rsidR="0065037C" w:rsidRPr="008B3AD6">
        <w:t xml:space="preserve">model should not be validated exclusively through empirical methods but that the extra-mathematical scientific status of the model, a reflection of how well the model represents the theories it is based upon, should be considered </w:t>
      </w:r>
      <w:r w:rsidR="00C27C25" w:rsidRPr="008B3AD6">
        <w:fldChar w:fldCharType="begin"/>
      </w:r>
      <w:r w:rsidR="00025067">
        <w:instrText xml:space="preserve"> ADDIN ZOTERO_ITEM CSL_CITATION {"citationID":"02PG2fw3","properties":{"formattedCitation":"(Avula, Kalman, and Liapis 2014)","plainCitation":"(Avula, Kalman, and Liapis 2014)","noteIndex":0},"citationItems":[{"id":3484,"uris":["http://zotero.org/users/2628971/items/D9PMWN2Y"],"uri":["http://zotero.org/users/2628971/items/D9PMWN2Y"],"itemData":{"id":3484,"type":"book","title":"Mathematical Modelling in Science and Technology: The Fourth International Conference, Zurich, Switzerland, August 1983","publisher":"Elsevier","number-of-pages":"1023","source":"Google Books","abstract":"Mathematical Modelling in Science and Technology: The Fourth International Conference covers the proceedings of the Fourth International Conference by the same title, held at the Swiss Federal Institute of Technology, Zurich, Switzerland on August 15-17, 1983. Mathematical modeling is a powerful tool to solve many complex problems presented by scientific and technological developments.This book is organized into 20 parts encompassing 180 chapters. The first parts present the basic principles, methodology, systems theory, parameter estimation, system identification, and optimization of mathematical modeling. The succeeding parts discuss the features of stochastic and numerical modeling and simulation languages. Considerable parts deal with the application areas of mathematical modeling, such as in chemical engineering, solid and fluid mechanics, water resources, medicine, economics, transportation, and industry. The last parts tackle the application of mathematical modeling in student management and other academic cases.This book will prove useful to researchers in various science and technology fields.","ISBN":"978-1-4831-9059-4","note":"Google-Books-ID: OIXiBQAAQBAJ","shortTitle":"Mathematical Modelling in Science and Technology","language":"en","author":[{"family":"Avula","given":"Xavier J. R."},{"family":"Kalman","given":"Rudolf E."},{"family":"Liapis","given":"Anthanasios I."}],"issued":{"date-parts":[["2014",5,9]]}}}],"schema":"https://github.com/citation-style-language/schema/raw/master/csl-citation.json"} </w:instrText>
      </w:r>
      <w:r w:rsidR="00C27C25" w:rsidRPr="008B3AD6">
        <w:fldChar w:fldCharType="separate"/>
      </w:r>
      <w:r w:rsidR="00025067" w:rsidRPr="00025067">
        <w:rPr>
          <w:lang w:val="en-US"/>
        </w:rPr>
        <w:t>(Avula, Kalman, and Liapis 2014)</w:t>
      </w:r>
      <w:r w:rsidR="00C27C25" w:rsidRPr="008B3AD6">
        <w:fldChar w:fldCharType="end"/>
      </w:r>
      <w:r w:rsidR="0065037C" w:rsidRPr="008B3AD6">
        <w:t xml:space="preserve">. </w:t>
      </w:r>
      <w:r w:rsidR="00EA74D1" w:rsidRPr="008B3AD6">
        <w:t xml:space="preserve">Read and colleagues </w:t>
      </w:r>
      <w:r w:rsidR="00C27C25" w:rsidRPr="008B3AD6">
        <w:fldChar w:fldCharType="begin"/>
      </w:r>
      <w:r w:rsidR="00025067">
        <w:instrText xml:space="preserve"> ADDIN ZOTERO_ITEM CSL_CITATION {"citationID":"jkmPqldj","properties":{"formattedCitation":"(M. Read et al. 2012)","plainCitation":"(M. Read et al. 2012)","noteIndex":0},"citationItems":[{"id":3669,"uris":["http://zotero.org/users/2628971/items/XXXIKHCF"],"uri":["http://zotero.org/users/2628971/items/XXXIKHCF"],"itemData":{"id":3669,"type":"article-journal","title":"Techniques for grounding agent-based simulations in the real domain: a case study in experimental autoimmune encephalomyelitis","container-title":"Mathematical and Computer Modelling of Dynamical Systems","page":"67-86","volume":"18","issue":"1","source":"Taylor and Francis+NEJM","abstract":"For computational agent-based simulation, to become a serious tool for investigating biological systems requires the implications of simulation-derived results to be appreciated in terms of the original system. However, epistemic uncertainty regarding the exact nature of biological systems can complicate the calibration of models and simulations that attempt to capture their structure and behaviour, and can obscure the interpretation of simulation-derived experimental results with respect to the real domain. We present an approach to the calibration of an agent-based model of experimental autoimmune encephalomyelitis (EAE), a mouse proxy for multiple sclerosis (MS), which harnesses interaction between a modeller and domain expert in mitigating uncertainty in the data derived from the real domain. A novel uncertainty analysis technique is presented that, in conjunction with a latin hypercube-based global sensitivity analysis, can indicate the implications of epistemic uncertainty in the real domain. These analyses may be considered in the context of domain-specific knowledge to qualify the certainty placed on the results of in silico experimentation.","DOI":"10.1080/13873954.2011.601419","ISSN":"1387-3954","shortTitle":"Techniques for grounding agent-based simulations in the real domain","author":[{"family":"Read","given":"Mark"},{"family":"Andrews","given":"Paul S."},{"family":"Timmis","given":"Jon"},{"family":"Kumar","given":"Vipin"}],"issued":{"date-parts":[["2012",2,1]]}}}],"schema":"https://github.com/citation-style-language/schema/raw/master/csl-citation.json"} </w:instrText>
      </w:r>
      <w:r w:rsidR="00C27C25" w:rsidRPr="008B3AD6">
        <w:fldChar w:fldCharType="separate"/>
      </w:r>
      <w:r w:rsidR="00025067" w:rsidRPr="00025067">
        <w:rPr>
          <w:lang w:val="en-US"/>
        </w:rPr>
        <w:t>(Read et al. 2012)</w:t>
      </w:r>
      <w:r w:rsidR="00C27C25" w:rsidRPr="008B3AD6">
        <w:fldChar w:fldCharType="end"/>
      </w:r>
      <w:r w:rsidR="00EA74D1" w:rsidRPr="008B3AD6">
        <w:t xml:space="preserve"> introduced techniques for qualify the simulation results in the contex</w:t>
      </w:r>
      <w:r w:rsidR="005673AF" w:rsidRPr="008B3AD6">
        <w:t>t of domain-specific knowledge</w:t>
      </w:r>
      <w:r w:rsidR="00EA74D1" w:rsidRPr="008B3AD6">
        <w:t>, one of the methods presented in this work that is utilised within this thesis is the use of a global sensitivity analysis of model parameters.</w:t>
      </w:r>
    </w:p>
    <w:p w14:paraId="3D918161" w14:textId="35ADA9EE" w:rsidR="00B4233C" w:rsidRPr="008B3AD6" w:rsidRDefault="00B4233C" w:rsidP="00E869ED">
      <w:pPr>
        <w:spacing w:line="360" w:lineRule="auto"/>
        <w:jc w:val="both"/>
      </w:pPr>
    </w:p>
    <w:p w14:paraId="32A0DA86" w14:textId="7DF4E4C1" w:rsidR="0092307A" w:rsidRPr="008B3AD6" w:rsidRDefault="00D72521" w:rsidP="00E869ED">
      <w:pPr>
        <w:spacing w:line="360" w:lineRule="auto"/>
        <w:jc w:val="both"/>
      </w:pPr>
      <w:r w:rsidRPr="008B3AD6">
        <w:t xml:space="preserve">Calibration, as introduced in Section </w:t>
      </w:r>
      <w:r w:rsidRPr="008B3AD6">
        <w:fldChar w:fldCharType="begin"/>
      </w:r>
      <w:r w:rsidRPr="008B3AD6">
        <w:instrText xml:space="preserve"> REF _Ref522268512 \n </w:instrText>
      </w:r>
      <w:r w:rsidR="00E869ED" w:rsidRPr="008B3AD6">
        <w:instrText xml:space="preserve"> \* MERGEFORMAT </w:instrText>
      </w:r>
      <w:r w:rsidRPr="008B3AD6">
        <w:fldChar w:fldCharType="separate"/>
      </w:r>
      <w:r w:rsidR="00031DCA">
        <w:t>1.3.3</w:t>
      </w:r>
      <w:r w:rsidRPr="008B3AD6">
        <w:fldChar w:fldCharType="end"/>
      </w:r>
      <w:r w:rsidRPr="008B3AD6">
        <w:t>, is</w:t>
      </w:r>
      <w:r w:rsidR="00AA797F" w:rsidRPr="008B3AD6">
        <w:t xml:space="preserve"> the process of tuning the parameter values to reproduce the given domain data however</w:t>
      </w:r>
      <w:r w:rsidR="006429AB">
        <w:t xml:space="preserve"> it</w:t>
      </w:r>
      <w:r w:rsidR="00AA797F" w:rsidRPr="008B3AD6">
        <w:t xml:space="preserve"> is also rooted in modular validation. Throughout the calibration aspects of the simulation outputs or selected parameter values may deviate fro</w:t>
      </w:r>
      <w:r w:rsidR="005673AF" w:rsidRPr="008B3AD6">
        <w:t xml:space="preserve">m studied domain system </w:t>
      </w:r>
      <w:r w:rsidR="005673AF" w:rsidRPr="008B3AD6">
        <w:fldChar w:fldCharType="begin"/>
      </w:r>
      <w:r w:rsidR="00025067">
        <w:instrText xml:space="preserve"> ADDIN ZOTERO_ITEM CSL_CITATION {"citationID":"ZQpths4R","properties":{"formattedCitation":"(M. Read et al. 2012)","plainCitation":"(M. Read et al. 2012)","noteIndex":0},"citationItems":[{"id":3669,"uris":["http://zotero.org/users/2628971/items/XXXIKHCF"],"uri":["http://zotero.org/users/2628971/items/XXXIKHCF"],"itemData":{"id":3669,"type":"article-journal","title":"Techniques for grounding agent-based simulations in the real domain: a case study in experimental autoimmune encephalomyelitis","container-title":"Mathematical and Computer Modelling of Dynamical Systems","page":"67-86","volume":"18","issue":"1","source":"Taylor and Francis+NEJM","abstract":"For computational agent-based simulation, to become a serious tool for investigating biological systems requires the implications of simulation-derived results to be appreciated in terms of the original system. However, epistemic uncertainty regarding the exact nature of biological systems can complicate the calibration of models and simulations that attempt to capture their structure and behaviour, and can obscure the interpretation of simulation-derived experimental results with respect to the real domain. We present an approach to the calibration of an agent-based model of experimental autoimmune encephalomyelitis (EAE), a mouse proxy for multiple sclerosis (MS), which harnesses interaction between a modeller and domain expert in mitigating uncertainty in the data derived from the real domain. A novel uncertainty analysis technique is presented that, in conjunction with a latin hypercube-based global sensitivity analysis, can indicate the implications of epistemic uncertainty in the real domain. These analyses may be considered in the context of domain-specific knowledge to qualify the certainty placed on the results of in silico experimentation.","DOI":"10.1080/13873954.2011.601419","ISSN":"1387-3954","shortTitle":"Techniques for grounding agent-based simulations in the real domain","author":[{"family":"Read","given":"Mark"},{"family":"Andrews","given":"Paul S."},{"family":"Timmis","given":"Jon"},{"family":"Kumar","given":"Vipin"}],"issued":{"date-parts":[["2012",2,1]]}}}],"schema":"https://github.com/citation-style-language/schema/raw/master/csl-citation.json"} </w:instrText>
      </w:r>
      <w:r w:rsidR="005673AF" w:rsidRPr="008B3AD6">
        <w:fldChar w:fldCharType="separate"/>
      </w:r>
      <w:r w:rsidR="00E5551E">
        <w:rPr>
          <w:lang w:val="en-US"/>
        </w:rPr>
        <w:t>(</w:t>
      </w:r>
      <w:r w:rsidR="00025067" w:rsidRPr="00025067">
        <w:rPr>
          <w:lang w:val="en-US"/>
        </w:rPr>
        <w:t>Read et al. 2012)</w:t>
      </w:r>
      <w:r w:rsidR="005673AF" w:rsidRPr="008B3AD6">
        <w:fldChar w:fldCharType="end"/>
      </w:r>
      <w:r w:rsidR="0092307A" w:rsidRPr="008B3AD6">
        <w:t xml:space="preserve"> and </w:t>
      </w:r>
      <w:r w:rsidR="00AA797F" w:rsidRPr="008B3AD6">
        <w:t xml:space="preserve">the identification and rectification of these deviations is a form of model validation. </w:t>
      </w:r>
      <w:r w:rsidR="00EA74D1" w:rsidRPr="008B3AD6">
        <w:t>Global sensitivity analysis can be used to aid in the identification and rectification of deviations in model outputs by quantifying the influence parameters exert on said outputs</w:t>
      </w:r>
      <w:r w:rsidR="0092307A" w:rsidRPr="008B3AD6">
        <w:t>, however its application can extend further than error correction.</w:t>
      </w:r>
    </w:p>
    <w:p w14:paraId="3E918A85" w14:textId="707BF624" w:rsidR="0092307A" w:rsidRPr="008B3AD6" w:rsidRDefault="0092307A" w:rsidP="00E869ED">
      <w:pPr>
        <w:spacing w:line="360" w:lineRule="auto"/>
        <w:jc w:val="both"/>
      </w:pPr>
    </w:p>
    <w:p w14:paraId="5E9EBD82" w14:textId="5DACB4CC" w:rsidR="0092307A" w:rsidRPr="008B3AD6" w:rsidRDefault="004B587A" w:rsidP="00E869ED">
      <w:pPr>
        <w:spacing w:line="360" w:lineRule="auto"/>
        <w:jc w:val="both"/>
      </w:pPr>
      <w:r w:rsidRPr="008B3AD6">
        <w:t>S</w:t>
      </w:r>
      <w:r w:rsidR="0092307A" w:rsidRPr="008B3AD6">
        <w:t>ensitivity analysis</w:t>
      </w:r>
      <w:r w:rsidRPr="008B3AD6">
        <w:t xml:space="preserve"> (</w:t>
      </w:r>
      <w:r w:rsidR="00F47C3C" w:rsidRPr="008B3AD6">
        <w:t>SA) broadly</w:t>
      </w:r>
      <w:r w:rsidR="0092307A" w:rsidRPr="008B3AD6">
        <w:t xml:space="preserve"> focuses on quantifying the relationship between system inputs and outputs</w:t>
      </w:r>
      <w:r w:rsidR="00F47C3C" w:rsidRPr="008B3AD6">
        <w:t xml:space="preserve">. Traditionally, varied input parameter values are supplied to a model and </w:t>
      </w:r>
      <w:r w:rsidR="00F47C3C" w:rsidRPr="008B3AD6">
        <w:lastRenderedPageBreak/>
        <w:t xml:space="preserve">coupled with their corresponding model output to analyse the resulting influence of the changing parameter values. Specifically, </w:t>
      </w:r>
      <w:r w:rsidRPr="008B3AD6">
        <w:t>global sensitivity analyses (</w:t>
      </w:r>
      <w:r w:rsidR="00F47C3C" w:rsidRPr="008B3AD6">
        <w:t>GSAs</w:t>
      </w:r>
      <w:r w:rsidRPr="008B3AD6">
        <w:t>)</w:t>
      </w:r>
      <w:r w:rsidR="00F47C3C" w:rsidRPr="008B3AD6">
        <w:t xml:space="preserve"> </w:t>
      </w:r>
      <w:r w:rsidR="0092307A" w:rsidRPr="008B3AD6">
        <w:t xml:space="preserve">are used to perturb multiple parameter values simultaneously and measure whether there is any correlation between the generated simulations results and the parameter perturbation </w:t>
      </w:r>
      <w:r w:rsidR="00F32A09" w:rsidRPr="008B3AD6">
        <w:fldChar w:fldCharType="begin"/>
      </w:r>
      <w:r w:rsidR="00025067">
        <w:instrText xml:space="preserve"> ADDIN ZOTERO_ITEM CSL_CITATION {"citationID":"R1L8Wh7v","properties":{"formattedCitation":"(Saltelli et al. 2004; Hart, Bessac, and Constantinescu 2017)","plainCitation":"(Saltelli et al. 2004; Hart, Bessac, and Constantinescu 2017)","noteIndex":0},"citationItems":[{"id":3672,"uris":["http://zotero.org/users/2628971/items/BTTZAZYF"],"uri":["http://zotero.org/users/2628971/items/BTTZAZYF"],"itemData":{"id":3672,"type":"book","title":"Sensitivity Analysis in Practice: A Guide to Assessing Scientific Models","publisher":"John Wiley &amp; Sons","number-of-pages":"234","source":"Google Books","abstract":"Sensitivity analysis should be considered a pre-requisite forstatistical model building in any scientific discipline wheremodelling takes place. For a non-expert, choosing the method ofanalysis for their model is complex, and depends on a number offactors. This  book guides the non-expert through theirproblem in order to enable them to choose and apply the mostappropriate method. It offers a review of the state-of-the-art insensitivity analysis, and is suitable for a wide range ofpractitioners. It is focussed on the use of SIMLAB – a widelydistributed freely-available sensitivity analysis software packagedeveloped by the authors – for solving problems insensitivity analysis of statistical models. Other key features:Provides an accessible overview of the current most widely usedmethods for sensitivity analysis.Opens with a detailed worked example to explain the motivationbehind the book.Includes a range of examples to help illustrate the conceptsdiscussed.Focuses on implementation of the methods in the software SIMLAB- a freely-available sensitivity analysis software packagedeveloped by the authors.Contains a large number of references to sources for furtherreading.Authored by the leading authorities on sensitivityanalysis.","ISBN":"978-0-470-87094-5","note":"Google-Books-ID: NsAVmohPNpQC","shortTitle":"Sensitivity Analysis in Practice","language":"en","author":[{"family":"Saltelli","given":"Andrea"},{"family":"Tarantola","given":"Stefano"},{"family":"Campolongo","given":"Francesca"},{"family":"Ratto","given":"Marco"}],"issued":{"date-parts":[["2004",7,16]]}}},{"id":3674,"uris":["http://zotero.org/users/2628971/items/53W7FBN9"],"uri":["http://zotero.org/users/2628971/items/53W7FBN9"],"itemData":{"id":3674,"type":"article-journal","title":"Global sensitivity analysis for statistical model parameters","container-title":"arXiv:1708.07441 [stat]","source":"arXiv.org","abstract":"Global sensitivity analysis (GSA) is frequently used to analyze the influence of uncertain parameters in mathematical models and simulations. In principle, tools from GSA may be extended to analyze the influence of parameters in statistical models. Such analyses may enable reduced or parsimonious modeling and greater predictive capability. However, difficulties such as parameter correlation, model stochasticity, multivariate model output, and unknown parameter distributions prohibit a direct application of GSA tools to statistical models. By leveraging a loss function associated with the statistical model, we introduce a novel framework to address these difficulties and enable efficient GSA for statistical model parameters. Theoretical and computational properties are considered and illustrated on a synthetic example. The framework is applied to a Gaussian process model from the literature, which depends on 95 parameters. Non-influential parameters are discovered through GSA and a reduced model with equal or stronger predictive capability is constructed by using only 79 parameters.","URL":"http://arxiv.org/abs/1708.07441","note":"arXiv: 1708.07441","author":[{"family":"Hart","given":"Joseph"},{"family":"Bessac","given":"Julie"},{"family":"Constantinescu","given":"Emil"}],"issued":{"date-parts":[["2017",8,24]]},"accessed":{"date-parts":[["2018",8,29]]}}}],"schema":"https://github.com/citation-style-language/schema/raw/master/csl-citation.json"} </w:instrText>
      </w:r>
      <w:r w:rsidR="00F32A09" w:rsidRPr="008B3AD6">
        <w:fldChar w:fldCharType="separate"/>
      </w:r>
      <w:r w:rsidR="00025067" w:rsidRPr="00025067">
        <w:rPr>
          <w:lang w:val="en-US"/>
        </w:rPr>
        <w:t>(Saltelli et al. 2004; Hart, Bessac, and Constantinescu 2017)</w:t>
      </w:r>
      <w:r w:rsidR="00F32A09" w:rsidRPr="008B3AD6">
        <w:fldChar w:fldCharType="end"/>
      </w:r>
      <w:r w:rsidR="0092307A" w:rsidRPr="008B3AD6">
        <w:t xml:space="preserve">. A benefit of adjusting multiple parameters, as opposed to singular parameters, is that this approach accounts for inter-parameter dependencies that are not revealed during a parameter-by-parameter analysis. </w:t>
      </w:r>
    </w:p>
    <w:p w14:paraId="2EEF7823" w14:textId="33E0B07B" w:rsidR="00F47C3C" w:rsidRPr="008B3AD6" w:rsidRDefault="00F47C3C" w:rsidP="00E869ED">
      <w:pPr>
        <w:spacing w:line="360" w:lineRule="auto"/>
        <w:jc w:val="both"/>
      </w:pPr>
    </w:p>
    <w:p w14:paraId="45BE385A" w14:textId="717A54D8" w:rsidR="004B587A" w:rsidRPr="008B3AD6" w:rsidRDefault="00F47C3C" w:rsidP="00E869ED">
      <w:pPr>
        <w:spacing w:line="360" w:lineRule="auto"/>
        <w:jc w:val="both"/>
      </w:pPr>
      <w:r w:rsidRPr="008B3AD6">
        <w:t xml:space="preserve">There have been different scenarios where </w:t>
      </w:r>
      <w:r w:rsidR="006429AB">
        <w:t>SAs</w:t>
      </w:r>
      <w:r w:rsidRPr="008B3AD6">
        <w:t xml:space="preserve"> have been employed but broadly speaking </w:t>
      </w:r>
      <w:r w:rsidR="000F516F" w:rsidRPr="008B3AD6">
        <w:t>two main instances of their application occur</w:t>
      </w:r>
      <w:r w:rsidRPr="008B3AD6">
        <w:t xml:space="preserve"> pre- </w:t>
      </w:r>
      <w:r w:rsidR="004B587A" w:rsidRPr="008B3AD6">
        <w:t>and/or</w:t>
      </w:r>
      <w:r w:rsidRPr="008B3AD6">
        <w:t xml:space="preserve"> post-calibration. </w:t>
      </w:r>
      <w:r w:rsidR="000F516F" w:rsidRPr="008B3AD6">
        <w:t xml:space="preserve">Pre-calibration </w:t>
      </w:r>
      <w:r w:rsidR="006429AB">
        <w:t>SAs</w:t>
      </w:r>
      <w:r w:rsidR="004B587A" w:rsidRPr="008B3AD6">
        <w:t xml:space="preserve"> </w:t>
      </w:r>
      <w:r w:rsidR="000F516F" w:rsidRPr="008B3AD6">
        <w:t>have been employed in the modelling of activated sludge, the process of aerated sewage degradation by microorganisms, to identify which parameters hold the most influence over simulation outputs</w:t>
      </w:r>
      <w:r w:rsidR="00F32A09" w:rsidRPr="008B3AD6">
        <w:t xml:space="preserve"> </w:t>
      </w:r>
      <w:r w:rsidR="00F32A09" w:rsidRPr="008B3AD6">
        <w:fldChar w:fldCharType="begin"/>
      </w:r>
      <w:r w:rsidR="00025067">
        <w:instrText xml:space="preserve"> ADDIN ZOTERO_ITEM CSL_CITATION {"citationID":"TxDdPVSm","properties":{"formattedCitation":"(Vanrolleghem et al. 2003; W.-Y. Lee, Kim, and Yoo 2008; Zhu et al. 2015)","plainCitation":"(Vanrolleghem et al. 2003; W.-Y. Lee, Kim, and Yoo 2008; Zhu et al. 2015)","noteIndex":0},"citationItems":[{"id":3496,"uris":["http://zotero.org/users/2628971/items/8IC7KA8J"],"uri":["http://zotero.org/users/2628971/items/8IC7KA8J"],"itemData":{"id":3496,"type":"paper-conference","title":"A comprehensive model calibration procedure for activated sludge models","container-title":"De Pauw D, Nopens I, Dovermann H, Weijers S and Gernaey K","page":"11–15","source":"CiteSeer","abstract":"A methodology for calibration of the activated sludge plant models is proposed on the basis of consolidated engineering experience and a scientific approach. According to the method, the definition of the target(s) plays a crucial role in the selection of the steps incorporated in this so-called ‘Biomath-Calibration ’ protocol. For the activated sludge modelers this protocol tries to combine and link the state of the art methodologies for calibration of different processes in a wastewater treatment plant (hydraulics, biological reactions, sedimentation processes, etc.), and it can thus be used as a complete guideline for extensive model calibration tasks. Finally, an application of the methodology is presented in a case study for a nutrient removing oxidation ditch system.","author":[{"family":"Vanrolleghem","given":"Peter A."},{"family":"Insel","given":"Güclü"},{"family":"Petersen","given":"Britta"},{"family":"Sin","given":"Gürkan"},{"family":"Pauw","given":"Dirk De"},{"family":"Dovermann","given":"Huub"},{"family":"Weijers","given":"Stefan"},{"family":"Gernaey","given":"Krist"},{"family":"Dommel","given":"Waterschap De"}],"issued":{"date-parts":[["2003"]]}}},{"id":3493,"uris":["http://zotero.org/users/2628971/items/VP5DN8WV"],"uri":["http://zotero.org/users/2628971/items/VP5DN8WV"],"itemData":{"id":3493,"type":"paper-conference","title":"The model calibration protocol for parameter estimation of activated sludge model","container-title":"2008 International Conference on Control, Automation and Systems","page":"2616-2621","source":"IEEE Xplore","event":"2008 International Conference on Control, Automation and Systems","abstract":"In this paper, a standardized model calibration method for the optimal parameter estimation of the ASM is proposed. We developed a kind of the calibration protocol of ASM 1 model based on parameter selection, design of experiments and parameter optimization using multiple response surface methodology. In this research, two softwares of WEST&lt;sup&gt;reg&lt;/sup&gt; and MINITAP are used to model a waste water treatment process and optimize the model parameter and design of experiment. First, the most sensitive parameter set is determined by a new sensitivity analysis for considering the effluent quality index. Second, a multiple response surface methodology (MRS) is conducted for optimizing parameter estimation of ASM1 model. Because the proposed method is a multi-response model which is the suitable methods to estimate the model parameters in the ASM, it can simultaneously optimize the key parameters in the aspect of input-output model performance. The result of the model calibration protocol shows that it can select the key parameters of the ASM model and minimize the model error of the ASM model by a systematic sequence, which can save the much time in the modeling a process, improve the modeling performance of the ASM model and the prediction result of ASM. Since the proposed method is a kind of the calibration methodology, that is, protocol, it can be easily applied to a other ASM models, i.e., ASM2, 2d, 3 and also a full-scale plant.","DOI":"10.1109/ICCAS.2008.4694298","author":[{"family":"Lee","given":"Won-Young"},{"family":"Kim","given":"Min-Han"},{"family":"Yoo","given":"Chang Kyoo"}],"issued":{"date-parts":[["2008",10]]}}},{"id":2899,"uris":["http://zotero.org/users/2628971/items/A5792RAC"],"uri":["http://zotero.org/users/2628971/items/A5792RAC"],"itemData":{"id":2899,"type":"article-journal","title":"A Novel Protocol for Model Calibration in Biological Wastewater Treatment","container-title":"Scientific Reports","page":"8493","volume":"5","source":"www.nature.com","abstract":"Activated sludge models (ASMs) have been widely used for process design, operation and optimization in wastewater treatment plants. However, it is still a challenge to achieve an efficient calibration for reliable application by using the conventional approaches. Hereby, we propose a novel calibration protocol, i.e. Numerical Optimal Approaching Procedure (NOAP), for the systematic calibration of ASMs. The NOAP consists of three key steps in an iterative scheme flow: i) global factors sensitivity analysis for factors fixing; ii) pseudo-global parameter correlation analysis for non-identifiable factors detection; and iii) formation of a parameter subset through an estimation by using genetic algorithm. The validity and applicability are confirmed using experimental data obtained from two independent wastewater treatment systems, including a sequencing batch reactor and a continuous stirred-tank reactor. The results indicate that the NOAP can effectively determine the optimal parameter subset and successfully perform model calibration and validation for these two different systems. The proposed NOAP is expected to use for automatic calibration of ASMs and be applied potentially to other ordinary differential equations models.","DOI":"10.1038/srep08493","ISSN":"2045-2322","language":"en","author":[{"family":"Zhu","given":"Ao"},{"family":"Guo","given":"Jianhua"},{"family":"Ni","given":"Bing-Jie"},{"family":"Wang","given":"Shuying"},{"family":"Yang","given":"Qing"},{"family":"Peng","given":"Yongzhen"}],"issued":{"date-parts":[["2015",2,16]]}}}],"schema":"https://github.com/citation-style-language/schema/raw/master/csl-citation.json"} </w:instrText>
      </w:r>
      <w:r w:rsidR="00F32A09" w:rsidRPr="008B3AD6">
        <w:fldChar w:fldCharType="separate"/>
      </w:r>
      <w:r w:rsidR="00025067" w:rsidRPr="00025067">
        <w:rPr>
          <w:lang w:val="en-US"/>
        </w:rPr>
        <w:t>(Vanrolleghem et al. 2003; Lee, Kim, and Yoo 2008; Zhu et al. 2015)</w:t>
      </w:r>
      <w:r w:rsidR="00F32A09" w:rsidRPr="008B3AD6">
        <w:fldChar w:fldCharType="end"/>
      </w:r>
      <w:r w:rsidR="000F516F" w:rsidRPr="008B3AD6">
        <w:t>. By quantifying this influence the modellers rank the importance</w:t>
      </w:r>
      <w:r w:rsidR="004B587A" w:rsidRPr="008B3AD6">
        <w:t>/identifiability</w:t>
      </w:r>
      <w:r w:rsidR="000F516F" w:rsidRPr="008B3AD6">
        <w:t xml:space="preserve"> of each parameter for the coming calibration, with the derivation of influential parameters given higher priority. </w:t>
      </w:r>
      <w:r w:rsidR="004B587A" w:rsidRPr="008B3AD6">
        <w:t>T</w:t>
      </w:r>
      <w:r w:rsidR="000F516F" w:rsidRPr="008B3AD6">
        <w:t xml:space="preserve">his </w:t>
      </w:r>
      <w:r w:rsidR="004B587A" w:rsidRPr="008B3AD6">
        <w:t xml:space="preserve">higher </w:t>
      </w:r>
      <w:r w:rsidR="000F516F" w:rsidRPr="008B3AD6">
        <w:t>priority may be in the form of a greater investigation into the</w:t>
      </w:r>
      <w:r w:rsidR="004B587A" w:rsidRPr="008B3AD6">
        <w:t xml:space="preserve"> influential</w:t>
      </w:r>
      <w:r w:rsidR="000F516F" w:rsidRPr="008B3AD6">
        <w:t xml:space="preserve"> </w:t>
      </w:r>
      <w:r w:rsidR="004B587A" w:rsidRPr="008B3AD6">
        <w:t>parameter’s</w:t>
      </w:r>
      <w:r w:rsidR="000F516F" w:rsidRPr="008B3AD6">
        <w:t xml:space="preserve"> li</w:t>
      </w:r>
      <w:r w:rsidR="004B587A" w:rsidRPr="008B3AD6">
        <w:t xml:space="preserve">kely values </w:t>
      </w:r>
      <w:r w:rsidR="00F32A09" w:rsidRPr="008B3AD6">
        <w:fldChar w:fldCharType="begin"/>
      </w:r>
      <w:r w:rsidR="00025067">
        <w:instrText xml:space="preserve"> ADDIN ZOTERO_ITEM CSL_CITATION {"citationID":"cq7SPP5t","properties":{"formattedCitation":"(Zhu et al. 2015)","plainCitation":"(Zhu et al. 2015)","noteIndex":0},"citationItems":[{"id":2899,"uris":["http://zotero.org/users/2628971/items/A5792RAC"],"uri":["http://zotero.org/users/2628971/items/A5792RAC"],"itemData":{"id":2899,"type":"article-journal","title":"A Novel Protocol for Model Calibration in Biological Wastewater Treatment","container-title":"Scientific Reports","page":"8493","volume":"5","source":"www.nature.com","abstract":"Activated sludge models (ASMs) have been widely used for process design, operation and optimization in wastewater treatment plants. However, it is still a challenge to achieve an efficient calibration for reliable application by using the conventional approaches. Hereby, we propose a novel calibration protocol, i.e. Numerical Optimal Approaching Procedure (NOAP), for the systematic calibration of ASMs. The NOAP consists of three key steps in an iterative scheme flow: i) global factors sensitivity analysis for factors fixing; ii) pseudo-global parameter correlation analysis for non-identifiable factors detection; and iii) formation of a parameter subset through an estimation by using genetic algorithm. The validity and applicability are confirmed using experimental data obtained from two independent wastewater treatment systems, including a sequencing batch reactor and a continuous stirred-tank reactor. The results indicate that the NOAP can effectively determine the optimal parameter subset and successfully perform model calibration and validation for these two different systems. The proposed NOAP is expected to use for automatic calibration of ASMs and be applied potentially to other ordinary differential equations models.","DOI":"10.1038/srep08493","ISSN":"2045-2322","language":"en","author":[{"family":"Zhu","given":"Ao"},{"family":"Guo","given":"Jianhua"},{"family":"Ni","given":"Bing-Jie"},{"family":"Wang","given":"Shuying"},{"family":"Yang","given":"Qing"},{"family":"Peng","given":"Yongzhen"}],"issued":{"date-parts":[["2015",2,16]]}}}],"schema":"https://github.com/citation-style-language/schema/raw/master/csl-citation.json"} </w:instrText>
      </w:r>
      <w:r w:rsidR="00F32A09" w:rsidRPr="008B3AD6">
        <w:fldChar w:fldCharType="separate"/>
      </w:r>
      <w:r w:rsidR="00025067" w:rsidRPr="00025067">
        <w:rPr>
          <w:lang w:val="en-US"/>
        </w:rPr>
        <w:t>(Zhu et al. 2015)</w:t>
      </w:r>
      <w:r w:rsidR="00F32A09" w:rsidRPr="008B3AD6">
        <w:fldChar w:fldCharType="end"/>
      </w:r>
      <w:r w:rsidR="004B587A" w:rsidRPr="008B3AD6">
        <w:t xml:space="preserve"> or may be the non-inclusion of </w:t>
      </w:r>
      <w:r w:rsidR="000F516F" w:rsidRPr="008B3AD6">
        <w:t>lower priority parameters</w:t>
      </w:r>
      <w:r w:rsidR="00F32A09" w:rsidRPr="008B3AD6">
        <w:t xml:space="preserve"> in the calibration </w:t>
      </w:r>
      <w:r w:rsidR="00F32A09" w:rsidRPr="008B3AD6">
        <w:fldChar w:fldCharType="begin"/>
      </w:r>
      <w:r w:rsidR="00025067">
        <w:instrText xml:space="preserve"> ADDIN ZOTERO_ITEM CSL_CITATION {"citationID":"F5huI88v","properties":{"formattedCitation":"(Soetaert and Petzoldt 2010)","plainCitation":"(Soetaert and Petzoldt 2010)","noteIndex":0},"citationItems":[{"id":3678,"uris":["http://zotero.org/users/2628971/items/4YAIAYUW"],"uri":["http://zotero.org/users/2628971/items/4YAIAYUW"],"itemData":{"id":3678,"type":"article-journal","title":"Inverse Modelling, Sensitivity and Monte Carlo Analysis in R Using Package FME","container-title":"Journal of Statistical Software","volume":"33","issue":"3","source":"Crossref","URL":"http://www.jstatsoft.org/v33/i03/","DOI":"10.18637/jss.v033.i03","ISSN":"1548-7660","language":"en","author":[{"family":"Soetaert","given":"Karline"},{"family":"Petzoldt","given":"Thomas"}],"issued":{"date-parts":[["2010"]]},"accessed":{"date-parts":[["2018",8,29]]}}}],"schema":"https://github.com/citation-style-language/schema/raw/master/csl-citation.json"} </w:instrText>
      </w:r>
      <w:r w:rsidR="00F32A09" w:rsidRPr="008B3AD6">
        <w:fldChar w:fldCharType="separate"/>
      </w:r>
      <w:r w:rsidR="00025067" w:rsidRPr="00025067">
        <w:rPr>
          <w:lang w:val="en-US"/>
        </w:rPr>
        <w:t>(Soetaert and Petzoldt 2010)</w:t>
      </w:r>
      <w:r w:rsidR="00F32A09" w:rsidRPr="008B3AD6">
        <w:fldChar w:fldCharType="end"/>
      </w:r>
      <w:r w:rsidR="000F516F" w:rsidRPr="008B3AD6">
        <w:t xml:space="preserve">. </w:t>
      </w:r>
      <w:r w:rsidR="004B587A" w:rsidRPr="008B3AD6">
        <w:t>As this occurs pre-calibration the model may be subjected to further development, for instance redundant processes may be removed, and so does not necessarily offer further exploration of the model’s relationship to the domain it simulates.</w:t>
      </w:r>
    </w:p>
    <w:p w14:paraId="54AD2083" w14:textId="77777777" w:rsidR="004B587A" w:rsidRPr="008B3AD6" w:rsidRDefault="004B587A" w:rsidP="00E869ED">
      <w:pPr>
        <w:spacing w:line="360" w:lineRule="auto"/>
        <w:jc w:val="both"/>
      </w:pPr>
    </w:p>
    <w:p w14:paraId="625CCF39" w14:textId="0DC2BEC4" w:rsidR="00D72521" w:rsidRPr="008B3AD6" w:rsidRDefault="004B587A" w:rsidP="00E869ED">
      <w:pPr>
        <w:spacing w:line="360" w:lineRule="auto"/>
        <w:jc w:val="both"/>
      </w:pPr>
      <w:r w:rsidRPr="008B3AD6">
        <w:t xml:space="preserve">Post-calibration application </w:t>
      </w:r>
      <w:r w:rsidR="00303778" w:rsidRPr="008B3AD6">
        <w:t xml:space="preserve">of SAs has been previously employed to propose influential biological factors that have been derived from simulation outputs. </w:t>
      </w:r>
      <w:r w:rsidR="006429AB">
        <w:t xml:space="preserve">Once an </w:t>
      </w:r>
      <w:r w:rsidR="006429AB">
        <w:rPr>
          <w:i/>
        </w:rPr>
        <w:t xml:space="preserve">in silico </w:t>
      </w:r>
      <w:r w:rsidR="006429AB">
        <w:t xml:space="preserve">model </w:t>
      </w:r>
      <w:r w:rsidR="00042D8A" w:rsidRPr="008B3AD6">
        <w:t>has been calibrated parameters can be perturbed over biologically realist</w:t>
      </w:r>
      <w:r w:rsidR="002A0F30" w:rsidRPr="008B3AD6">
        <w:t xml:space="preserve">ic or theoretical ranges. For example, in their </w:t>
      </w:r>
      <w:r w:rsidR="006429AB">
        <w:t xml:space="preserve">mathematical </w:t>
      </w:r>
      <w:r w:rsidR="002A0F30" w:rsidRPr="008B3AD6">
        <w:t xml:space="preserve">model of the immune response to infection by </w:t>
      </w:r>
      <w:r w:rsidR="002A0F30" w:rsidRPr="008B3AD6">
        <w:rPr>
          <w:i/>
        </w:rPr>
        <w:t>Leishmania</w:t>
      </w:r>
      <w:r w:rsidR="00F32A09" w:rsidRPr="008B3AD6">
        <w:t xml:space="preserve">, Siewe and colleagues </w:t>
      </w:r>
      <w:r w:rsidR="00F32A09" w:rsidRPr="008B3AD6">
        <w:fldChar w:fldCharType="begin"/>
      </w:r>
      <w:r w:rsidR="00025067">
        <w:instrText xml:space="preserve"> ADDIN ZOTERO_ITEM CSL_CITATION {"citationID":"afyHHRst","properties":{"formattedCitation":"(Siewe et al. 2016)","plainCitation":"(Siewe et al. 2016)","noteIndex":0},"citationItems":[{"id":2578,"uris":["http://zotero.org/users/2628971/items/GKTD3VPK"],"uri":["http://zotero.org/users/2628971/items/GKTD3VPK"],"itemData":{"id":2578,"type":"article-journal","title":"Immune response to infection by Leishmania: A mathematical model","container-title":"Mathematical Biosciences","page":"28-43","volume":"276","source":"PubMed","abstract":"Leishmaniasis is a disease caused by the Leishmania parasites. The injection of the parasites into the host occurs when a sand fly, which is the vector, bites the skin of the host. The parasites, which are obligate, take advantage of the immune system response and invade both the classically activated macrophages (M1) and the alternatively activated macrophages (M2). In this paper, we develop a mathematical model to explain the evolution of the disease. Simulations of the model show that, M2 macrophages steadily increase and M1 macrophages steadily decrease, while M1+M2 reach a steady state which is approximately the same as at healthy state of the host. Furthermore, the ratio of Leishmania parasites to macrophages depends homogeneously on their ratio at the time of the initial infection, in agreement with in vitro experimental data. The model is used to simulate treatment by existing or potential new drugs, and to compare the efficacy of different schedules of drug delivery.","DOI":"10.1016/j.mbs.2016.02.015","ISSN":"1879-3134","note":"PMID: 26987853","shortTitle":"Immune response to infection by Leishmania","journalAbbreviation":"Math Biosci","language":"eng","author":[{"family":"Siewe","given":"Nourridine"},{"family":"Yakubu","given":"Abdul-Aziz"},{"family":"Satoskar","given":"Abhay R."},{"family":"Friedman","given":"Avner"}],"issued":{"date-parts":[["2016"]]}}}],"schema":"https://github.com/citation-style-language/schema/raw/master/csl-citation.json"} </w:instrText>
      </w:r>
      <w:r w:rsidR="00F32A09" w:rsidRPr="008B3AD6">
        <w:fldChar w:fldCharType="separate"/>
      </w:r>
      <w:r w:rsidR="00025067" w:rsidRPr="00025067">
        <w:rPr>
          <w:lang w:val="en-US"/>
        </w:rPr>
        <w:t>(Siewe et al. 2016)</w:t>
      </w:r>
      <w:r w:rsidR="00F32A09" w:rsidRPr="008B3AD6">
        <w:fldChar w:fldCharType="end"/>
      </w:r>
      <w:r w:rsidR="002A0F30" w:rsidRPr="008B3AD6">
        <w:t xml:space="preserve"> used Latin hypercube sampling (LHC) to derive near-random even sampling of multi-dimensional parameter spaces.</w:t>
      </w:r>
      <w:r w:rsidR="008446CB" w:rsidRPr="008B3AD6">
        <w:t xml:space="preserve"> Using </w:t>
      </w:r>
      <w:r w:rsidR="006429AB">
        <w:t>these generated parameters</w:t>
      </w:r>
      <w:r w:rsidR="008446CB" w:rsidRPr="008B3AD6">
        <w:t xml:space="preserve"> to </w:t>
      </w:r>
      <w:r w:rsidR="006429AB">
        <w:t>derive</w:t>
      </w:r>
      <w:r w:rsidR="008446CB" w:rsidRPr="008B3AD6">
        <w:t xml:space="preserve"> </w:t>
      </w:r>
      <w:r w:rsidR="006429AB">
        <w:t>simulation</w:t>
      </w:r>
      <w:r w:rsidR="008446CB" w:rsidRPr="008B3AD6">
        <w:t xml:space="preserve"> outputs they</w:t>
      </w:r>
      <w:r w:rsidR="002A0F30" w:rsidRPr="008B3AD6">
        <w:t xml:space="preserve"> </w:t>
      </w:r>
      <w:r w:rsidR="008446CB" w:rsidRPr="008B3AD6">
        <w:t>e</w:t>
      </w:r>
      <w:r w:rsidR="002A0F30" w:rsidRPr="008B3AD6">
        <w:t>valuat</w:t>
      </w:r>
      <w:r w:rsidR="008446CB" w:rsidRPr="008B3AD6">
        <w:t>ed</w:t>
      </w:r>
      <w:r w:rsidR="002A0F30" w:rsidRPr="008B3AD6">
        <w:t xml:space="preserve"> the influence of different parameters using the partial rank correlation coefficient (PRCC), a measure of the strength of a linear association between the parameters and the simulation outputs </w:t>
      </w:r>
      <w:r w:rsidR="00F32A09" w:rsidRPr="008B3AD6">
        <w:fldChar w:fldCharType="begin"/>
      </w:r>
      <w:r w:rsidR="00025067">
        <w:instrText xml:space="preserve"> ADDIN ZOTERO_ITEM CSL_CITATION {"citationID":"8HfJyLzZ","properties":{"formattedCitation":"(Marino et al. 2008)","plainCitation":"(Marino et al. 2008)","noteIndex":0},"citationItems":[{"id":3499,"uris":["http://zotero.org/users/2628971/items/UZFL76T5"],"uri":["http://zotero.org/users/2628971/items/UZFL76T5"],"itemData":{"id":3499,"type":"article-journal","title":"A Methodology For Performing Global Uncertainty And Sensitivity Analysis In Systems Biology","container-title":"Journal of theoretical biology","page":"178-196","volume":"254","issue":"1","source":"PubMed Central","abstract":"Accuracy of results from mathematical and computer models of biological systems is often complicated by the presence of uncertainties in experimental data that are used to estimate parameter values. Current mathematical modeling approaches typically use either single-parameter or local sensitivity analyses. However, these methods do not accurately assess uncertainty and sensitivity in the system as, by default they hold all other parameters fixed at baseline values. Using techniques described within we demonstrate how a multi-dimensional parameter space can be studied globally so all uncertainties can be identified. Further, uncertainty and sensitivity analysis techniques can help to identify and ultimately control uncertainties. In this work we develop methods for applying existing analytical tools to perform analyses on a variety of mathematical and computer models. We compare two specific types of global sensitivity analysis indexes that have proven to be among the most robust and efficient. Through familiar and new examples of mathematical and computer models, we provide a complete methodology for performing these analyses, both in deterministic and stochastic settings, and propose novel techniques to handle problems encountered during this type of analyses.","DOI":"10.1016/j.jtbi.2008.04.011","ISSN":"0022-5193","note":"PMID: 18572196\nPMCID: PMC2570191","journalAbbreviation":"J Theor Biol","author":[{"family":"Marino","given":"Simeone"},{"family":"Hogue","given":"Ian B."},{"family":"Ray","given":"Christian J."},{"family":"Kirschner","given":"Denise E."}],"issued":{"date-parts":[["2008",9,7]]}}}],"schema":"https://github.com/citation-style-language/schema/raw/master/csl-citation.json"} </w:instrText>
      </w:r>
      <w:r w:rsidR="00F32A09" w:rsidRPr="008B3AD6">
        <w:fldChar w:fldCharType="separate"/>
      </w:r>
      <w:r w:rsidR="00025067" w:rsidRPr="00025067">
        <w:rPr>
          <w:lang w:val="en-US"/>
        </w:rPr>
        <w:t>(Marino et al. 2008)</w:t>
      </w:r>
      <w:r w:rsidR="00F32A09" w:rsidRPr="008B3AD6">
        <w:fldChar w:fldCharType="end"/>
      </w:r>
      <w:r w:rsidR="008446CB" w:rsidRPr="008B3AD6">
        <w:t xml:space="preserve">. The PRCC informed that at 150 days post-infection the basal production rate of macrophages most heavily influenced parasite numbers with a positive PRCC value, thus the higher the macrophage production the higher the parasite numbers. Additionally, they showed that the production rate of </w:t>
      </w:r>
      <w:r w:rsidR="006429AB">
        <w:t>IFN</w:t>
      </w:r>
      <w:r w:rsidR="008446CB" w:rsidRPr="008B3AD6">
        <w:sym w:font="Symbol" w:char="F067"/>
      </w:r>
      <w:r w:rsidR="008446CB" w:rsidRPr="008B3AD6">
        <w:t xml:space="preserve"> by T cells was negatively correlated with parasite </w:t>
      </w:r>
      <w:r w:rsidR="008446CB" w:rsidRPr="008B3AD6">
        <w:lastRenderedPageBreak/>
        <w:t>numbers, the lower the production the higher the parasite</w:t>
      </w:r>
      <w:r w:rsidR="00A23A4C" w:rsidRPr="008B3AD6">
        <w:t xml:space="preserve"> number</w:t>
      </w:r>
      <w:r w:rsidR="008446CB" w:rsidRPr="008B3AD6">
        <w:t xml:space="preserve">. Together these findings show both the ability to further explore the domain at hand but also allow comparisons to the domain as a form of qualitative validation. </w:t>
      </w:r>
      <w:r w:rsidR="006429AB">
        <w:t>IFN</w:t>
      </w:r>
      <w:r w:rsidR="008446CB" w:rsidRPr="008B3AD6">
        <w:sym w:font="Symbol" w:char="F067"/>
      </w:r>
      <w:r w:rsidR="008446CB" w:rsidRPr="008B3AD6">
        <w:t xml:space="preserve"> has previously been highlighted as a key factor for the control of parasite numbers during a </w:t>
      </w:r>
      <w:r w:rsidR="008446CB" w:rsidRPr="008B3AD6">
        <w:rPr>
          <w:i/>
        </w:rPr>
        <w:t>Leishmania</w:t>
      </w:r>
      <w:r w:rsidR="008446CB" w:rsidRPr="008B3AD6">
        <w:t xml:space="preserve"> infection </w:t>
      </w:r>
      <w:r w:rsidR="00F32A09" w:rsidRPr="008B3AD6">
        <w:fldChar w:fldCharType="begin"/>
      </w:r>
      <w:r w:rsidR="00025067">
        <w:instrText xml:space="preserve"> ADDIN ZOTERO_ITEM CSL_CITATION {"citationID":"9Nh7ReiU","properties":{"formattedCitation":"(K. Kemp et al. 1999)","plainCitation":"(K. Kemp et al. 1999)","noteIndex":0},"citationItems":[{"id":2559,"uris":["http://zotero.org/users/2628971/items/8PBAQTB2"],"uri":["http://zotero.org/users/2628971/items/8PBAQTB2"],"itemData":{"id":2559,"type":"article-journal","title":"Leishmania-specific T cells expressing interferon-gamma (IFN-γ) and IL-10 upon activation are expanded in individuals cured of visceral leishmaniasis","container-title":"Clinical and Experimental Immunology","page":"500-504","volume":"116","issue":"3","source":"PubMed Central","abstract":"Peripheral blood mononuclear cells (PBMC) from patients who have recovered from visceral leishmaniasis often respond to Leishmania antigens in vitro by production of both IL-4, IFN-γ and IL-10. In order to establish the cellular sources of these cytokines, we activated cells from individuals with a history of visceral leishmaniasis with Leishmania antigen for 6 days in culture, and identified cytokine production at the single-cell level by flow cytometry. The cytokines were only found in CD3+ cells and among these mainly within the CD4+ subset. The percentage of cytokine-producing cells was compared in Leishmania-activated PBMC cultures from the previous patients and from individuals living in a village where leishmaniasis does not occur. The percentage of IL-10- and IFN-γ-containing cells was significantly higher in the previous patients than in the controls, indicating that Leishmania-specific T cells producing IL-10 and/or IFN-γ had been expanded as a result of the infection. The cytokine-producing cells in the previous patients could be divided into three types: (i) cells producing IFN-γ only; (ii) cells producing IL-4 only; and (iii) cells producing IFN-γ and IL-10 simultaneously. The first and second group of cells can be described as Th1- and Th2-type cells, respectively. The third group could be a regulatory subset of T cells important for maintaining a balance between Th1- and Th2-type cells in these individuals.","DOI":"10.1046/j.1365-2249.1999.00918.x","ISSN":"0009-9104","note":"PMID: 10361241\nPMCID: PMC1905302","journalAbbreviation":"Clin Exp Immunol","author":[{"family":"Kemp","given":"K"},{"family":"Kemp","given":"M"},{"family":"Kharazmi","given":"A"},{"family":"Ismail","given":"A"},{"family":"Kurtzhals","given":"J A L"},{"family":"Hviid","given":"L"},{"family":"Theander","given":"T G"}],"issued":{"date-parts":[["1999",6]]}}}],"schema":"https://github.com/citation-style-language/schema/raw/master/csl-citation.json"} </w:instrText>
      </w:r>
      <w:r w:rsidR="00F32A09" w:rsidRPr="008B3AD6">
        <w:fldChar w:fldCharType="separate"/>
      </w:r>
      <w:r w:rsidR="00E5551E">
        <w:rPr>
          <w:lang w:val="en-US"/>
        </w:rPr>
        <w:t>(</w:t>
      </w:r>
      <w:r w:rsidR="00025067" w:rsidRPr="00025067">
        <w:rPr>
          <w:lang w:val="en-US"/>
        </w:rPr>
        <w:t>Kemp et al. 1999)</w:t>
      </w:r>
      <w:r w:rsidR="00F32A09" w:rsidRPr="008B3AD6">
        <w:fldChar w:fldCharType="end"/>
      </w:r>
      <w:r w:rsidR="008446CB" w:rsidRPr="008B3AD6">
        <w:t xml:space="preserve"> and thus qualitatively validates the findings of the model. </w:t>
      </w:r>
      <w:r w:rsidR="00AA797F" w:rsidRPr="008B3AD6">
        <w:t xml:space="preserve">Scientific validation tests that model reflects the domain it is based upon, typically by comparison of simulation outputs to real experimental data </w:t>
      </w:r>
      <w:r w:rsidR="00F32A09" w:rsidRPr="008B3AD6">
        <w:fldChar w:fldCharType="begin"/>
      </w:r>
      <w:r w:rsidR="00025067">
        <w:instrText xml:space="preserve"> ADDIN ZOTERO_ITEM CSL_CITATION {"citationID":"d0mrI2V0","properties":{"formattedCitation":"(Polack 2010)","plainCitation":"(Polack 2010)","noteIndex":0},"citationItems":[{"id":3668,"uris":["http://zotero.org/users/2628971/items/DU55656L"],"uri":["http://zotero.org/users/2628971/items/DU55656L"],"itemData":{"id":3668,"type":"paper-conference","title":"Arguing validation of simulations in science","container-title":"Workshop on Complex Systems Modelling and Simulation","page":"51-74","author":[{"family":"Polack","given":"Fiona AC"}],"issued":{"date-parts":[["2010"]]}}}],"schema":"https://github.com/citation-style-language/schema/raw/master/csl-citation.json"} </w:instrText>
      </w:r>
      <w:r w:rsidR="00F32A09" w:rsidRPr="008B3AD6">
        <w:fldChar w:fldCharType="separate"/>
      </w:r>
      <w:r w:rsidR="00025067" w:rsidRPr="00025067">
        <w:rPr>
          <w:lang w:val="en-US"/>
        </w:rPr>
        <w:t>(Polack 2010)</w:t>
      </w:r>
      <w:r w:rsidR="00F32A09" w:rsidRPr="008B3AD6">
        <w:fldChar w:fldCharType="end"/>
      </w:r>
      <w:r w:rsidR="00AA797F" w:rsidRPr="008B3AD6">
        <w:t>, which should be data that formed no part of model calibration.</w:t>
      </w:r>
      <w:r w:rsidR="00D818DE" w:rsidRPr="008B3AD6">
        <w:t xml:space="preserve"> The model should first be initialised such that it can generate output in the same format as the comparable dataset. </w:t>
      </w:r>
      <w:r w:rsidR="005E6CD1" w:rsidRPr="008B3AD6">
        <w:t xml:space="preserve">For instance, in their work on modelling T cell activation during </w:t>
      </w:r>
      <w:r w:rsidR="005E6CD1" w:rsidRPr="008B3AD6">
        <w:rPr>
          <w:i/>
        </w:rPr>
        <w:t>Leishmania</w:t>
      </w:r>
      <w:r w:rsidR="005E6CD1" w:rsidRPr="008B3AD6">
        <w:t xml:space="preserve"> infection, Ribeiro and colleagues derived parameters describing </w:t>
      </w:r>
      <w:r w:rsidR="006429AB">
        <w:t xml:space="preserve">this </w:t>
      </w:r>
      <w:r w:rsidR="00391C34">
        <w:t>activation</w:t>
      </w:r>
      <w:r w:rsidR="00391C34" w:rsidRPr="008B3AD6">
        <w:t xml:space="preserve"> </w:t>
      </w:r>
      <w:r w:rsidR="005E6CD1" w:rsidRPr="008B3AD6">
        <w:t xml:space="preserve">response to different strains of </w:t>
      </w:r>
      <w:r w:rsidR="005E6CD1" w:rsidRPr="008B3AD6">
        <w:rPr>
          <w:i/>
        </w:rPr>
        <w:t>Leishmania</w:t>
      </w:r>
      <w:r w:rsidR="005E6CD1" w:rsidRPr="008B3AD6">
        <w:t xml:space="preserve"> and compared their simula</w:t>
      </w:r>
      <w:r w:rsidR="00F32A09" w:rsidRPr="008B3AD6">
        <w:t>tion outputs to published data</w:t>
      </w:r>
      <w:r w:rsidR="006429AB">
        <w:t xml:space="preserve"> for each different strain</w:t>
      </w:r>
      <w:r w:rsidR="00F32A09" w:rsidRPr="008B3AD6">
        <w:t xml:space="preserve"> </w:t>
      </w:r>
      <w:r w:rsidR="00F32A09" w:rsidRPr="008B3AD6">
        <w:fldChar w:fldCharType="begin"/>
      </w:r>
      <w:r w:rsidR="00025067">
        <w:instrText xml:space="preserve"> ADDIN ZOTERO_ITEM CSL_CITATION {"citationID":"AD9Krva7","properties":{"formattedCitation":"(Ribeiro et al. 2017)","plainCitation":"(Ribeiro et al. 2017)","noteIndex":0},"citationItems":[{"id":2619,"uris":["http://zotero.org/users/2628971/items/YRG6BW9K"],"uri":["http://zotero.org/users/2628971/items/YRG6BW9K"],"itemData":{"id":2619,"type":"article-journal","title":"Modeling Immune Response to Leishmania Species Indicates Adenosine As an Important Inhibitor of Th-Cell Activation","container-title":"Frontiers in Cellular and Infection Microbiology","page":"309","volume":"7","source":"PubMed","abstract":"Infection by Leishmania protozoan parasites can cause a variety of disease outcomes in humans and other mammals, from single self-healing cutaneous lesions to a visceral dissemination of the parasite. The correlation between chronic lesions and ecto-nucleotidase enzymes activity on the surface of the parasite is addressed here using damage caused in epithelial cells by nitric oxide. In order to explore the role of purinergic metabolism in lesion formation and the outcome of the infection, we implemented a cellular automata/lattice gas model involving major immune characters (Th1 and Th2 cells, IFN-γ, IL-4, IL-12, adenosine-Ado-, NO) and parasite players for the dynamic analysis of the disease progress. The model were analyzed using partial ranking correlation coefficient (PRCC) to indicate the components that most influence the disease progression. Results show that low Ado inhibition rate over Th-cells is shared by L. major and L. braziliensis, while in L. amazonensis infection the Ado inhibition rate over Th-cells reaches 30%. IL-4 inhibition rate over Th-cell priming to Th1 independent of IL-12 are exclusive of L. major. The lesion size and progression showed agreement with published biological data and the model was able to simulate cutaneous leishmaniasis outcomes. The sensitivity analysis suggested that Ado inhibition rate over Th-cells followed by Leishmania survival probability were the most important characteristics of the process, with PRCC of 0.89 and 0.77 respectively. The simulations also showed a non-linear relationship between Ado inhibition rate over Th-cells and lesion size measured as number of dead epithelial cells. In conclusion, this model can be a useful tool for the quantitative understanding of the immune response in leishmaniasis.","DOI":"10.3389/fcimb.2017.00309","ISSN":"2235-2988","note":"PMID: 28775959\nPMCID: PMC5517480","journalAbbreviation":"Front Cell Infect Microbiol","language":"eng","author":[{"family":"Ribeiro","given":"Henrique A. L."},{"family":"Maioli","given":"Tatiani U."},{"family":"Freitas","given":"Leandro M.","non-dropping-particle":"de"},{"family":"Tieri","given":"Paolo"},{"family":"Castiglione","given":"Filippo"}],"issued":{"date-parts":[["2017"]]}}}],"schema":"https://github.com/citation-style-language/schema/raw/master/csl-citation.json"} </w:instrText>
      </w:r>
      <w:r w:rsidR="00F32A09" w:rsidRPr="008B3AD6">
        <w:fldChar w:fldCharType="separate"/>
      </w:r>
      <w:r w:rsidR="00025067" w:rsidRPr="00025067">
        <w:rPr>
          <w:lang w:val="en-US"/>
        </w:rPr>
        <w:t>(Ribeiro et al. 2017)</w:t>
      </w:r>
      <w:r w:rsidR="00F32A09" w:rsidRPr="008B3AD6">
        <w:fldChar w:fldCharType="end"/>
      </w:r>
      <w:r w:rsidR="005E6CD1" w:rsidRPr="008B3AD6">
        <w:t xml:space="preserve">. </w:t>
      </w:r>
      <w:r w:rsidR="006429AB">
        <w:t>I</w:t>
      </w:r>
      <w:r w:rsidR="005E6CD1" w:rsidRPr="008B3AD6">
        <w:t>t should be noted</w:t>
      </w:r>
      <w:r w:rsidR="006429AB">
        <w:t xml:space="preserve"> however that their simulation</w:t>
      </w:r>
      <w:r w:rsidR="005E6CD1" w:rsidRPr="008B3AD6">
        <w:t xml:space="preserve"> outputs were compared in a qualitative manner without accompanying statistical validation. </w:t>
      </w:r>
    </w:p>
    <w:p w14:paraId="4DF43A36" w14:textId="6CFE268E" w:rsidR="00105EDF" w:rsidRPr="008B3AD6" w:rsidRDefault="00105EDF" w:rsidP="00B07FAD">
      <w:pPr>
        <w:spacing w:line="360" w:lineRule="auto"/>
        <w:jc w:val="both"/>
      </w:pPr>
    </w:p>
    <w:p w14:paraId="2D30D0C9" w14:textId="64DD95F7" w:rsidR="00AB3115" w:rsidRPr="008B3AD6" w:rsidRDefault="00222029" w:rsidP="00D0020A">
      <w:pPr>
        <w:pStyle w:val="Heading2"/>
        <w:jc w:val="both"/>
      </w:pPr>
      <w:bookmarkStart w:id="120" w:name="_Toc3716068"/>
      <w:r w:rsidRPr="008B3AD6">
        <w:t>Thesis Aims</w:t>
      </w:r>
      <w:bookmarkEnd w:id="120"/>
    </w:p>
    <w:p w14:paraId="0E32F21D" w14:textId="031D19E2" w:rsidR="00D0020A" w:rsidRPr="008B3AD6" w:rsidRDefault="005D2E29" w:rsidP="00D0020A">
      <w:pPr>
        <w:spacing w:line="360" w:lineRule="auto"/>
        <w:jc w:val="both"/>
      </w:pPr>
      <w:r w:rsidRPr="008B3AD6">
        <w:t xml:space="preserve">Leishmaniasis still poses a global threat and a major factor for this is a general lack of therapeutics. Whilst the therapeutics introduced </w:t>
      </w:r>
      <w:r w:rsidR="00391C34">
        <w:t>previously</w:t>
      </w:r>
      <w:r w:rsidR="00391C34" w:rsidRPr="008B3AD6">
        <w:t xml:space="preserve"> </w:t>
      </w:r>
      <w:r w:rsidRPr="008B3AD6">
        <w:t xml:space="preserve">have all been shown to be effective to varying degrees against different species of </w:t>
      </w:r>
      <w:r w:rsidRPr="008B3AD6">
        <w:rPr>
          <w:i/>
        </w:rPr>
        <w:t>Leishmania,</w:t>
      </w:r>
      <w:r w:rsidRPr="008B3AD6">
        <w:t xml:space="preserve"> a great deal of questions still remain unanswered regarding their </w:t>
      </w:r>
      <w:r w:rsidR="00D0020A" w:rsidRPr="008B3AD6">
        <w:t xml:space="preserve">pharmacokinetic and pharmacodynamic properties </w:t>
      </w:r>
      <w:r w:rsidR="00D0020A" w:rsidRPr="008B3AD6">
        <w:rPr>
          <w:i/>
        </w:rPr>
        <w:t>in situ</w:t>
      </w:r>
      <w:r w:rsidRPr="008B3AD6">
        <w:t xml:space="preserve">. </w:t>
      </w:r>
      <w:r w:rsidR="00D0020A" w:rsidRPr="008B3AD6">
        <w:t xml:space="preserve">With regards to visceral leishmaniasis, a hallmark of hepatic inflammation in experimental models is the formation of granulomas around infected foci yet there is scant evidence to suggest how these may affect the distribution and action of antileishmanial therapies. For this thesis our focus was to investigate drug distribution beyond the typically investigated whole tissue level. Using </w:t>
      </w:r>
      <w:r w:rsidR="00D0020A" w:rsidRPr="008B3AD6">
        <w:rPr>
          <w:i/>
        </w:rPr>
        <w:t>L. donovani</w:t>
      </w:r>
      <w:r w:rsidR="00D0020A" w:rsidRPr="008B3AD6">
        <w:t xml:space="preserve"> infected C57BL/6 mice as a well described model of </w:t>
      </w:r>
      <w:r w:rsidR="006429AB">
        <w:t>EVL</w:t>
      </w:r>
      <w:r w:rsidR="00D0020A" w:rsidRPr="008B3AD6">
        <w:t xml:space="preserve"> and </w:t>
      </w:r>
      <w:r w:rsidR="006429AB">
        <w:t>AmBisome</w:t>
      </w:r>
      <w:r w:rsidR="00D0020A" w:rsidRPr="008B3AD6">
        <w:t xml:space="preserve">, </w:t>
      </w:r>
      <w:r w:rsidR="006429AB">
        <w:t>as a standard formulation of LAmB which is a</w:t>
      </w:r>
      <w:r w:rsidR="00D0020A" w:rsidRPr="008B3AD6">
        <w:t xml:space="preserve"> ‘gold standard’ antileishmanial and well described therapeutic in other disease settings</w:t>
      </w:r>
      <w:r w:rsidR="003017FC" w:rsidRPr="008B3AD6">
        <w:t>,</w:t>
      </w:r>
      <w:r w:rsidR="00D0020A" w:rsidRPr="008B3AD6">
        <w:t xml:space="preserve"> we aimed to</w:t>
      </w:r>
      <w:r w:rsidR="00693DCB" w:rsidRPr="008B3AD6">
        <w:t xml:space="preserve"> answer</w:t>
      </w:r>
      <w:r w:rsidR="00D0020A" w:rsidRPr="008B3AD6">
        <w:t>:</w:t>
      </w:r>
    </w:p>
    <w:p w14:paraId="2EABBCD1" w14:textId="500C4A8A" w:rsidR="00F62B64" w:rsidRPr="008B3AD6" w:rsidRDefault="00F62B64" w:rsidP="00F62B64">
      <w:pPr>
        <w:pStyle w:val="ListParagraph"/>
        <w:numPr>
          <w:ilvl w:val="0"/>
          <w:numId w:val="36"/>
        </w:numPr>
        <w:spacing w:line="360" w:lineRule="auto"/>
        <w:jc w:val="both"/>
      </w:pPr>
      <w:r w:rsidRPr="008B3AD6">
        <w:t xml:space="preserve">What is the sub-tissue level distribution of </w:t>
      </w:r>
      <w:r w:rsidR="006429AB">
        <w:t>AmB</w:t>
      </w:r>
      <w:r w:rsidRPr="008B3AD6">
        <w:t xml:space="preserve"> in the liver post-treatment during EVL?</w:t>
      </w:r>
    </w:p>
    <w:p w14:paraId="476051E5" w14:textId="3834EF5A" w:rsidR="00D0020A" w:rsidRPr="008B3AD6" w:rsidRDefault="00F62B64" w:rsidP="007230D9">
      <w:pPr>
        <w:pStyle w:val="ListParagraph"/>
        <w:numPr>
          <w:ilvl w:val="0"/>
          <w:numId w:val="36"/>
        </w:numPr>
        <w:spacing w:line="360" w:lineRule="auto"/>
        <w:jc w:val="both"/>
      </w:pPr>
      <w:r w:rsidRPr="008B3AD6">
        <w:t>Which processes invo</w:t>
      </w:r>
      <w:r w:rsidR="006429AB">
        <w:t>lving immune system entities, such as</w:t>
      </w:r>
      <w:r w:rsidRPr="008B3AD6">
        <w:t xml:space="preserve"> migration, influence drug accumulation during EVL?</w:t>
      </w:r>
    </w:p>
    <w:p w14:paraId="19014A2E" w14:textId="7BE9E59D" w:rsidR="005D2E29" w:rsidRPr="008B3AD6" w:rsidRDefault="005D2E29" w:rsidP="00AB3115">
      <w:pPr>
        <w:spacing w:line="360" w:lineRule="auto"/>
      </w:pPr>
      <w:r w:rsidRPr="008B3AD6">
        <w:t xml:space="preserve"> </w:t>
      </w:r>
    </w:p>
    <w:p w14:paraId="6450CA98" w14:textId="4206DAD9" w:rsidR="00AA644D" w:rsidRPr="008B3AD6" w:rsidRDefault="009856CF" w:rsidP="00713C98">
      <w:pPr>
        <w:pStyle w:val="Heading1"/>
        <w:rPr>
          <w:szCs w:val="48"/>
        </w:rPr>
      </w:pPr>
      <w:bookmarkStart w:id="121" w:name="_Toc3716069"/>
      <w:r w:rsidRPr="008B3AD6">
        <w:rPr>
          <w:szCs w:val="48"/>
        </w:rPr>
        <w:lastRenderedPageBreak/>
        <w:t xml:space="preserve">| </w:t>
      </w:r>
      <w:r w:rsidR="00AA644D" w:rsidRPr="008B3AD6">
        <w:rPr>
          <w:szCs w:val="48"/>
        </w:rPr>
        <w:t>Materials and Methods</w:t>
      </w:r>
      <w:bookmarkEnd w:id="121"/>
    </w:p>
    <w:p w14:paraId="61E608D2" w14:textId="77777777" w:rsidR="00C608D6" w:rsidRPr="008B3AD6" w:rsidRDefault="00C608D6" w:rsidP="00E44977">
      <w:pPr>
        <w:spacing w:line="360" w:lineRule="auto"/>
        <w:rPr>
          <w:b/>
          <w:sz w:val="48"/>
          <w:szCs w:val="48"/>
        </w:rPr>
      </w:pPr>
    </w:p>
    <w:p w14:paraId="3C8D5F9A" w14:textId="77777777" w:rsidR="00C608D6" w:rsidRPr="008B3AD6" w:rsidRDefault="00C608D6">
      <w:pPr>
        <w:spacing w:line="240" w:lineRule="auto"/>
        <w:rPr>
          <w:b/>
          <w:sz w:val="48"/>
          <w:szCs w:val="48"/>
        </w:rPr>
      </w:pPr>
      <w:r w:rsidRPr="008B3AD6">
        <w:rPr>
          <w:b/>
          <w:sz w:val="48"/>
          <w:szCs w:val="48"/>
        </w:rPr>
        <w:br w:type="page"/>
      </w:r>
    </w:p>
    <w:p w14:paraId="16997416" w14:textId="77777777" w:rsidR="00C608D6" w:rsidRPr="008B3AD6" w:rsidRDefault="00C608D6" w:rsidP="00C608D6">
      <w:pPr>
        <w:pStyle w:val="Heading2"/>
      </w:pPr>
      <w:bookmarkStart w:id="122" w:name="_Toc518564585"/>
      <w:bookmarkStart w:id="123" w:name="_Toc3716070"/>
      <w:r w:rsidRPr="008B3AD6">
        <w:lastRenderedPageBreak/>
        <w:t>Ethical Statement</w:t>
      </w:r>
      <w:bookmarkEnd w:id="122"/>
      <w:bookmarkEnd w:id="123"/>
    </w:p>
    <w:p w14:paraId="623C14FE" w14:textId="5535C13F" w:rsidR="00094CBC" w:rsidRPr="008B3AD6" w:rsidRDefault="00094CBC" w:rsidP="00094CBC">
      <w:pPr>
        <w:spacing w:line="360" w:lineRule="auto"/>
        <w:jc w:val="both"/>
      </w:pPr>
      <w:r w:rsidRPr="008B3AD6">
        <w:t xml:space="preserve">All experiments were carried out with the approval of the United Kingdom Home Office under Project Licence “Immunology and Immunopathology of leishmaniasis” (PPL 60/4377 and P49487014). All experimental work was approved by the University of York Animal Welfare and </w:t>
      </w:r>
      <w:r w:rsidR="006509BD" w:rsidRPr="008B3AD6">
        <w:t>Ethic</w:t>
      </w:r>
      <w:r w:rsidR="006509BD">
        <w:t>al</w:t>
      </w:r>
      <w:r w:rsidRPr="008B3AD6">
        <w:t xml:space="preserve"> Review Bo</w:t>
      </w:r>
      <w:r w:rsidR="006509BD">
        <w:t>dy</w:t>
      </w:r>
      <w:r w:rsidRPr="008B3AD6">
        <w:t xml:space="preserve"> and conducted and reported in accordance with ARRIVE guidelines.</w:t>
      </w:r>
    </w:p>
    <w:p w14:paraId="63A3B2E1" w14:textId="77777777" w:rsidR="00C608D6" w:rsidRPr="008B3AD6" w:rsidRDefault="00C608D6" w:rsidP="00C608D6">
      <w:pPr>
        <w:spacing w:line="360" w:lineRule="auto"/>
        <w:jc w:val="both"/>
      </w:pPr>
    </w:p>
    <w:p w14:paraId="1A124073" w14:textId="77777777" w:rsidR="00C608D6" w:rsidRPr="008B3AD6" w:rsidRDefault="00C608D6" w:rsidP="00C608D6">
      <w:pPr>
        <w:pStyle w:val="Heading2"/>
      </w:pPr>
      <w:bookmarkStart w:id="124" w:name="_Toc495847341"/>
      <w:bookmarkStart w:id="125" w:name="_Toc518564586"/>
      <w:bookmarkStart w:id="126" w:name="_Toc3716071"/>
      <w:r w:rsidRPr="008B3AD6">
        <w:t>Mice</w:t>
      </w:r>
      <w:bookmarkEnd w:id="124"/>
      <w:bookmarkEnd w:id="125"/>
      <w:bookmarkEnd w:id="126"/>
      <w:r w:rsidRPr="008B3AD6">
        <w:t xml:space="preserve"> </w:t>
      </w:r>
    </w:p>
    <w:p w14:paraId="1663E639" w14:textId="77777777" w:rsidR="00094CBC" w:rsidRPr="008B3AD6" w:rsidRDefault="00094CBC" w:rsidP="00094CBC">
      <w:pPr>
        <w:spacing w:line="360" w:lineRule="auto"/>
        <w:jc w:val="both"/>
      </w:pPr>
      <w:r w:rsidRPr="008B3AD6">
        <w:t>C57BL/6 (B6) and B6.</w:t>
      </w:r>
      <w:r w:rsidRPr="008B3AD6">
        <w:rPr>
          <w:i/>
        </w:rPr>
        <w:t>Rag2</w:t>
      </w:r>
      <w:r w:rsidRPr="008B3AD6">
        <w:rPr>
          <w:vertAlign w:val="superscript"/>
        </w:rPr>
        <w:t>-/-</w:t>
      </w:r>
      <w:r w:rsidRPr="008B3AD6">
        <w:t xml:space="preserve"> were originally obtained from The Jackson Laboratory (Bar Harbour, USA).  B6.CD45.1 and B6.CD45.1.</w:t>
      </w:r>
      <w:r w:rsidRPr="008B3AD6">
        <w:rPr>
          <w:i/>
        </w:rPr>
        <w:t>Rag2</w:t>
      </w:r>
      <w:r w:rsidRPr="008B3AD6">
        <w:rPr>
          <w:vertAlign w:val="superscript"/>
        </w:rPr>
        <w:t xml:space="preserve">-/- </w:t>
      </w:r>
      <w:r w:rsidRPr="008B3AD6">
        <w:t xml:space="preserve">were originally obtained from the National Institute for Medical Research (Mill Hill London, U.K.). </w:t>
      </w:r>
      <w:r w:rsidRPr="008B3AD6">
        <w:rPr>
          <w:rFonts w:eastAsia="Times New Roman"/>
          <w:color w:val="222222"/>
          <w:shd w:val="clear" w:color="auto" w:fill="FFFFFF"/>
          <w:lang w:eastAsia="en-GB"/>
        </w:rPr>
        <w:t>B6.EYFP.</w:t>
      </w:r>
      <w:r w:rsidRPr="008B3AD6">
        <w:rPr>
          <w:rFonts w:eastAsia="Times New Roman"/>
          <w:i/>
          <w:color w:val="222222"/>
          <w:shd w:val="clear" w:color="auto" w:fill="FFFFFF"/>
          <w:lang w:eastAsia="en-GB"/>
        </w:rPr>
        <w:t>Rag1</w:t>
      </w:r>
      <w:r w:rsidRPr="008B3AD6">
        <w:rPr>
          <w:rFonts w:eastAsia="Times New Roman"/>
          <w:i/>
          <w:color w:val="222222"/>
          <w:shd w:val="clear" w:color="auto" w:fill="FFFFFF"/>
          <w:vertAlign w:val="superscript"/>
          <w:lang w:eastAsia="en-GB"/>
        </w:rPr>
        <w:t>-/-</w:t>
      </w:r>
      <w:r w:rsidRPr="008B3AD6">
        <w:rPr>
          <w:rFonts w:eastAsia="Times New Roman"/>
          <w:color w:val="222222"/>
          <w:shd w:val="clear" w:color="auto" w:fill="FFFFFF"/>
          <w:lang w:eastAsia="en-GB"/>
        </w:rPr>
        <w:t xml:space="preserve"> and </w:t>
      </w:r>
      <w:r w:rsidRPr="008B3AD6">
        <w:t>B6.</w:t>
      </w:r>
      <w:r w:rsidRPr="008B3AD6">
        <w:rPr>
          <w:i/>
        </w:rPr>
        <w:t>IL10</w:t>
      </w:r>
      <w:r w:rsidRPr="008B3AD6">
        <w:rPr>
          <w:i/>
          <w:vertAlign w:val="superscript"/>
        </w:rPr>
        <w:t>-/-</w:t>
      </w:r>
      <w:r w:rsidRPr="008B3AD6">
        <w:rPr>
          <w:vertAlign w:val="superscript"/>
        </w:rPr>
        <w:t xml:space="preserve"> </w:t>
      </w:r>
      <w:r w:rsidRPr="008B3AD6">
        <w:rPr>
          <w:rFonts w:eastAsia="Times New Roman"/>
          <w:color w:val="222222"/>
          <w:shd w:val="clear" w:color="auto" w:fill="FFFFFF"/>
          <w:lang w:eastAsia="en-GB"/>
        </w:rPr>
        <w:t xml:space="preserve">colonies were derived from breeding pairs originally supplied by Anne O'Garra, (National Institute of Medical Research, Mill Hill, UK and </w:t>
      </w:r>
      <w:r w:rsidRPr="008B3AD6">
        <w:t>The Francis Crick Institute, London, UK</w:t>
      </w:r>
      <w:r w:rsidRPr="008B3AD6">
        <w:rPr>
          <w:rFonts w:eastAsia="Times New Roman"/>
          <w:color w:val="222222"/>
          <w:shd w:val="clear" w:color="auto" w:fill="FFFFFF"/>
          <w:lang w:eastAsia="en-GB"/>
        </w:rPr>
        <w:t>).</w:t>
      </w:r>
      <w:r w:rsidRPr="008B3AD6">
        <w:t xml:space="preserve"> and were bred and maintained under specific-pathogen free (SPF) conditions at the Biological Services Facility (BSF) at the Department of Biology, University of York. </w:t>
      </w:r>
    </w:p>
    <w:p w14:paraId="1183C884" w14:textId="77777777" w:rsidR="00094CBC" w:rsidRPr="008B3AD6" w:rsidRDefault="00094CBC" w:rsidP="00094CBC">
      <w:pPr>
        <w:spacing w:line="360" w:lineRule="auto"/>
        <w:jc w:val="both"/>
      </w:pPr>
    </w:p>
    <w:p w14:paraId="07B01F16" w14:textId="77777777" w:rsidR="00094CBC" w:rsidRPr="008B3AD6" w:rsidRDefault="00094CBC" w:rsidP="00094CBC">
      <w:pPr>
        <w:spacing w:line="360" w:lineRule="auto"/>
        <w:jc w:val="both"/>
      </w:pPr>
      <w:r w:rsidRPr="008B3AD6">
        <w:t xml:space="preserve">All experimental infections were conducted using female mice aged between 3 - 13 weeks at point of infection. Naïve experimental mice were </w:t>
      </w:r>
      <w:r w:rsidRPr="008B3AD6">
        <w:softHyphen/>
      </w:r>
      <w:r w:rsidRPr="008B3AD6">
        <w:softHyphen/>
      </w:r>
      <w:r w:rsidRPr="008B3AD6">
        <w:softHyphen/>
      </w:r>
      <w:r w:rsidRPr="008B3AD6">
        <w:softHyphen/>
        <w:t>used between 7 - 18 weeks of age. B6.</w:t>
      </w:r>
      <w:r w:rsidRPr="008B3AD6">
        <w:rPr>
          <w:i/>
        </w:rPr>
        <w:t>Rag2</w:t>
      </w:r>
      <w:r w:rsidRPr="008B3AD6">
        <w:rPr>
          <w:vertAlign w:val="superscript"/>
        </w:rPr>
        <w:t xml:space="preserve">-/- </w:t>
      </w:r>
      <w:r w:rsidRPr="008B3AD6">
        <w:t>and B6.CD45.1.</w:t>
      </w:r>
      <w:r w:rsidRPr="008B3AD6">
        <w:rPr>
          <w:i/>
        </w:rPr>
        <w:t>Rag2</w:t>
      </w:r>
      <w:r w:rsidRPr="008B3AD6">
        <w:rPr>
          <w:vertAlign w:val="superscript"/>
        </w:rPr>
        <w:t>-/-</w:t>
      </w:r>
      <w:r w:rsidRPr="008B3AD6">
        <w:t xml:space="preserve"> mice infected with </w:t>
      </w:r>
      <w:r w:rsidRPr="008B3AD6">
        <w:rPr>
          <w:i/>
        </w:rPr>
        <w:t>Leishmania donovani</w:t>
      </w:r>
      <w:r w:rsidRPr="008B3AD6">
        <w:t xml:space="preserve"> for between 6 - 35 weeks were used as sources of parasites for experimental infections.</w:t>
      </w:r>
    </w:p>
    <w:p w14:paraId="0A862D84" w14:textId="77777777" w:rsidR="00C608D6" w:rsidRPr="008B3AD6" w:rsidRDefault="00C608D6" w:rsidP="00C608D6">
      <w:pPr>
        <w:spacing w:line="360" w:lineRule="auto"/>
        <w:jc w:val="both"/>
      </w:pPr>
    </w:p>
    <w:p w14:paraId="588CC9F0" w14:textId="77777777" w:rsidR="00C608D6" w:rsidRPr="008B3AD6" w:rsidRDefault="00C608D6" w:rsidP="00C608D6">
      <w:pPr>
        <w:pStyle w:val="Heading2"/>
      </w:pPr>
      <w:bookmarkStart w:id="127" w:name="_Toc495847342"/>
      <w:bookmarkStart w:id="128" w:name="_Toc518564587"/>
      <w:bookmarkStart w:id="129" w:name="_Toc3716072"/>
      <w:r w:rsidRPr="008B3AD6">
        <w:t>Parasites and Infections</w:t>
      </w:r>
      <w:bookmarkEnd w:id="127"/>
      <w:bookmarkEnd w:id="128"/>
      <w:bookmarkEnd w:id="129"/>
    </w:p>
    <w:p w14:paraId="53B2EF9E" w14:textId="77777777" w:rsidR="00094CBC" w:rsidRPr="008B3AD6" w:rsidRDefault="00094CBC" w:rsidP="00094CBC">
      <w:pPr>
        <w:spacing w:line="360" w:lineRule="auto"/>
        <w:jc w:val="both"/>
      </w:pPr>
      <w:r w:rsidRPr="008B3AD6">
        <w:rPr>
          <w:i/>
        </w:rPr>
        <w:t>L. donovani</w:t>
      </w:r>
      <w:r w:rsidRPr="008B3AD6">
        <w:t xml:space="preserve"> parasites (Ethiopian strain: LV9) were maintained in B6.</w:t>
      </w:r>
      <w:r w:rsidRPr="008B3AD6">
        <w:rPr>
          <w:i/>
        </w:rPr>
        <w:t>Rag2</w:t>
      </w:r>
      <w:r w:rsidRPr="008B3AD6">
        <w:rPr>
          <w:vertAlign w:val="superscript"/>
        </w:rPr>
        <w:t>-/-</w:t>
      </w:r>
      <w:r w:rsidRPr="008B3AD6">
        <w:t>, B6.CD45.1.</w:t>
      </w:r>
      <w:r w:rsidRPr="008B3AD6">
        <w:rPr>
          <w:i/>
        </w:rPr>
        <w:t>Rag2</w:t>
      </w:r>
      <w:r w:rsidRPr="008B3AD6">
        <w:rPr>
          <w:vertAlign w:val="superscript"/>
        </w:rPr>
        <w:t>-/-</w:t>
      </w:r>
      <w:r w:rsidRPr="008B3AD6">
        <w:t>and B6.EYFP.</w:t>
      </w:r>
      <w:r w:rsidRPr="008B3AD6">
        <w:rPr>
          <w:i/>
        </w:rPr>
        <w:t>Rag1</w:t>
      </w:r>
      <w:r w:rsidRPr="008B3AD6">
        <w:rPr>
          <w:vertAlign w:val="superscript"/>
        </w:rPr>
        <w:t>-/-</w:t>
      </w:r>
      <w:r w:rsidRPr="008B3AD6">
        <w:t xml:space="preserve"> mice by serial passage. Infection in these mice was via a lateral tail vein injection of a bolus dose of 3x10</w:t>
      </w:r>
      <w:r w:rsidRPr="008B3AD6">
        <w:rPr>
          <w:vertAlign w:val="superscript"/>
        </w:rPr>
        <w:t>7</w:t>
      </w:r>
      <w:r w:rsidRPr="008B3AD6">
        <w:t xml:space="preserve"> amastigotes.</w:t>
      </w:r>
    </w:p>
    <w:p w14:paraId="129F6F25" w14:textId="77777777" w:rsidR="00094CBC" w:rsidRPr="008B3AD6" w:rsidRDefault="00094CBC" w:rsidP="00094CBC">
      <w:pPr>
        <w:spacing w:line="360" w:lineRule="auto"/>
        <w:jc w:val="both"/>
      </w:pPr>
    </w:p>
    <w:p w14:paraId="0977A3C1" w14:textId="2EC4CAAB" w:rsidR="00094CBC" w:rsidRPr="008B3AD6" w:rsidRDefault="00094CBC" w:rsidP="00094CBC">
      <w:pPr>
        <w:spacing w:line="360" w:lineRule="auto"/>
        <w:jc w:val="both"/>
      </w:pPr>
      <w:r w:rsidRPr="008B3AD6">
        <w:t>To recover amastigotes, mice were euthanised by exposure to carbon dioxide gas in a rising concentration followed by cervical dislocation. The spleen was then removed into RPMI 1640 Medium (RPMI) (Gibco, ThermoFisher, Paisley, United Kingdom) and subsequently homogenised in a glass homogeniser. RPMI was added to the homogenate to the volume of 50 millilitres (ml) in a 50 ml conical tube and centrifuged for 5 minutes at 137 G at room temperature (RT) in a Heareus Multifuge 3S-R (DJB labcare, UK). The resulting supernatant was transferred to a 50 ml Falcon containing 25 m</w:t>
      </w:r>
      <w:r w:rsidR="006429AB">
        <w:t>illi</w:t>
      </w:r>
      <w:r w:rsidRPr="008B3AD6">
        <w:t>g</w:t>
      </w:r>
      <w:r w:rsidR="006429AB">
        <w:t>ram (mg)</w:t>
      </w:r>
      <w:r w:rsidRPr="008B3AD6">
        <w:t xml:space="preserve"> Saponin (BDH, Leicestershire, United Kingdom)</w:t>
      </w:r>
      <w:r w:rsidR="006B1885">
        <w:t>, to lyse cells and release parasite,</w:t>
      </w:r>
      <w:r w:rsidRPr="008B3AD6">
        <w:t xml:space="preserve"> per 20 ml of supernatant and left to stand at </w:t>
      </w:r>
      <w:r w:rsidR="006429AB">
        <w:t>room temperature (</w:t>
      </w:r>
      <w:r w:rsidRPr="008B3AD6">
        <w:t>RT</w:t>
      </w:r>
      <w:r w:rsidR="006429AB">
        <w:t>)</w:t>
      </w:r>
      <w:r w:rsidRPr="008B3AD6">
        <w:t xml:space="preserve"> for 5 minutes. The solution was then centrifuged </w:t>
      </w:r>
      <w:r w:rsidRPr="008B3AD6">
        <w:lastRenderedPageBreak/>
        <w:t>for 10 minutes at 2063 G at 37º</w:t>
      </w:r>
      <w:r w:rsidRPr="008B3AD6">
        <w:rPr>
          <w:vertAlign w:val="superscript"/>
        </w:rPr>
        <w:t>C</w:t>
      </w:r>
      <w:r w:rsidRPr="008B3AD6">
        <w:t xml:space="preserve"> and the supernat</w:t>
      </w:r>
      <w:r w:rsidR="006429AB">
        <w:t>ant discarded into 10% Distell</w:t>
      </w:r>
      <w:r w:rsidRPr="008B3AD6">
        <w:t>. The amastigote pellet was resuspended in 25 ml RPMI and centrifuged for 10 minutes at 2063 G at 37º</w:t>
      </w:r>
      <w:r w:rsidRPr="008B3AD6">
        <w:rPr>
          <w:vertAlign w:val="superscript"/>
        </w:rPr>
        <w:t>C</w:t>
      </w:r>
      <w:r w:rsidRPr="008B3AD6">
        <w:t xml:space="preserve"> and the supernatant discarded into 10% Distell, this spin and discard process was repeated twice more. The final pellet was resuspended in 20 ml RPMI and disaggregated by passing through a 26-gauge needle tip (Becton Dickinson, Drogheda, Ireland) from a 10 ml syringe (Becton Dickinson, Drogheda, Ireland) several times. </w:t>
      </w:r>
    </w:p>
    <w:p w14:paraId="4DD1D743" w14:textId="77777777" w:rsidR="00094CBC" w:rsidRPr="008B3AD6" w:rsidRDefault="00094CBC" w:rsidP="00094CBC">
      <w:pPr>
        <w:spacing w:line="360" w:lineRule="auto"/>
        <w:jc w:val="both"/>
      </w:pPr>
      <w:r w:rsidRPr="008B3AD6">
        <w:t xml:space="preserve"> </w:t>
      </w:r>
    </w:p>
    <w:p w14:paraId="063C0F5E" w14:textId="0A436508" w:rsidR="00094CBC" w:rsidRPr="008B3AD6" w:rsidRDefault="00094CBC" w:rsidP="00B2594A">
      <w:pPr>
        <w:spacing w:line="360" w:lineRule="auto"/>
        <w:jc w:val="both"/>
      </w:pPr>
      <w:r w:rsidRPr="008B3AD6">
        <w:t xml:space="preserve">To ascertain parasite concentration, 4 microlitres (μl) of parasite suspension was applied to a sterile Thomas bacteriological counting chamber (Weber Scientific International, Middlesex, United Kingdom) and four corner squares were counted. The </w:t>
      </w:r>
      <w:r w:rsidR="00D269D1">
        <w:t xml:space="preserve">parasite </w:t>
      </w:r>
      <w:r w:rsidRPr="008B3AD6">
        <w:t>solution was then diluted/concentrated to give a final concentration of 1.5x10</w:t>
      </w:r>
      <w:r w:rsidRPr="008B3AD6">
        <w:rPr>
          <w:vertAlign w:val="superscript"/>
        </w:rPr>
        <w:t>8</w:t>
      </w:r>
      <w:r w:rsidRPr="008B3AD6">
        <w:t xml:space="preserve"> amastigotes/ml for</w:t>
      </w:r>
      <w:r w:rsidR="00D269D1">
        <w:t xml:space="preserve"> infections using</w:t>
      </w:r>
      <w:r w:rsidRPr="008B3AD6">
        <w:t xml:space="preserve"> a 200 μl injection</w:t>
      </w:r>
      <w:r w:rsidR="00D269D1">
        <w:t xml:space="preserve"> volume</w:t>
      </w:r>
      <w:r w:rsidRPr="008B3AD6">
        <w:t xml:space="preserve"> or </w:t>
      </w:r>
      <w:r w:rsidR="00D269D1">
        <w:t xml:space="preserve">the solution was diluted/concentrated to give a final concentration of </w:t>
      </w:r>
      <w:r w:rsidRPr="008B3AD6">
        <w:t>3x10</w:t>
      </w:r>
      <w:r w:rsidRPr="008B3AD6">
        <w:rPr>
          <w:vertAlign w:val="superscript"/>
        </w:rPr>
        <w:t>8</w:t>
      </w:r>
      <w:r w:rsidRPr="008B3AD6">
        <w:t xml:space="preserve"> amastigotes/ml for </w:t>
      </w:r>
      <w:r w:rsidR="00D269D1">
        <w:t>infections using a</w:t>
      </w:r>
      <w:r w:rsidRPr="008B3AD6">
        <w:t xml:space="preserve"> 100 μl injection</w:t>
      </w:r>
      <w:r w:rsidR="00D269D1">
        <w:t xml:space="preserve"> volume</w:t>
      </w:r>
      <w:r w:rsidRPr="008B3AD6">
        <w:t>. Experimental infections were achieved via a lateral tail vein injection of a bolus dose of 2.5-3x10</w:t>
      </w:r>
      <w:r w:rsidRPr="008B3AD6">
        <w:rPr>
          <w:vertAlign w:val="superscript"/>
        </w:rPr>
        <w:t>7</w:t>
      </w:r>
      <w:r w:rsidRPr="008B3AD6">
        <w:t xml:space="preserve"> amastigotes</w:t>
      </w:r>
      <w:r w:rsidR="00D269D1">
        <w:t xml:space="preserve">, as either a 100 </w:t>
      </w:r>
      <w:r w:rsidR="00D269D1" w:rsidRPr="008B3AD6">
        <w:t>μl</w:t>
      </w:r>
      <w:r w:rsidR="00D269D1">
        <w:t xml:space="preserve"> or 200 </w:t>
      </w:r>
      <w:r w:rsidR="00D269D1" w:rsidRPr="008B3AD6">
        <w:t>μl</w:t>
      </w:r>
      <w:r w:rsidR="00D269D1">
        <w:t xml:space="preserve"> injection as described above</w:t>
      </w:r>
      <w:r w:rsidRPr="008B3AD6">
        <w:t>.</w:t>
      </w:r>
    </w:p>
    <w:p w14:paraId="73FA115C" w14:textId="77777777" w:rsidR="00C608D6" w:rsidRPr="008B3AD6" w:rsidRDefault="00C608D6" w:rsidP="00B2594A">
      <w:pPr>
        <w:spacing w:line="360" w:lineRule="auto"/>
        <w:jc w:val="both"/>
      </w:pPr>
    </w:p>
    <w:p w14:paraId="5B78FB45" w14:textId="77777777" w:rsidR="00C608D6" w:rsidRPr="008B3AD6" w:rsidRDefault="00C608D6" w:rsidP="00B2594A">
      <w:pPr>
        <w:pStyle w:val="Heading2"/>
        <w:jc w:val="both"/>
      </w:pPr>
      <w:bookmarkStart w:id="130" w:name="_Ref519020820"/>
      <w:bookmarkStart w:id="131" w:name="_Ref519021102"/>
      <w:bookmarkStart w:id="132" w:name="_Ref519021494"/>
      <w:bookmarkStart w:id="133" w:name="_Toc3716073"/>
      <w:r w:rsidRPr="008B3AD6">
        <w:t>AmBisome</w:t>
      </w:r>
      <w:r w:rsidRPr="008B3AD6">
        <w:sym w:font="Symbol" w:char="F0E2"/>
      </w:r>
      <w:r w:rsidRPr="008B3AD6">
        <w:t xml:space="preserve"> Preparation and Administration</w:t>
      </w:r>
      <w:bookmarkEnd w:id="130"/>
      <w:bookmarkEnd w:id="131"/>
      <w:bookmarkEnd w:id="132"/>
      <w:bookmarkEnd w:id="133"/>
    </w:p>
    <w:p w14:paraId="1802D34D" w14:textId="69FA2BA4" w:rsidR="00094CBC" w:rsidRPr="008B3AD6" w:rsidRDefault="00094CBC" w:rsidP="00B2594A">
      <w:pPr>
        <w:spacing w:line="360" w:lineRule="auto"/>
        <w:jc w:val="both"/>
      </w:pPr>
      <w:r w:rsidRPr="008B3AD6">
        <w:t>AmBisome</w:t>
      </w:r>
      <w:r w:rsidRPr="008B3AD6">
        <w:sym w:font="Symbol" w:char="F0E2"/>
      </w:r>
      <w:r w:rsidRPr="008B3AD6">
        <w:t xml:space="preserve"> (Gilead Sciences International, Ltd, Cambridge, United Kingdom) was used at 10 milligrams </w:t>
      </w:r>
      <w:r w:rsidR="007A0883">
        <w:t>of the active ingredient</w:t>
      </w:r>
      <w:r w:rsidR="006B1885">
        <w:t>,</w:t>
      </w:r>
      <w:r w:rsidR="007A0883">
        <w:t xml:space="preserve"> Amphotericin B</w:t>
      </w:r>
      <w:r w:rsidR="006B1885">
        <w:t>,</w:t>
      </w:r>
      <w:r w:rsidR="007A0883">
        <w:t xml:space="preserve"> </w:t>
      </w:r>
      <w:r w:rsidRPr="008B3AD6">
        <w:t>per kilogram (mg/kg) in all experiments. To prepare AmBisome</w:t>
      </w:r>
      <w:r w:rsidRPr="008B3AD6">
        <w:sym w:font="Symbol" w:char="F0E2"/>
      </w:r>
      <w:r w:rsidRPr="008B3AD6">
        <w:t xml:space="preserve"> for these experiments, cohorts of mice were weighed, and the average weight recorded. This average weight was multiplied by 10 (as the dosing was 10mg/kg, which is also 10ug/g) to determine the ug </w:t>
      </w:r>
      <w:r w:rsidR="007A0883">
        <w:t>of Amphotericin B</w:t>
      </w:r>
      <w:r w:rsidR="007A0883" w:rsidRPr="008B3AD6">
        <w:t xml:space="preserve"> </w:t>
      </w:r>
      <w:r w:rsidRPr="008B3AD6">
        <w:t xml:space="preserve">needed per average mouse bodyweight. The amount derived was multiplied by 26.53 (the scaling factor for the amount of </w:t>
      </w:r>
      <w:r w:rsidR="007A0883">
        <w:t>Amphotericin B</w:t>
      </w:r>
      <w:r w:rsidR="007A0883" w:rsidRPr="008B3AD6">
        <w:t xml:space="preserve"> </w:t>
      </w:r>
      <w:r w:rsidRPr="008B3AD6">
        <w:t>per mg of AmBisome</w:t>
      </w:r>
      <w:r w:rsidRPr="008B3AD6">
        <w:sym w:font="Symbol" w:char="F0E2"/>
      </w:r>
      <w:r w:rsidRPr="008B3AD6">
        <w:t>). The resulting amount represented the mg of AmBisome</w:t>
      </w:r>
      <w:r w:rsidRPr="008B3AD6">
        <w:sym w:font="Symbol" w:char="F0E2"/>
      </w:r>
      <w:r w:rsidRPr="008B3AD6">
        <w:t xml:space="preserve"> </w:t>
      </w:r>
      <w:r w:rsidR="007A0883">
        <w:t xml:space="preserve">needed </w:t>
      </w:r>
      <w:r w:rsidRPr="008B3AD6">
        <w:t>per mouse</w:t>
      </w:r>
      <w:r w:rsidR="007A0883">
        <w:t xml:space="preserve"> that contained 10mg/kg of Amphotericin B</w:t>
      </w:r>
      <w:r w:rsidRPr="008B3AD6">
        <w:t xml:space="preserve"> and was converted to μg by dividing by 1000. The amount required to dose the full cohort was weighed aseptically and resuspended in 100ul of sterile 5% dextrose</w:t>
      </w:r>
      <w:r w:rsidR="006B1885">
        <w:t>, to maintain liposome stability,</w:t>
      </w:r>
      <w:r w:rsidRPr="008B3AD6">
        <w:t xml:space="preserve"> </w:t>
      </w:r>
      <w:r w:rsidR="006429AB">
        <w:t xml:space="preserve">in distilled water </w:t>
      </w:r>
      <w:r w:rsidRPr="006429AB">
        <w:t>per</w:t>
      </w:r>
      <w:r w:rsidRPr="008B3AD6">
        <w:t xml:space="preserve"> mouse.</w:t>
      </w:r>
    </w:p>
    <w:p w14:paraId="4C52D597" w14:textId="77777777" w:rsidR="00C608D6" w:rsidRPr="008B3AD6" w:rsidRDefault="00C608D6" w:rsidP="00B2594A">
      <w:pPr>
        <w:spacing w:line="360" w:lineRule="auto"/>
        <w:jc w:val="both"/>
      </w:pPr>
    </w:p>
    <w:p w14:paraId="20D8E331" w14:textId="77777777" w:rsidR="00C608D6" w:rsidRPr="008B3AD6" w:rsidRDefault="00C608D6" w:rsidP="00B2594A">
      <w:pPr>
        <w:pStyle w:val="Heading2"/>
        <w:jc w:val="both"/>
      </w:pPr>
      <w:bookmarkStart w:id="134" w:name="_Ref518492280"/>
      <w:bookmarkStart w:id="135" w:name="_Toc3716074"/>
      <w:r w:rsidRPr="008B3AD6">
        <w:t>Liver Isolation and Preparation</w:t>
      </w:r>
      <w:bookmarkEnd w:id="134"/>
      <w:bookmarkEnd w:id="135"/>
    </w:p>
    <w:p w14:paraId="7EF0C195" w14:textId="0CFD1745" w:rsidR="00094CBC" w:rsidRPr="008B3AD6" w:rsidRDefault="00094CBC" w:rsidP="00B2594A">
      <w:pPr>
        <w:spacing w:line="360" w:lineRule="auto"/>
        <w:jc w:val="both"/>
      </w:pPr>
      <w:r w:rsidRPr="008B3AD6">
        <w:t xml:space="preserve">For experiments described in </w:t>
      </w:r>
      <w:r w:rsidR="008B3AD6" w:rsidRPr="008B3AD6">
        <w:fldChar w:fldCharType="begin"/>
      </w:r>
      <w:r w:rsidR="008B3AD6" w:rsidRPr="008B3AD6">
        <w:instrText xml:space="preserve"> REF _Ref518738258 \n </w:instrText>
      </w:r>
      <w:r w:rsidR="008B3AD6">
        <w:instrText xml:space="preserve"> \* MERGEFORMAT </w:instrText>
      </w:r>
      <w:r w:rsidR="008B3AD6" w:rsidRPr="008B3AD6">
        <w:fldChar w:fldCharType="separate"/>
      </w:r>
      <w:r w:rsidR="00031DCA">
        <w:t>Chapter 3</w:t>
      </w:r>
      <w:r w:rsidR="008B3AD6" w:rsidRPr="008B3AD6">
        <w:fldChar w:fldCharType="end"/>
      </w:r>
      <w:r w:rsidRPr="008B3AD6">
        <w:t>, mice were killed via exposure to rising concentrations of CO</w:t>
      </w:r>
      <w:r w:rsidRPr="008B3AD6">
        <w:rPr>
          <w:vertAlign w:val="subscript"/>
        </w:rPr>
        <w:t>2</w:t>
      </w:r>
      <w:r w:rsidRPr="008B3AD6">
        <w:t xml:space="preserve"> followed by cervical dislocation at experimental end-points. For experiments described in </w:t>
      </w:r>
      <w:r w:rsidR="008B3AD6" w:rsidRPr="008B3AD6">
        <w:fldChar w:fldCharType="begin"/>
      </w:r>
      <w:r w:rsidR="008B3AD6" w:rsidRPr="008B3AD6">
        <w:instrText xml:space="preserve"> REF _Ref519000859 \n </w:instrText>
      </w:r>
      <w:r w:rsidR="008B3AD6">
        <w:instrText xml:space="preserve"> \* MERGEFORMAT </w:instrText>
      </w:r>
      <w:r w:rsidR="008B3AD6" w:rsidRPr="008B3AD6">
        <w:fldChar w:fldCharType="separate"/>
      </w:r>
      <w:r w:rsidR="00031DCA">
        <w:t>Chapter 4</w:t>
      </w:r>
      <w:r w:rsidR="008B3AD6" w:rsidRPr="008B3AD6">
        <w:fldChar w:fldCharType="end"/>
      </w:r>
      <w:r w:rsidRPr="008B3AD6">
        <w:t xml:space="preserve">, mice were killed via exsanguination </w:t>
      </w:r>
      <w:r w:rsidR="007A0883">
        <w:t xml:space="preserve">under terminal </w:t>
      </w:r>
      <w:r w:rsidR="007A0883" w:rsidRPr="007A0883">
        <w:t>anaesthesia</w:t>
      </w:r>
      <w:r w:rsidR="007A0883">
        <w:t xml:space="preserve"> </w:t>
      </w:r>
      <w:r w:rsidRPr="008B3AD6">
        <w:t xml:space="preserve">followed by cervical dislocation at experimental end-points. </w:t>
      </w:r>
    </w:p>
    <w:p w14:paraId="753F735A" w14:textId="77777777" w:rsidR="00094CBC" w:rsidRPr="008B3AD6" w:rsidRDefault="00094CBC" w:rsidP="00094CBC">
      <w:pPr>
        <w:spacing w:line="360" w:lineRule="auto"/>
        <w:jc w:val="both"/>
      </w:pPr>
    </w:p>
    <w:p w14:paraId="1E393836" w14:textId="3D6923CC" w:rsidR="00094CBC" w:rsidRPr="008B3AD6" w:rsidRDefault="00094CBC" w:rsidP="00094CBC">
      <w:pPr>
        <w:spacing w:line="360" w:lineRule="auto"/>
        <w:jc w:val="both"/>
      </w:pPr>
      <w:r w:rsidRPr="008B3AD6">
        <w:lastRenderedPageBreak/>
        <w:t>As req</w:t>
      </w:r>
      <w:r w:rsidR="006429AB">
        <w:t xml:space="preserve">uired livers were removed, and </w:t>
      </w:r>
      <w:r w:rsidRPr="008B3AD6">
        <w:t xml:space="preserve">small sections (~150 mg) were taken for mass spectroscopy analysis (Section </w:t>
      </w:r>
      <w:r w:rsidR="008B3AD6" w:rsidRPr="008B3AD6">
        <w:fldChar w:fldCharType="begin"/>
      </w:r>
      <w:r w:rsidR="008B3AD6" w:rsidRPr="008B3AD6">
        <w:instrText xml:space="preserve"> REF _Ref519017137 \n </w:instrText>
      </w:r>
      <w:r w:rsidR="008B3AD6">
        <w:instrText xml:space="preserve"> \* MERGEFORMAT </w:instrText>
      </w:r>
      <w:r w:rsidR="008B3AD6" w:rsidRPr="008B3AD6">
        <w:fldChar w:fldCharType="separate"/>
      </w:r>
      <w:r w:rsidR="00031DCA">
        <w:t>2.11</w:t>
      </w:r>
      <w:r w:rsidR="008B3AD6" w:rsidRPr="008B3AD6">
        <w:fldChar w:fldCharType="end"/>
      </w:r>
      <w:r w:rsidRPr="008B3AD6">
        <w:t xml:space="preserve">), parasite burden determination (Section </w:t>
      </w:r>
      <w:r w:rsidR="008B3AD6" w:rsidRPr="008B3AD6">
        <w:fldChar w:fldCharType="begin"/>
      </w:r>
      <w:r w:rsidR="008B3AD6" w:rsidRPr="008B3AD6">
        <w:instrText xml:space="preserve"> REF _Ref519017151 \n </w:instrText>
      </w:r>
      <w:r w:rsidR="008B3AD6">
        <w:instrText xml:space="preserve"> \* MERGEFORMAT </w:instrText>
      </w:r>
      <w:r w:rsidR="008B3AD6" w:rsidRPr="008B3AD6">
        <w:fldChar w:fldCharType="separate"/>
      </w:r>
      <w:r w:rsidR="00031DCA">
        <w:t>2.7</w:t>
      </w:r>
      <w:r w:rsidR="008B3AD6" w:rsidRPr="008B3AD6">
        <w:fldChar w:fldCharType="end"/>
      </w:r>
      <w:r w:rsidRPr="008B3AD6">
        <w:t>) and histology. The remaining liver was weighed and transferred into a 50 ml Falcon containing 4ml of 350 ug/ml Liberase (Sigma-Aldrich, Dorset, United Kingdom) in 1x Phosphate Buffered Saline (PBS) and roughly cut into approximately 1 millimetre cubed (mm</w:t>
      </w:r>
      <w:r w:rsidRPr="008B3AD6">
        <w:rPr>
          <w:vertAlign w:val="superscript"/>
        </w:rPr>
        <w:t>3</w:t>
      </w:r>
      <w:r w:rsidRPr="008B3AD6">
        <w:t>) sections using a scalpel. This solution was then incubated for 45 minutes at 37º</w:t>
      </w:r>
      <w:r w:rsidRPr="008B3AD6">
        <w:rPr>
          <w:vertAlign w:val="superscript"/>
        </w:rPr>
        <w:t>C</w:t>
      </w:r>
      <w:r w:rsidRPr="008B3AD6">
        <w:t xml:space="preserve"> in an orbital shaker (New Brunswick Scientific, Cambridge, United Kingdom) at </w:t>
      </w:r>
      <w:r w:rsidRPr="008B3AD6">
        <w:rPr>
          <w:color w:val="000000" w:themeColor="text1"/>
        </w:rPr>
        <w:t>200 RPM</w:t>
      </w:r>
      <w:r w:rsidR="006B1885">
        <w:rPr>
          <w:color w:val="000000" w:themeColor="text1"/>
        </w:rPr>
        <w:t xml:space="preserve"> to allow for tissue breakdown and cell liberation</w:t>
      </w:r>
      <w:r w:rsidRPr="008B3AD6">
        <w:t>.</w:t>
      </w:r>
    </w:p>
    <w:p w14:paraId="142E347B" w14:textId="77777777" w:rsidR="00094CBC" w:rsidRPr="008B3AD6" w:rsidRDefault="00094CBC" w:rsidP="00094CBC">
      <w:pPr>
        <w:spacing w:line="360" w:lineRule="auto"/>
        <w:jc w:val="both"/>
      </w:pPr>
    </w:p>
    <w:p w14:paraId="4BA00363" w14:textId="058F0E32" w:rsidR="00094CBC" w:rsidRPr="008B3AD6" w:rsidRDefault="00094CBC" w:rsidP="00094CBC">
      <w:pPr>
        <w:spacing w:line="360" w:lineRule="auto"/>
        <w:jc w:val="both"/>
      </w:pPr>
      <w:r w:rsidRPr="008B3AD6">
        <w:t>After digestion, the tissue was passed through a 100 micrometre (μm) sieve (Scientific Laboratory Supplies, East Riding of Yorkshire, UK) using a 5 ml syringe plunger and Dulbecco’s modified eagle medium (DMEM) (Gibco, ThermoFisher, Paisley, United Kingdom) containing 5% H</w:t>
      </w:r>
      <w:r w:rsidR="006429AB">
        <w:t xml:space="preserve">yClone foetal calf serum (FCS) </w:t>
      </w:r>
      <w:r w:rsidR="003B49A7">
        <w:t>(</w:t>
      </w:r>
      <w:r w:rsidR="006429AB">
        <w:t>(</w:t>
      </w:r>
      <w:r w:rsidRPr="008B3AD6">
        <w:t>Thermo Fisher Scientific</w:t>
      </w:r>
      <w:r w:rsidR="006429AB">
        <w:t xml:space="preserve">, </w:t>
      </w:r>
      <w:r w:rsidRPr="008B3AD6">
        <w:t xml:space="preserve">Loughborough, UK) </w:t>
      </w:r>
      <w:r w:rsidR="003B49A7">
        <w:t>which had been</w:t>
      </w:r>
      <w:r w:rsidR="003B49A7" w:rsidRPr="008B3AD6">
        <w:t xml:space="preserve"> </w:t>
      </w:r>
      <w:r w:rsidRPr="008B3AD6">
        <w:t>heat inactivated by incubating in a 56°C water bath for 30 minutes</w:t>
      </w:r>
      <w:r w:rsidR="003B49A7">
        <w:t xml:space="preserve"> prior to use</w:t>
      </w:r>
      <w:r w:rsidRPr="008B3AD6">
        <w:t>)</w:t>
      </w:r>
      <w:r w:rsidR="006B1885">
        <w:t xml:space="preserve"> to remove tissue debris</w:t>
      </w:r>
      <w:r w:rsidRPr="008B3AD6">
        <w:t>. The sieve was then washed with 20 ml of cold DMEM containing 5% FCS. After removing and disposing of the sieve the cell suspension was topped up to 40 ml with cold DMEM containing 5% FCS. This solution was then centrifuged at 50 G for 3 minutes at 4º</w:t>
      </w:r>
      <w:r w:rsidRPr="008B3AD6">
        <w:rPr>
          <w:vertAlign w:val="superscript"/>
        </w:rPr>
        <w:t>C</w:t>
      </w:r>
      <w:r w:rsidRPr="008B3AD6">
        <w:t xml:space="preserve"> and the supernatant, containing leukocytes, was transferred into a new 50 ml Falcon and topped up to 20 ml with DMEM containing 5% FCS. The remaining pellet of parenchymal cells was topped up with 20 ml with DMEM containing 5% FCS.</w:t>
      </w:r>
      <w:r w:rsidR="001D76D3">
        <w:t xml:space="preserve"> </w:t>
      </w:r>
      <w:r w:rsidR="001D76D3" w:rsidRPr="001D76D3">
        <w:t xml:space="preserve">The purity of these ‘Leukocyte’ and ‘Parenchymal’ fractions was previously determined using Flow Cytometry whereby livers isolated from mice 7 days post-infection with </w:t>
      </w:r>
      <w:r w:rsidR="001D76D3" w:rsidRPr="00B23FF8">
        <w:rPr>
          <w:i/>
        </w:rPr>
        <w:t>L. donovani</w:t>
      </w:r>
      <w:r w:rsidR="001D76D3" w:rsidRPr="001D76D3">
        <w:t xml:space="preserve"> were digested, as above, to form the aforementioned fractions </w:t>
      </w:r>
      <w:r w:rsidR="004F4A06">
        <w:t>whereby cells from both fractions were</w:t>
      </w:r>
      <w:r w:rsidR="001D76D3" w:rsidRPr="001D76D3">
        <w:t xml:space="preserve"> then stained </w:t>
      </w:r>
      <w:r w:rsidR="004F4A06">
        <w:t xml:space="preserve">as described in Section </w:t>
      </w:r>
      <w:fldSimple w:instr=" REF _Ref519018511 \n ">
        <w:r w:rsidR="004F4A06">
          <w:t>2.8</w:t>
        </w:r>
      </w:fldSimple>
      <w:r w:rsidR="001D76D3" w:rsidRPr="001D76D3">
        <w:t xml:space="preserve">. This showed that on average the leukocyte fraction </w:t>
      </w:r>
      <w:r w:rsidR="001D76D3" w:rsidRPr="004F4A06">
        <w:t>contained 95.5% CD45+ cells whilst the parenchymal cells contained 13.9% CD45+ cells, data</w:t>
      </w:r>
      <w:r w:rsidR="00407D15">
        <w:t xml:space="preserve"> are</w:t>
      </w:r>
      <w:r w:rsidR="001D76D3" w:rsidRPr="004F4A06">
        <w:t xml:space="preserve"> shown in </w:t>
      </w:r>
      <w:r w:rsidR="004F4A06" w:rsidRPr="004F4A06">
        <w:fldChar w:fldCharType="begin"/>
      </w:r>
      <w:r w:rsidR="004F4A06" w:rsidRPr="004F4A06">
        <w:instrText xml:space="preserve"> REF _Ref534201026 </w:instrText>
      </w:r>
      <w:r w:rsidR="004F4A06">
        <w:instrText xml:space="preserve"> \* MERGEFORMAT </w:instrText>
      </w:r>
      <w:r w:rsidR="004F4A06" w:rsidRPr="004F4A06">
        <w:fldChar w:fldCharType="separate"/>
      </w:r>
      <w:r w:rsidR="004F4A06" w:rsidRPr="00B23FF8">
        <w:rPr>
          <w:b/>
        </w:rPr>
        <w:t xml:space="preserve">Figure </w:t>
      </w:r>
      <w:r w:rsidR="004F4A06" w:rsidRPr="00B23FF8">
        <w:rPr>
          <w:b/>
          <w:noProof/>
        </w:rPr>
        <w:t>7</w:t>
      </w:r>
      <w:r w:rsidR="004F4A06" w:rsidRPr="00B23FF8">
        <w:rPr>
          <w:b/>
        </w:rPr>
        <w:t>.</w:t>
      </w:r>
      <w:r w:rsidR="004F4A06" w:rsidRPr="00B23FF8">
        <w:rPr>
          <w:b/>
          <w:noProof/>
        </w:rPr>
        <w:t>1</w:t>
      </w:r>
      <w:r w:rsidR="004F4A06" w:rsidRPr="004F4A06">
        <w:fldChar w:fldCharType="end"/>
      </w:r>
      <w:r w:rsidR="00F221BF" w:rsidRPr="00B23FF8">
        <w:rPr>
          <w:b/>
        </w:rPr>
        <w:t>A</w:t>
      </w:r>
      <w:r w:rsidR="001D76D3" w:rsidRPr="004F4A06">
        <w:t>.</w:t>
      </w:r>
    </w:p>
    <w:p w14:paraId="54AEC95A" w14:textId="77777777" w:rsidR="00094CBC" w:rsidRPr="008B3AD6" w:rsidRDefault="00094CBC" w:rsidP="00094CBC">
      <w:pPr>
        <w:spacing w:line="360" w:lineRule="auto"/>
        <w:jc w:val="both"/>
      </w:pPr>
    </w:p>
    <w:p w14:paraId="7766BACB" w14:textId="3DD08CAC" w:rsidR="00540F5D" w:rsidRPr="008B3AD6" w:rsidRDefault="00094CBC" w:rsidP="00094CBC">
      <w:pPr>
        <w:spacing w:line="360" w:lineRule="auto"/>
        <w:jc w:val="both"/>
      </w:pPr>
      <w:r w:rsidRPr="008B3AD6">
        <w:t xml:space="preserve">The leukocyte solution was centrifuged at </w:t>
      </w:r>
      <w:r w:rsidRPr="008B3AD6">
        <w:rPr>
          <w:color w:val="000000" w:themeColor="text1"/>
        </w:rPr>
        <w:t xml:space="preserve">311 G for </w:t>
      </w:r>
      <w:r w:rsidRPr="008B3AD6">
        <w:t>10 minutes at 4º</w:t>
      </w:r>
      <w:r w:rsidRPr="008B3AD6">
        <w:rPr>
          <w:vertAlign w:val="superscript"/>
        </w:rPr>
        <w:t>C</w:t>
      </w:r>
      <w:r w:rsidRPr="008B3AD6">
        <w:t xml:space="preserve"> and the supernatant discarded. The remaining leukocyte pellet was resuspended in 33% Percoll and centrifuged at 693 G for 12 minutes at RT with no brake, as previously described by Beattie and colleagues </w:t>
      </w:r>
      <w:r w:rsidRPr="008B3AD6">
        <w:fldChar w:fldCharType="begin"/>
      </w:r>
      <w:r w:rsidR="00025067">
        <w:instrText xml:space="preserve"> ADDIN ZOTERO_ITEM CSL_CITATION {"citationID":"fKKNqx2R","properties":{"formattedCitation":"(Beattie, Peltan, et al. 2010a)","plainCitation":"(Beattie, Peltan, et al. 2010a)","noteIndex":0},"citationItems":[{"id":2505,"uris":["http://zotero.org/users/2628971/items/6C2KJJIV"],"uri":["http://zotero.org/users/2628971/items/6C2KJJIV"],"itemData":{"id":2505,"type":"article-journal","title":"Dynamic Imaging of Experimental Leishmania donovani-Induced Hepatic Granulomas Detects Kupffer Cell-Restricted Antigen Presentation to Antigen-Specific CD8+ T Cells","container-title":"PLOS Pathogens","page":"e1000805","volume":"6","issue":"3","source":"PLoS Journals","abstract":"Kupffer cells (KCs) represent the major phagocytic population within the liver and provide an intracellular niche for the survival of a number of important human pathogens. Although KCs have been extensively studied in vitro, little is known of their in vivo response to infection and their capacity to directly interact with antigen-specific CD8+ T cells. Here, using a combination of approaches including whole mount and thin section confocal microscopy, adoptive cell transfer and intra-vital 2-photon microscopy, we demonstrate that KCs represent the only detectable population of mononuclear phagocytes within granulomas induced by Leishmania donovani infection that are capable of presenting parasite-derived peptide to effector CD8+ T cells. This restriction of antigen presentation to KCs within the Leishmania granuloma has important implications for the identification of new candidate vaccine antigens and for the design of novel immuno-therapeutic interventions.","DOI":"10.1371/journal.ppat.1000805","ISSN":"1553-7374","journalAbbreviation":"PLOS Pathogens","language":"en","author":[{"family":"Beattie","given":"Lynette"},{"family":"Peltan","given":"Adam"},{"family":"Maroof","given":"Asher"},{"family":"Kirby","given":"Alun"},{"family":"Brown","given":"Najmeeyah"},{"family":"Coles","given":"Mark"},{"family":"Smith","given":"Deborah F."},{"family":"Kaye","given":"Paul M."}],"issued":{"date-parts":[["2010",3,12]]}}}],"schema":"https://github.com/citation-style-language/schema/raw/master/csl-citation.json"} </w:instrText>
      </w:r>
      <w:r w:rsidRPr="008B3AD6">
        <w:fldChar w:fldCharType="separate"/>
      </w:r>
      <w:r w:rsidR="001E0E9E">
        <w:t>(Beattie et al. 2010)</w:t>
      </w:r>
      <w:r w:rsidRPr="008B3AD6">
        <w:fldChar w:fldCharType="end"/>
      </w:r>
      <w:r w:rsidR="006B1885">
        <w:t>, to create a separation gradient whereby leukocytes pellet</w:t>
      </w:r>
      <w:r w:rsidRPr="008B3AD6">
        <w:t>. The resulting waste layer and supernatant was discarded, and the remaining pellet of leukocytes and platelets was resuspended in ammonium-chloride-potassium (ACK) lysing buffer (Gibco, ThermoFisher, Paisley, United Kingdom) for 5 minutes at RT</w:t>
      </w:r>
      <w:r w:rsidR="006B1885">
        <w:t xml:space="preserve"> to remove the aforementioned platelets</w:t>
      </w:r>
      <w:r w:rsidRPr="008B3AD6">
        <w:t xml:space="preserve">. Following this incubation, the suspension was topped up to 20 ml </w:t>
      </w:r>
      <w:r w:rsidRPr="008B3AD6">
        <w:lastRenderedPageBreak/>
        <w:t xml:space="preserve">with DMEM containing 5% FCS and then centrifuged at </w:t>
      </w:r>
      <w:r w:rsidRPr="008B3AD6">
        <w:rPr>
          <w:color w:val="000000" w:themeColor="text1"/>
        </w:rPr>
        <w:t>311 G</w:t>
      </w:r>
      <w:r w:rsidRPr="008B3AD6">
        <w:rPr>
          <w:color w:val="FF0000"/>
        </w:rPr>
        <w:t xml:space="preserve"> </w:t>
      </w:r>
      <w:r w:rsidRPr="008B3AD6">
        <w:t>for 10 minutes at 4º</w:t>
      </w:r>
      <w:r w:rsidRPr="008B3AD6">
        <w:rPr>
          <w:vertAlign w:val="superscript"/>
        </w:rPr>
        <w:t>C</w:t>
      </w:r>
      <w:r w:rsidRPr="008B3AD6">
        <w:t xml:space="preserve"> and the supernatant discard, this wash was repeated. The final purified </w:t>
      </w:r>
      <w:r w:rsidR="006429AB">
        <w:t>leukocyte</w:t>
      </w:r>
      <w:r w:rsidRPr="008B3AD6">
        <w:t xml:space="preserve"> pellet was resuspended in approximately 1 ml of PBS containing 2% FCS. </w:t>
      </w:r>
    </w:p>
    <w:p w14:paraId="47E1AFE3" w14:textId="77777777" w:rsidR="00540F5D" w:rsidRPr="008B3AD6" w:rsidRDefault="00540F5D" w:rsidP="00094CBC">
      <w:pPr>
        <w:spacing w:line="360" w:lineRule="auto"/>
        <w:jc w:val="both"/>
      </w:pPr>
    </w:p>
    <w:p w14:paraId="506F5A1C" w14:textId="3B18F7A8" w:rsidR="00094CBC" w:rsidRPr="008B3AD6" w:rsidRDefault="00094CBC" w:rsidP="00094CBC">
      <w:pPr>
        <w:spacing w:line="360" w:lineRule="auto"/>
        <w:jc w:val="both"/>
      </w:pPr>
      <w:r w:rsidRPr="008B3AD6">
        <w:t>The resuspended parenchymal cells were centrifuged at 50 G for 3 minutes at 4º</w:t>
      </w:r>
      <w:r w:rsidRPr="008B3AD6">
        <w:rPr>
          <w:vertAlign w:val="superscript"/>
        </w:rPr>
        <w:t>C</w:t>
      </w:r>
      <w:r w:rsidRPr="008B3AD6">
        <w:t xml:space="preserve"> and the supernatant discarded, this was followed by addition of 20 ml of DMEM containing 5% FCS. The parenchymal cell solution was then centrifuged at 50 G for 3 minutes at 4º</w:t>
      </w:r>
      <w:r w:rsidRPr="008B3AD6">
        <w:rPr>
          <w:vertAlign w:val="superscript"/>
        </w:rPr>
        <w:t>C</w:t>
      </w:r>
      <w:r w:rsidRPr="008B3AD6">
        <w:t>, topped up with 20 ml of DMEM containing 5% and stored on ice until use. These results are referred to within figure legends as having been collected using digestion protocol 1.</w:t>
      </w:r>
    </w:p>
    <w:p w14:paraId="5AE0CAE6" w14:textId="77777777" w:rsidR="00094CBC" w:rsidRPr="008B3AD6" w:rsidRDefault="00094CBC" w:rsidP="00094CBC">
      <w:pPr>
        <w:spacing w:line="360" w:lineRule="auto"/>
        <w:jc w:val="both"/>
      </w:pPr>
    </w:p>
    <w:p w14:paraId="7CD4B484" w14:textId="6020D0F4" w:rsidR="00094CBC" w:rsidRPr="00B23FF8" w:rsidRDefault="00094CBC" w:rsidP="00094CBC">
      <w:pPr>
        <w:spacing w:line="360" w:lineRule="auto"/>
        <w:jc w:val="both"/>
        <w:rPr>
          <w:color w:val="000000" w:themeColor="text1"/>
        </w:rPr>
      </w:pPr>
      <w:r w:rsidRPr="008B3AD6">
        <w:t xml:space="preserve">To prevent possible cellular leakage of drug due to excessive processing time the digestion </w:t>
      </w:r>
      <w:r w:rsidR="00540F5D" w:rsidRPr="008B3AD6">
        <w:t>protocol for</w:t>
      </w:r>
      <w:r w:rsidRPr="008B3AD6">
        <w:t xml:space="preserve"> the liver was </w:t>
      </w:r>
      <w:r w:rsidR="00540F5D" w:rsidRPr="008B3AD6">
        <w:t xml:space="preserve">updated. </w:t>
      </w:r>
      <w:r w:rsidR="006429AB">
        <w:t>L</w:t>
      </w:r>
      <w:r w:rsidRPr="008B3AD6">
        <w:t>ivers were digested in 5ml of Liver Digestion Media (Gibco, ThermoFisher, Paisley, United Kingdom)</w:t>
      </w:r>
      <w:r w:rsidR="006B1885">
        <w:t>, a collagenase-dispase media for the dissociation of viable liver cells,</w:t>
      </w:r>
      <w:r w:rsidRPr="008B3AD6">
        <w:t xml:space="preserve"> for 10 minutes at 37º</w:t>
      </w:r>
      <w:r w:rsidRPr="008B3AD6">
        <w:rPr>
          <w:vertAlign w:val="superscript"/>
        </w:rPr>
        <w:t>C</w:t>
      </w:r>
      <w:r w:rsidRPr="008B3AD6">
        <w:t xml:space="preserve"> in an orbital shaker </w:t>
      </w:r>
      <w:r w:rsidRPr="008B3AD6">
        <w:rPr>
          <w:color w:val="000000" w:themeColor="text1"/>
        </w:rPr>
        <w:t xml:space="preserve">at 200 RPM. </w:t>
      </w:r>
      <w:r w:rsidR="001E7A09" w:rsidRPr="008B3AD6">
        <w:t>After digestion, the tissue was passed through a 100 μm sieve</w:t>
      </w:r>
      <w:r w:rsidR="001E7A09">
        <w:t xml:space="preserve"> </w:t>
      </w:r>
      <w:r w:rsidR="001E7A09" w:rsidRPr="008B3AD6">
        <w:t>using a 5 ml syringe plunger and DMEM</w:t>
      </w:r>
      <w:r w:rsidR="001E7A09">
        <w:t xml:space="preserve"> </w:t>
      </w:r>
      <w:r w:rsidR="001E7A09" w:rsidRPr="008B3AD6">
        <w:t xml:space="preserve">containing 5% </w:t>
      </w:r>
      <w:r w:rsidR="001E7A09">
        <w:t xml:space="preserve">FCS. </w:t>
      </w:r>
      <w:r w:rsidR="001E7A09" w:rsidRPr="008B3AD6">
        <w:t>The sieve was then washed with 20 ml of cold DMEM containing 5% FCS. After removing and disposing of the sieve the cell suspension was topped up to 40 ml with cold DMEM containing 5% FCS. This solution was then centrifuged at 50 G for 3 minutes at 4º</w:t>
      </w:r>
      <w:r w:rsidR="001E7A09" w:rsidRPr="008B3AD6">
        <w:rPr>
          <w:vertAlign w:val="superscript"/>
        </w:rPr>
        <w:t>C</w:t>
      </w:r>
      <w:r w:rsidR="001E7A09" w:rsidRPr="008B3AD6">
        <w:t xml:space="preserve"> and the supernatant, containing leukocytes, was transferred into a new 50 ml Falcon and topped up to 20 ml with DMEM containing 5% FCS.</w:t>
      </w:r>
      <w:r w:rsidR="00DF7750">
        <w:t xml:space="preserve"> </w:t>
      </w:r>
      <w:r w:rsidRPr="008B3AD6">
        <w:rPr>
          <w:color w:val="000000" w:themeColor="text1"/>
        </w:rPr>
        <w:t>Subsequent leukocyte solution centrifugations</w:t>
      </w:r>
      <w:r w:rsidR="00D84E0E">
        <w:rPr>
          <w:color w:val="000000" w:themeColor="text1"/>
        </w:rPr>
        <w:t>, following the procedure described above,</w:t>
      </w:r>
      <w:r w:rsidRPr="008B3AD6">
        <w:rPr>
          <w:color w:val="000000" w:themeColor="text1"/>
        </w:rPr>
        <w:t xml:space="preserve"> were carried out at 485 G for 5 minutes at 4º</w:t>
      </w:r>
      <w:r w:rsidRPr="008B3AD6">
        <w:rPr>
          <w:color w:val="000000" w:themeColor="text1"/>
          <w:vertAlign w:val="superscript"/>
        </w:rPr>
        <w:t>C</w:t>
      </w:r>
      <w:r w:rsidRPr="008B3AD6">
        <w:rPr>
          <w:color w:val="000000" w:themeColor="text1"/>
        </w:rPr>
        <w:t xml:space="preserve">. </w:t>
      </w:r>
      <w:r w:rsidR="00DF7750" w:rsidRPr="008B3AD6">
        <w:t>The resuspended parenchymal cells were centrifuged at 50 G for 3 minutes at 4º</w:t>
      </w:r>
      <w:r w:rsidR="00DF7750" w:rsidRPr="008B3AD6">
        <w:rPr>
          <w:vertAlign w:val="superscript"/>
        </w:rPr>
        <w:t>C</w:t>
      </w:r>
      <w:r w:rsidR="00DF7750" w:rsidRPr="008B3AD6">
        <w:t xml:space="preserve"> and the supernatant discarded, this was followed by addition of 20 ml of DMEM containing 5% FCS. The parenchymal cell solution was then centrifuged at 50 G for 3 minutes at 4º</w:t>
      </w:r>
      <w:r w:rsidR="00DF7750" w:rsidRPr="008B3AD6">
        <w:rPr>
          <w:vertAlign w:val="superscript"/>
        </w:rPr>
        <w:t>C</w:t>
      </w:r>
      <w:r w:rsidR="00DF7750" w:rsidRPr="008B3AD6">
        <w:t>, topped up with 20 ml of DMEM containing 5% and stored on ice until use.</w:t>
      </w:r>
      <w:r w:rsidR="00DF7750">
        <w:rPr>
          <w:color w:val="000000" w:themeColor="text1"/>
        </w:rPr>
        <w:t xml:space="preserve"> </w:t>
      </w:r>
      <w:r w:rsidRPr="008B3AD6">
        <w:rPr>
          <w:color w:val="000000" w:themeColor="text1"/>
        </w:rPr>
        <w:t>These results are referre</w:t>
      </w:r>
      <w:r w:rsidRPr="008B3AD6">
        <w:t>d to within figure legends as having been collected using digestion protocol 2.</w:t>
      </w:r>
    </w:p>
    <w:p w14:paraId="071E196D" w14:textId="77777777" w:rsidR="00094CBC" w:rsidRPr="008B3AD6" w:rsidRDefault="00094CBC" w:rsidP="00094CBC">
      <w:pPr>
        <w:spacing w:line="360" w:lineRule="auto"/>
        <w:jc w:val="both"/>
      </w:pPr>
    </w:p>
    <w:p w14:paraId="3DB684CF" w14:textId="46536BD4" w:rsidR="00C608D6" w:rsidRPr="00F221BF" w:rsidRDefault="00094CBC" w:rsidP="00C608D6">
      <w:pPr>
        <w:spacing w:line="360" w:lineRule="auto"/>
        <w:jc w:val="both"/>
      </w:pPr>
      <w:r w:rsidRPr="008B3AD6">
        <w:t>Leukocyte numbers were determined by diluting 5 μl of cell suspension in 195 μl of Trypan Blue (Gibco, ThermoFisher, Paisley, United Kingdom) (Dilution Factor = 40) with all cells, live and dead, counted. On a Neubauer haemocytometer (Weber Scientific International, Middlesex, UK) the four corner squares were counted, and WBC number determined as Average Corner Square Count x Dilution Factor x 10</w:t>
      </w:r>
      <w:r w:rsidRPr="008B3AD6">
        <w:rPr>
          <w:vertAlign w:val="superscript"/>
        </w:rPr>
        <w:t>4</w:t>
      </w:r>
      <w:r w:rsidRPr="008B3AD6">
        <w:t xml:space="preserve"> equalling the concentration of cells per ml.</w:t>
      </w:r>
      <w:r w:rsidR="004E2B02">
        <w:t xml:space="preserve"> Differences in </w:t>
      </w:r>
      <w:r w:rsidR="00F221BF">
        <w:t>leukocyte</w:t>
      </w:r>
      <w:r w:rsidR="004E2B02">
        <w:t xml:space="preserve"> viability post-digestion were further quantified using a viability dye </w:t>
      </w:r>
      <w:r w:rsidR="00F221BF">
        <w:t xml:space="preserve">as part of a larger staining panel </w:t>
      </w:r>
      <w:r w:rsidR="004E2B02">
        <w:t>for flow cytometry</w:t>
      </w:r>
      <w:r w:rsidR="00F221BF">
        <w:t xml:space="preserve">, as described in Section </w:t>
      </w:r>
      <w:fldSimple w:instr=" REF _Ref519018511 \n ">
        <w:r w:rsidR="00F221BF">
          <w:t>2.8</w:t>
        </w:r>
      </w:fldSimple>
      <w:r w:rsidR="00F221BF">
        <w:t>. Comparing the proportion of live single cells (viability dye</w:t>
      </w:r>
      <w:r w:rsidR="00F221BF">
        <w:rPr>
          <w:vertAlign w:val="superscript"/>
        </w:rPr>
        <w:t>-</w:t>
      </w:r>
      <w:r w:rsidR="00F221BF">
        <w:t xml:space="preserve">) between the two digestion protocols showed no significant difference using a Mann-Whitney test, as shown in </w:t>
      </w:r>
      <w:r w:rsidR="00F221BF" w:rsidRPr="00B23FF8">
        <w:rPr>
          <w:b/>
        </w:rPr>
        <w:fldChar w:fldCharType="begin"/>
      </w:r>
      <w:r w:rsidR="00F221BF" w:rsidRPr="00B23FF8">
        <w:rPr>
          <w:b/>
        </w:rPr>
        <w:instrText xml:space="preserve"> REF _Ref534201026 </w:instrText>
      </w:r>
      <w:r w:rsidR="00F221BF" w:rsidRPr="00F221BF">
        <w:rPr>
          <w:b/>
        </w:rPr>
        <w:instrText xml:space="preserve"> \* MERGEFORMAT </w:instrText>
      </w:r>
      <w:r w:rsidR="00F221BF" w:rsidRPr="00B23FF8">
        <w:rPr>
          <w:b/>
        </w:rPr>
        <w:fldChar w:fldCharType="separate"/>
      </w:r>
      <w:r w:rsidR="00F221BF" w:rsidRPr="00B23FF8">
        <w:rPr>
          <w:b/>
        </w:rPr>
        <w:t xml:space="preserve">Figure </w:t>
      </w:r>
      <w:r w:rsidR="00F221BF" w:rsidRPr="00B23FF8">
        <w:rPr>
          <w:b/>
          <w:noProof/>
        </w:rPr>
        <w:t>7</w:t>
      </w:r>
      <w:r w:rsidR="00F221BF" w:rsidRPr="00B23FF8">
        <w:rPr>
          <w:b/>
        </w:rPr>
        <w:t>.</w:t>
      </w:r>
      <w:r w:rsidR="00F221BF" w:rsidRPr="00B23FF8">
        <w:rPr>
          <w:b/>
          <w:noProof/>
        </w:rPr>
        <w:t>1</w:t>
      </w:r>
      <w:r w:rsidR="00F221BF" w:rsidRPr="00B23FF8">
        <w:rPr>
          <w:b/>
        </w:rPr>
        <w:fldChar w:fldCharType="end"/>
      </w:r>
      <w:r w:rsidR="00F221BF" w:rsidRPr="00B23FF8">
        <w:rPr>
          <w:b/>
        </w:rPr>
        <w:t>B</w:t>
      </w:r>
      <w:r w:rsidR="00F221BF">
        <w:t>.</w:t>
      </w:r>
    </w:p>
    <w:p w14:paraId="1E11C3FB" w14:textId="77777777" w:rsidR="00C608D6" w:rsidRPr="008B3AD6" w:rsidRDefault="00C608D6" w:rsidP="00C608D6">
      <w:pPr>
        <w:spacing w:line="360" w:lineRule="auto"/>
        <w:jc w:val="both"/>
      </w:pPr>
    </w:p>
    <w:p w14:paraId="2A98324D" w14:textId="77777777" w:rsidR="00C608D6" w:rsidRPr="008B3AD6" w:rsidRDefault="00C608D6" w:rsidP="00C608D6">
      <w:pPr>
        <w:pStyle w:val="Heading2"/>
      </w:pPr>
      <w:bookmarkStart w:id="136" w:name="_Toc518564590"/>
      <w:bookmarkStart w:id="137" w:name="_Toc3716075"/>
      <w:r w:rsidRPr="008B3AD6">
        <w:t>Blood Isolation and Preparation</w:t>
      </w:r>
      <w:bookmarkEnd w:id="136"/>
      <w:bookmarkEnd w:id="137"/>
    </w:p>
    <w:p w14:paraId="2BCE7DB4" w14:textId="1BBAC7EC" w:rsidR="00C608D6" w:rsidRPr="008B3AD6" w:rsidRDefault="00C608D6" w:rsidP="00C608D6">
      <w:pPr>
        <w:spacing w:line="360" w:lineRule="auto"/>
        <w:jc w:val="both"/>
      </w:pPr>
      <w:r w:rsidRPr="008B3AD6">
        <w:t>Whole blood was collected from experimental mice undergoing terminal exsanguination</w:t>
      </w:r>
      <w:r w:rsidR="005900F3">
        <w:t>, whilst under terminal anaesthesia,</w:t>
      </w:r>
      <w:r w:rsidRPr="008B3AD6">
        <w:t xml:space="preserve"> for experiments. Mice were anesthetised via inhalation with isoflurane in a secure chamber (Apollo TEC3 Isoflurane Vaporise, Sound Veterinary Equipment) until a pedal reflex could not be seen. Blood was collected via cardiac puncture and transferred into Lithium Heparin Coated Microtainers (BD Biosciences, Berkshire, United Kingdom)</w:t>
      </w:r>
      <w:r w:rsidR="005900F3">
        <w:t xml:space="preserve"> to prevent blood clotting</w:t>
      </w:r>
      <w:r w:rsidRPr="008B3AD6">
        <w:t>. In a Category 3 laboratory the blood samples were transferred to 15 ml Falcon tubes and Gey’s Solution was added at 10x the blood sample volume</w:t>
      </w:r>
      <w:r w:rsidR="005900F3">
        <w:t xml:space="preserve"> to lyse platelets</w:t>
      </w:r>
      <w:r w:rsidRPr="008B3AD6">
        <w:t>. This was left to incubate for 10 minutes at room temperature.</w:t>
      </w:r>
    </w:p>
    <w:p w14:paraId="2BB9320A" w14:textId="77777777" w:rsidR="00C608D6" w:rsidRPr="008B3AD6" w:rsidRDefault="00C608D6" w:rsidP="00C608D6">
      <w:pPr>
        <w:spacing w:line="360" w:lineRule="auto"/>
        <w:jc w:val="both"/>
      </w:pPr>
    </w:p>
    <w:p w14:paraId="7AC186B1" w14:textId="0701A086" w:rsidR="00C608D6" w:rsidRPr="008B3AD6" w:rsidRDefault="00C608D6" w:rsidP="00C608D6">
      <w:pPr>
        <w:spacing w:line="360" w:lineRule="auto"/>
        <w:jc w:val="both"/>
      </w:pPr>
      <w:r w:rsidRPr="008B3AD6">
        <w:t xml:space="preserve">Once the incubation had been completed the samples were transferred to a 50 ml Falcon tube and topped up to a volume of 30 ml with PBS containing 2% FCS. Samples were then centrifuged at </w:t>
      </w:r>
      <w:r w:rsidR="00D64CF6" w:rsidRPr="008B3AD6">
        <w:rPr>
          <w:color w:val="000000" w:themeColor="text1"/>
        </w:rPr>
        <w:t>311 G</w:t>
      </w:r>
      <w:r w:rsidR="00D64CF6" w:rsidRPr="008B3AD6">
        <w:t xml:space="preserve"> </w:t>
      </w:r>
      <w:r w:rsidRPr="008B3AD6">
        <w:t>for 10 minutes. The supernatant</w:t>
      </w:r>
      <w:r w:rsidR="005900F3">
        <w:t xml:space="preserve"> was</w:t>
      </w:r>
      <w:r w:rsidRPr="008B3AD6">
        <w:t xml:space="preserve"> discarded, and the resulting cell pellet resuspended in 30 ml of PBS containing 2% FCS. This was centrifuged at </w:t>
      </w:r>
      <w:r w:rsidR="00D64CF6" w:rsidRPr="008B3AD6">
        <w:rPr>
          <w:color w:val="000000" w:themeColor="text1"/>
        </w:rPr>
        <w:t>311 G</w:t>
      </w:r>
      <w:r w:rsidR="00D64CF6" w:rsidRPr="008B3AD6">
        <w:t xml:space="preserve"> </w:t>
      </w:r>
      <w:r w:rsidRPr="008B3AD6">
        <w:t>for 10 minutes. The supernatant was then discarded, and the cell pellet</w:t>
      </w:r>
      <w:r w:rsidR="005900F3">
        <w:t>, containing leukocytes,</w:t>
      </w:r>
      <w:r w:rsidRPr="008B3AD6">
        <w:t xml:space="preserve"> resuspended in 500 μl of PBS containing 2% FCS for a final cell suspension.</w:t>
      </w:r>
    </w:p>
    <w:p w14:paraId="6D592511" w14:textId="77777777" w:rsidR="00C608D6" w:rsidRPr="008B3AD6" w:rsidRDefault="00C608D6" w:rsidP="00C608D6">
      <w:pPr>
        <w:spacing w:line="360" w:lineRule="auto"/>
        <w:jc w:val="both"/>
      </w:pPr>
    </w:p>
    <w:p w14:paraId="0FEFE541" w14:textId="3F1D21F8" w:rsidR="00C608D6" w:rsidRPr="008B3AD6" w:rsidRDefault="006429AB" w:rsidP="006429AB">
      <w:pPr>
        <w:spacing w:line="360" w:lineRule="auto"/>
        <w:jc w:val="both"/>
      </w:pPr>
      <w:r>
        <w:t>L</w:t>
      </w:r>
      <w:r w:rsidR="00C608D6" w:rsidRPr="008B3AD6">
        <w:t xml:space="preserve">eukocyte numbers were determined by diluting 5μl of the final cell suspension in 95μl of Trypan Blue (Supplier) (Dilution Factor = 20) with all cells counted. On a haemocytometer </w:t>
      </w:r>
      <w:r w:rsidR="00C608D6" w:rsidRPr="006429AB">
        <w:t>(</w:t>
      </w:r>
      <w:r w:rsidRPr="006429AB">
        <w:t>Weber Scientific International, Middlesex, UK</w:t>
      </w:r>
      <w:r w:rsidR="00C608D6" w:rsidRPr="006429AB">
        <w:t>) the</w:t>
      </w:r>
      <w:r w:rsidR="00C608D6" w:rsidRPr="008B3AD6">
        <w:t xml:space="preserve"> four corner squares were counted, and </w:t>
      </w:r>
      <w:r w:rsidR="008D21D9" w:rsidRPr="008B3AD6">
        <w:t>leukocyte</w:t>
      </w:r>
      <w:r w:rsidR="00C608D6" w:rsidRPr="008B3AD6">
        <w:t xml:space="preserve"> number determined as before (</w:t>
      </w:r>
      <w:r w:rsidR="008D21D9" w:rsidRPr="008B3AD6">
        <w:t xml:space="preserve">Section </w:t>
      </w:r>
      <w:r w:rsidR="008B3AD6" w:rsidRPr="008B3AD6">
        <w:fldChar w:fldCharType="begin"/>
      </w:r>
      <w:r w:rsidR="008B3AD6" w:rsidRPr="008B3AD6">
        <w:instrText xml:space="preserve"> REF _Ref518492280 \n </w:instrText>
      </w:r>
      <w:r w:rsidR="008B3AD6">
        <w:instrText xml:space="preserve"> \* MERGEFORMAT </w:instrText>
      </w:r>
      <w:r w:rsidR="008B3AD6" w:rsidRPr="008B3AD6">
        <w:fldChar w:fldCharType="separate"/>
      </w:r>
      <w:r w:rsidR="00031DCA">
        <w:t>2.5</w:t>
      </w:r>
      <w:r w:rsidR="008B3AD6" w:rsidRPr="008B3AD6">
        <w:fldChar w:fldCharType="end"/>
      </w:r>
      <w:r w:rsidR="00C608D6" w:rsidRPr="008B3AD6">
        <w:t>)</w:t>
      </w:r>
    </w:p>
    <w:p w14:paraId="013AADA2" w14:textId="77777777" w:rsidR="00C608D6" w:rsidRPr="008B3AD6" w:rsidRDefault="00C608D6" w:rsidP="00C608D6">
      <w:pPr>
        <w:spacing w:line="360" w:lineRule="auto"/>
        <w:jc w:val="both"/>
      </w:pPr>
    </w:p>
    <w:p w14:paraId="4323CA1C" w14:textId="77777777" w:rsidR="00C608D6" w:rsidRPr="008B3AD6" w:rsidRDefault="00C608D6" w:rsidP="006202AA">
      <w:pPr>
        <w:pStyle w:val="Heading2"/>
      </w:pPr>
      <w:bookmarkStart w:id="138" w:name="_Toc517175479"/>
      <w:bookmarkStart w:id="139" w:name="_Ref519017151"/>
      <w:bookmarkStart w:id="140" w:name="_Ref519095065"/>
      <w:bookmarkStart w:id="141" w:name="_Ref521758313"/>
      <w:bookmarkStart w:id="142" w:name="_Ref521771744"/>
      <w:bookmarkStart w:id="143" w:name="_Toc3716076"/>
      <w:r w:rsidRPr="008B3AD6">
        <w:t>Determining Hepatic Parasite Burden</w:t>
      </w:r>
      <w:bookmarkEnd w:id="138"/>
      <w:bookmarkEnd w:id="139"/>
      <w:bookmarkEnd w:id="140"/>
      <w:bookmarkEnd w:id="141"/>
      <w:bookmarkEnd w:id="142"/>
      <w:bookmarkEnd w:id="143"/>
    </w:p>
    <w:p w14:paraId="4F0D7F18" w14:textId="254B42CD" w:rsidR="00C608D6" w:rsidRPr="008B3AD6" w:rsidRDefault="00094CBC" w:rsidP="00C608D6">
      <w:pPr>
        <w:spacing w:line="360" w:lineRule="auto"/>
        <w:jc w:val="both"/>
      </w:pPr>
      <w:r w:rsidRPr="008B3AD6">
        <w:t xml:space="preserve">The cut surface of liver tissues were </w:t>
      </w:r>
      <w:r w:rsidR="00C608D6" w:rsidRPr="008B3AD6">
        <w:t>briefly pressed onto Super Frost glass microscopy slides (ThermoFisher, Paisley, United Kingdom) to create an impression smear. These were then fixed in 100% Methanol and allowed to air-dry. Following fixation, slides were stained in Giemsa Staining Solution for between 20-30 minutes at which point they were briefly washed in tap water and air-dried overnight.</w:t>
      </w:r>
    </w:p>
    <w:p w14:paraId="53D1A8BD" w14:textId="77777777" w:rsidR="00C608D6" w:rsidRPr="008B3AD6" w:rsidRDefault="00C608D6" w:rsidP="00C608D6">
      <w:pPr>
        <w:spacing w:line="360" w:lineRule="auto"/>
        <w:jc w:val="both"/>
      </w:pPr>
    </w:p>
    <w:p w14:paraId="2D433F84" w14:textId="5BACF40C" w:rsidR="00C608D6" w:rsidRPr="008B3AD6" w:rsidRDefault="00C608D6" w:rsidP="00C608D6">
      <w:pPr>
        <w:spacing w:line="360" w:lineRule="auto"/>
        <w:jc w:val="both"/>
      </w:pPr>
      <w:r w:rsidRPr="008B3AD6">
        <w:lastRenderedPageBreak/>
        <w:t>After drying</w:t>
      </w:r>
      <w:r w:rsidR="0048657A" w:rsidRPr="008B3AD6">
        <w:t>,</w:t>
      </w:r>
      <w:r w:rsidRPr="008B3AD6">
        <w:t xml:space="preserve"> slides were magnified at x100 using oil-immersion and </w:t>
      </w:r>
      <w:r w:rsidR="0048657A" w:rsidRPr="008B3AD6">
        <w:t xml:space="preserve">at least </w:t>
      </w:r>
      <w:r w:rsidRPr="008B3AD6">
        <w:t xml:space="preserve">500 host nuclei were counted with the number of parasite nuclei observed during this counting recorded. Parasite burden was expressed as Leishman-Donovan Units (LDU) and adapted from the calculation as stated by Moreira and colleagues </w:t>
      </w:r>
      <w:r w:rsidRPr="008B3AD6">
        <w:fldChar w:fldCharType="begin"/>
      </w:r>
      <w:r w:rsidR="00812605" w:rsidRPr="008B3AD6">
        <w:instrText xml:space="preserve"> ADDIN ZOTERO_ITEM CSL_CITATION {"citationID":"O3y4Vn8U","properties":{"formattedCitation":"(Moreira et al. 2012)","plainCitation":"(Moreira et al. 2012)","noteIndex":0},"citationItems":[{"id":1717,"uris":["http://zotero.org/users/2628971/items/XGU5EHFJ"],"uri":["http://zotero.org/users/2628971/items/XGU5EHFJ"],"itemData":{"id":1717,"type":"article-journal","title":"Parasite burden in hamsters infected with two different strains of leishmania (Leishmania) infantum: \"Leishman Donovan units\" versus real-time PCR.","container-title":"PloS one","page":"e47907","volume":"7","issue":"10","abstract":"To develop and test new therapeutics and immune prophylaxis strategies for visceral leishmaniasis (VL), understanding tissue parasitism evolution after experimental infection with Leishmania infantum is important. Experimental infection in a hamster model (Mesocricetus auratus) reproduces several typical aspects of canine and human VL that are closely related to the inoculum's route.  We quantified the parasitism in the liver and spleen of hamsters experimentally infected by various routes (intradermal, intraperitoneal, and intracardiac [IC])  and different strains of L. infantum (MHOM/BR/74/PP75 and Wild) and compared two  different methodologies to evaluate tissue parasitism (Leishman Donovan units [LDU] and real-time qPCR). In addition, the quantification of specific total-IgG  in the serum of uninfected and infected hamsters was determined by ELISA. The animals were followed for 1, 3, 6 and 9 months post-infection for survival analysis. We found that infection with the Wild strain by the IC route resulted in higher mortality. Positive antibody (IgG) responses were detected with higher  peaks at 6 and 9 months in the IC group inoculated with PP75 strain. However, in  animals infected with the Wild strain the IgG levels were elevated in all infected groups during all the time evaluated. We also observed by LDU analysis that the IC route lead to higher parasitism in the liver and spleen with both strains. Furthermore, qPCR showed higher sensitivity for identifying animals with low parasitic burden. In conclusion, qPCR can be useful for assessing parasitism  in the spleen and liver of a hamster model infected with L. infantum independent  of the route of infection, and this technique may become an essential tool for assessing parasite density in the hamster model after experimental treatment or immunization with potential vaccine candidates.","DOI":"10.1371/journal.pone.0047907","ISSN":"1932-6203 1932-6203","note":"PMID: 23112869 \nPMCID: PMC3480442","journalAbbreviation":"PLoS One","language":"eng","author":[{"family":"Moreira","given":"Nadia das Dores"},{"family":"Vitoriano-Souza","given":"Juliana"},{"family":"Roatt","given":"Bruno Mendes"},{"family":"Vieira","given":"Paula Melo de Abreu"},{"family":"Ker","given":"Henrique Gama"},{"family":"Oliveira Cardoso","given":"Jamille Mirelle","non-dropping-particle":"de"},{"family":"Giunchetti","given":"Rodolfo Cordeiro"},{"family":"Carneiro","given":"Claudia Martins"},{"family":"Lana","given":"Marta","non-dropping-particle":"de"},{"family":"Reis","given":"Alexandre Barbosa"}],"issued":{"date-parts":[["2012"]]}}}],"schema":"https://github.com/citation-style-language/schema/raw/master/csl-citation.json"} </w:instrText>
      </w:r>
      <w:r w:rsidRPr="008B3AD6">
        <w:fldChar w:fldCharType="separate"/>
      </w:r>
      <w:r w:rsidR="00025067">
        <w:t>(Moreira et al. 2012)</w:t>
      </w:r>
      <w:r w:rsidRPr="008B3AD6">
        <w:fldChar w:fldCharType="end"/>
      </w:r>
      <w:r w:rsidRPr="008B3AD6">
        <w:t xml:space="preserve"> in which the LDU equals the number of parasites per 1000 host nuclei multiplied by the liver weight in grams.</w:t>
      </w:r>
    </w:p>
    <w:p w14:paraId="07E8712A" w14:textId="77777777" w:rsidR="00C608D6" w:rsidRPr="008B3AD6" w:rsidRDefault="00C608D6" w:rsidP="00C608D6">
      <w:pPr>
        <w:spacing w:line="360" w:lineRule="auto"/>
        <w:jc w:val="both"/>
      </w:pPr>
    </w:p>
    <w:p w14:paraId="7B4A134C" w14:textId="77777777" w:rsidR="00C608D6" w:rsidRPr="008B3AD6" w:rsidRDefault="00C608D6" w:rsidP="006202AA">
      <w:pPr>
        <w:pStyle w:val="Heading3"/>
      </w:pPr>
      <w:bookmarkStart w:id="144" w:name="_Ref519011805"/>
      <w:bookmarkStart w:id="145" w:name="_Toc3716077"/>
      <w:r w:rsidRPr="008B3AD6">
        <w:t>Converting Hepatic Parasite Burden to Absolute Parasite Numbers</w:t>
      </w:r>
      <w:bookmarkEnd w:id="144"/>
      <w:bookmarkEnd w:id="145"/>
    </w:p>
    <w:p w14:paraId="4CAA4764" w14:textId="3724D412" w:rsidR="00AD1D6C" w:rsidRPr="008B3AD6" w:rsidRDefault="00C608D6" w:rsidP="00C608D6">
      <w:pPr>
        <w:spacing w:line="360" w:lineRule="auto"/>
        <w:jc w:val="both"/>
      </w:pPr>
      <w:r w:rsidRPr="008B3AD6">
        <w:t xml:space="preserve">To be able to fully relate parasite numbers from experimental data (LDU) to </w:t>
      </w:r>
      <w:r w:rsidRPr="008B3AD6">
        <w:rPr>
          <w:i/>
        </w:rPr>
        <w:t>in silico</w:t>
      </w:r>
      <w:r w:rsidRPr="008B3AD6">
        <w:t xml:space="preserve"> investigations it was decided to translate LDU values to absolute parasite numbers for each time point. </w:t>
      </w:r>
      <w:r w:rsidR="002E4A60" w:rsidRPr="008B3AD6">
        <w:t xml:space="preserve">To begin, the absolute hepatocellularity </w:t>
      </w:r>
      <w:r w:rsidR="006429AB">
        <w:t>of</w:t>
      </w:r>
      <w:r w:rsidR="002E4A60" w:rsidRPr="008B3AD6">
        <w:t xml:space="preserve"> a naïve murine liver was derived from published data </w:t>
      </w:r>
      <w:r w:rsidR="002E4A60" w:rsidRPr="008B3AD6">
        <w:fldChar w:fldCharType="begin"/>
      </w:r>
      <w:r w:rsidR="00812605" w:rsidRPr="008B3AD6">
        <w:instrText xml:space="preserve"> ADDIN ZOTERO_ITEM CSL_CITATION {"citationID":"mFj8O8cP","properties":{"formattedCitation":"(Sohlenius-Sternbeck 2006)","plainCitation":"(Sohlenius-Sternbeck 2006)","noteIndex":0},"citationItems":[{"id":2575,"uris":["http://zotero.org/users/2628971/items/DWJK7BGF"],"uri":["http://zotero.org/users/2628971/items/DWJK7BGF"],"itemData":{"id":2575,"type":"article-journal","title":"Determination of the hepatocellularity number for human, dog, rabbit, rat and mouse livers from protein concentration measurements","container-title":"Toxicology in vitro: an international journal published in association with BIBRA","page":"1582-1586","volume":"20","issue":"8","source":"PubMed","abstract":"Biologically based scaling factors have to be used to predict in vivo metabolic clearance of xenobiotics from data obtained in vitro. Although standard values for the hepatocellularity numbers for different species are used in the literature, detailed information on the determination of these values has only been presented for humans and rats, and somewhat different results have been obtained in different studies. The present work was undertaken in order to determine the number of hepatocytes per gram of liver for human, dog, rabbit, rat and mouse livers. Hepatocellularity numbers were calculated from the ratio between the liver protein concentration and the protein concentration in the corresponding hepatocyte suspension. For human, rabbit, rat and mouse livers, the hepatocellular values were in the same range, more precisely 139+/-25, 114+/-20, 117+/-30 and 135+/-10 million cells per gram of liver, respectively. However, for the dog liver, the corresponding value was as high as 215+/-45 million cells per gram. These values should be of importance during the scaling process of intrinsic clearance for xenobiotics in hepatocytes to in vivo hepatic clearance.","DOI":"10.1016/j.tiv.2006.06.003","ISSN":"0887-2333","note":"PMID: 16930941","journalAbbreviation":"Toxicol In Vitro","language":"eng","author":[{"family":"Sohlenius-Sternbeck","given":"Anna-Karin"}],"issued":{"date-parts":[["2006",12]]}}}],"schema":"https://github.com/citation-style-language/schema/raw/master/csl-citation.json"} </w:instrText>
      </w:r>
      <w:r w:rsidR="002E4A60" w:rsidRPr="008B3AD6">
        <w:fldChar w:fldCharType="separate"/>
      </w:r>
      <w:r w:rsidR="00025067">
        <w:t>(Sohlenius-Sternbeck 2006)</w:t>
      </w:r>
      <w:r w:rsidR="002E4A60" w:rsidRPr="008B3AD6">
        <w:fldChar w:fldCharType="end"/>
      </w:r>
      <w:r w:rsidR="002E4A60" w:rsidRPr="008B3AD6">
        <w:t>. Th</w:t>
      </w:r>
      <w:r w:rsidR="00AD1D6C" w:rsidRPr="008B3AD6">
        <w:t>e derived value</w:t>
      </w:r>
      <w:r w:rsidR="002E4A60" w:rsidRPr="008B3AD6">
        <w:t xml:space="preserve"> was assumed to include parenchymal cells and leukocytes, which </w:t>
      </w:r>
      <w:r w:rsidR="00AD1D6C" w:rsidRPr="008B3AD6">
        <w:t xml:space="preserve">when </w:t>
      </w:r>
      <w:r w:rsidR="002E4A60" w:rsidRPr="008B3AD6">
        <w:t xml:space="preserve">compared to the naïve </w:t>
      </w:r>
      <w:r w:rsidR="00AD1D6C" w:rsidRPr="008B3AD6">
        <w:t xml:space="preserve">hepatic </w:t>
      </w:r>
      <w:r w:rsidR="002E4A60" w:rsidRPr="008B3AD6">
        <w:t>leukocyte numbers obtained in this thesis would result in 1348 x 10</w:t>
      </w:r>
      <w:r w:rsidR="002E4A60" w:rsidRPr="008B3AD6">
        <w:rPr>
          <w:vertAlign w:val="superscript"/>
        </w:rPr>
        <w:t>5</w:t>
      </w:r>
      <w:r w:rsidR="002E4A60" w:rsidRPr="008B3AD6">
        <w:t xml:space="preserve"> parenchymal cells per liver. The parenchymal cell number has not previously been described as changing during </w:t>
      </w:r>
      <w:r w:rsidR="006429AB">
        <w:t>EVL</w:t>
      </w:r>
      <w:r w:rsidR="002E4A60" w:rsidRPr="008B3AD6">
        <w:t xml:space="preserve"> and was assumed to be </w:t>
      </w:r>
      <w:r w:rsidR="006429AB">
        <w:t>unaltered across all time points analysed</w:t>
      </w:r>
      <w:r w:rsidR="002E4A60" w:rsidRPr="008B3AD6">
        <w:t>. To calculate total hepat</w:t>
      </w:r>
      <w:r w:rsidR="00AD1D6C" w:rsidRPr="008B3AD6">
        <w:t>ocellularity at each time step post-infection t</w:t>
      </w:r>
      <w:r w:rsidR="002E4A60" w:rsidRPr="008B3AD6">
        <w:t xml:space="preserve">he parenchymal cells per liver </w:t>
      </w:r>
      <w:r w:rsidR="00AD1D6C" w:rsidRPr="008B3AD6">
        <w:t>(1348 x 10</w:t>
      </w:r>
      <w:r w:rsidR="00AD1D6C" w:rsidRPr="008B3AD6">
        <w:rPr>
          <w:vertAlign w:val="superscript"/>
        </w:rPr>
        <w:t>5</w:t>
      </w:r>
      <w:r w:rsidR="00AD1D6C" w:rsidRPr="008B3AD6">
        <w:t>) were</w:t>
      </w:r>
      <w:r w:rsidR="002E4A60" w:rsidRPr="008B3AD6">
        <w:t xml:space="preserve"> added to the leukocyte cells per liver. </w:t>
      </w:r>
      <w:r w:rsidR="00AD1D6C" w:rsidRPr="008B3AD6">
        <w:t xml:space="preserve">The absolute number of </w:t>
      </w:r>
      <w:r w:rsidR="00AD1D6C" w:rsidRPr="008B3AD6">
        <w:rPr>
          <w:i/>
        </w:rPr>
        <w:t>L. donovani</w:t>
      </w:r>
      <w:r w:rsidR="00AD1D6C" w:rsidRPr="008B3AD6">
        <w:t xml:space="preserve"> was then calculated as:</w:t>
      </w:r>
    </w:p>
    <w:p w14:paraId="4689789B" w14:textId="4F8A2A1B" w:rsidR="00AD1D6C" w:rsidRPr="008B3AD6" w:rsidRDefault="00C608D6" w:rsidP="00AD1D6C">
      <w:pPr>
        <w:spacing w:line="360" w:lineRule="auto"/>
        <w:ind w:firstLine="720"/>
        <w:jc w:val="both"/>
      </w:pPr>
      <w:r w:rsidRPr="008B3AD6">
        <w:rPr>
          <w:i/>
        </w:rPr>
        <w:t>L. donovani</w:t>
      </w:r>
      <w:r w:rsidRPr="008B3AD6">
        <w:t xml:space="preserve"> = </w:t>
      </w:r>
      <w:r w:rsidR="00AD1D6C" w:rsidRPr="008B3AD6">
        <w:t>(</w:t>
      </w:r>
      <w:r w:rsidRPr="008B3AD6">
        <w:t>(LDU / Liver Weight (g)</w:t>
      </w:r>
      <w:r w:rsidR="00AD1D6C" w:rsidRPr="008B3AD6">
        <w:t xml:space="preserve">) / 1000) </w:t>
      </w:r>
      <w:r w:rsidRPr="008B3AD6">
        <w:t xml:space="preserve">x Hepatocellularity </w:t>
      </w:r>
    </w:p>
    <w:p w14:paraId="73190869" w14:textId="77777777" w:rsidR="00C608D6" w:rsidRPr="008B3AD6" w:rsidRDefault="00C608D6" w:rsidP="00C608D6">
      <w:pPr>
        <w:spacing w:line="360" w:lineRule="auto"/>
        <w:jc w:val="both"/>
      </w:pPr>
      <w:bookmarkStart w:id="146" w:name="_Toc517175481"/>
    </w:p>
    <w:p w14:paraId="2264925E" w14:textId="77777777" w:rsidR="00C608D6" w:rsidRPr="008B3AD6" w:rsidRDefault="00C608D6" w:rsidP="00C608D6">
      <w:pPr>
        <w:pStyle w:val="Heading2"/>
      </w:pPr>
      <w:bookmarkStart w:id="147" w:name="_Ref519018511"/>
      <w:bookmarkStart w:id="148" w:name="_Ref519021213"/>
      <w:bookmarkStart w:id="149" w:name="_Ref519021276"/>
      <w:bookmarkStart w:id="150" w:name="_Ref519021529"/>
      <w:bookmarkStart w:id="151" w:name="_Ref519021688"/>
      <w:bookmarkStart w:id="152" w:name="_Ref519086645"/>
      <w:bookmarkStart w:id="153" w:name="_Toc3716078"/>
      <w:r w:rsidRPr="008B3AD6">
        <w:t>Cell Staining, Flow Cytometry</w:t>
      </w:r>
      <w:bookmarkEnd w:id="146"/>
      <w:r w:rsidRPr="008B3AD6">
        <w:t xml:space="preserve"> and Fluorescence activated Cell Sorting</w:t>
      </w:r>
      <w:bookmarkEnd w:id="147"/>
      <w:bookmarkEnd w:id="148"/>
      <w:bookmarkEnd w:id="149"/>
      <w:bookmarkEnd w:id="150"/>
      <w:bookmarkEnd w:id="151"/>
      <w:bookmarkEnd w:id="152"/>
      <w:bookmarkEnd w:id="153"/>
    </w:p>
    <w:p w14:paraId="074FDB1F" w14:textId="20D1084D" w:rsidR="00C608D6" w:rsidRPr="008B3AD6" w:rsidRDefault="00C608D6" w:rsidP="00C608D6">
      <w:pPr>
        <w:spacing w:line="360" w:lineRule="auto"/>
        <w:jc w:val="both"/>
      </w:pPr>
      <w:r w:rsidRPr="008B3AD6">
        <w:t>To ascert</w:t>
      </w:r>
      <w:r w:rsidR="00AD1D6C" w:rsidRPr="008B3AD6">
        <w:t xml:space="preserve">ain the </w:t>
      </w:r>
      <w:r w:rsidR="006429AB">
        <w:t>relative proportions</w:t>
      </w:r>
      <w:r w:rsidR="00AD1D6C" w:rsidRPr="008B3AD6">
        <w:t xml:space="preserve"> of leukocyte</w:t>
      </w:r>
      <w:r w:rsidRPr="008B3AD6">
        <w:t xml:space="preserve"> subsets within</w:t>
      </w:r>
      <w:r w:rsidR="006429AB">
        <w:t xml:space="preserve"> the total recovered leukocyte populations</w:t>
      </w:r>
      <w:r w:rsidRPr="008B3AD6">
        <w:t xml:space="preserve"> </w:t>
      </w:r>
      <w:r w:rsidR="006429AB">
        <w:t>from</w:t>
      </w:r>
      <w:r w:rsidRPr="008B3AD6">
        <w:t xml:space="preserve"> liver samples, surface staining was carried out. Additionally, this surface staining was applied to pooled leukocyte samples for cell sorting (</w:t>
      </w:r>
      <w:fldSimple w:instr=" REF _Ref518738258 \n  \* MERGEFORMAT ">
        <w:r w:rsidR="00031DCA">
          <w:t>Chapter 3</w:t>
        </w:r>
      </w:fldSimple>
      <w:r w:rsidRPr="008B3AD6">
        <w:t>).</w:t>
      </w:r>
    </w:p>
    <w:p w14:paraId="1D95E5DE" w14:textId="77777777" w:rsidR="00C608D6" w:rsidRPr="008B3AD6" w:rsidRDefault="00C608D6" w:rsidP="00C608D6">
      <w:pPr>
        <w:spacing w:line="360" w:lineRule="auto"/>
        <w:jc w:val="both"/>
      </w:pPr>
    </w:p>
    <w:p w14:paraId="1AA03291" w14:textId="65FCFA2E" w:rsidR="00C608D6" w:rsidRPr="008B3AD6" w:rsidRDefault="00C608D6" w:rsidP="00C608D6">
      <w:pPr>
        <w:spacing w:line="360" w:lineRule="auto"/>
        <w:jc w:val="both"/>
      </w:pPr>
      <w:r w:rsidRPr="008B3AD6">
        <w:t>After cell concentrations were calculated (</w:t>
      </w:r>
      <w:r w:rsidR="00BF4924" w:rsidRPr="008B3AD6">
        <w:t xml:space="preserve">Section </w:t>
      </w:r>
      <w:r w:rsidR="008B3AD6" w:rsidRPr="008B3AD6">
        <w:fldChar w:fldCharType="begin"/>
      </w:r>
      <w:r w:rsidR="008B3AD6" w:rsidRPr="008B3AD6">
        <w:instrText xml:space="preserve"> REF _Ref518492280 \n </w:instrText>
      </w:r>
      <w:r w:rsidR="008B3AD6">
        <w:instrText xml:space="preserve"> \* MERGEFORMAT </w:instrText>
      </w:r>
      <w:r w:rsidR="008B3AD6" w:rsidRPr="008B3AD6">
        <w:fldChar w:fldCharType="separate"/>
      </w:r>
      <w:r w:rsidR="00E5551E">
        <w:t>2.5</w:t>
      </w:r>
      <w:r w:rsidR="008B3AD6" w:rsidRPr="008B3AD6">
        <w:fldChar w:fldCharType="end"/>
      </w:r>
      <w:r w:rsidRPr="008B3AD6">
        <w:t>), a further calculation for the suspension volume required for 1x10</w:t>
      </w:r>
      <w:r w:rsidRPr="008B3AD6">
        <w:rPr>
          <w:vertAlign w:val="superscript"/>
        </w:rPr>
        <w:t>6</w:t>
      </w:r>
      <w:r w:rsidRPr="008B3AD6">
        <w:t xml:space="preserve"> cells was carried out. These calculated volumes were transferred into separate wells of a round bottomed 96 well plate(s) (Sarstedt AG &amp; Co, Germany) to form control and experimental wells. All wells were then topped up to a volume of 200μl. The remaining </w:t>
      </w:r>
      <w:r w:rsidRPr="008B3AD6">
        <w:rPr>
          <w:color w:val="000000" w:themeColor="text1"/>
        </w:rPr>
        <w:t xml:space="preserve">leukocyte cell solutions were pooled into a 50 ml Falcon. The plate and pooled Falcon tube were spun at </w:t>
      </w:r>
      <w:r w:rsidR="001F1F8E" w:rsidRPr="008B3AD6">
        <w:rPr>
          <w:color w:val="000000" w:themeColor="text1"/>
        </w:rPr>
        <w:t>311 G</w:t>
      </w:r>
      <w:r w:rsidRPr="008B3AD6">
        <w:rPr>
          <w:color w:val="000000" w:themeColor="text1"/>
        </w:rPr>
        <w:t xml:space="preserve"> for </w:t>
      </w:r>
      <w:r w:rsidRPr="008B3AD6">
        <w:t>10 minutes at 4ºC, the plate supernatant was discarded by firmly ‘flicking’ and the Falcon supernatant decanted.</w:t>
      </w:r>
    </w:p>
    <w:p w14:paraId="0EC0B201" w14:textId="77777777" w:rsidR="00C608D6" w:rsidRPr="008B3AD6" w:rsidRDefault="00C608D6" w:rsidP="00C608D6">
      <w:pPr>
        <w:spacing w:line="360" w:lineRule="auto"/>
        <w:jc w:val="both"/>
      </w:pPr>
    </w:p>
    <w:p w14:paraId="1179953A" w14:textId="351692E0" w:rsidR="00C608D6" w:rsidRPr="008B3AD6" w:rsidRDefault="00C608D6" w:rsidP="00C608D6">
      <w:pPr>
        <w:spacing w:line="360" w:lineRule="auto"/>
        <w:jc w:val="both"/>
      </w:pPr>
      <w:r w:rsidRPr="008B3AD6">
        <w:t xml:space="preserve">The experimental sample cell pellets, isotype cell pellets, the pooled leukocyte pellet and the viability dye single stain control were resuspended in PBS containing 1:1000 </w:t>
      </w:r>
      <w:r w:rsidR="006429AB">
        <w:t>anti-</w:t>
      </w:r>
      <w:r w:rsidRPr="008B3AD6">
        <w:lastRenderedPageBreak/>
        <w:t>CD16/</w:t>
      </w:r>
      <w:r w:rsidR="006429AB">
        <w:t>anti-</w:t>
      </w:r>
      <w:r w:rsidRPr="008B3AD6">
        <w:t>CD32</w:t>
      </w:r>
      <w:r w:rsidR="005900F3">
        <w:t>, to help stop non-specific antibody binding,</w:t>
      </w:r>
      <w:r w:rsidRPr="008B3AD6">
        <w:t xml:space="preserve"> and 1:100 Viability Dye (100 μl per well for the plate, 2 ml for the Falcon tube) for 30 minutes at 4ºC. Unstained and the remaining single stain control cell pellets were resuspended in 100μl of PBS containing 1:1000 </w:t>
      </w:r>
      <w:r w:rsidR="006429AB">
        <w:t>anti-</w:t>
      </w:r>
      <w:r w:rsidRPr="008B3AD6">
        <w:t>CD16/</w:t>
      </w:r>
      <w:r w:rsidR="006429AB">
        <w:t>anti-</w:t>
      </w:r>
      <w:r w:rsidRPr="008B3AD6">
        <w:t>CD32 only. After this incubation, staining solution containing antibodies raised against either CD3ε, B220, CD19, NK1.1, TCR</w:t>
      </w:r>
      <w:r w:rsidRPr="008B3AD6">
        <w:sym w:font="Symbol" w:char="F062"/>
      </w:r>
      <w:r w:rsidRPr="008B3AD6">
        <w:t xml:space="preserve">, CD45, F4/80, CD11c, Ly6G, Ly6C or CD11b, as described in </w:t>
      </w:r>
      <w:r w:rsidR="00BF4924" w:rsidRPr="008B3AD6">
        <w:t xml:space="preserve">Section </w:t>
      </w:r>
      <w:r w:rsidR="008B3AD6" w:rsidRPr="008B3AD6">
        <w:fldChar w:fldCharType="begin"/>
      </w:r>
      <w:r w:rsidR="008B3AD6" w:rsidRPr="008B3AD6">
        <w:instrText xml:space="preserve"> REF _Ref519018114 \n </w:instrText>
      </w:r>
      <w:r w:rsidR="008B3AD6">
        <w:instrText xml:space="preserve"> \* MERGEFORMAT </w:instrText>
      </w:r>
      <w:r w:rsidR="008B3AD6" w:rsidRPr="008B3AD6">
        <w:fldChar w:fldCharType="separate"/>
      </w:r>
      <w:r w:rsidR="00031DCA">
        <w:t>7.1</w:t>
      </w:r>
      <w:r w:rsidR="008B3AD6" w:rsidRPr="008B3AD6">
        <w:fldChar w:fldCharType="end"/>
      </w:r>
      <w:r w:rsidRPr="008B3AD6">
        <w:t xml:space="preserve">, suspended in PBS containing 2% FCS was added to all experimental wells and to the pooled leukocyte tube (100 μl per well for the plate, 2 ml for the Falcon tube) and incubated for 30 minutes at 4ºC. For the 96 well plate, the unstained and viability dye single stain control received PBS containing 2% FCS only. Single stain wells for the aforementioned antibodies had 100μl of staining solution containing only their antibody added. Isotype controls </w:t>
      </w:r>
      <w:r w:rsidR="00391C34">
        <w:t>contained</w:t>
      </w:r>
      <w:r w:rsidR="00391C34" w:rsidRPr="008B3AD6">
        <w:t xml:space="preserve"> </w:t>
      </w:r>
      <w:r w:rsidRPr="008B3AD6">
        <w:t xml:space="preserve">the full cocktail of antibodies utilised in their staining except for the antibody </w:t>
      </w:r>
      <w:r w:rsidR="00BF4924" w:rsidRPr="008B3AD6">
        <w:t>under scrutiny</w:t>
      </w:r>
      <w:r w:rsidRPr="008B3AD6">
        <w:t xml:space="preserve"> in which case the isotype control was</w:t>
      </w:r>
      <w:r w:rsidR="00BF4924" w:rsidRPr="008B3AD6">
        <w:t xml:space="preserve"> used at the same concentration, </w:t>
      </w:r>
      <w:r w:rsidRPr="008B3AD6">
        <w:t xml:space="preserve">as described in </w:t>
      </w:r>
      <w:r w:rsidR="00BF4924" w:rsidRPr="008B3AD6">
        <w:t xml:space="preserve">Section </w:t>
      </w:r>
      <w:r w:rsidR="008B3AD6" w:rsidRPr="008B3AD6">
        <w:fldChar w:fldCharType="begin"/>
      </w:r>
      <w:r w:rsidR="008B3AD6" w:rsidRPr="008B3AD6">
        <w:instrText xml:space="preserve"> REF _Ref519018114 \n </w:instrText>
      </w:r>
      <w:r w:rsidR="008B3AD6">
        <w:instrText xml:space="preserve"> \* MERGEFORMAT </w:instrText>
      </w:r>
      <w:r w:rsidR="008B3AD6" w:rsidRPr="008B3AD6">
        <w:fldChar w:fldCharType="separate"/>
      </w:r>
      <w:r w:rsidR="00E5551E">
        <w:t>7.1</w:t>
      </w:r>
      <w:r w:rsidR="008B3AD6" w:rsidRPr="008B3AD6">
        <w:fldChar w:fldCharType="end"/>
      </w:r>
      <w:r w:rsidRPr="008B3AD6">
        <w:t>.</w:t>
      </w:r>
    </w:p>
    <w:p w14:paraId="005E82C7" w14:textId="77777777" w:rsidR="00C608D6" w:rsidRPr="008B3AD6" w:rsidRDefault="00C608D6" w:rsidP="00C608D6">
      <w:pPr>
        <w:spacing w:line="360" w:lineRule="auto"/>
        <w:jc w:val="both"/>
      </w:pPr>
    </w:p>
    <w:p w14:paraId="44CBC251" w14:textId="70CBC041" w:rsidR="00C608D6" w:rsidRPr="008B3AD6" w:rsidRDefault="00C608D6" w:rsidP="00C608D6">
      <w:pPr>
        <w:spacing w:line="360" w:lineRule="auto"/>
        <w:jc w:val="both"/>
      </w:pPr>
      <w:r w:rsidRPr="008B3AD6">
        <w:t xml:space="preserve">After the staining incubation, the Falcon tube and the 96 well plate were centrifuged at </w:t>
      </w:r>
      <w:r w:rsidR="001F1F8E" w:rsidRPr="008B3AD6">
        <w:rPr>
          <w:color w:val="000000" w:themeColor="text1"/>
        </w:rPr>
        <w:t>311 G</w:t>
      </w:r>
      <w:r w:rsidRPr="008B3AD6">
        <w:rPr>
          <w:color w:val="FF0000"/>
        </w:rPr>
        <w:t xml:space="preserve"> </w:t>
      </w:r>
      <w:r w:rsidRPr="008B3AD6">
        <w:t xml:space="preserve">for 10 minutes at 4ºC, following this the supernatant was discarded as previously described and the resulting 96 well plate cell pellets resuspended in 200μl of PBS containing 2% FCS, the Falcon tube pellet was resuspended with 10 ml PBS containing 2% FCS. This wash was repeated once more. Finally, cell pellets were resuspended in 200μl of PBS containing 10 millimolar (mM) Ethylenediaminetetraacetic acid (EDTA) and 10% FCS and the Falcon tube pellet was resuspended in 10 ml of the same solution. Both were stored protected from light at 4ºC until acquisition. </w:t>
      </w:r>
      <w:r w:rsidR="00A847B8">
        <w:t>At the time of acquisition</w:t>
      </w:r>
      <w:r w:rsidR="00A847B8" w:rsidRPr="008B3AD6">
        <w:t xml:space="preserve"> </w:t>
      </w:r>
      <w:r w:rsidR="00A847B8">
        <w:t>lymphoid cells (CD3</w:t>
      </w:r>
      <w:r w:rsidR="00A847B8" w:rsidRPr="00B23FF8">
        <w:rPr>
          <w:vertAlign w:val="superscript"/>
        </w:rPr>
        <w:t>+</w:t>
      </w:r>
      <w:r w:rsidR="00A847B8">
        <w:t>, B220</w:t>
      </w:r>
      <w:r w:rsidR="00A847B8" w:rsidRPr="00B23FF8">
        <w:rPr>
          <w:vertAlign w:val="superscript"/>
        </w:rPr>
        <w:t>+</w:t>
      </w:r>
      <w:r w:rsidR="00A847B8">
        <w:t>, NK1.1</w:t>
      </w:r>
      <w:r w:rsidR="00A847B8" w:rsidRPr="00B23FF8">
        <w:rPr>
          <w:vertAlign w:val="superscript"/>
        </w:rPr>
        <w:t>+</w:t>
      </w:r>
      <w:r w:rsidR="00A847B8">
        <w:t xml:space="preserve"> &amp; TCR</w:t>
      </w:r>
      <w:r w:rsidR="00A847B8">
        <w:sym w:font="Symbol" w:char="F062"/>
      </w:r>
      <w:r w:rsidR="00A847B8" w:rsidRPr="00B23FF8">
        <w:rPr>
          <w:vertAlign w:val="superscript"/>
        </w:rPr>
        <w:t>+</w:t>
      </w:r>
      <w:r w:rsidR="00A847B8">
        <w:t>), myeloid cells (CD3</w:t>
      </w:r>
      <w:r w:rsidR="00A847B8">
        <w:rPr>
          <w:vertAlign w:val="superscript"/>
        </w:rPr>
        <w:t>-</w:t>
      </w:r>
      <w:r w:rsidR="00A847B8">
        <w:t>, B220</w:t>
      </w:r>
      <w:r w:rsidR="00A847B8">
        <w:rPr>
          <w:vertAlign w:val="superscript"/>
        </w:rPr>
        <w:t>-</w:t>
      </w:r>
      <w:r w:rsidR="00A847B8">
        <w:t>, NK1.1</w:t>
      </w:r>
      <w:r w:rsidR="00A847B8">
        <w:rPr>
          <w:vertAlign w:val="superscript"/>
        </w:rPr>
        <w:t>-</w:t>
      </w:r>
      <w:r w:rsidR="00A847B8">
        <w:t xml:space="preserve"> &amp; TCR</w:t>
      </w:r>
      <w:r w:rsidR="00A847B8">
        <w:sym w:font="Symbol" w:char="F062"/>
      </w:r>
      <w:r w:rsidR="00A847B8">
        <w:rPr>
          <w:vertAlign w:val="superscript"/>
        </w:rPr>
        <w:t>-</w:t>
      </w:r>
      <w:r w:rsidR="00A847B8">
        <w:t>), neutrophils (CD3</w:t>
      </w:r>
      <w:r w:rsidR="00A847B8">
        <w:rPr>
          <w:vertAlign w:val="superscript"/>
        </w:rPr>
        <w:t>-</w:t>
      </w:r>
      <w:r w:rsidR="00A847B8">
        <w:t>, B220</w:t>
      </w:r>
      <w:r w:rsidR="00A847B8">
        <w:rPr>
          <w:vertAlign w:val="superscript"/>
        </w:rPr>
        <w:t>-</w:t>
      </w:r>
      <w:r w:rsidR="00A847B8">
        <w:t>, NK1.1</w:t>
      </w:r>
      <w:r w:rsidR="00A847B8">
        <w:rPr>
          <w:vertAlign w:val="superscript"/>
        </w:rPr>
        <w:t>-</w:t>
      </w:r>
      <w:r w:rsidR="00A847B8">
        <w:t>, TCR</w:t>
      </w:r>
      <w:r w:rsidR="00A847B8">
        <w:sym w:font="Symbol" w:char="F062"/>
      </w:r>
      <w:r w:rsidR="00A847B8">
        <w:rPr>
          <w:vertAlign w:val="superscript"/>
        </w:rPr>
        <w:t>-</w:t>
      </w:r>
      <w:r w:rsidR="00A847B8">
        <w:t>, CD11b</w:t>
      </w:r>
      <w:r w:rsidR="00A847B8" w:rsidRPr="00B23FF8">
        <w:rPr>
          <w:vertAlign w:val="superscript"/>
        </w:rPr>
        <w:t>+</w:t>
      </w:r>
      <w:r w:rsidR="00A847B8">
        <w:t xml:space="preserve"> &amp; Ly6G</w:t>
      </w:r>
      <w:r w:rsidR="00A847B8" w:rsidRPr="00B23FF8">
        <w:rPr>
          <w:vertAlign w:val="superscript"/>
        </w:rPr>
        <w:t>+</w:t>
      </w:r>
      <w:r w:rsidR="00A847B8">
        <w:t>), dendritic cells (CD3</w:t>
      </w:r>
      <w:r w:rsidR="00A847B8">
        <w:rPr>
          <w:vertAlign w:val="superscript"/>
        </w:rPr>
        <w:t>-</w:t>
      </w:r>
      <w:r w:rsidR="00A847B8">
        <w:t>, B220</w:t>
      </w:r>
      <w:r w:rsidR="00A847B8">
        <w:rPr>
          <w:vertAlign w:val="superscript"/>
        </w:rPr>
        <w:t>-</w:t>
      </w:r>
      <w:r w:rsidR="00A847B8">
        <w:t>, NK1.1</w:t>
      </w:r>
      <w:r w:rsidR="00A847B8">
        <w:rPr>
          <w:vertAlign w:val="superscript"/>
        </w:rPr>
        <w:t>-</w:t>
      </w:r>
      <w:r w:rsidR="00A847B8">
        <w:t>, TCR</w:t>
      </w:r>
      <w:r w:rsidR="00A847B8">
        <w:sym w:font="Symbol" w:char="F062"/>
      </w:r>
      <w:r w:rsidR="00A847B8">
        <w:rPr>
          <w:vertAlign w:val="superscript"/>
        </w:rPr>
        <w:t>-</w:t>
      </w:r>
      <w:r w:rsidR="00A847B8">
        <w:t>, CD11b</w:t>
      </w:r>
      <w:r w:rsidR="00A847B8">
        <w:rPr>
          <w:vertAlign w:val="superscript"/>
        </w:rPr>
        <w:t>lo-hi</w:t>
      </w:r>
      <w:r w:rsidR="00A847B8">
        <w:t>, Ly6G</w:t>
      </w:r>
      <w:r w:rsidR="00A847B8">
        <w:rPr>
          <w:vertAlign w:val="superscript"/>
        </w:rPr>
        <w:t>-</w:t>
      </w:r>
      <w:r w:rsidR="00A847B8">
        <w:t>, CD11c</w:t>
      </w:r>
      <w:r w:rsidR="00A847B8">
        <w:rPr>
          <w:vertAlign w:val="superscript"/>
        </w:rPr>
        <w:t>int-hi</w:t>
      </w:r>
      <w:r w:rsidR="00966D93">
        <w:t xml:space="preserve"> &amp; </w:t>
      </w:r>
      <w:r w:rsidR="00A847B8">
        <w:t>F480</w:t>
      </w:r>
      <w:r w:rsidR="00966D93">
        <w:rPr>
          <w:vertAlign w:val="superscript"/>
        </w:rPr>
        <w:t>lo</w:t>
      </w:r>
      <w:r w:rsidR="00A847B8">
        <w:t>), Kupffer cells (</w:t>
      </w:r>
      <w:r w:rsidR="00966D93">
        <w:t>CD3</w:t>
      </w:r>
      <w:r w:rsidR="00966D93">
        <w:rPr>
          <w:vertAlign w:val="superscript"/>
        </w:rPr>
        <w:t>-</w:t>
      </w:r>
      <w:r w:rsidR="00966D93">
        <w:t>, B220</w:t>
      </w:r>
      <w:r w:rsidR="00966D93">
        <w:rPr>
          <w:vertAlign w:val="superscript"/>
        </w:rPr>
        <w:t>-</w:t>
      </w:r>
      <w:r w:rsidR="00966D93">
        <w:t>, NK1.1</w:t>
      </w:r>
      <w:r w:rsidR="00966D93">
        <w:rPr>
          <w:vertAlign w:val="superscript"/>
        </w:rPr>
        <w:t>-</w:t>
      </w:r>
      <w:r w:rsidR="00966D93">
        <w:t>, TCR</w:t>
      </w:r>
      <w:r w:rsidR="00966D93">
        <w:sym w:font="Symbol" w:char="F062"/>
      </w:r>
      <w:r w:rsidR="00966D93">
        <w:rPr>
          <w:vertAlign w:val="superscript"/>
        </w:rPr>
        <w:t>-</w:t>
      </w:r>
      <w:r w:rsidR="00966D93">
        <w:t>, CD11b</w:t>
      </w:r>
      <w:r w:rsidR="00966D93">
        <w:rPr>
          <w:vertAlign w:val="superscript"/>
        </w:rPr>
        <w:t>lo-hi</w:t>
      </w:r>
      <w:r w:rsidR="00966D93">
        <w:t>, Ly6G</w:t>
      </w:r>
      <w:r w:rsidR="00966D93">
        <w:rPr>
          <w:vertAlign w:val="superscript"/>
        </w:rPr>
        <w:t>-</w:t>
      </w:r>
      <w:r w:rsidR="00966D93">
        <w:t>, CD11c</w:t>
      </w:r>
      <w:r w:rsidR="00966D93">
        <w:rPr>
          <w:vertAlign w:val="superscript"/>
        </w:rPr>
        <w:t>lo-hi</w:t>
      </w:r>
      <w:r w:rsidR="00966D93">
        <w:t xml:space="preserve"> &amp; F480</w:t>
      </w:r>
      <w:r w:rsidR="00966D93">
        <w:rPr>
          <w:vertAlign w:val="superscript"/>
        </w:rPr>
        <w:t>int-hi</w:t>
      </w:r>
      <w:r w:rsidR="00A847B8">
        <w:t>) and mononcytes (</w:t>
      </w:r>
      <w:r w:rsidR="00966D93">
        <w:t>CD3</w:t>
      </w:r>
      <w:r w:rsidR="00966D93">
        <w:rPr>
          <w:vertAlign w:val="superscript"/>
        </w:rPr>
        <w:t>-</w:t>
      </w:r>
      <w:r w:rsidR="00966D93">
        <w:t>, B220</w:t>
      </w:r>
      <w:r w:rsidR="00966D93">
        <w:rPr>
          <w:vertAlign w:val="superscript"/>
        </w:rPr>
        <w:t>-</w:t>
      </w:r>
      <w:r w:rsidR="00966D93">
        <w:t>, NK1.1</w:t>
      </w:r>
      <w:r w:rsidR="00966D93">
        <w:rPr>
          <w:vertAlign w:val="superscript"/>
        </w:rPr>
        <w:t>-</w:t>
      </w:r>
      <w:r w:rsidR="00966D93">
        <w:t>, TCR</w:t>
      </w:r>
      <w:r w:rsidR="00966D93">
        <w:sym w:font="Symbol" w:char="F062"/>
      </w:r>
      <w:r w:rsidR="00966D93">
        <w:rPr>
          <w:vertAlign w:val="superscript"/>
        </w:rPr>
        <w:t>-</w:t>
      </w:r>
      <w:r w:rsidR="00966D93">
        <w:t>, CD11b</w:t>
      </w:r>
      <w:r w:rsidR="00966D93">
        <w:rPr>
          <w:vertAlign w:val="superscript"/>
        </w:rPr>
        <w:t>lo-hi</w:t>
      </w:r>
      <w:r w:rsidR="00966D93">
        <w:t>, Ly6G</w:t>
      </w:r>
      <w:r w:rsidR="00966D93">
        <w:rPr>
          <w:vertAlign w:val="superscript"/>
        </w:rPr>
        <w:t>-</w:t>
      </w:r>
      <w:r w:rsidR="00966D93">
        <w:t>, CD11c</w:t>
      </w:r>
      <w:r w:rsidR="00966D93">
        <w:rPr>
          <w:vertAlign w:val="superscript"/>
        </w:rPr>
        <w:t>lo</w:t>
      </w:r>
      <w:r w:rsidR="00966D93">
        <w:t xml:space="preserve"> &amp; F480</w:t>
      </w:r>
      <w:r w:rsidR="00966D93">
        <w:rPr>
          <w:vertAlign w:val="superscript"/>
        </w:rPr>
        <w:t>lo</w:t>
      </w:r>
      <w:r w:rsidR="00A847B8">
        <w:t xml:space="preserve">) were sorted and collected. </w:t>
      </w:r>
      <w:r w:rsidRPr="008B3AD6">
        <w:t>These experiments are denoted in their figure legends as Staining Protocol 1.</w:t>
      </w:r>
    </w:p>
    <w:p w14:paraId="57EA75D7" w14:textId="77777777" w:rsidR="00C608D6" w:rsidRPr="008B3AD6" w:rsidRDefault="00C608D6" w:rsidP="00C608D6">
      <w:pPr>
        <w:spacing w:line="360" w:lineRule="auto"/>
        <w:jc w:val="both"/>
      </w:pPr>
    </w:p>
    <w:p w14:paraId="58B7AE38" w14:textId="02A474D5" w:rsidR="00C608D6" w:rsidRDefault="00C608D6" w:rsidP="00C608D6">
      <w:pPr>
        <w:spacing w:line="360" w:lineRule="auto"/>
        <w:jc w:val="both"/>
      </w:pPr>
      <w:r w:rsidRPr="008B3AD6">
        <w:t>As mentioned a concern in AmBisome treated system</w:t>
      </w:r>
      <w:r w:rsidR="00AD1D6C" w:rsidRPr="008B3AD6">
        <w:t>s</w:t>
      </w:r>
      <w:r w:rsidRPr="008B3AD6">
        <w:t xml:space="preserve"> was the possible cellular leakage of drug due to excessive processing time. To avoid this the centrifugati</w:t>
      </w:r>
      <w:r w:rsidR="00BF4924" w:rsidRPr="008B3AD6">
        <w:t xml:space="preserve">on times for these experiments, </w:t>
      </w:r>
      <w:r w:rsidR="00AD1D6C" w:rsidRPr="008B3AD6">
        <w:t>as detailed in figure legends</w:t>
      </w:r>
      <w:r w:rsidR="00BF4924" w:rsidRPr="008B3AD6">
        <w:t>,</w:t>
      </w:r>
      <w:r w:rsidRPr="008B3AD6">
        <w:rPr>
          <w:b/>
        </w:rPr>
        <w:t xml:space="preserve"> </w:t>
      </w:r>
      <w:r w:rsidRPr="008B3AD6">
        <w:t xml:space="preserve">was </w:t>
      </w:r>
      <w:r w:rsidR="00BF4924" w:rsidRPr="008B3AD6">
        <w:t>reduced</w:t>
      </w:r>
      <w:r w:rsidR="00AD1D6C" w:rsidRPr="008B3AD6">
        <w:t xml:space="preserve"> to 5 minutes </w:t>
      </w:r>
      <w:r w:rsidRPr="008B3AD6">
        <w:t xml:space="preserve">instead of 10 minutes. Additionally, to aid with cell sorting the final cell pellets in these experiments were resuspended in 200μl of PBS containing 10 millimolar (mM) Ethylenediaminetetraacetic acid (EDTA) and 10% FCS and the Falcon tube pellet was resuspended in 10 ml of the same </w:t>
      </w:r>
      <w:r w:rsidRPr="008B3AD6">
        <w:lastRenderedPageBreak/>
        <w:t>solution. Both were stored protected from light at 4ºC until acquisition.</w:t>
      </w:r>
      <w:r w:rsidR="00F62FD6">
        <w:t xml:space="preserve"> </w:t>
      </w:r>
      <w:r w:rsidR="003D7838">
        <w:t>At the time of acquisition</w:t>
      </w:r>
      <w:r w:rsidR="003D7838" w:rsidRPr="008B3AD6">
        <w:t xml:space="preserve"> </w:t>
      </w:r>
      <w:r w:rsidR="003D7838">
        <w:t>lymphoid cells (CD3</w:t>
      </w:r>
      <w:r w:rsidR="003D7838" w:rsidRPr="009A20B8">
        <w:rPr>
          <w:vertAlign w:val="superscript"/>
        </w:rPr>
        <w:t>+</w:t>
      </w:r>
      <w:r w:rsidR="003D7838">
        <w:t>, B220</w:t>
      </w:r>
      <w:r w:rsidR="003D7838" w:rsidRPr="009A20B8">
        <w:rPr>
          <w:vertAlign w:val="superscript"/>
        </w:rPr>
        <w:t>+</w:t>
      </w:r>
      <w:r w:rsidR="003D7838">
        <w:t>, NK1.1</w:t>
      </w:r>
      <w:r w:rsidR="003D7838" w:rsidRPr="009A20B8">
        <w:rPr>
          <w:vertAlign w:val="superscript"/>
        </w:rPr>
        <w:t>+</w:t>
      </w:r>
      <w:r w:rsidR="003D7838">
        <w:t xml:space="preserve"> &amp; TCR</w:t>
      </w:r>
      <w:r w:rsidR="003D7838">
        <w:sym w:font="Symbol" w:char="F062"/>
      </w:r>
      <w:r w:rsidR="003D7838" w:rsidRPr="009A20B8">
        <w:rPr>
          <w:vertAlign w:val="superscript"/>
        </w:rPr>
        <w:t>+</w:t>
      </w:r>
      <w:r w:rsidR="003D7838">
        <w:t>), neutrophils (CD3</w:t>
      </w:r>
      <w:r w:rsidR="003D7838">
        <w:rPr>
          <w:vertAlign w:val="superscript"/>
        </w:rPr>
        <w:t>-</w:t>
      </w:r>
      <w:r w:rsidR="003D7838">
        <w:t>, B220</w:t>
      </w:r>
      <w:r w:rsidR="003D7838">
        <w:rPr>
          <w:vertAlign w:val="superscript"/>
        </w:rPr>
        <w:t>-</w:t>
      </w:r>
      <w:r w:rsidR="003D7838">
        <w:t>, NK1.1</w:t>
      </w:r>
      <w:r w:rsidR="003D7838">
        <w:rPr>
          <w:vertAlign w:val="superscript"/>
        </w:rPr>
        <w:t>-</w:t>
      </w:r>
      <w:r w:rsidR="003D7838">
        <w:t>, TCR</w:t>
      </w:r>
      <w:r w:rsidR="003D7838">
        <w:sym w:font="Symbol" w:char="F062"/>
      </w:r>
      <w:r w:rsidR="003D7838">
        <w:rPr>
          <w:vertAlign w:val="superscript"/>
        </w:rPr>
        <w:t>-</w:t>
      </w:r>
      <w:r w:rsidR="003D7838">
        <w:t>, CD11b</w:t>
      </w:r>
      <w:r w:rsidR="003D7838" w:rsidRPr="009A20B8">
        <w:rPr>
          <w:vertAlign w:val="superscript"/>
        </w:rPr>
        <w:t>+</w:t>
      </w:r>
      <w:r w:rsidR="003D7838">
        <w:t xml:space="preserve"> &amp; Ly6G</w:t>
      </w:r>
      <w:r w:rsidR="003D7838" w:rsidRPr="009A20B8">
        <w:rPr>
          <w:vertAlign w:val="superscript"/>
        </w:rPr>
        <w:t>+</w:t>
      </w:r>
      <w:r w:rsidR="003D7838">
        <w:t>), mononcytes (CD3</w:t>
      </w:r>
      <w:r w:rsidR="003D7838">
        <w:rPr>
          <w:vertAlign w:val="superscript"/>
        </w:rPr>
        <w:t>-</w:t>
      </w:r>
      <w:r w:rsidR="003D7838">
        <w:t>, B220</w:t>
      </w:r>
      <w:r w:rsidR="003D7838">
        <w:rPr>
          <w:vertAlign w:val="superscript"/>
        </w:rPr>
        <w:t>-</w:t>
      </w:r>
      <w:r w:rsidR="003D7838">
        <w:t>, NK1.1</w:t>
      </w:r>
      <w:r w:rsidR="003D7838">
        <w:rPr>
          <w:vertAlign w:val="superscript"/>
        </w:rPr>
        <w:t>-</w:t>
      </w:r>
      <w:r w:rsidR="003D7838">
        <w:t>, TCR</w:t>
      </w:r>
      <w:r w:rsidR="003D7838">
        <w:sym w:font="Symbol" w:char="F062"/>
      </w:r>
      <w:r w:rsidR="003D7838">
        <w:rPr>
          <w:vertAlign w:val="superscript"/>
        </w:rPr>
        <w:t>-</w:t>
      </w:r>
      <w:r w:rsidR="003D7838">
        <w:t>, Ly6G</w:t>
      </w:r>
      <w:r w:rsidR="003D7838">
        <w:rPr>
          <w:vertAlign w:val="superscript"/>
        </w:rPr>
        <w:t>-</w:t>
      </w:r>
      <w:r w:rsidR="003D7838">
        <w:t>, CD11b</w:t>
      </w:r>
      <w:r w:rsidR="003D7838">
        <w:rPr>
          <w:vertAlign w:val="superscript"/>
        </w:rPr>
        <w:t>hi</w:t>
      </w:r>
      <w:r w:rsidR="003D7838">
        <w:t xml:space="preserve"> &amp; Ly6C</w:t>
      </w:r>
      <w:r w:rsidR="003D7838">
        <w:rPr>
          <w:vertAlign w:val="superscript"/>
        </w:rPr>
        <w:t>hi</w:t>
      </w:r>
      <w:r w:rsidR="003D7838">
        <w:t>) and Kupffer cells &amp; dendritic cells (CD3</w:t>
      </w:r>
      <w:r w:rsidR="003D7838">
        <w:rPr>
          <w:vertAlign w:val="superscript"/>
        </w:rPr>
        <w:t>-</w:t>
      </w:r>
      <w:r w:rsidR="003D7838">
        <w:t>, B220</w:t>
      </w:r>
      <w:r w:rsidR="003D7838">
        <w:rPr>
          <w:vertAlign w:val="superscript"/>
        </w:rPr>
        <w:t>-</w:t>
      </w:r>
      <w:r w:rsidR="003D7838">
        <w:t>, NK1.1</w:t>
      </w:r>
      <w:r w:rsidR="003D7838">
        <w:rPr>
          <w:vertAlign w:val="superscript"/>
        </w:rPr>
        <w:t>-</w:t>
      </w:r>
      <w:r w:rsidR="003D7838">
        <w:t>, TCR</w:t>
      </w:r>
      <w:r w:rsidR="003D7838">
        <w:sym w:font="Symbol" w:char="F062"/>
      </w:r>
      <w:r w:rsidR="003D7838">
        <w:rPr>
          <w:vertAlign w:val="superscript"/>
        </w:rPr>
        <w:t>-</w:t>
      </w:r>
      <w:r w:rsidR="003D7838">
        <w:t>, Ly6G</w:t>
      </w:r>
      <w:r w:rsidR="003D7838">
        <w:rPr>
          <w:vertAlign w:val="superscript"/>
        </w:rPr>
        <w:t>-</w:t>
      </w:r>
      <w:r w:rsidR="003D7838">
        <w:t>, CD11b</w:t>
      </w:r>
      <w:r w:rsidR="003D7838">
        <w:rPr>
          <w:vertAlign w:val="superscript"/>
        </w:rPr>
        <w:t>lo-int</w:t>
      </w:r>
      <w:r w:rsidR="003D7838">
        <w:t>, Ly6C</w:t>
      </w:r>
      <w:r w:rsidR="003D7838">
        <w:rPr>
          <w:vertAlign w:val="superscript"/>
        </w:rPr>
        <w:t>lo-int</w:t>
      </w:r>
      <w:r w:rsidR="003D7838">
        <w:t>, CD11c</w:t>
      </w:r>
      <w:r w:rsidR="002671AE">
        <w:rPr>
          <w:vertAlign w:val="superscript"/>
        </w:rPr>
        <w:t>int-hi</w:t>
      </w:r>
      <w:r w:rsidR="003D7838">
        <w:t xml:space="preserve"> &amp; F480</w:t>
      </w:r>
      <w:r w:rsidR="002671AE">
        <w:rPr>
          <w:vertAlign w:val="superscript"/>
        </w:rPr>
        <w:t>int-hi</w:t>
      </w:r>
      <w:r w:rsidR="003D7838">
        <w:t xml:space="preserve">) were sorted and collected. </w:t>
      </w:r>
      <w:r w:rsidR="00AD1D6C" w:rsidRPr="008B3AD6">
        <w:t>P</w:t>
      </w:r>
      <w:r w:rsidRPr="008B3AD6">
        <w:t>ost-sort an aliquot of the sorted cells was re</w:t>
      </w:r>
      <w:r w:rsidR="00AD1D6C" w:rsidRPr="008B3AD6">
        <w:t>-run</w:t>
      </w:r>
      <w:r w:rsidRPr="008B3AD6">
        <w:t xml:space="preserve"> through the MoFlow for post-sort purity analysis. The collected leukocyte populations were then transferred into 1.5ml Eppendorfs, the aliquot cell sizes collected is described in each experiment results section, aliquots were kept for morphological analysis (</w:t>
      </w:r>
      <w:r w:rsidR="00D27231" w:rsidRPr="008B3AD6">
        <w:t xml:space="preserve">Section </w:t>
      </w:r>
      <w:r w:rsidR="008B3AD6" w:rsidRPr="008B3AD6">
        <w:fldChar w:fldCharType="begin"/>
      </w:r>
      <w:r w:rsidR="008B3AD6" w:rsidRPr="008B3AD6">
        <w:instrText xml:space="preserve"> REF _Ref519018497 \n </w:instrText>
      </w:r>
      <w:r w:rsidR="008B3AD6">
        <w:instrText xml:space="preserve"> \* MERGEFORMAT </w:instrText>
      </w:r>
      <w:r w:rsidR="008B3AD6" w:rsidRPr="008B3AD6">
        <w:fldChar w:fldCharType="separate"/>
      </w:r>
      <w:r w:rsidR="00031DCA">
        <w:t>2.9</w:t>
      </w:r>
      <w:r w:rsidR="008B3AD6" w:rsidRPr="008B3AD6">
        <w:fldChar w:fldCharType="end"/>
      </w:r>
      <w:r w:rsidRPr="008B3AD6">
        <w:t>) and the remaining aliquots were stored at -80ºC until processing.  These experiments are denoted in their figure legends as Staining Protocol 2.</w:t>
      </w:r>
    </w:p>
    <w:p w14:paraId="7A22C759" w14:textId="2346957A" w:rsidR="00284E10" w:rsidRDefault="00284E10" w:rsidP="00C608D6">
      <w:pPr>
        <w:spacing w:line="360" w:lineRule="auto"/>
        <w:jc w:val="both"/>
      </w:pPr>
    </w:p>
    <w:p w14:paraId="08EF4637" w14:textId="0068E1D5" w:rsidR="00284E10" w:rsidRPr="008B3AD6" w:rsidRDefault="00284E10" w:rsidP="00284E10">
      <w:pPr>
        <w:spacing w:line="360" w:lineRule="auto"/>
        <w:jc w:val="both"/>
      </w:pPr>
      <w:r w:rsidRPr="008B3AD6">
        <w:t>Stained samples</w:t>
      </w:r>
      <w:r>
        <w:t xml:space="preserve"> </w:t>
      </w:r>
      <w:r w:rsidRPr="008B3AD6">
        <w:t>for flow cytometry were acquired on a BD LSR Fortessa X-20 (BD Biosciences, Oxford, UK). Stained samples for fluorescence activated cell sorting were acquired on a MoFlo Astrios (Beckman Coulter, High Wycombe, UK). Either single stains (</w:t>
      </w:r>
      <w:r w:rsidRPr="008B3AD6">
        <w:fldChar w:fldCharType="begin"/>
      </w:r>
      <w:r w:rsidRPr="008B3AD6">
        <w:instrText xml:space="preserve"> REF _Ref519000859 \n </w:instrText>
      </w:r>
      <w:r>
        <w:instrText xml:space="preserve"> \* MERGEFORMAT </w:instrText>
      </w:r>
      <w:r w:rsidRPr="008B3AD6">
        <w:fldChar w:fldCharType="separate"/>
      </w:r>
      <w:r>
        <w:t>Chapter 4</w:t>
      </w:r>
      <w:r w:rsidRPr="008B3AD6">
        <w:fldChar w:fldCharType="end"/>
      </w:r>
      <w:r w:rsidRPr="008B3AD6">
        <w:t>) or isotype controls (</w:t>
      </w:r>
      <w:r w:rsidRPr="008B3AD6">
        <w:fldChar w:fldCharType="begin"/>
      </w:r>
      <w:r w:rsidRPr="008B3AD6">
        <w:instrText xml:space="preserve"> REF _Ref518738258 \n </w:instrText>
      </w:r>
      <w:r>
        <w:instrText xml:space="preserve"> \* MERGEFORMAT </w:instrText>
      </w:r>
      <w:r w:rsidRPr="008B3AD6">
        <w:fldChar w:fldCharType="separate"/>
      </w:r>
      <w:r>
        <w:t>Chapter 3</w:t>
      </w:r>
      <w:r w:rsidRPr="008B3AD6">
        <w:fldChar w:fldCharType="end"/>
      </w:r>
      <w:r w:rsidRPr="008B3AD6">
        <w:t>),</w:t>
      </w:r>
      <w:r>
        <w:t xml:space="preserve"> </w:t>
      </w:r>
      <w:r w:rsidRPr="008B3AD6">
        <w:t>were utilised to determine positive staining of cell subsets. Single stains were always used to carry out manual compensation.</w:t>
      </w:r>
    </w:p>
    <w:p w14:paraId="5E6560F4" w14:textId="77777777" w:rsidR="00284E10" w:rsidRPr="008B3AD6" w:rsidRDefault="00284E10" w:rsidP="00284E10">
      <w:pPr>
        <w:spacing w:line="360" w:lineRule="auto"/>
        <w:jc w:val="both"/>
      </w:pPr>
    </w:p>
    <w:p w14:paraId="72455A96" w14:textId="687FC78F" w:rsidR="00284E10" w:rsidRPr="008B3AD6" w:rsidRDefault="00284E10" w:rsidP="00284E10">
      <w:pPr>
        <w:spacing w:line="360" w:lineRule="auto"/>
        <w:jc w:val="both"/>
      </w:pPr>
      <w:r w:rsidRPr="008B3AD6">
        <w:t xml:space="preserve">All Flow Cytometry data </w:t>
      </w:r>
      <w:r w:rsidR="00407D15">
        <w:t xml:space="preserve">were </w:t>
      </w:r>
      <w:r w:rsidRPr="008B3AD6">
        <w:t xml:space="preserve">obtained was analysed using FlowJo software (FlowJo 10.4.2, FlowJo LLC, Oregon, USA). Debris, cellular aggregates and dead cells were excluded during analysis. Flow cytometry analysis provided relative population percentages for cell groups of interest. Absolute quantification was achieved by combining relative population percentages with cell numbers determined in Section </w:t>
      </w:r>
      <w:r w:rsidRPr="008B3AD6">
        <w:fldChar w:fldCharType="begin"/>
      </w:r>
      <w:r w:rsidRPr="008B3AD6">
        <w:instrText xml:space="preserve"> REF _Ref518492280 \n </w:instrText>
      </w:r>
      <w:r>
        <w:instrText xml:space="preserve"> \* MERGEFORMAT </w:instrText>
      </w:r>
      <w:r w:rsidRPr="008B3AD6">
        <w:fldChar w:fldCharType="separate"/>
      </w:r>
      <w:r>
        <w:t>2.5</w:t>
      </w:r>
      <w:r w:rsidRPr="008B3AD6">
        <w:fldChar w:fldCharType="end"/>
      </w:r>
      <w:r w:rsidRPr="008B3AD6">
        <w:t xml:space="preserve">. </w:t>
      </w:r>
    </w:p>
    <w:p w14:paraId="19A37084" w14:textId="77777777" w:rsidR="00C608D6" w:rsidRPr="008B3AD6" w:rsidRDefault="00C608D6" w:rsidP="00C608D6">
      <w:pPr>
        <w:spacing w:line="360" w:lineRule="auto"/>
        <w:jc w:val="both"/>
      </w:pPr>
    </w:p>
    <w:p w14:paraId="25B31D08" w14:textId="77777777" w:rsidR="00C608D6" w:rsidRPr="008B3AD6" w:rsidRDefault="00C608D6" w:rsidP="00C608D6">
      <w:pPr>
        <w:pStyle w:val="Heading2"/>
      </w:pPr>
      <w:bookmarkStart w:id="154" w:name="_Ref519018497"/>
      <w:bookmarkStart w:id="155" w:name="_Toc3716079"/>
      <w:r w:rsidRPr="008B3AD6">
        <w:t>CytoSpin</w:t>
      </w:r>
      <w:bookmarkEnd w:id="154"/>
      <w:bookmarkEnd w:id="155"/>
    </w:p>
    <w:p w14:paraId="636D81E3" w14:textId="3ECB6A27" w:rsidR="00C608D6" w:rsidRPr="008B3AD6" w:rsidRDefault="00C608D6" w:rsidP="00C608D6">
      <w:pPr>
        <w:spacing w:line="360" w:lineRule="auto"/>
        <w:jc w:val="both"/>
      </w:pPr>
      <w:r w:rsidRPr="008B3AD6">
        <w:t xml:space="preserve">To </w:t>
      </w:r>
      <w:r w:rsidR="006429AB">
        <w:t xml:space="preserve">confirm the identity </w:t>
      </w:r>
      <w:r w:rsidRPr="008B3AD6">
        <w:t>the sorted cell populations (</w:t>
      </w:r>
      <w:r w:rsidR="00D27231" w:rsidRPr="008B3AD6">
        <w:t xml:space="preserve">Section </w:t>
      </w:r>
      <w:fldSimple w:instr=" REF _Ref519018511 \n  \* MERGEFORMAT ">
        <w:r w:rsidR="00031DCA">
          <w:t>2.8</w:t>
        </w:r>
      </w:fldSimple>
      <w:r w:rsidRPr="008B3AD6">
        <w:t>) cellular morphology was analysed. 200 ul of a 5x10</w:t>
      </w:r>
      <w:r w:rsidRPr="008B3AD6">
        <w:rPr>
          <w:vertAlign w:val="superscript"/>
        </w:rPr>
        <w:t>4</w:t>
      </w:r>
      <w:r w:rsidRPr="008B3AD6">
        <w:t xml:space="preserve"> cells/ml suspension was added to the funnel chamber of a </w:t>
      </w:r>
      <w:r w:rsidR="00BF4924" w:rsidRPr="008B3AD6">
        <w:t xml:space="preserve">Cytospin™ 4 Cytocentrifuge </w:t>
      </w:r>
      <w:r w:rsidRPr="008B3AD6">
        <w:t>(</w:t>
      </w:r>
      <w:r w:rsidR="00BF4924" w:rsidRPr="008B3AD6">
        <w:t>ThermoFisher, Paisley, United Kingdom</w:t>
      </w:r>
      <w:r w:rsidRPr="008B3AD6">
        <w:t xml:space="preserve">) fixed to a Super Frost glass microscopy slide. These samples were spun at </w:t>
      </w:r>
      <w:r w:rsidRPr="008B3AD6">
        <w:rPr>
          <w:color w:val="000000" w:themeColor="text1"/>
        </w:rPr>
        <w:t>800 RPM</w:t>
      </w:r>
      <w:r w:rsidR="00BF4924" w:rsidRPr="008B3AD6">
        <w:rPr>
          <w:color w:val="000000" w:themeColor="text1"/>
        </w:rPr>
        <w:t xml:space="preserve"> (~70 G)</w:t>
      </w:r>
      <w:r w:rsidRPr="008B3AD6">
        <w:rPr>
          <w:color w:val="000000" w:themeColor="text1"/>
        </w:rPr>
        <w:t xml:space="preserve"> </w:t>
      </w:r>
      <w:r w:rsidRPr="008B3AD6">
        <w:t xml:space="preserve">for 5 minutes at room temperature. After spinning the slide was removed and allowed to air dry, 100% methanol was then added to each slide to fix cell samples and allowed to air dry. Post-fixation slides were then stained with Giemsa for 15minutes, briefly washed in tap water and allowed to air dry overnight. Once dried slides were imaged using a </w:t>
      </w:r>
      <w:r w:rsidR="00BF4924" w:rsidRPr="008B3AD6">
        <w:t xml:space="preserve">Zeiss AxioScan.Z1 slide scanner </w:t>
      </w:r>
      <w:r w:rsidRPr="008B3AD6">
        <w:t>(</w:t>
      </w:r>
      <w:r w:rsidR="00BF4924" w:rsidRPr="008B3AD6">
        <w:t>Carl Zeiss Vision UK LTD., Birmingham, United Kingdom</w:t>
      </w:r>
      <w:r w:rsidRPr="008B3AD6">
        <w:t>).</w:t>
      </w:r>
    </w:p>
    <w:p w14:paraId="7F471FE7" w14:textId="77777777" w:rsidR="00D25FEC" w:rsidRDefault="00D25FEC" w:rsidP="00C608D6">
      <w:pPr>
        <w:spacing w:line="360" w:lineRule="auto"/>
        <w:jc w:val="both"/>
      </w:pPr>
    </w:p>
    <w:p w14:paraId="22495578" w14:textId="640729E1" w:rsidR="00D25FEC" w:rsidRDefault="00D25FEC" w:rsidP="00D25FEC">
      <w:pPr>
        <w:pStyle w:val="Heading2"/>
      </w:pPr>
      <w:bookmarkStart w:id="156" w:name="_Toc3716080"/>
      <w:r w:rsidRPr="008B3AD6">
        <w:lastRenderedPageBreak/>
        <w:t xml:space="preserve">Mass Spectroscopy Sample Preparation </w:t>
      </w:r>
      <w:r>
        <w:t>–</w:t>
      </w:r>
      <w:r w:rsidRPr="008B3AD6">
        <w:t xml:space="preserve"> </w:t>
      </w:r>
      <w:r>
        <w:t>Comparing Freeze-Thaw &amp; Sonication</w:t>
      </w:r>
      <w:bookmarkEnd w:id="156"/>
    </w:p>
    <w:p w14:paraId="53473379" w14:textId="6718F2DA" w:rsidR="00D25FEC" w:rsidRDefault="00D25FEC" w:rsidP="00B23FF8">
      <w:pPr>
        <w:spacing w:line="360" w:lineRule="auto"/>
        <w:jc w:val="both"/>
      </w:pPr>
      <w:r>
        <w:t xml:space="preserve">To determine the most effective method for sample lysis pre-AmB extraction a freeze-thaw and a sonication method were compared. After digestion of liver tissue using digestion protocol 1 (Section </w:t>
      </w:r>
      <w:r>
        <w:fldChar w:fldCharType="begin"/>
      </w:r>
      <w:r>
        <w:instrText xml:space="preserve"> REF _Ref518492280 \n </w:instrText>
      </w:r>
      <w:r w:rsidR="00BC3F38">
        <w:instrText xml:space="preserve"> \* MERGEFORMAT </w:instrText>
      </w:r>
      <w:r>
        <w:fldChar w:fldCharType="separate"/>
      </w:r>
      <w:r>
        <w:t>2.5</w:t>
      </w:r>
      <w:r>
        <w:fldChar w:fldCharType="end"/>
      </w:r>
      <w:r>
        <w:t>) cells the parenchymal and leukocyte fractions</w:t>
      </w:r>
      <w:r w:rsidR="00B44CE9">
        <w:t xml:space="preserve"> from 3 naïve mice were pooled. After pooling, these fractions</w:t>
      </w:r>
      <w:r>
        <w:t xml:space="preserve"> were aliquoted (on average 497.47 </w:t>
      </w:r>
      <w:r>
        <w:sym w:font="Symbol" w:char="F0B1"/>
      </w:r>
      <w:r>
        <w:t xml:space="preserve"> 1.95 x 10</w:t>
      </w:r>
      <w:r w:rsidRPr="00B23FF8">
        <w:rPr>
          <w:vertAlign w:val="superscript"/>
        </w:rPr>
        <w:t>6</w:t>
      </w:r>
      <w:r>
        <w:t xml:space="preserve"> parenchymal cells and 31.95 </w:t>
      </w:r>
      <w:r>
        <w:sym w:font="Symbol" w:char="F0B1"/>
      </w:r>
      <w:r>
        <w:t xml:space="preserve"> 0.18 x 10</w:t>
      </w:r>
      <w:r w:rsidRPr="00B23FF8">
        <w:rPr>
          <w:vertAlign w:val="superscript"/>
        </w:rPr>
        <w:t>6</w:t>
      </w:r>
      <w:r>
        <w:t xml:space="preserve"> leukocytes for 3 control replicates from 2 pooled naïve mice). </w:t>
      </w:r>
    </w:p>
    <w:p w14:paraId="6D8E7E13" w14:textId="77777777" w:rsidR="00D25FEC" w:rsidRDefault="00D25FEC" w:rsidP="00B23FF8">
      <w:pPr>
        <w:spacing w:line="360" w:lineRule="auto"/>
        <w:jc w:val="both"/>
      </w:pPr>
    </w:p>
    <w:p w14:paraId="0E8785EF" w14:textId="77777777" w:rsidR="00D25FEC" w:rsidRDefault="00D25FEC" w:rsidP="00B23FF8">
      <w:pPr>
        <w:spacing w:line="360" w:lineRule="auto"/>
        <w:jc w:val="both"/>
      </w:pPr>
      <w:r>
        <w:t>3 parenchymal cell and 3 leukocyte aliquots were subjected to snap freezing by immersing in a dry ice 100% ethanol bath for 30 seconds and defrosted at room temperature. This process was repeated twice, for a total of 3 freeze-thaw cycles.</w:t>
      </w:r>
    </w:p>
    <w:p w14:paraId="0029CC03" w14:textId="77777777" w:rsidR="00D25FEC" w:rsidRDefault="00D25FEC" w:rsidP="00B23FF8">
      <w:pPr>
        <w:spacing w:line="360" w:lineRule="auto"/>
        <w:jc w:val="both"/>
      </w:pPr>
    </w:p>
    <w:p w14:paraId="5E844CAE" w14:textId="2132CFBC" w:rsidR="00D25FEC" w:rsidRDefault="00D25FEC" w:rsidP="00B23FF8">
      <w:pPr>
        <w:spacing w:line="360" w:lineRule="auto"/>
        <w:jc w:val="both"/>
      </w:pPr>
      <w:r>
        <w:t xml:space="preserve">3 parenchymal cell and 3 leukocyte aliquots were subjected to sonication, whereby a probe was inserted in to the Eppendorf containing the aliquot and pulsed for 30 seconds using a </w:t>
      </w:r>
      <w:r w:rsidR="00A93DF7" w:rsidRPr="00A93DF7">
        <w:t>Vibra-Cell™ Ultrasonic Liquid Processor</w:t>
      </w:r>
      <w:r>
        <w:t xml:space="preserve"> (</w:t>
      </w:r>
      <w:r w:rsidR="00A93DF7">
        <w:t>Sonics, Newton, USA</w:t>
      </w:r>
      <w:r>
        <w:t>). The Eppendorf was then rested in ice for 30 seconds. This pulse and rest</w:t>
      </w:r>
      <w:r w:rsidR="00B44CE9">
        <w:t xml:space="preserve"> process</w:t>
      </w:r>
      <w:r>
        <w:t xml:space="preserve"> was repeated 4 times, for a total of 5 pulse and rest cycles.</w:t>
      </w:r>
    </w:p>
    <w:p w14:paraId="147E94E5" w14:textId="77777777" w:rsidR="00D25FEC" w:rsidRDefault="00D25FEC" w:rsidP="00B23FF8">
      <w:pPr>
        <w:spacing w:line="360" w:lineRule="auto"/>
        <w:jc w:val="both"/>
      </w:pPr>
    </w:p>
    <w:p w14:paraId="29724BC9" w14:textId="6BAD02F9" w:rsidR="00D25FEC" w:rsidRPr="00D25FEC" w:rsidRDefault="00D25FEC" w:rsidP="00BC3F38">
      <w:pPr>
        <w:spacing w:line="360" w:lineRule="auto"/>
        <w:jc w:val="both"/>
      </w:pPr>
      <w:r>
        <w:t>The control, freeze-thaw and sonicated replicates were then read on a Vi-CELL XR cell counter (Beckman Coulter, High Wycombe, United Kingdom) where total and viable cell counts were recorded.</w:t>
      </w:r>
    </w:p>
    <w:p w14:paraId="3B95C55D" w14:textId="7EF01CD8" w:rsidR="00281CE7" w:rsidRPr="008B3AD6" w:rsidRDefault="00281CE7" w:rsidP="00C608D6">
      <w:pPr>
        <w:spacing w:line="360" w:lineRule="auto"/>
        <w:jc w:val="both"/>
      </w:pPr>
    </w:p>
    <w:p w14:paraId="0473550A" w14:textId="4F156366" w:rsidR="0096090C" w:rsidRPr="008B3AD6" w:rsidRDefault="0096090C" w:rsidP="0096090C">
      <w:pPr>
        <w:pStyle w:val="Heading2"/>
      </w:pPr>
      <w:bookmarkStart w:id="157" w:name="_Ref519017137"/>
      <w:bookmarkStart w:id="158" w:name="_Ref519021124"/>
      <w:bookmarkStart w:id="159" w:name="_Ref519021359"/>
      <w:bookmarkStart w:id="160" w:name="_Ref519021419"/>
      <w:bookmarkStart w:id="161" w:name="_Ref521680359"/>
      <w:bookmarkStart w:id="162" w:name="_Toc3716081"/>
      <w:r w:rsidRPr="008B3AD6">
        <w:t>Mass Spectroscopy Sample Preparation</w:t>
      </w:r>
      <w:bookmarkEnd w:id="157"/>
      <w:bookmarkEnd w:id="158"/>
      <w:bookmarkEnd w:id="159"/>
      <w:bookmarkEnd w:id="160"/>
      <w:r w:rsidR="00AD1D6C" w:rsidRPr="008B3AD6">
        <w:t xml:space="preserve"> - Column Extraction</w:t>
      </w:r>
      <w:bookmarkEnd w:id="161"/>
      <w:bookmarkEnd w:id="162"/>
    </w:p>
    <w:p w14:paraId="160BB520" w14:textId="741F9EED" w:rsidR="00AD1D6C" w:rsidRPr="008B3AD6" w:rsidRDefault="00AD1D6C" w:rsidP="00AD1D6C">
      <w:pPr>
        <w:spacing w:line="360" w:lineRule="auto"/>
        <w:jc w:val="both"/>
      </w:pPr>
      <w:r w:rsidRPr="008B3AD6">
        <w:t xml:space="preserve">Liver sections (Section </w:t>
      </w:r>
      <w:r w:rsidR="008B3AD6" w:rsidRPr="008B3AD6">
        <w:fldChar w:fldCharType="begin"/>
      </w:r>
      <w:r w:rsidR="008B3AD6" w:rsidRPr="008B3AD6">
        <w:instrText xml:space="preserve"> REF _Ref518492280 \n </w:instrText>
      </w:r>
      <w:r w:rsidR="008B3AD6">
        <w:instrText xml:space="preserve"> \* MERGEFORMAT </w:instrText>
      </w:r>
      <w:r w:rsidR="008B3AD6" w:rsidRPr="008B3AD6">
        <w:fldChar w:fldCharType="separate"/>
      </w:r>
      <w:r w:rsidR="00031DCA">
        <w:t>2.5</w:t>
      </w:r>
      <w:r w:rsidR="008B3AD6" w:rsidRPr="008B3AD6">
        <w:fldChar w:fldCharType="end"/>
      </w:r>
      <w:r w:rsidRPr="008B3AD6">
        <w:t xml:space="preserve">) for mass spectroscopy analysis were transferred into 2 ml round bottomed Eppendorf tubes and together with </w:t>
      </w:r>
      <w:r w:rsidR="007C3FAD">
        <w:t>aliquots of leukocyte subsets, such as myeloid and lymphoid cells,</w:t>
      </w:r>
      <w:r w:rsidRPr="008B3AD6">
        <w:t xml:space="preserve"> collected previously (Section </w:t>
      </w:r>
      <w:r w:rsidRPr="008B3AD6">
        <w:fldChar w:fldCharType="begin"/>
      </w:r>
      <w:r w:rsidRPr="008B3AD6">
        <w:instrText xml:space="preserve"> REF _Ref519086645 \r \h </w:instrText>
      </w:r>
      <w:r w:rsidR="008B3AD6">
        <w:instrText xml:space="preserve"> \* MERGEFORMAT </w:instrText>
      </w:r>
      <w:r w:rsidRPr="008B3AD6">
        <w:fldChar w:fldCharType="separate"/>
      </w:r>
      <w:r w:rsidR="00031DCA">
        <w:t>2.8</w:t>
      </w:r>
      <w:r w:rsidRPr="008B3AD6">
        <w:fldChar w:fldCharType="end"/>
      </w:r>
      <w:r w:rsidRPr="008B3AD6">
        <w:t>), were stored at -80ºC until processing.</w:t>
      </w:r>
    </w:p>
    <w:p w14:paraId="5A3049D7" w14:textId="77777777" w:rsidR="00AD1D6C" w:rsidRPr="008B3AD6" w:rsidRDefault="00AD1D6C" w:rsidP="00AD1D6C">
      <w:pPr>
        <w:spacing w:line="360" w:lineRule="auto"/>
        <w:jc w:val="both"/>
      </w:pPr>
    </w:p>
    <w:p w14:paraId="098DA64F" w14:textId="4609A5E5" w:rsidR="00AD1D6C" w:rsidRPr="008B3AD6" w:rsidRDefault="007C3FAD" w:rsidP="00AD1D6C">
      <w:pPr>
        <w:spacing w:line="360" w:lineRule="auto"/>
        <w:jc w:val="both"/>
      </w:pPr>
      <w:r>
        <w:t xml:space="preserve">At the time of processing, samples were removed from </w:t>
      </w:r>
      <w:r w:rsidRPr="008B3AD6">
        <w:t xml:space="preserve">-80ºC </w:t>
      </w:r>
      <w:r>
        <w:t xml:space="preserve">storage and defrosted at room temperature. </w:t>
      </w:r>
      <w:r w:rsidR="007A5EDD">
        <w:t>For liver section samples, a</w:t>
      </w:r>
      <w:r w:rsidR="007A5EDD" w:rsidRPr="008B3AD6">
        <w:t xml:space="preserve"> sterile ball bearing was added to each sample and the tissue was disrupted using a Qiagen Tissue Lyser LT (Qiagen, Manchester, United Kingdom) on 50 oscillations per second for 1 minute</w:t>
      </w:r>
      <w:r w:rsidR="007A5EDD">
        <w:t xml:space="preserve"> to allow for greater extraction of AmB from the resulting homogenate. </w:t>
      </w:r>
      <w:r>
        <w:t>These samples</w:t>
      </w:r>
      <w:r w:rsidR="00AD1D6C" w:rsidRPr="008B3AD6">
        <w:t xml:space="preserve"> were</w:t>
      </w:r>
      <w:r>
        <w:t xml:space="preserve"> then</w:t>
      </w:r>
      <w:r w:rsidR="00AD1D6C" w:rsidRPr="008B3AD6">
        <w:t xml:space="preserve"> snap frozen by immersing in a dry ice 100% ethanol bath for 30 seconds and defrosted at room temperature. Samples were immediately refrozen by snap freezing</w:t>
      </w:r>
      <w:r>
        <w:t xml:space="preserve"> </w:t>
      </w:r>
      <w:r w:rsidR="00AD1D6C" w:rsidRPr="008B3AD6">
        <w:t>and defrosted at room temperature</w:t>
      </w:r>
      <w:r>
        <w:t>, for a total of 3 snap-freeze thaw cycles</w:t>
      </w:r>
      <w:r w:rsidR="00AD1D6C" w:rsidRPr="008B3AD6">
        <w:t>. After</w:t>
      </w:r>
      <w:r>
        <w:t xml:space="preserve"> the final</w:t>
      </w:r>
      <w:r w:rsidR="00AD1D6C" w:rsidRPr="008B3AD6">
        <w:t xml:space="preserve"> defrosting, 250 ul of 100% methanol with 1 ug/ml </w:t>
      </w:r>
      <w:r w:rsidR="00AD1D6C" w:rsidRPr="008B3AD6">
        <w:lastRenderedPageBreak/>
        <w:t>of Clopidogrel (Bristol-Myers Squibb Pharmaceuticals LTD, Uxbridge, United Kingdom)</w:t>
      </w:r>
      <w:r>
        <w:t xml:space="preserve">, </w:t>
      </w:r>
      <w:r w:rsidR="00391462">
        <w:t xml:space="preserve">a stable compound that does not naturally occur within mammalian cells </w:t>
      </w:r>
      <w:r>
        <w:t xml:space="preserve">which was used an internal standard </w:t>
      </w:r>
      <w:r w:rsidR="00CE0BE8">
        <w:t>to correct for any analytical variability,</w:t>
      </w:r>
      <w:r w:rsidR="00AD1D6C" w:rsidRPr="008B3AD6">
        <w:t xml:space="preserve"> was added </w:t>
      </w:r>
      <w:r w:rsidR="00407096">
        <w:t xml:space="preserve">to all samples </w:t>
      </w:r>
      <w:r w:rsidR="00AD1D6C" w:rsidRPr="008B3AD6">
        <w:t xml:space="preserve">and </w:t>
      </w:r>
      <w:r w:rsidR="00CE0BE8">
        <w:t>the sample</w:t>
      </w:r>
      <w:r w:rsidR="00407096">
        <w:t>s</w:t>
      </w:r>
      <w:r w:rsidR="00CE0BE8">
        <w:t xml:space="preserve"> thoroughly mixed</w:t>
      </w:r>
      <w:r w:rsidR="00CE0BE8" w:rsidRPr="008B3AD6">
        <w:t xml:space="preserve"> </w:t>
      </w:r>
      <w:r w:rsidR="00AD1D6C" w:rsidRPr="008B3AD6">
        <w:t xml:space="preserve">using a Qiagen TissueLyser LT (Qiagen, Manchester, United Kingdom) </w:t>
      </w:r>
      <w:r w:rsidR="00CE0BE8">
        <w:t>at</w:t>
      </w:r>
      <w:r w:rsidR="00CE0BE8" w:rsidRPr="008B3AD6">
        <w:t xml:space="preserve"> </w:t>
      </w:r>
      <w:r w:rsidR="00AD1D6C" w:rsidRPr="008B3AD6">
        <w:t>30 oscillations per second for 1 minute. Samples were then centrifuged for 15 mins at 2000 G at 10ºC and the supernatant collected (termed the 1</w:t>
      </w:r>
      <w:r w:rsidR="00AD1D6C" w:rsidRPr="008B3AD6">
        <w:rPr>
          <w:vertAlign w:val="superscript"/>
        </w:rPr>
        <w:t>st</w:t>
      </w:r>
      <w:r w:rsidR="00AD1D6C" w:rsidRPr="008B3AD6">
        <w:t xml:space="preserve"> extraction) and stored on ice for further processing. </w:t>
      </w:r>
    </w:p>
    <w:p w14:paraId="1A31D914" w14:textId="77777777" w:rsidR="00AD1D6C" w:rsidRPr="008B3AD6" w:rsidRDefault="00AD1D6C" w:rsidP="00AD1D6C">
      <w:pPr>
        <w:spacing w:line="360" w:lineRule="auto"/>
        <w:jc w:val="both"/>
      </w:pPr>
    </w:p>
    <w:p w14:paraId="05618679" w14:textId="7F2CBF5C" w:rsidR="00AD1D6C" w:rsidRPr="008B3AD6" w:rsidRDefault="00AD1D6C" w:rsidP="00AD1D6C">
      <w:pPr>
        <w:spacing w:line="360" w:lineRule="auto"/>
        <w:jc w:val="both"/>
      </w:pPr>
      <w:r w:rsidRPr="008B3AD6">
        <w:t xml:space="preserve">The </w:t>
      </w:r>
      <w:r w:rsidR="00CE0BE8">
        <w:t>pellets remaining after the removal of the supernatant</w:t>
      </w:r>
      <w:r w:rsidR="00CE0BE8" w:rsidRPr="008B3AD6">
        <w:t xml:space="preserve"> </w:t>
      </w:r>
      <w:r w:rsidRPr="008B3AD6">
        <w:t xml:space="preserve">were subjected to three </w:t>
      </w:r>
      <w:r w:rsidR="00CE0BE8">
        <w:t xml:space="preserve">additional </w:t>
      </w:r>
      <w:r w:rsidRPr="008B3AD6">
        <w:t xml:space="preserve">freeze-thaw cycles, </w:t>
      </w:r>
      <w:r w:rsidR="00CE0BE8">
        <w:t>as described above</w:t>
      </w:r>
      <w:r w:rsidRPr="008B3AD6">
        <w:t xml:space="preserve">. </w:t>
      </w:r>
      <w:r w:rsidR="00CE0BE8">
        <w:t>Again, a</w:t>
      </w:r>
      <w:r w:rsidRPr="008B3AD6">
        <w:t>fter the final defrosting, 250 ul of methanol with 1 ug/ml of Clopidogrel was added</w:t>
      </w:r>
      <w:r w:rsidR="00407096">
        <w:t xml:space="preserve"> to all samples</w:t>
      </w:r>
      <w:r w:rsidRPr="008B3AD6">
        <w:t xml:space="preserve"> and </w:t>
      </w:r>
      <w:r w:rsidR="00407096">
        <w:t xml:space="preserve">these were </w:t>
      </w:r>
      <w:r w:rsidR="00CE0BE8">
        <w:t>thoroughly mixed</w:t>
      </w:r>
      <w:r w:rsidR="00CE0BE8" w:rsidRPr="008B3AD6">
        <w:t xml:space="preserve"> </w:t>
      </w:r>
      <w:r w:rsidRPr="008B3AD6">
        <w:t xml:space="preserve">using a Qiagen TissueLyser LT </w:t>
      </w:r>
      <w:r w:rsidR="00CE0BE8">
        <w:t>at</w:t>
      </w:r>
      <w:r w:rsidR="00CE0BE8" w:rsidRPr="008B3AD6">
        <w:t xml:space="preserve"> </w:t>
      </w:r>
      <w:r w:rsidRPr="008B3AD6">
        <w:t xml:space="preserve">30 oscillations per second for 1 minute. </w:t>
      </w:r>
      <w:r w:rsidR="00CE0BE8">
        <w:t>These s</w:t>
      </w:r>
      <w:r w:rsidRPr="008B3AD6">
        <w:t>amples were then centrifuged for 15 mins at 2000 G at 10ºC and the supernatant collected (termed the 2</w:t>
      </w:r>
      <w:r w:rsidRPr="008B3AD6">
        <w:rPr>
          <w:vertAlign w:val="superscript"/>
        </w:rPr>
        <w:t>nd</w:t>
      </w:r>
      <w:r w:rsidRPr="008B3AD6">
        <w:t xml:space="preserve"> extraction) and collated with the</w:t>
      </w:r>
      <w:r w:rsidR="00CE0BE8">
        <w:t xml:space="preserve"> supernatant from the matching</w:t>
      </w:r>
      <w:r w:rsidRPr="008B3AD6">
        <w:t xml:space="preserve"> first extraction</w:t>
      </w:r>
      <w:r w:rsidR="00CE0BE8">
        <w:t xml:space="preserve"> sample</w:t>
      </w:r>
      <w:r w:rsidRPr="008B3AD6">
        <w:t>. The collated extraction sample was stored on ice until further processing.</w:t>
      </w:r>
    </w:p>
    <w:p w14:paraId="097077E6" w14:textId="77777777" w:rsidR="00AD1D6C" w:rsidRPr="008B3AD6" w:rsidRDefault="00AD1D6C" w:rsidP="00AD1D6C">
      <w:pPr>
        <w:spacing w:line="360" w:lineRule="auto"/>
        <w:jc w:val="both"/>
      </w:pPr>
    </w:p>
    <w:p w14:paraId="3AB45EEA" w14:textId="55F17469" w:rsidR="00AD1D6C" w:rsidRPr="008B3AD6" w:rsidRDefault="00407096" w:rsidP="00AD1D6C">
      <w:pPr>
        <w:spacing w:line="360" w:lineRule="auto"/>
        <w:jc w:val="both"/>
      </w:pPr>
      <w:r w:rsidRPr="00407096">
        <w:t>Strata C18-E (55um, 70 angstrom)</w:t>
      </w:r>
      <w:r>
        <w:t xml:space="preserve"> s</w:t>
      </w:r>
      <w:r w:rsidR="00CE0BE8">
        <w:t xml:space="preserve">olid </w:t>
      </w:r>
      <w:r w:rsidR="007A5EDD">
        <w:t>phase extraction (</w:t>
      </w:r>
      <w:r w:rsidR="00AD1D6C" w:rsidRPr="008B3AD6">
        <w:t>SPE</w:t>
      </w:r>
      <w:r w:rsidR="007A5EDD">
        <w:t>)</w:t>
      </w:r>
      <w:r w:rsidR="00AD1D6C" w:rsidRPr="008B3AD6">
        <w:t xml:space="preserve"> columns</w:t>
      </w:r>
      <w:r>
        <w:t xml:space="preserve"> (Phenomenex, California, USA)</w:t>
      </w:r>
      <w:r w:rsidR="007A5EDD">
        <w:t>, used for the purification of Amphotericin B from processed samples,</w:t>
      </w:r>
      <w:r w:rsidR="00AD1D6C" w:rsidRPr="008B3AD6">
        <w:t xml:space="preserve"> were prepared by rinsing with 1 ml of 100% methanol, followed by rinsing with 45% methanol (55% sterile water). </w:t>
      </w:r>
      <w:r w:rsidR="00CA0748">
        <w:t>When AmB-containing solutions were passed through these prepared column</w:t>
      </w:r>
      <w:r w:rsidR="00B2594A">
        <w:t>s</w:t>
      </w:r>
      <w:r w:rsidR="00CA0748">
        <w:t xml:space="preserve"> the AmB is bound within the solid-phase of the column, a solid support material in this case a </w:t>
      </w:r>
      <w:r w:rsidR="00B2594A">
        <w:t>silica-based</w:t>
      </w:r>
      <w:r w:rsidR="00CA0748">
        <w:t xml:space="preserve"> hybrid, which can then be treated to elute AmB, thus purifying the sample. </w:t>
      </w:r>
      <w:r w:rsidR="00AD1D6C" w:rsidRPr="008B3AD6">
        <w:t>The collated extraction was then passed through the column and washed with 500 ul of 45% methanol</w:t>
      </w:r>
      <w:r w:rsidR="00391462">
        <w:t xml:space="preserve"> and</w:t>
      </w:r>
      <w:r w:rsidR="00CA0748">
        <w:t xml:space="preserve"> this wash sample was collected</w:t>
      </w:r>
      <w:r w:rsidR="00AD1D6C" w:rsidRPr="008B3AD6">
        <w:t xml:space="preserve">. Both the first wash through and the rinse were collected and combined to form a wash sample. The column was then eluted with 300 ul of 60% acetonitrile into a 500 ul Eppendorf and labelled as the elution sample. The figures for which data </w:t>
      </w:r>
      <w:r w:rsidR="00407D15">
        <w:t>were</w:t>
      </w:r>
      <w:r w:rsidR="00407D15" w:rsidRPr="008B3AD6">
        <w:t xml:space="preserve"> </w:t>
      </w:r>
      <w:r w:rsidR="00AD1D6C" w:rsidRPr="008B3AD6">
        <w:t>generated using this method are labelled as using the column extraction method.</w:t>
      </w:r>
    </w:p>
    <w:p w14:paraId="34A9FEDD" w14:textId="77777777" w:rsidR="00AD1D6C" w:rsidRPr="008B3AD6" w:rsidRDefault="00AD1D6C" w:rsidP="00AD1D6C">
      <w:pPr>
        <w:spacing w:line="360" w:lineRule="auto"/>
        <w:jc w:val="both"/>
      </w:pPr>
    </w:p>
    <w:p w14:paraId="7F3525A3" w14:textId="24B84C72" w:rsidR="00AD1D6C" w:rsidRPr="008B3AD6" w:rsidRDefault="00AD1D6C" w:rsidP="00AD1D6C">
      <w:pPr>
        <w:pStyle w:val="Heading2"/>
      </w:pPr>
      <w:bookmarkStart w:id="163" w:name="_Ref521692121"/>
      <w:bookmarkStart w:id="164" w:name="_Toc3716082"/>
      <w:r w:rsidRPr="008B3AD6">
        <w:t>Mass Spectroscopy Sample Preparation - Column Free Extraction</w:t>
      </w:r>
      <w:bookmarkEnd w:id="163"/>
      <w:bookmarkEnd w:id="164"/>
    </w:p>
    <w:p w14:paraId="601F8390" w14:textId="355AFA7B" w:rsidR="007A5EDD" w:rsidRDefault="00BB4384" w:rsidP="00BB4384">
      <w:pPr>
        <w:spacing w:line="360" w:lineRule="auto"/>
        <w:jc w:val="both"/>
      </w:pPr>
      <w:r w:rsidRPr="008B3AD6">
        <w:t xml:space="preserve">When samples were run using the column extraction method it was noted that </w:t>
      </w:r>
      <w:r w:rsidR="00C603D8">
        <w:t xml:space="preserve">the </w:t>
      </w:r>
      <w:r w:rsidRPr="008B3AD6">
        <w:t xml:space="preserve">analyte </w:t>
      </w:r>
      <w:r w:rsidR="00C603D8">
        <w:t xml:space="preserve">(AmB) </w:t>
      </w:r>
      <w:r w:rsidRPr="008B3AD6">
        <w:t xml:space="preserve">was running through into the wash sample, leading to the possibility that the column was not fully retaining </w:t>
      </w:r>
      <w:r w:rsidR="00C603D8">
        <w:t>AmB</w:t>
      </w:r>
      <w:r w:rsidRPr="008B3AD6">
        <w:t xml:space="preserve">. To avoid this a </w:t>
      </w:r>
      <w:r w:rsidR="00CA0748">
        <w:t xml:space="preserve">new extraction method that did not employ a </w:t>
      </w:r>
      <w:r w:rsidRPr="008B3AD6">
        <w:t>column was optimised</w:t>
      </w:r>
      <w:r w:rsidR="00CA0748">
        <w:t xml:space="preserve"> so that AmB was fully retained when processing experimental samples</w:t>
      </w:r>
      <w:r w:rsidRPr="008B3AD6">
        <w:t xml:space="preserve"> and applied to later samples (see figure legends). </w:t>
      </w:r>
    </w:p>
    <w:p w14:paraId="0F31DA41" w14:textId="77777777" w:rsidR="007A5EDD" w:rsidRDefault="007A5EDD" w:rsidP="00BB4384">
      <w:pPr>
        <w:spacing w:line="360" w:lineRule="auto"/>
        <w:jc w:val="both"/>
      </w:pPr>
    </w:p>
    <w:p w14:paraId="78F17B00" w14:textId="7E482216" w:rsidR="00BB4384" w:rsidRPr="008B3AD6" w:rsidRDefault="00BB4384" w:rsidP="00BB4384">
      <w:pPr>
        <w:spacing w:line="360" w:lineRule="auto"/>
        <w:jc w:val="both"/>
      </w:pPr>
      <w:r w:rsidRPr="008B3AD6">
        <w:t>For these</w:t>
      </w:r>
      <w:r w:rsidR="007A5EDD">
        <w:t xml:space="preserve"> column free extraction</w:t>
      </w:r>
      <w:r w:rsidRPr="008B3AD6">
        <w:t xml:space="preserve"> samples, at the time of processing these tissue sections and cell pellets were defrosted at room temperature. </w:t>
      </w:r>
      <w:r w:rsidR="007A5EDD">
        <w:t>As above, a</w:t>
      </w:r>
      <w:r w:rsidR="007A5EDD" w:rsidRPr="008B3AD6">
        <w:t xml:space="preserve"> </w:t>
      </w:r>
      <w:r w:rsidRPr="008B3AD6">
        <w:t xml:space="preserve">sterile ball bearing was added to each tissue sample and the tissue was disrupted using a Qiagen Tissue Lyser LT (Qiagen, Manchester, United Kingdom) on 50 oscillations per second for 1 minute. The ball bearing was removed using sterile tweezers and the samples spun at </w:t>
      </w:r>
      <w:r w:rsidRPr="008B3AD6">
        <w:rPr>
          <w:color w:val="000000" w:themeColor="text1"/>
        </w:rPr>
        <w:t xml:space="preserve">485 G </w:t>
      </w:r>
      <w:r w:rsidRPr="008B3AD6">
        <w:t xml:space="preserve">for 5 minutes at 4ºC to pellet all tissue. </w:t>
      </w:r>
    </w:p>
    <w:p w14:paraId="63089D25" w14:textId="77777777" w:rsidR="00BB4384" w:rsidRPr="008B3AD6" w:rsidRDefault="00BB4384" w:rsidP="00BB4384">
      <w:pPr>
        <w:spacing w:line="360" w:lineRule="auto"/>
        <w:jc w:val="both"/>
      </w:pPr>
    </w:p>
    <w:p w14:paraId="27CA9A88" w14:textId="21F62D0B" w:rsidR="00BB4384" w:rsidRPr="008B3AD6" w:rsidRDefault="00BB4384" w:rsidP="00BB4384">
      <w:pPr>
        <w:spacing w:line="360" w:lineRule="auto"/>
        <w:jc w:val="both"/>
      </w:pPr>
      <w:r w:rsidRPr="008B3AD6">
        <w:t>5 ul of 1% sodium dodecyl sulfate (SDS) was then added to the all samples</w:t>
      </w:r>
      <w:r w:rsidR="00A51173">
        <w:t xml:space="preserve"> to aid in solubilisation of AmB</w:t>
      </w:r>
      <w:r w:rsidRPr="008B3AD6">
        <w:t>, homogenised tissue sections and cell pellets, with 45 ul of pure water. The samples were snap frozen by immersing in a dry ice 100% ethanol bath for 30 seconds. The samples were then defrosted at room temperature and vigorously vortexed for 20 seconds. A second snap freeze defrost and vortexing was then carried out. 250 ul of Dimethyl sulfoxide (DMSO) and 100% Methanol (16:84) containing 5 ug/ml of Clopidogrel was added and the samples were shaken on a bench top rotator for 10 minutes. After shaking, samples were spun at 4000 G for 18 minutes at 4ºC and the supernatant collected (termed the 1</w:t>
      </w:r>
      <w:r w:rsidRPr="008B3AD6">
        <w:rPr>
          <w:vertAlign w:val="superscript"/>
        </w:rPr>
        <w:t>st</w:t>
      </w:r>
      <w:r w:rsidRPr="008B3AD6">
        <w:t xml:space="preserve"> extraction) and stored at -80ºC until mass spectroscopy analysis.</w:t>
      </w:r>
      <w:r w:rsidR="00DA1628">
        <w:t xml:space="preserve"> </w:t>
      </w:r>
      <w:r w:rsidRPr="008B3AD6">
        <w:t xml:space="preserve">To the </w:t>
      </w:r>
      <w:r w:rsidR="00DC5F60">
        <w:t>pellets remaining after the removal of the supernatant</w:t>
      </w:r>
      <w:r w:rsidRPr="008B3AD6">
        <w:t xml:space="preserve">, </w:t>
      </w:r>
      <w:r w:rsidR="00DC5F60">
        <w:t xml:space="preserve">the aforementioned processing was repeated and the supernatant was removed at the end of the process </w:t>
      </w:r>
      <w:r w:rsidRPr="008B3AD6">
        <w:t>(termed the 2</w:t>
      </w:r>
      <w:r w:rsidRPr="008B3AD6">
        <w:rPr>
          <w:vertAlign w:val="superscript"/>
        </w:rPr>
        <w:t>nd</w:t>
      </w:r>
      <w:r w:rsidRPr="008B3AD6">
        <w:t xml:space="preserve"> extraction) and stored at -80ºC until mass spectroscopy analysis. The figures for which data </w:t>
      </w:r>
      <w:r w:rsidR="00407D15">
        <w:t>were</w:t>
      </w:r>
      <w:r w:rsidR="00407D15" w:rsidRPr="008B3AD6">
        <w:t xml:space="preserve"> </w:t>
      </w:r>
      <w:r w:rsidRPr="008B3AD6">
        <w:t>generated using this method are labelled as using the column free extraction method.</w:t>
      </w:r>
    </w:p>
    <w:p w14:paraId="3E182EB5" w14:textId="77777777" w:rsidR="00AD1D6C" w:rsidRPr="008B3AD6" w:rsidRDefault="00AD1D6C" w:rsidP="00C608D6">
      <w:pPr>
        <w:spacing w:line="360" w:lineRule="auto"/>
        <w:jc w:val="both"/>
      </w:pPr>
    </w:p>
    <w:p w14:paraId="44F4EFD4" w14:textId="1894BD03" w:rsidR="00281CE7" w:rsidRPr="008B3AD6" w:rsidRDefault="00A165D7" w:rsidP="00281CE7">
      <w:pPr>
        <w:pStyle w:val="Heading2"/>
      </w:pPr>
      <w:bookmarkStart w:id="165" w:name="_Ref519019755"/>
      <w:bookmarkStart w:id="166" w:name="_Ref519021365"/>
      <w:bookmarkStart w:id="167" w:name="_Ref519021414"/>
      <w:bookmarkStart w:id="168" w:name="_Toc3716083"/>
      <w:r w:rsidRPr="008B3AD6">
        <w:t>Liquid-Chromatography Mass Spectroscopy Sample Analysis</w:t>
      </w:r>
      <w:bookmarkEnd w:id="165"/>
      <w:bookmarkEnd w:id="166"/>
      <w:bookmarkEnd w:id="167"/>
      <w:bookmarkEnd w:id="168"/>
    </w:p>
    <w:p w14:paraId="28842515" w14:textId="0FECAB77" w:rsidR="00BC3F38" w:rsidRDefault="00267C55" w:rsidP="00B23FF8">
      <w:pPr>
        <w:spacing w:line="360" w:lineRule="auto"/>
        <w:jc w:val="both"/>
      </w:pPr>
      <w:r w:rsidRPr="008B3AD6">
        <w:t xml:space="preserve">For LC-MS analysis, column extracted samples were dehydrated and resuspended in 100ul of 100% methanol which was transferred into 96 well-plates. Column free extraction samples were directly transferred (200ul per sample) into 96 well-plates. </w:t>
      </w:r>
    </w:p>
    <w:p w14:paraId="145BF618" w14:textId="77777777" w:rsidR="00BC3F38" w:rsidRDefault="00BC3F38" w:rsidP="00B23FF8">
      <w:pPr>
        <w:spacing w:line="360" w:lineRule="auto"/>
        <w:jc w:val="both"/>
      </w:pPr>
    </w:p>
    <w:p w14:paraId="2B7C4C68" w14:textId="77777777" w:rsidR="00BC3F38" w:rsidRPr="008B3AD6" w:rsidRDefault="00BC3F38" w:rsidP="00B23FF8">
      <w:pPr>
        <w:spacing w:line="360" w:lineRule="auto"/>
        <w:jc w:val="both"/>
      </w:pPr>
      <w:r w:rsidRPr="008B3AD6">
        <w:t xml:space="preserve">On the day of analysis, samples were thawed and 200 µl of each sample was transferred into 96-well plates (Waters, Elstree, UK) for liquid chromatography mass spectroscopy analysis (LC-MS). LCMS analyses were carried out on a Waters Acquity I Class UPLC system (Waters, Elstree, UK) outfitted with a quaternary pump, an on-line solvent degasser, autosampler and column oven. </w:t>
      </w:r>
    </w:p>
    <w:p w14:paraId="5A8BF7B0" w14:textId="77777777" w:rsidR="00BC3F38" w:rsidRPr="008B3AD6" w:rsidRDefault="00BC3F38" w:rsidP="00B23FF8">
      <w:pPr>
        <w:spacing w:line="360" w:lineRule="auto"/>
        <w:jc w:val="both"/>
      </w:pPr>
    </w:p>
    <w:p w14:paraId="46AA06D6" w14:textId="77777777" w:rsidR="00BC3F38" w:rsidRPr="008B3AD6" w:rsidRDefault="00BC3F38" w:rsidP="00B23FF8">
      <w:pPr>
        <w:spacing w:line="360" w:lineRule="auto"/>
        <w:jc w:val="both"/>
      </w:pPr>
      <w:r w:rsidRPr="008B3AD6">
        <w:t xml:space="preserve">The column used was a Waters BEH C18(2), 50x21.mm, 1.7µ UPLC column set at 45 ºC, flow rate 0.3 - 0.4mL min-1. Injection volume was 4 μL. The LC mobile phase consisted of </w:t>
      </w:r>
      <w:r w:rsidRPr="008B3AD6">
        <w:lastRenderedPageBreak/>
        <w:t>(A) 10 mM ammonium formate (pH 3.0), 0.2% formic acid and 1% acetonitrile, and (B) methanol:acetonitrile (50:50%, vol/vol) with 0.1% formic acid. All reagents and solvents were of LCMS grade. The gradient started at 35% B and increased in linear fashion for 2 min at flow rate of 0.3 mL min-1, then increased to 100% B over 0.1 min at a flow of 0.4 mL min-1, stayed there for 0.5 min (same flow rate), and decreased to 35% B (flow 0.3 mL min-1), where it was left to re-equilibrate for 0.5 min (total duration 3.2 min). Solvent (A) also served as weak needle wash, solvent (B) as strong. The autosampler was kept at 10ºC.</w:t>
      </w:r>
    </w:p>
    <w:p w14:paraId="03D508CD" w14:textId="77777777" w:rsidR="00BC3F38" w:rsidRPr="008B3AD6" w:rsidRDefault="00BC3F38" w:rsidP="00B23FF8">
      <w:pPr>
        <w:spacing w:line="360" w:lineRule="auto"/>
        <w:jc w:val="both"/>
      </w:pPr>
    </w:p>
    <w:p w14:paraId="1EBF57C6" w14:textId="77777777" w:rsidR="00BC3F38" w:rsidRPr="008B3AD6" w:rsidRDefault="00BC3F38" w:rsidP="00B23FF8">
      <w:pPr>
        <w:spacing w:line="360" w:lineRule="auto"/>
        <w:jc w:val="both"/>
      </w:pPr>
      <w:r w:rsidRPr="008B3AD6">
        <w:t>MS/MS experiments were performed on a TSQ Endura™ triple quadrupole (QqQ) mass spectrometer (Thermo Fisher Scientific, Hemel Heampsted, UK), equipped with a heated electrospray ionization source (H-ESI), operating in the positive ion mode. Measurements were carried out using the following ionization parameters: source voltage: 3500 V; sheath gas: 40 (arbitrary units); auxiliary gas: 12 (arbitrary units); sweep gas 1 (arbitrary units); ion transfer tube temperature: 333 ºC; Vaporizer temperature: 317 ºC, cycle time: 0.4 s; CID gas: 1.5 mTorr, Q1 and Q2 resolution 0.7 Da (FWHM).  Selected reaction monitoring (SRM) experiments were used to monitor specific precursor-to-product ion transitions of the analyte AmB and the IS clopidrogel. SRM parameters</w:t>
      </w:r>
      <w:r>
        <w:t>, such as precursor m/z value (Q1), fragment m/z values (Q3s), collision energy, analyte retention time and relative intensities for all fragments,</w:t>
      </w:r>
      <w:r w:rsidRPr="008B3AD6">
        <w:t xml:space="preserve"> for each analyte were optimized by directly teeing in (into a flow of 50% mobile phase B at 300 µL/min) individual standard solutions of each compound (200 μg/mL for AmB, 500 µg/mL for clopidogel, both in methanol) at a flow rate of 10 µL/min.  Full-scan data acquisition was performed using the first mass analyser (Q1) by scanning from m/z 50 to 1000. Collision energy settings were optimized and the most intense SRM transition obtained for each analyte was chosen as the quantification transition. The divert vale was directing to source between 0.2 and 2.2 min of the gradient run.</w:t>
      </w:r>
    </w:p>
    <w:p w14:paraId="49000718" w14:textId="77777777" w:rsidR="00BC3F38" w:rsidRPr="008B3AD6" w:rsidRDefault="00BC3F38" w:rsidP="00B23FF8">
      <w:pPr>
        <w:spacing w:line="360" w:lineRule="auto"/>
      </w:pPr>
    </w:p>
    <w:p w14:paraId="16696674" w14:textId="16322FDA" w:rsidR="00C608D6" w:rsidRPr="008B3AD6" w:rsidRDefault="00C608D6" w:rsidP="00C608D6">
      <w:pPr>
        <w:pStyle w:val="Heading2"/>
      </w:pPr>
      <w:bookmarkStart w:id="169" w:name="_Toc518564593"/>
      <w:bookmarkStart w:id="170" w:name="_Ref519022031"/>
      <w:bookmarkStart w:id="171" w:name="_Ref522734803"/>
      <w:bookmarkStart w:id="172" w:name="_Ref522785591"/>
      <w:bookmarkStart w:id="173" w:name="_Ref524121019"/>
      <w:bookmarkStart w:id="174" w:name="_Ref525072615"/>
      <w:bookmarkStart w:id="175" w:name="_Toc3716084"/>
      <w:r w:rsidRPr="008B3AD6">
        <w:t>Biological Data Statistical Analysis</w:t>
      </w:r>
      <w:bookmarkEnd w:id="169"/>
      <w:bookmarkEnd w:id="170"/>
      <w:bookmarkEnd w:id="171"/>
      <w:bookmarkEnd w:id="172"/>
      <w:bookmarkEnd w:id="173"/>
      <w:bookmarkEnd w:id="174"/>
      <w:bookmarkEnd w:id="175"/>
    </w:p>
    <w:p w14:paraId="648C391F" w14:textId="4357EC9F" w:rsidR="00C608D6" w:rsidRPr="008B3AD6" w:rsidRDefault="00812605" w:rsidP="00C608D6">
      <w:pPr>
        <w:spacing w:line="360" w:lineRule="auto"/>
        <w:jc w:val="both"/>
      </w:pPr>
      <w:r w:rsidRPr="008B3AD6">
        <w:t>Leukocyte (and leukocyte subset)</w:t>
      </w:r>
      <w:r w:rsidR="00C608D6" w:rsidRPr="008B3AD6">
        <w:t xml:space="preserve"> population abundance</w:t>
      </w:r>
      <w:r w:rsidRPr="008B3AD6">
        <w:t>s</w:t>
      </w:r>
      <w:r w:rsidR="00C608D6" w:rsidRPr="008B3AD6">
        <w:t xml:space="preserve"> between groups of either different infection status or different stages of infection </w:t>
      </w:r>
      <w:r w:rsidRPr="008B3AD6">
        <w:t>were compared. N</w:t>
      </w:r>
      <w:r w:rsidR="00C608D6" w:rsidRPr="008B3AD6">
        <w:t xml:space="preserve">on-parametric statistical analyses were carried out. Sample numbers for some time points were not sufficient to determine the likeliness they originated from Gaussian distributions as determined using a D’Agostino &amp; Pearson Omnibus Test (D’Agostino &amp; Pearson, 1973) and thus non-parametric tests were utilised. </w:t>
      </w:r>
    </w:p>
    <w:p w14:paraId="727847F4" w14:textId="77777777" w:rsidR="00C608D6" w:rsidRPr="008B3AD6" w:rsidRDefault="00C608D6" w:rsidP="00C608D6">
      <w:pPr>
        <w:spacing w:line="360" w:lineRule="auto"/>
        <w:jc w:val="both"/>
      </w:pPr>
    </w:p>
    <w:p w14:paraId="09B37D74" w14:textId="5A34D81E" w:rsidR="00931413" w:rsidRPr="008B3AD6" w:rsidRDefault="00C608D6" w:rsidP="00C608D6">
      <w:pPr>
        <w:spacing w:line="360" w:lineRule="auto"/>
        <w:jc w:val="both"/>
      </w:pPr>
      <w:r w:rsidRPr="008B3AD6">
        <w:lastRenderedPageBreak/>
        <w:t xml:space="preserve">To compare between infected and naive populations at selected time points, </w:t>
      </w:r>
      <w:r w:rsidR="00C603D8">
        <w:t xml:space="preserve">a </w:t>
      </w:r>
      <w:r w:rsidRPr="008B3AD6">
        <w:t xml:space="preserve">two-tailed Mann-Whitney test </w:t>
      </w:r>
      <w:r w:rsidR="00812605" w:rsidRPr="008B3AD6">
        <w:fldChar w:fldCharType="begin"/>
      </w:r>
      <w:r w:rsidR="00812605" w:rsidRPr="008B3AD6">
        <w:instrText xml:space="preserve"> ADDIN ZOTERO_ITEM CSL_CITATION {"citationID":"vXmCN3P1","properties":{"formattedCitation":"(Mann and Whitney 1947)","plainCitation":"(Mann and Whitney 1947)","noteIndex":0},"citationItems":[{"id":2529,"uris":["http://zotero.org/users/2628971/items/2ANV9WCV"],"uri":["http://zotero.org/users/2628971/items/2ANV9WCV"],"itemData":{"id":2529,"type":"article-journal","title":"On a Test of Whether one of Two Random Variables is Stochastically Larger than the Other","container-title":"The Annals of Mathematical Statistics","page":"50-60","volume":"18","issue":"1","source":"JSTOR","abstract":"Let x and y be two random variables with continuous cumulative distribution functions f and g. A statistic U depending on the relative ranks of the x's and y's is proposed for testing the hypothesis f = g. Wilcoxon proposed an equivalent test in the Biometrics Bulletin, December, 1945, but gave only a few points of the distribution of his statistic. Under the hypothesis f = g the probability of obtaining a given U in a sample of n x's and m y's is the solution of a certain recurrence relation involving n and m. Using this recurrence relation tables have been computed giving the probability of U for samples up to n = m = 8. At this point the distribution is almost normal. From the recurrence relation explicit expressions for the mean, variance, and fourth moment are obtained. The 2rth moment is shown to have a certain form which enabled us to prove that the limit distribution is normal if m, n go to infinity in any arbitrary manner. The test is shown to be consistent with respect to the class of alternatives $f(x) &gt; g(x)$ for every x.","ISSN":"0003-4851","author":[{"family":"Mann","given":"H. B."},{"family":"Whitney","given":"D. R."}],"issued":{"date-parts":[["1947"]]}}}],"schema":"https://github.com/citation-style-language/schema/raw/master/csl-citation.json"} </w:instrText>
      </w:r>
      <w:r w:rsidR="00812605" w:rsidRPr="008B3AD6">
        <w:fldChar w:fldCharType="separate"/>
      </w:r>
      <w:r w:rsidR="00025067">
        <w:rPr>
          <w:noProof/>
        </w:rPr>
        <w:t>(Mann and Whitney 1947)</w:t>
      </w:r>
      <w:r w:rsidR="00812605" w:rsidRPr="008B3AD6">
        <w:fldChar w:fldCharType="end"/>
      </w:r>
      <w:r w:rsidRPr="008B3AD6">
        <w:t xml:space="preserve"> was use</w:t>
      </w:r>
      <w:r w:rsidR="00C603D8">
        <w:t>d.</w:t>
      </w:r>
      <w:r w:rsidRPr="008B3AD6">
        <w:t xml:space="preserve"> </w:t>
      </w:r>
      <w:r w:rsidR="00C603D8">
        <w:t>T</w:t>
      </w:r>
      <w:r w:rsidRPr="008B3AD6">
        <w:t>o compare against different time points over the course of the same infection, Dunn’s multiple comparison tests were used. All analyses were carried out GraphPad Prism (Prism 5 for Mac OS X, GraphPad Software, California, USA)</w:t>
      </w:r>
      <w:r w:rsidR="003A7CB4" w:rsidRPr="008B3AD6">
        <w:t>.</w:t>
      </w:r>
      <w:r w:rsidR="00931413" w:rsidRPr="008B3AD6">
        <w:t xml:space="preserve"> </w:t>
      </w:r>
    </w:p>
    <w:p w14:paraId="4FFBE9DB" w14:textId="77777777" w:rsidR="00931413" w:rsidRPr="008B3AD6" w:rsidRDefault="00931413" w:rsidP="00C608D6">
      <w:pPr>
        <w:spacing w:line="360" w:lineRule="auto"/>
        <w:jc w:val="both"/>
      </w:pPr>
    </w:p>
    <w:p w14:paraId="0B6D58D9" w14:textId="28622BBE" w:rsidR="00C608D6" w:rsidRPr="008B3AD6" w:rsidRDefault="00931413" w:rsidP="00C608D6">
      <w:pPr>
        <w:spacing w:line="360" w:lineRule="auto"/>
        <w:jc w:val="both"/>
      </w:pPr>
      <w:r w:rsidRPr="008B3AD6">
        <w:t>All biological replicates when discussed in text are described using the mean and standard deviation</w:t>
      </w:r>
      <w:r w:rsidR="00C603D8">
        <w:t xml:space="preserve"> (SD)</w:t>
      </w:r>
      <w:r w:rsidRPr="008B3AD6">
        <w:t>, technical replicates are described using the mean and standard error of the mean</w:t>
      </w:r>
      <w:r w:rsidR="00C603D8">
        <w:t xml:space="preserve"> (SEM)</w:t>
      </w:r>
      <w:r w:rsidRPr="008B3AD6">
        <w:t>.</w:t>
      </w:r>
    </w:p>
    <w:p w14:paraId="60C27566" w14:textId="1F1EBEA5" w:rsidR="003A7CB4" w:rsidRPr="008B3AD6" w:rsidRDefault="003A7CB4" w:rsidP="00C608D6">
      <w:pPr>
        <w:spacing w:line="360" w:lineRule="auto"/>
        <w:jc w:val="both"/>
        <w:rPr>
          <w:b/>
          <w:i/>
          <w:color w:val="FF0000"/>
        </w:rPr>
      </w:pPr>
    </w:p>
    <w:p w14:paraId="79848BB1" w14:textId="58C7415B" w:rsidR="003A7CB4" w:rsidRPr="008B3AD6" w:rsidRDefault="00C603D8" w:rsidP="0020534E">
      <w:pPr>
        <w:spacing w:line="360" w:lineRule="auto"/>
        <w:jc w:val="both"/>
      </w:pPr>
      <w:r>
        <w:t>B</w:t>
      </w:r>
      <w:r w:rsidR="003A7CB4" w:rsidRPr="008B3AD6">
        <w:t>iological and technical replicate data</w:t>
      </w:r>
      <w:r w:rsidR="00031DF8" w:rsidRPr="008B3AD6">
        <w:t xml:space="preserve"> for mass spectroscopy experiments</w:t>
      </w:r>
      <w:r>
        <w:t>,</w:t>
      </w:r>
      <w:r w:rsidR="00031DF8" w:rsidRPr="008B3AD6">
        <w:t xml:space="preserve"> where the cellular accumulation of </w:t>
      </w:r>
      <w:r>
        <w:t>AmB</w:t>
      </w:r>
      <w:r w:rsidR="00031DF8" w:rsidRPr="008B3AD6">
        <w:t xml:space="preserve"> was analysed for a total population</w:t>
      </w:r>
      <w:r>
        <w:t>,</w:t>
      </w:r>
      <w:r w:rsidR="00031DF8" w:rsidRPr="008B3AD6">
        <w:t xml:space="preserve"> </w:t>
      </w:r>
      <w:r>
        <w:t xml:space="preserve">were </w:t>
      </w:r>
      <w:r w:rsidRPr="008B3AD6">
        <w:t>combine</w:t>
      </w:r>
      <w:r>
        <w:t>d</w:t>
      </w:r>
      <w:r w:rsidR="00031DF8" w:rsidRPr="008B3AD6">
        <w:t xml:space="preserve">. </w:t>
      </w:r>
      <w:r>
        <w:t>The average population value was derived</w:t>
      </w:r>
      <w:r w:rsidR="00031DF8" w:rsidRPr="008B3AD6">
        <w:t xml:space="preserve"> by simple multiplication of the value for the biological and technical replicates, leading to an n of </w:t>
      </w:r>
      <w:r>
        <w:t>one</w:t>
      </w:r>
      <w:r w:rsidR="00031DF8" w:rsidRPr="008B3AD6">
        <w:t xml:space="preserve"> for these experiments. To derive the error for these data points we utilised the error propagation equation for multiplication of </w:t>
      </w:r>
      <w:r>
        <w:t>two</w:t>
      </w:r>
      <w:r w:rsidR="00031DF8" w:rsidRPr="008B3AD6">
        <w:t xml:space="preserve"> quantities (Goodman, 1960). The propagated error for the two quantities (cell population abundance and cellular A</w:t>
      </w:r>
      <w:r>
        <w:t>m</w:t>
      </w:r>
      <w:r w:rsidR="00031DF8" w:rsidRPr="008B3AD6">
        <w:t xml:space="preserve">B accumulation) was calculated as the square root </w:t>
      </w:r>
      <w:r w:rsidRPr="008B3AD6">
        <w:t>of the</w:t>
      </w:r>
      <w:r w:rsidR="00031DF8" w:rsidRPr="008B3AD6">
        <w:t xml:space="preserve"> error (in this case the SEM) of population abundance divided by the mean population abundance squared added to square root </w:t>
      </w:r>
      <w:r w:rsidR="00E5551E" w:rsidRPr="008B3AD6">
        <w:t>of the</w:t>
      </w:r>
      <w:r w:rsidR="00031DF8" w:rsidRPr="008B3AD6">
        <w:t xml:space="preserve"> error (in th</w:t>
      </w:r>
      <w:r>
        <w:t>is case the SEM) of cellular Am</w:t>
      </w:r>
      <w:r w:rsidR="00031DF8" w:rsidRPr="008B3AD6">
        <w:t xml:space="preserve">B accumulation divided by the mean </w:t>
      </w:r>
      <w:r w:rsidR="0020534E" w:rsidRPr="008B3AD6">
        <w:t>cellular A</w:t>
      </w:r>
      <w:r>
        <w:t>m</w:t>
      </w:r>
      <w:r w:rsidR="0020534E" w:rsidRPr="008B3AD6">
        <w:t xml:space="preserve">B accumulation all of which was multiplied by the average timepoint value (above). Resulting in </w:t>
      </w:r>
      <w:r w:rsidR="00931413" w:rsidRPr="008B3AD6">
        <w:t>an</w:t>
      </w:r>
      <w:r w:rsidR="0020534E" w:rsidRPr="008B3AD6">
        <w:t xml:space="preserve"> error propagated SEM for the combined average.</w:t>
      </w:r>
    </w:p>
    <w:p w14:paraId="7CF64463" w14:textId="77777777" w:rsidR="00C608D6" w:rsidRPr="008B3AD6" w:rsidRDefault="00C608D6" w:rsidP="00C608D6">
      <w:pPr>
        <w:spacing w:line="360" w:lineRule="auto"/>
        <w:jc w:val="both"/>
      </w:pPr>
    </w:p>
    <w:p w14:paraId="0EAA75B7" w14:textId="77777777" w:rsidR="00C608D6" w:rsidRPr="008B3AD6" w:rsidRDefault="00C608D6" w:rsidP="00EF5B57">
      <w:pPr>
        <w:pStyle w:val="Heading2"/>
        <w:rPr>
          <w:rFonts w:cs="Times New Roman"/>
        </w:rPr>
      </w:pPr>
      <w:bookmarkStart w:id="176" w:name="_Toc495847345"/>
      <w:bookmarkStart w:id="177" w:name="_Ref516960885"/>
      <w:bookmarkStart w:id="178" w:name="_Toc518564594"/>
      <w:bookmarkStart w:id="179" w:name="_Ref522725418"/>
      <w:bookmarkStart w:id="180" w:name="_Ref523509055"/>
      <w:bookmarkStart w:id="181" w:name="_Toc3716085"/>
      <w:r w:rsidRPr="008B3AD6">
        <w:rPr>
          <w:rFonts w:cs="Times New Roman"/>
        </w:rPr>
        <w:t>Model Development &amp; Parameterisation</w:t>
      </w:r>
      <w:bookmarkEnd w:id="176"/>
      <w:bookmarkEnd w:id="177"/>
      <w:bookmarkEnd w:id="178"/>
      <w:bookmarkEnd w:id="179"/>
      <w:bookmarkEnd w:id="180"/>
      <w:bookmarkEnd w:id="181"/>
    </w:p>
    <w:p w14:paraId="571DE102" w14:textId="77777777" w:rsidR="00EF5B57" w:rsidRPr="008B3AD6" w:rsidRDefault="00EF5B57" w:rsidP="00EF5B57">
      <w:pPr>
        <w:pStyle w:val="Heading3"/>
      </w:pPr>
      <w:bookmarkStart w:id="182" w:name="_Toc517175485"/>
      <w:bookmarkStart w:id="183" w:name="_Toc518488928"/>
      <w:bookmarkStart w:id="184" w:name="_Toc3716086"/>
      <w:r w:rsidRPr="008B3AD6">
        <w:t>Modelling Development Approach</w:t>
      </w:r>
      <w:bookmarkEnd w:id="182"/>
      <w:bookmarkEnd w:id="183"/>
      <w:bookmarkEnd w:id="184"/>
    </w:p>
    <w:p w14:paraId="304DFC98" w14:textId="7FDDB05E" w:rsidR="00EF5B57" w:rsidRPr="008B3AD6" w:rsidRDefault="00EF5B57" w:rsidP="006A5D97">
      <w:pPr>
        <w:spacing w:line="360" w:lineRule="auto"/>
        <w:jc w:val="both"/>
      </w:pPr>
      <w:r w:rsidRPr="008B3AD6">
        <w:t xml:space="preserve">To develop an </w:t>
      </w:r>
      <w:r w:rsidRPr="008B3AD6">
        <w:rPr>
          <w:i/>
        </w:rPr>
        <w:t>in silico</w:t>
      </w:r>
      <w:r w:rsidRPr="008B3AD6">
        <w:t xml:space="preserve"> model of the cellular population kinetics and resultant parasitic behaviours </w:t>
      </w:r>
      <w:r w:rsidRPr="009D672E">
        <w:t>within the liver an ODE system was developed following the CoSMoS process</w:t>
      </w:r>
      <w:r w:rsidR="009D672E" w:rsidRPr="009D672E">
        <w:t xml:space="preserve"> (see Section </w:t>
      </w:r>
      <w:r w:rsidR="009D672E" w:rsidRPr="009D672E">
        <w:fldChar w:fldCharType="begin"/>
      </w:r>
      <w:r w:rsidR="009D672E" w:rsidRPr="009D672E">
        <w:instrText xml:space="preserve"> REF _Ref522488036 \n </w:instrText>
      </w:r>
      <w:r w:rsidR="009D672E">
        <w:instrText xml:space="preserve"> \* MERGEFORMAT </w:instrText>
      </w:r>
      <w:r w:rsidR="009D672E" w:rsidRPr="009D672E">
        <w:fldChar w:fldCharType="separate"/>
      </w:r>
      <w:r w:rsidR="00031DCA">
        <w:t>1.3.2</w:t>
      </w:r>
      <w:r w:rsidR="009D672E" w:rsidRPr="009D672E">
        <w:fldChar w:fldCharType="end"/>
      </w:r>
      <w:r w:rsidR="009D672E" w:rsidRPr="009D672E">
        <w:t xml:space="preserve"> and </w:t>
      </w:r>
      <w:r w:rsidR="009D672E" w:rsidRPr="009D672E">
        <w:fldChar w:fldCharType="begin"/>
      </w:r>
      <w:r w:rsidR="009D672E" w:rsidRPr="009D672E">
        <w:instrText xml:space="preserve"> REF _Ref523926707 </w:instrText>
      </w:r>
      <w:r w:rsidR="009D672E">
        <w:instrText xml:space="preserve"> \* MERGEFORMAT </w:instrText>
      </w:r>
      <w:r w:rsidR="009D672E" w:rsidRPr="009D672E">
        <w:fldChar w:fldCharType="separate"/>
      </w:r>
      <w:r w:rsidR="00E5551E" w:rsidRPr="00E5551E">
        <w:rPr>
          <w:b/>
        </w:rPr>
        <w:t xml:space="preserve">Figure </w:t>
      </w:r>
      <w:r w:rsidR="00E5551E" w:rsidRPr="00E5551E">
        <w:rPr>
          <w:b/>
          <w:noProof/>
        </w:rPr>
        <w:t>1.7</w:t>
      </w:r>
      <w:r w:rsidR="009D672E" w:rsidRPr="009D672E">
        <w:fldChar w:fldCharType="end"/>
      </w:r>
      <w:r w:rsidR="009D672E" w:rsidRPr="009D672E">
        <w:t>)</w:t>
      </w:r>
      <w:r w:rsidRPr="009D672E">
        <w:t>, a generic</w:t>
      </w:r>
      <w:r w:rsidRPr="008B3AD6">
        <w:t xml:space="preserve"> framework for the modelling and simulation of complex systems</w:t>
      </w:r>
      <w:r w:rsidR="009D672E">
        <w:t xml:space="preserve"> </w:t>
      </w:r>
      <w:r w:rsidR="009D672E" w:rsidRPr="008B3AD6">
        <w:fldChar w:fldCharType="begin"/>
      </w:r>
      <w:r w:rsidR="009D672E" w:rsidRPr="008B3AD6">
        <w:instrText xml:space="preserve"> ADDIN ZOTERO_ITEM CSL_CITATION {"citationID":"m6pd089h","properties":{"formattedCitation":"(Andrews et al. 2010)","plainCitation":"(Andrews et al. 2010)","noteIndex":0},"citationItems":[{"id":307,"uris":["http://zotero.org/users/2628971/items/39PAA9VH"],"uri":["http://zotero.org/users/2628971/items/39PAA9VH"],"itemData":{"id":307,"type":"article-journal","title":"The CoSMoS Process, Version 0.1: A Process for the Modelling and Simulation of Complex Systems","container-title":"The CoSMoS Process, Version 0.1: A Process for the Modelling and Simulation of Complex Systems","URL":"http://www-users.cs.york.ac.uk/~susan/bib/ss/nonstd/tr453.pdf","author":[{"family":"Andrews","given":"Paul S."},{"family":"Polack","given":"Fiona A. C."},{"family":"Sampson","given":"Adam T."},{"family":"Stepney","given":"Susan"},{"family":"Timmis","given":"Jon"},{"family":"Andrews","given":"Paul S."},{"family":"Polack","given":"Fiona A. C."},{"family":"Sampson","given":"Adam T."},{"family":"Stepney","given":"Susan"},{"family":"Timmis","given":"Jon"}],"issued":{"date-parts":[["2010",3,1]]}}}],"schema":"https://github.com/citation-style-language/schema/raw/master/csl-citation.json"} </w:instrText>
      </w:r>
      <w:r w:rsidR="009D672E" w:rsidRPr="008B3AD6">
        <w:fldChar w:fldCharType="separate"/>
      </w:r>
      <w:r w:rsidR="00025067">
        <w:t>(Andrews et al. 2010)</w:t>
      </w:r>
      <w:r w:rsidR="009D672E" w:rsidRPr="008B3AD6">
        <w:fldChar w:fldCharType="end"/>
      </w:r>
      <w:r w:rsidRPr="008B3AD6">
        <w:t xml:space="preserve"> previously employed for various immunological models </w:t>
      </w:r>
      <w:r w:rsidRPr="008B3AD6">
        <w:fldChar w:fldCharType="begin"/>
      </w:r>
      <w:r w:rsidR="00025067">
        <w:instrText xml:space="preserve"> ADDIN ZOTERO_ITEM CSL_CITATION {"citationID":"kPSqhUAb","properties":{"formattedCitation":"(Alden et al. 2012; Evans 2016; Jason Cosgrove 2017)","plainCitation":"(Alden et al. 2012; Evans 2016; Jason Cosgrove 2017)","noteIndex":0},"citationItems":[{"id":2604,"uris":["http://zotero.org/users/2628971/items/T69YLHVT"],"uri":["http://zotero.org/users/2628971/items/T69YLHVT"],"itemData":{"id":2604,"type":"article-journal","title":"Pairing experimentation and computational modeling to understand the role of tissue inducer cells in the development of lymphoid organs","container-title":"Frontiers in Immunology","volume":"3","source":"Frontiers","abstract":"The use of genetic tools, imaging technologies and ex vivo culture systems has provided significant insights into the role of tissue inducer cells and associated signalling pathways in the formation and function of lymphoid organs. Despite advances in experimental technologies, the molecular and cellular process orchestrating the formation of a complex 3-dimensional tissue is difficult to dissect using current approaches. Therefore, a robust set of simulation tools have been developed to model the processes involved in lymphoid tissue development. Specifically the role of different tissue inducer cell populations in the dynamic formation of Peyer's Patches has been examined. Utilising approaches from critical systems engineering an unbiased model of lymphoid tissue inducer cell function has been developed, that permits the development of emerging behaviours that are statistically not different from that observed in vivo. These results provide the confidence to utilise statistical methods to explore how the simulator predicts cellular behaviour and outcomes under different physiological conditions. Such methods, known as sensitivity analysis techniques, can provide insight into when a component part of the system (such as a particular cell type, adhesion molecule, or chemokine) begins to have an influence on observed behaviour, and quantifies the effect a component part has on the end result: the formation of lymphoid tissue. Through use of such a principled approach in the design, calibration, and analysis of a computer simulation, a robust in silico tool can be developed which can both further the understanding of a biological system being explored, and act as a tool for the generation of hypotheses which can be tested utilising experimental approaches.","URL":"https://www.frontiersin.org/articles/10.3389/fimmu.2012.00172/full","DOI":"10.3389/fimmu.2012.00172","ISSN":"1664-3224","journalAbbreviation":"Front. Immunol.","language":"English","author":[{"family":"Alden","given":"Kieran"},{"family":"Timmis","given":"Jon"},{"family":"Andrews","given":"Paul S."},{"family":"Veiga-Fernandes","given":"Henrique"},{"family":"Coles","given":"Mark Christopher"}],"issued":{"date-parts":[["2012"]]},"accessed":{"date-parts":[["2018",6,18]]}}},{"id":2612,"uris":["http://zotero.org/users/2628971/items/W55UH82A"],"uri":["http://zotero.org/users/2628971/items/W55UH82A"],"itemData":{"id":2612,"type":"thesis","title":"A Computational Approach to Studying the Processes Active During Helicobacter hepaticus-Induced Intestinal Inflammation","publisher":"University of York","genre":"phd","source":"etheses.whiterose.ac.uk","abstract":"Inflammatory bowel disease (IBD) is a chronic inflammatory condition of the gastro-intestinal tract that usually manifests as either ulcerative colitis or Crohn's disease. Helicobacter hepaticus (Hh)-induced colitis is a mouse model of intestinal inflammation whereby IL-10 knock out mice are infected with Hh, resulting in pathology similar to that seen in Crohn's disease. \n\nFollowing the Complex Systems Modelling and Simulation (CoSMoS) process, a principled approach to the engineering of simulations of complex systems, we have developed IBDSim, a computational model of the processes active in the intestinal tract during Hh-induced colitis. IBDSim is a hybrid agent-based model (ABM) that combines agent-based modelling with systems biology and quantitative systems pharmacology approaches, to capture both cell- and system-level behaviours. In combining these approaches, the Automated Simulation Parameter Alteration and SensItivity Analysis toolkit (ASPASIA) was developed to aid in the calibration and analysis of models written in Systems Biology Mark-up Language (SBML), where the addition of an intervention is required for key behaviours to emerge. SBML models generated using this toolkit could then be incorporated into IBDSim.","URL":"http://etheses.whiterose.ac.uk/16125/","author":[{"family":"Evans","given":"Stephanie"}],"issued":{"date-parts":[["2016",9]]},"accessed":{"date-parts":[["2018",6,19]]}}},{"id":2563,"uris":["http://zotero.org/users/2628971/items/AJDJMDKZ"],"uri":["http://zotero.org/users/2628971/items/AJDJMDKZ"],"itemData":{"id":2563,"type":"thesis","title":"The Spatial Distribution and Dynamics of CXCL13 in Lymphoid Tissues","publisher":"University of York","genre":"PhD","source":"etheses.whiterose.ac.uk","abstract":"Morphogens are soluble signalling molecules that regulate a broad spectrum of biological processes. However, the distances and scales over which this regulation occurs are unclear. To date, many studies have highlighted source-sink mechanisms for morphogen gradient formation but fail to take the role of the tissue microenvironment into account. Using a systems-based approach we show that the chemokine CXCL13 is regulated by the B-cell microenvironment on distinct but interconnected levels of biological organization.\nCXCL13 is a key determinant of humoral immune responses, regulating the localisation of lymphocytes within lymphoid tissues. Due to a complex and dynamic interaction network occurring over broad spatiotemporal scales, mapping the spatial distribution of CXCL13 in situ is challenging. To address this we have mapped the 3-dimensional organisation of CXCL13+ stromal cells in situ using a fluorescent reporter system, identifying three distinct but interconnected stromal subsets that are unique in their network properties. We quantify CXCL13 dynamics using high-speed narrowfield microscopy in collagen matrix and lymph node tissue sections with results suggesting that diffusion is highly constrained by local tissue microanatomy.\nHowever, this data alone is insufficient to describe CXCL13 gradient formation. To consolidate this data we employ a quantitative modelling approach hybridising different techniques into a high fidelity in silico representation of the B-follicle, where immune cells can interact with stroma capable of creating and shaping complex physiological gradients. Simulation analyses and immunohistochemistry suggest that chemokine fields within the follicle are dynamic and non-uniform, with multiobjective optimization analysis suggesting that this spatial configuration is designed to promote scanning rates. Taken in concert, our data suggests that CXCL13 acts over short distances creating a complex landscape of expression. Importantly, this study provides a basis for understanding the spatial distribution of morphogens with complex binding behaviours.","URL":"http://etheses.whiterose.ac.uk/19258/","author":[{"family":"Cosgrove","given":"Jason"}],"issued":{"date-parts":[["2017",9]]},"accessed":{"date-parts":[["2018",6,18]]}}}],"schema":"https://github.com/citation-style-language/schema/raw/master/csl-citation.json"} </w:instrText>
      </w:r>
      <w:r w:rsidRPr="008B3AD6">
        <w:fldChar w:fldCharType="separate"/>
      </w:r>
      <w:r w:rsidR="00025067">
        <w:t>(Alden et al. 2012; Evans 2016; Cosgrove 2017)</w:t>
      </w:r>
      <w:r w:rsidRPr="008B3AD6">
        <w:fldChar w:fldCharType="end"/>
      </w:r>
      <w:r w:rsidRPr="008B3AD6">
        <w:t>, as detailed below.</w:t>
      </w:r>
    </w:p>
    <w:p w14:paraId="3AE01827" w14:textId="77777777" w:rsidR="00EF5B57" w:rsidRPr="008B3AD6" w:rsidRDefault="00EF5B57" w:rsidP="006A5D97">
      <w:pPr>
        <w:spacing w:line="360" w:lineRule="auto"/>
        <w:jc w:val="both"/>
      </w:pPr>
    </w:p>
    <w:p w14:paraId="420B6E34" w14:textId="77777777" w:rsidR="00EF5B57" w:rsidRPr="008B3AD6" w:rsidRDefault="00EF5B57" w:rsidP="006A5D97">
      <w:pPr>
        <w:pStyle w:val="Heading3"/>
        <w:jc w:val="both"/>
      </w:pPr>
      <w:bookmarkStart w:id="185" w:name="_Toc517175486"/>
      <w:bookmarkStart w:id="186" w:name="_Toc518488929"/>
      <w:bookmarkStart w:id="187" w:name="_Ref525116850"/>
      <w:bookmarkStart w:id="188" w:name="_Toc3716087"/>
      <w:r w:rsidRPr="008B3AD6">
        <w:t>Research Context</w:t>
      </w:r>
      <w:bookmarkEnd w:id="185"/>
      <w:bookmarkEnd w:id="186"/>
      <w:bookmarkEnd w:id="187"/>
      <w:bookmarkEnd w:id="188"/>
    </w:p>
    <w:p w14:paraId="4B8F9928" w14:textId="07915CE4" w:rsidR="00EF5B57" w:rsidRPr="006A5D97" w:rsidRDefault="00EF5B57" w:rsidP="006A5D97">
      <w:pPr>
        <w:spacing w:line="360" w:lineRule="auto"/>
        <w:jc w:val="both"/>
      </w:pPr>
      <w:r w:rsidRPr="008B3AD6">
        <w:t xml:space="preserve">The research context was first developed, preceding any model development and captured the aims to be achieved by the model and the scope within which they are to be explored as </w:t>
      </w:r>
      <w:r w:rsidRPr="008B3AD6">
        <w:lastRenderedPageBreak/>
        <w:t>well as the research sources utilised.</w:t>
      </w:r>
      <w:r w:rsidR="0084690F">
        <w:t xml:space="preserve"> </w:t>
      </w:r>
      <w:r w:rsidR="006A5D97">
        <w:t xml:space="preserve">For example, in this thesis the scope of the model was limited to the hepatic site of infection after introduction of </w:t>
      </w:r>
      <w:r w:rsidR="006A5D97">
        <w:rPr>
          <w:i/>
        </w:rPr>
        <w:t>L. donovani</w:t>
      </w:r>
      <w:r w:rsidR="006A5D97">
        <w:t xml:space="preserve">. </w:t>
      </w:r>
    </w:p>
    <w:p w14:paraId="5EF36C52" w14:textId="77777777" w:rsidR="00EF5B57" w:rsidRPr="008B3AD6" w:rsidRDefault="00EF5B57" w:rsidP="006A5D97">
      <w:pPr>
        <w:spacing w:line="360" w:lineRule="auto"/>
        <w:jc w:val="both"/>
      </w:pPr>
    </w:p>
    <w:p w14:paraId="3B8F68FF" w14:textId="77777777" w:rsidR="00EF5B57" w:rsidRPr="008B3AD6" w:rsidRDefault="00EF5B57" w:rsidP="006A5D97">
      <w:pPr>
        <w:pStyle w:val="Heading3"/>
        <w:jc w:val="both"/>
      </w:pPr>
      <w:bookmarkStart w:id="189" w:name="_Toc517175487"/>
      <w:bookmarkStart w:id="190" w:name="_Toc518488930"/>
      <w:bookmarkStart w:id="191" w:name="_Ref519095166"/>
      <w:bookmarkStart w:id="192" w:name="_Ref525116858"/>
      <w:bookmarkStart w:id="193" w:name="_Toc3716088"/>
      <w:r w:rsidRPr="008B3AD6">
        <w:t>Domain Model</w:t>
      </w:r>
      <w:bookmarkEnd w:id="189"/>
      <w:bookmarkEnd w:id="190"/>
      <w:bookmarkEnd w:id="191"/>
      <w:bookmarkEnd w:id="192"/>
      <w:bookmarkEnd w:id="193"/>
    </w:p>
    <w:p w14:paraId="07BBC500" w14:textId="1B62AE12" w:rsidR="00EF5B57" w:rsidRPr="008B3AD6" w:rsidRDefault="00EF5B57" w:rsidP="006A5D97">
      <w:pPr>
        <w:spacing w:line="360" w:lineRule="auto"/>
        <w:jc w:val="both"/>
      </w:pPr>
      <w:r w:rsidRPr="008B3AD6">
        <w:t>A domain model is a representation of the biological system of interest</w:t>
      </w:r>
      <w:r w:rsidR="006A5D97">
        <w:t>, this representation is not explicitly confined to any specific type of representation and may be a formal or informal diagrammatic representation or a table of information. The domain model encapsulates</w:t>
      </w:r>
      <w:r w:rsidRPr="008B3AD6">
        <w:t xml:space="preserve"> what is known to occur from sources such as experimental data and expert opinion</w:t>
      </w:r>
      <w:r w:rsidR="006A5D97">
        <w:t>.</w:t>
      </w:r>
      <w:r w:rsidRPr="008B3AD6">
        <w:t xml:space="preserve"> To ensure that implementation issues do not influence the representation of the system the domain model deals only with the biological system. The domain model was generated using three main component diagrams: an expected behaviours diagram, UML</w:t>
      </w:r>
      <w:r w:rsidR="00C603D8">
        <w:t>-like</w:t>
      </w:r>
      <w:r w:rsidRPr="008B3AD6">
        <w:t xml:space="preserve"> activity diagrams of biological entities and state diagrams of the same entities (</w:t>
      </w:r>
      <w:r w:rsidR="006A5D97">
        <w:t xml:space="preserve">see Section </w:t>
      </w:r>
      <w:fldSimple w:instr=" REF _Ref524272777 \n ">
        <w:r w:rsidR="00031DCA">
          <w:t>1.3.2.2</w:t>
        </w:r>
      </w:fldSimple>
      <w:r w:rsidRPr="008B3AD6">
        <w:t>), based upon knowledge derived from the research context.</w:t>
      </w:r>
    </w:p>
    <w:p w14:paraId="4981339E" w14:textId="77777777" w:rsidR="00EF5B57" w:rsidRPr="008B3AD6" w:rsidRDefault="00EF5B57" w:rsidP="006A5D97">
      <w:pPr>
        <w:spacing w:line="360" w:lineRule="auto"/>
        <w:jc w:val="both"/>
      </w:pPr>
    </w:p>
    <w:p w14:paraId="7CA60B16" w14:textId="77777777" w:rsidR="00EF5B57" w:rsidRPr="008B3AD6" w:rsidRDefault="00EF5B57" w:rsidP="006A5D97">
      <w:pPr>
        <w:pStyle w:val="Heading3"/>
        <w:jc w:val="both"/>
      </w:pPr>
      <w:bookmarkStart w:id="194" w:name="_Toc517175488"/>
      <w:bookmarkStart w:id="195" w:name="_Toc518488931"/>
      <w:bookmarkStart w:id="196" w:name="_Ref519095228"/>
      <w:bookmarkStart w:id="197" w:name="_Ref525116893"/>
      <w:bookmarkStart w:id="198" w:name="_Toc3716089"/>
      <w:r w:rsidRPr="008B3AD6">
        <w:t>Platform Model</w:t>
      </w:r>
      <w:bookmarkEnd w:id="194"/>
      <w:bookmarkEnd w:id="195"/>
      <w:bookmarkEnd w:id="196"/>
      <w:bookmarkEnd w:id="197"/>
      <w:bookmarkEnd w:id="198"/>
    </w:p>
    <w:p w14:paraId="09045144" w14:textId="3E6B09A5" w:rsidR="00EF5B57" w:rsidRPr="008B3AD6" w:rsidRDefault="00EF5B57" w:rsidP="006A5D97">
      <w:pPr>
        <w:spacing w:line="360" w:lineRule="auto"/>
        <w:jc w:val="both"/>
      </w:pPr>
      <w:r w:rsidRPr="008B3AD6">
        <w:t>Following the domain model development, the platform model was established. The platform model compromises both UML</w:t>
      </w:r>
      <w:r w:rsidR="00C603D8">
        <w:t>-like</w:t>
      </w:r>
      <w:r w:rsidRPr="008B3AD6">
        <w:t xml:space="preserve"> activity and state diagrams which detail the </w:t>
      </w:r>
      <w:r w:rsidR="00B30F08">
        <w:t>specifications</w:t>
      </w:r>
      <w:r w:rsidRPr="008B3AD6">
        <w:t xml:space="preserve"> of the biological processes from the domain model as implementable modular processes, any abstractions/simplifications are noted and justified. The expected behaviour diagram is, and was, not implemented as a platform model component as implementation of these behaviours guarantees model outputs and thus </w:t>
      </w:r>
      <w:r w:rsidR="00B30F08">
        <w:t>reduces confidence in</w:t>
      </w:r>
      <w:r w:rsidRPr="008B3AD6">
        <w:t xml:space="preserve"> the predictive, and thus exploratory, ability of the model. The platform model also details the modelling methodology that will be applied for the simulations, based upon the most suitable methodology to achieve the model aims.</w:t>
      </w:r>
    </w:p>
    <w:p w14:paraId="05AE645D" w14:textId="77777777" w:rsidR="00EF5B57" w:rsidRPr="008B3AD6" w:rsidRDefault="00EF5B57" w:rsidP="006A5D97">
      <w:pPr>
        <w:spacing w:line="360" w:lineRule="auto"/>
        <w:jc w:val="both"/>
      </w:pPr>
    </w:p>
    <w:p w14:paraId="0E4D0247" w14:textId="32E4DAF4" w:rsidR="00EF5B57" w:rsidRDefault="00EF5B57" w:rsidP="006A5D97">
      <w:pPr>
        <w:pStyle w:val="Heading3"/>
        <w:jc w:val="both"/>
      </w:pPr>
      <w:bookmarkStart w:id="199" w:name="_Toc517175489"/>
      <w:bookmarkStart w:id="200" w:name="_Toc518488932"/>
      <w:bookmarkStart w:id="201" w:name="_Ref519008490"/>
      <w:bookmarkStart w:id="202" w:name="_Ref519095327"/>
      <w:bookmarkStart w:id="203" w:name="_Ref525116898"/>
      <w:bookmarkStart w:id="204" w:name="_Toc3716090"/>
      <w:r w:rsidRPr="008B3AD6">
        <w:t>Simulation Model</w:t>
      </w:r>
      <w:bookmarkEnd w:id="199"/>
      <w:bookmarkEnd w:id="200"/>
      <w:bookmarkEnd w:id="201"/>
      <w:bookmarkEnd w:id="202"/>
      <w:bookmarkEnd w:id="203"/>
      <w:bookmarkEnd w:id="204"/>
    </w:p>
    <w:p w14:paraId="10B09EA8" w14:textId="72DFEBC6" w:rsidR="004420C7" w:rsidRPr="00204D8D" w:rsidRDefault="00B30F08" w:rsidP="00B30F08">
      <w:pPr>
        <w:spacing w:line="360" w:lineRule="auto"/>
        <w:jc w:val="both"/>
      </w:pPr>
      <w:r>
        <w:t xml:space="preserve">The simulation model is the realisation of the specifications from the platform model into an executable code base from which simulations can be performed. For this thesis, simulation models were implemented as ODEs using the R programming language. The states described in the platform model correspond to the populations for which the ODEs tracked the rate of change and the low-level functions </w:t>
      </w:r>
      <w:r w:rsidR="00204D8D">
        <w:t xml:space="preserve">within the ODEs </w:t>
      </w:r>
      <w:r>
        <w:t>are each representative of one or more platform activities. ODEs do not require the specification of an environment within the simulation as they inherently represent a well-mixed single compartment, in this case representative of the liver, pseudo-spatial considerations may be achieved through compartmentalisation of processes</w:t>
      </w:r>
      <w:r w:rsidR="00204D8D">
        <w:t xml:space="preserve">, such as in physiologically-based pharmacokinetic </w:t>
      </w:r>
      <w:r w:rsidR="00204D8D">
        <w:lastRenderedPageBreak/>
        <w:t>models where each compartment approximately translates to a physiological organ</w:t>
      </w:r>
      <w:r>
        <w:t xml:space="preserve">. </w:t>
      </w:r>
      <w:r w:rsidR="00204D8D">
        <w:t>RStudio (</w:t>
      </w:r>
      <w:r w:rsidR="00204D8D" w:rsidRPr="00204D8D">
        <w:t>RStudio</w:t>
      </w:r>
      <w:r w:rsidR="00B862D7">
        <w:t xml:space="preserve"> Inc., Boston, USA</w:t>
      </w:r>
      <w:r w:rsidR="00204D8D">
        <w:t xml:space="preserve">) was utilised as an integrated development environment and simulations were run using the </w:t>
      </w:r>
      <w:r w:rsidR="00204D8D">
        <w:rPr>
          <w:i/>
        </w:rPr>
        <w:t>lsoda</w:t>
      </w:r>
      <w:r w:rsidR="00204D8D">
        <w:t xml:space="preserve"> function of the </w:t>
      </w:r>
      <w:r w:rsidR="00204D8D">
        <w:rPr>
          <w:i/>
        </w:rPr>
        <w:t>deSolve</w:t>
      </w:r>
      <w:r w:rsidR="00204D8D">
        <w:t xml:space="preserve"> package </w:t>
      </w:r>
      <w:r w:rsidR="00204D8D">
        <w:fldChar w:fldCharType="begin"/>
      </w:r>
      <w:r w:rsidR="00025067">
        <w:instrText xml:space="preserve"> ADDIN ZOTERO_ITEM CSL_CITATION {"citationID":"MPjS7WUr","properties":{"formattedCitation":"(Soetaert, Petzoldt, and Setzer 2010)","plainCitation":"(Soetaert, Petzoldt, and Setzer 2010)","noteIndex":0},"citationItems":[{"id":2609,"uris":["http://zotero.org/users/2628971/items/W2UFN9CI"],"uri":["http://zotero.org/users/2628971/items/W2UFN9CI"],"itemData":{"id":2609,"type":"article-journal","title":"Solving Differential Equations in R: Package deSolve","container-title":"Journal of Statistical Software","page":"25","volume":"33","issue":"9","abstract":"In this paper we present the R package  deSolve  to solve initial value problems (IVP) written as ordinary differential equations (ODE), differential algebraic equations (DAE) of index 0 or 1 and partial differential equations (PDE), the latter solved using the method of lines approach. The differential equations can be represented in R code or as compiled code. In the latter case, R is used as a tool to trigger the integration and post-process the results, which facilitates model development and application, whilst the compiled code significantly increases simulation speed. The methods implemented are efficient, robust, and well documented public-domain Fortran routines. They include four integrators from the  ODEPACK  package (LSODE, LSODES, LSODA, LSODAR), DVODE and DASPK2.0. In addition, a suite of Runge-Kutta integrators and special-purpose solvers to efficiently integrate 1-, 2- and 3-dimensional partial differential equations are available. The routines solve both stiff and non-stiff systems, and include many options, e.g., to deal in an efficient way with the sparsity of the Jacobian matrix, or finding the root of equations. In this article, our objectives are threefold: (1) to demonstrate the potential of using R for dynamic modeling, (2) to highlight typical uses of the different methods implemented and (3) to compare the performance of models specified in R code and in compiled code for a number of test cases. These comparisons demonstrate that, if the use of loops is avoided, R code can efficiently integrate problems comprising several thousands of state variables. Nevertheless, the same problem may be solved from 2 to more than 50 times faster by using compiled code compared to an implementation using only R code. Still, amongst the benefits of R are a more flexible and interactive implementation, better readability of the code, and access to R’s high-level procedures.  deSolve  is the successor of package  odesolve  which will be deprecated in the future; it is free software and distributed under the GNU General Public License, as part of the R software project.","author":[{"family":"Soetaert","given":"Karline"},{"family":"Petzoldt","given":"Thomas"},{"family":"Setzer","given":"R. Woodrow"}],"issued":{"date-parts":[["2010"]]}}}],"schema":"https://github.com/citation-style-language/schema/raw/master/csl-citation.json"} </w:instrText>
      </w:r>
      <w:r w:rsidR="00204D8D">
        <w:fldChar w:fldCharType="separate"/>
      </w:r>
      <w:r w:rsidR="00025067" w:rsidRPr="00025067">
        <w:rPr>
          <w:lang w:val="en-US"/>
        </w:rPr>
        <w:t>(Soetaert, Petzoldt, and Setzer 2010)</w:t>
      </w:r>
      <w:r w:rsidR="00204D8D">
        <w:fldChar w:fldCharType="end"/>
      </w:r>
      <w:r w:rsidR="00B862D7">
        <w:t xml:space="preserve">, </w:t>
      </w:r>
      <w:r w:rsidR="00204D8D">
        <w:t xml:space="preserve">whereby a function, </w:t>
      </w:r>
      <w:r w:rsidR="00B862D7">
        <w:t>referring</w:t>
      </w:r>
      <w:r w:rsidR="00204D8D">
        <w:t xml:space="preserve"> to a defined executable piece of code which optionally requires input and/or supplies output, was created encapsulating all equations. Parameter values were supplied to the model as </w:t>
      </w:r>
      <w:r w:rsidR="00521C66">
        <w:t>a vector</w:t>
      </w:r>
      <w:r w:rsidR="00B862D7">
        <w:t>,</w:t>
      </w:r>
      <w:r w:rsidR="00204D8D">
        <w:t xml:space="preserve"> where the order of the parameters correlated to a referenced index for each parameter inside the function, alongside a</w:t>
      </w:r>
      <w:r w:rsidR="00B862D7">
        <w:t xml:space="preserve"> vector of</w:t>
      </w:r>
      <w:r w:rsidR="00204D8D">
        <w:t xml:space="preserve"> time</w:t>
      </w:r>
      <w:r w:rsidR="00B862D7">
        <w:t>s</w:t>
      </w:r>
      <w:r w:rsidR="00204D8D">
        <w:t xml:space="preserve"> to simulate</w:t>
      </w:r>
      <w:r w:rsidR="00521C66">
        <w:t>, in this case 0 - 42 days in 1 day increments,</w:t>
      </w:r>
      <w:r w:rsidR="00204D8D">
        <w:t xml:space="preserve"> and the initial conditions of the model. The output was returned as either a table containing quantities for all </w:t>
      </w:r>
      <w:r w:rsidR="00521C66">
        <w:t>population</w:t>
      </w:r>
      <w:r w:rsidR="00204D8D">
        <w:t xml:space="preserve"> at each simulated timep</w:t>
      </w:r>
      <w:r w:rsidR="00521C66">
        <w:t>oint</w:t>
      </w:r>
      <w:r w:rsidR="00204D8D">
        <w:t xml:space="preserve"> or as a vector returning the value for specific </w:t>
      </w:r>
      <w:r w:rsidR="00521C66">
        <w:t>populations</w:t>
      </w:r>
      <w:r w:rsidR="00204D8D">
        <w:t xml:space="preserve"> at specific times, as defined by the user. </w:t>
      </w:r>
    </w:p>
    <w:p w14:paraId="549CF073" w14:textId="77777777" w:rsidR="00B30F08" w:rsidRDefault="00B30F08" w:rsidP="004420C7"/>
    <w:p w14:paraId="13E575B8" w14:textId="02BF0393" w:rsidR="00EF5B57" w:rsidRPr="008B3AD6" w:rsidRDefault="00EF5B57" w:rsidP="006A5D97">
      <w:pPr>
        <w:pStyle w:val="Heading3"/>
        <w:jc w:val="both"/>
      </w:pPr>
      <w:r w:rsidRPr="008B3AD6">
        <w:t xml:space="preserve"> </w:t>
      </w:r>
      <w:bookmarkStart w:id="205" w:name="_Toc517175490"/>
      <w:bookmarkStart w:id="206" w:name="_Toc518488933"/>
      <w:bookmarkStart w:id="207" w:name="_Ref519095478"/>
      <w:bookmarkStart w:id="208" w:name="_Ref522636794"/>
      <w:bookmarkStart w:id="209" w:name="_Ref523067372"/>
      <w:bookmarkStart w:id="210" w:name="_Toc3716091"/>
      <w:r w:rsidRPr="008B3AD6">
        <w:t>Model Calibration</w:t>
      </w:r>
      <w:bookmarkEnd w:id="205"/>
      <w:bookmarkEnd w:id="206"/>
      <w:bookmarkEnd w:id="207"/>
      <w:bookmarkEnd w:id="208"/>
      <w:bookmarkEnd w:id="209"/>
      <w:bookmarkEnd w:id="210"/>
    </w:p>
    <w:p w14:paraId="345DB73A" w14:textId="0605593F" w:rsidR="00344DC7" w:rsidRPr="008B3AD6" w:rsidRDefault="00344DC7" w:rsidP="00344DC7">
      <w:pPr>
        <w:spacing w:line="360" w:lineRule="auto"/>
        <w:jc w:val="both"/>
      </w:pPr>
      <w:r w:rsidRPr="008B3AD6">
        <w:t xml:space="preserve">During the CoSMoS process, specifically in the domain and platform models, </w:t>
      </w:r>
      <w:r>
        <w:t xml:space="preserve">biological processes with associated numerical properties (such as rates/probabilities) </w:t>
      </w:r>
      <w:r w:rsidRPr="008B3AD6">
        <w:t>were identified</w:t>
      </w:r>
      <w:r w:rsidR="00521C66">
        <w:t xml:space="preserve">, </w:t>
      </w:r>
      <w:r w:rsidR="00C10795">
        <w:t>these numerical properties</w:t>
      </w:r>
      <w:r w:rsidRPr="008B3AD6">
        <w:t xml:space="preserve"> </w:t>
      </w:r>
      <w:r>
        <w:t>translated to parameter</w:t>
      </w:r>
      <w:r w:rsidR="00C10795">
        <w:t>s</w:t>
      </w:r>
      <w:r>
        <w:t xml:space="preserve"> implemented</w:t>
      </w:r>
      <w:r w:rsidRPr="008B3AD6">
        <w:t xml:space="preserve"> i</w:t>
      </w:r>
      <w:r w:rsidR="00C10795">
        <w:t xml:space="preserve">n the simulation model. For the proposed simulation </w:t>
      </w:r>
      <w:r w:rsidRPr="008B3AD6">
        <w:t xml:space="preserve">model to make reliable and robust predictions unknown parameter values, those that are not readily available from published experimental data </w:t>
      </w:r>
      <w:r>
        <w:t>or</w:t>
      </w:r>
      <w:r w:rsidRPr="008B3AD6">
        <w:t xml:space="preserve"> similar sources, must be calibrated to ensure similarity between results derived from the simulation model and those observed from the </w:t>
      </w:r>
      <w:r>
        <w:t>domain</w:t>
      </w:r>
      <w:r w:rsidRPr="008B3AD6">
        <w:t xml:space="preserve">. </w:t>
      </w:r>
    </w:p>
    <w:p w14:paraId="0A4AF188" w14:textId="77777777" w:rsidR="00344DC7" w:rsidRPr="008B3AD6" w:rsidRDefault="00344DC7" w:rsidP="00344DC7">
      <w:pPr>
        <w:spacing w:line="360" w:lineRule="auto"/>
        <w:jc w:val="both"/>
      </w:pPr>
    </w:p>
    <w:p w14:paraId="689BCC98" w14:textId="77777777" w:rsidR="002D239E" w:rsidRDefault="00344DC7" w:rsidP="00344DC7">
      <w:pPr>
        <w:spacing w:line="360" w:lineRule="auto"/>
        <w:jc w:val="both"/>
        <w:rPr>
          <w:color w:val="000000" w:themeColor="text1"/>
        </w:rPr>
      </w:pPr>
      <w:r w:rsidRPr="008B3AD6">
        <w:rPr>
          <w:color w:val="000000" w:themeColor="text1"/>
        </w:rPr>
        <w:t>To calibrate the unknown parameter values for the</w:t>
      </w:r>
      <w:r w:rsidR="00C10795">
        <w:rPr>
          <w:color w:val="000000" w:themeColor="text1"/>
        </w:rPr>
        <w:t xml:space="preserve"> proposed simulation</w:t>
      </w:r>
      <w:r w:rsidRPr="008B3AD6">
        <w:rPr>
          <w:color w:val="000000" w:themeColor="text1"/>
        </w:rPr>
        <w:t xml:space="preserve"> model</w:t>
      </w:r>
      <w:r>
        <w:rPr>
          <w:color w:val="000000" w:themeColor="text1"/>
        </w:rPr>
        <w:t xml:space="preserve"> (see Section</w:t>
      </w:r>
      <w:r w:rsidRPr="00344DC7">
        <w:rPr>
          <w:color w:val="000000" w:themeColor="text1"/>
        </w:rPr>
        <w:t xml:space="preserve"> </w:t>
      </w:r>
      <w:r w:rsidRPr="00344DC7">
        <w:rPr>
          <w:color w:val="000000" w:themeColor="text1"/>
        </w:rPr>
        <w:fldChar w:fldCharType="begin"/>
      </w:r>
      <w:r w:rsidRPr="00344DC7">
        <w:rPr>
          <w:color w:val="000000" w:themeColor="text1"/>
        </w:rPr>
        <w:instrText xml:space="preserve"> REF _Ref522268512 \n </w:instrText>
      </w:r>
      <w:r>
        <w:rPr>
          <w:color w:val="000000" w:themeColor="text1"/>
        </w:rPr>
        <w:instrText xml:space="preserve"> \* MERGEFORMAT </w:instrText>
      </w:r>
      <w:r w:rsidRPr="00344DC7">
        <w:rPr>
          <w:color w:val="000000" w:themeColor="text1"/>
        </w:rPr>
        <w:fldChar w:fldCharType="separate"/>
      </w:r>
      <w:r w:rsidR="00031DCA">
        <w:rPr>
          <w:color w:val="000000" w:themeColor="text1"/>
        </w:rPr>
        <w:t>1.3.3</w:t>
      </w:r>
      <w:r w:rsidRPr="00344DC7">
        <w:rPr>
          <w:color w:val="000000" w:themeColor="text1"/>
        </w:rPr>
        <w:fldChar w:fldCharType="end"/>
      </w:r>
      <w:r>
        <w:rPr>
          <w:color w:val="000000" w:themeColor="text1"/>
        </w:rPr>
        <w:t>)</w:t>
      </w:r>
      <w:r w:rsidRPr="008B3AD6">
        <w:rPr>
          <w:color w:val="000000" w:themeColor="text1"/>
        </w:rPr>
        <w:t xml:space="preserve">, two approaches were taken. For </w:t>
      </w:r>
      <w:r>
        <w:rPr>
          <w:color w:val="000000" w:themeColor="text1"/>
        </w:rPr>
        <w:t>cal</w:t>
      </w:r>
      <w:r w:rsidR="00C10795">
        <w:rPr>
          <w:color w:val="000000" w:themeColor="text1"/>
        </w:rPr>
        <w:t>ibration of parameters against simulation</w:t>
      </w:r>
      <w:r w:rsidRPr="008B3AD6">
        <w:rPr>
          <w:color w:val="000000" w:themeColor="text1"/>
        </w:rPr>
        <w:t xml:space="preserve"> output</w:t>
      </w:r>
      <w:r>
        <w:rPr>
          <w:color w:val="000000" w:themeColor="text1"/>
        </w:rPr>
        <w:t xml:space="preserve"> for a single </w:t>
      </w:r>
      <w:r w:rsidR="00C10795">
        <w:rPr>
          <w:color w:val="000000" w:themeColor="text1"/>
        </w:rPr>
        <w:t>population</w:t>
      </w:r>
      <w:r w:rsidRPr="008B3AD6">
        <w:rPr>
          <w:color w:val="000000" w:themeColor="text1"/>
        </w:rPr>
        <w:t xml:space="preserve">, such as T cell time course data, a sequential </w:t>
      </w:r>
      <w:r w:rsidR="00C10795">
        <w:rPr>
          <w:color w:val="000000" w:themeColor="text1"/>
        </w:rPr>
        <w:t>ABC</w:t>
      </w:r>
      <w:r w:rsidRPr="008B3AD6">
        <w:rPr>
          <w:color w:val="000000" w:themeColor="text1"/>
        </w:rPr>
        <w:t xml:space="preserve"> approach was employed using the</w:t>
      </w:r>
      <w:r>
        <w:rPr>
          <w:color w:val="000000" w:themeColor="text1"/>
        </w:rPr>
        <w:t xml:space="preserve"> </w:t>
      </w:r>
      <w:r>
        <w:rPr>
          <w:i/>
          <w:color w:val="000000" w:themeColor="text1"/>
        </w:rPr>
        <w:t>ABC_sequential</w:t>
      </w:r>
      <w:r>
        <w:rPr>
          <w:color w:val="000000" w:themeColor="text1"/>
        </w:rPr>
        <w:t xml:space="preserve"> function of the </w:t>
      </w:r>
      <w:r w:rsidRPr="008B3AD6">
        <w:rPr>
          <w:i/>
          <w:color w:val="000000" w:themeColor="text1"/>
        </w:rPr>
        <w:t xml:space="preserve">easyABC </w:t>
      </w:r>
      <w:r w:rsidRPr="008B3AD6">
        <w:rPr>
          <w:color w:val="000000" w:themeColor="text1"/>
        </w:rPr>
        <w:t xml:space="preserve">package </w:t>
      </w:r>
      <w:r w:rsidRPr="008B3AD6">
        <w:rPr>
          <w:color w:val="000000" w:themeColor="text1"/>
        </w:rPr>
        <w:fldChar w:fldCharType="begin"/>
      </w:r>
      <w:r w:rsidRPr="008B3AD6">
        <w:rPr>
          <w:color w:val="000000" w:themeColor="text1"/>
        </w:rPr>
        <w:instrText xml:space="preserve"> ADDIN ZOTERO_ITEM CSL_CITATION {"citationID":"erxBrkQ2","properties":{"formattedCitation":"(Jabot, Faure, and Dumoulin 2013)","plainCitation":"(Jabot, Faure, and Dumoulin 2013)","noteIndex":0},"citationItems":[{"id":2547,"uris":["http://zotero.org/users/2628971/items/36ZBVY3Y"],"uri":["http://zotero.org/users/2628971/items/36ZBVY3Y"],"itemData":{"id":2547,"type":"article-journal","title":"EasyABC: performing efficient approximate Bayesian computation sampling schemes using R","container-title":"Methods in Ecology and Evolution","page":"684-687","volume":"4","issue":"7","source":"Crossref","DOI":"10.1111/2041-210X.12050","ISSN":"2041210X","shortTitle":"EasyABC","language":"en","author":[{"family":"Jabot","given":"Franck"},{"family":"Faure","given":"Thierry"},{"family":"Dumoulin","given":"Nicolas"}],"editor":[{"family":"O'Hara","given":"Robert B."}],"issued":{"date-parts":[["2013",7]]}}}],"schema":"https://github.com/citation-style-language/schema/raw/master/csl-citation.json"} </w:instrText>
      </w:r>
      <w:r w:rsidRPr="008B3AD6">
        <w:rPr>
          <w:color w:val="000000" w:themeColor="text1"/>
        </w:rPr>
        <w:fldChar w:fldCharType="separate"/>
      </w:r>
      <w:r w:rsidR="00025067">
        <w:rPr>
          <w:color w:val="000000"/>
        </w:rPr>
        <w:t>(Jabot, Faure, and Dumoulin 2013)</w:t>
      </w:r>
      <w:r w:rsidRPr="008B3AD6">
        <w:rPr>
          <w:color w:val="000000" w:themeColor="text1"/>
        </w:rPr>
        <w:fldChar w:fldCharType="end"/>
      </w:r>
      <w:r w:rsidRPr="008B3AD6">
        <w:rPr>
          <w:color w:val="000000" w:themeColor="text1"/>
        </w:rPr>
        <w:t xml:space="preserve">. </w:t>
      </w:r>
      <w:r>
        <w:rPr>
          <w:color w:val="000000" w:themeColor="text1"/>
        </w:rPr>
        <w:t xml:space="preserve">This method was employed due to its simplicity to implement and easily understandable output, no need for specification of likely parameter values and use of user-defined tolerance values, which help mitigate the overfitting of the model and allow additional insight into model mechanisms, as the user can visually examine outputs from low tolerance values thus possibly identifying which parts of the data the function fails to calibrate against. </w:t>
      </w:r>
    </w:p>
    <w:p w14:paraId="22D1D531" w14:textId="77777777" w:rsidR="002D239E" w:rsidRDefault="002D239E" w:rsidP="00344DC7">
      <w:pPr>
        <w:spacing w:line="360" w:lineRule="auto"/>
        <w:jc w:val="both"/>
        <w:rPr>
          <w:color w:val="000000" w:themeColor="text1"/>
        </w:rPr>
      </w:pPr>
    </w:p>
    <w:p w14:paraId="66EC885F" w14:textId="77777777" w:rsidR="002D239E" w:rsidRDefault="002D239E" w:rsidP="002D239E">
      <w:pPr>
        <w:spacing w:line="360" w:lineRule="auto"/>
        <w:jc w:val="both"/>
        <w:rPr>
          <w:color w:val="000000" w:themeColor="text1"/>
        </w:rPr>
      </w:pPr>
      <w:r w:rsidRPr="00B23FF8">
        <w:t xml:space="preserve">An approximate Bayesian approach was engaged in instances where elements from the models, such as cell populations, could be isolated due to their lack of dependence on other model population(s). This allowed for the calibration of parameters for those isolated entities </w:t>
      </w:r>
      <w:r w:rsidRPr="00B23FF8">
        <w:lastRenderedPageBreak/>
        <w:t>in a smaller parameter search space thereby reducing the complexity of the calibration itself. In instances where parameters for multiple population were calibrated, the previously defined parameters from the approximate Bayesian approach were supplied as deterministic parameter values and the remaining parameters were calibrated using multiobjective fitting. Whilst this is an unorthodox approach it allowed for a more simplified calibration of the models. For instance, if a population that was not dependent on other model population(s) was included in multiobjective fitting the resulting calibration would be more complex due to the calibration trying to account for both the influence of the additional population and the derivation of that population’s parameters. Instead, we first define that populations parameters separately. However, in instances where no isolation of cell populations occurred only multiobjective fitting was employed.</w:t>
      </w:r>
    </w:p>
    <w:p w14:paraId="191FB38F" w14:textId="408A4569" w:rsidR="00344DC7" w:rsidRDefault="00344DC7" w:rsidP="00344DC7">
      <w:pPr>
        <w:spacing w:line="360" w:lineRule="auto"/>
        <w:jc w:val="both"/>
        <w:rPr>
          <w:color w:val="000000" w:themeColor="text1"/>
        </w:rPr>
      </w:pPr>
      <w:r>
        <w:rPr>
          <w:color w:val="000000" w:themeColor="text1"/>
        </w:rPr>
        <w:t xml:space="preserve">  </w:t>
      </w:r>
    </w:p>
    <w:p w14:paraId="70382A12" w14:textId="066E0437" w:rsidR="00344DC7" w:rsidRDefault="00344DC7" w:rsidP="00344DC7">
      <w:pPr>
        <w:spacing w:line="360" w:lineRule="auto"/>
        <w:jc w:val="both"/>
        <w:rPr>
          <w:color w:val="000000" w:themeColor="text1"/>
        </w:rPr>
      </w:pPr>
      <w:r w:rsidRPr="008B3AD6">
        <w:rPr>
          <w:color w:val="000000" w:themeColor="text1"/>
        </w:rPr>
        <w:t>When employing the</w:t>
      </w:r>
      <w:r>
        <w:rPr>
          <w:color w:val="000000" w:themeColor="text1"/>
        </w:rPr>
        <w:t xml:space="preserve"> </w:t>
      </w:r>
      <w:r>
        <w:rPr>
          <w:i/>
          <w:color w:val="000000" w:themeColor="text1"/>
        </w:rPr>
        <w:t>ABC_sequential</w:t>
      </w:r>
      <w:r>
        <w:rPr>
          <w:color w:val="000000" w:themeColor="text1"/>
        </w:rPr>
        <w:t xml:space="preserve"> function</w:t>
      </w:r>
      <w:r w:rsidRPr="008B3AD6">
        <w:rPr>
          <w:color w:val="000000" w:themeColor="text1"/>
        </w:rPr>
        <w:t xml:space="preserve">, the </w:t>
      </w:r>
      <w:r w:rsidR="00C10795">
        <w:rPr>
          <w:color w:val="000000" w:themeColor="text1"/>
        </w:rPr>
        <w:t xml:space="preserve">function in R containing the simulation </w:t>
      </w:r>
      <w:r w:rsidRPr="008B3AD6">
        <w:rPr>
          <w:color w:val="000000" w:themeColor="text1"/>
        </w:rPr>
        <w:t>model</w:t>
      </w:r>
      <w:r>
        <w:rPr>
          <w:color w:val="000000" w:themeColor="text1"/>
        </w:rPr>
        <w:t xml:space="preserve"> was</w:t>
      </w:r>
      <w:r w:rsidRPr="008B3AD6">
        <w:rPr>
          <w:color w:val="000000" w:themeColor="text1"/>
        </w:rPr>
        <w:t xml:space="preserve"> configured to return output </w:t>
      </w:r>
      <w:r>
        <w:rPr>
          <w:color w:val="000000" w:themeColor="text1"/>
        </w:rPr>
        <w:t xml:space="preserve">for the single </w:t>
      </w:r>
      <w:r w:rsidR="00C10795">
        <w:rPr>
          <w:color w:val="000000" w:themeColor="text1"/>
        </w:rPr>
        <w:t>population</w:t>
      </w:r>
      <w:r>
        <w:rPr>
          <w:color w:val="000000" w:themeColor="text1"/>
        </w:rPr>
        <w:t xml:space="preserve"> being calibrated against at specified timepoints</w:t>
      </w:r>
      <w:r w:rsidRPr="008B3AD6">
        <w:rPr>
          <w:color w:val="000000" w:themeColor="text1"/>
        </w:rPr>
        <w:t xml:space="preserve">, </w:t>
      </w:r>
      <w:r>
        <w:rPr>
          <w:color w:val="000000" w:themeColor="text1"/>
        </w:rPr>
        <w:t xml:space="preserve">namely 6, 13, 21, 35 and 42 days post-infection corresponding to the time points analysed </w:t>
      </w:r>
      <w:r>
        <w:rPr>
          <w:i/>
          <w:color w:val="000000" w:themeColor="text1"/>
        </w:rPr>
        <w:t>in vivo</w:t>
      </w:r>
      <w:r w:rsidRPr="008B3AD6">
        <w:rPr>
          <w:color w:val="000000" w:themeColor="text1"/>
        </w:rPr>
        <w:t xml:space="preserve">. The </w:t>
      </w:r>
      <w:r>
        <w:rPr>
          <w:i/>
          <w:color w:val="000000" w:themeColor="text1"/>
        </w:rPr>
        <w:t>ABC_sequential</w:t>
      </w:r>
      <w:r>
        <w:rPr>
          <w:color w:val="000000" w:themeColor="text1"/>
        </w:rPr>
        <w:t xml:space="preserve"> function was</w:t>
      </w:r>
      <w:r w:rsidRPr="008B3AD6">
        <w:rPr>
          <w:color w:val="000000" w:themeColor="text1"/>
        </w:rPr>
        <w:t xml:space="preserve"> supplied with </w:t>
      </w:r>
      <w:r>
        <w:rPr>
          <w:color w:val="000000" w:themeColor="text1"/>
        </w:rPr>
        <w:t xml:space="preserve">the name of an algorithm (which informs the function which sampling strategy to employ, here we use the default algorithm “Beaumont”), the function containing the </w:t>
      </w:r>
      <w:r w:rsidR="00C10795">
        <w:rPr>
          <w:color w:val="000000" w:themeColor="text1"/>
        </w:rPr>
        <w:t xml:space="preserve">simulation </w:t>
      </w:r>
      <w:r>
        <w:rPr>
          <w:color w:val="000000" w:themeColor="text1"/>
        </w:rPr>
        <w:t xml:space="preserve">model that is being calibrated, </w:t>
      </w:r>
      <w:r w:rsidRPr="008B3AD6">
        <w:rPr>
          <w:color w:val="000000" w:themeColor="text1"/>
        </w:rPr>
        <w:t>prior d</w:t>
      </w:r>
      <w:r>
        <w:rPr>
          <w:color w:val="000000" w:themeColor="text1"/>
        </w:rPr>
        <w:t>istributions for the unknown parameters, the number of parameter sets to obtain, a vector containing the expected data and a vector</w:t>
      </w:r>
      <w:r w:rsidRPr="008B3AD6">
        <w:rPr>
          <w:color w:val="000000" w:themeColor="text1"/>
        </w:rPr>
        <w:t xml:space="preserve"> of descending </w:t>
      </w:r>
      <w:r>
        <w:rPr>
          <w:color w:val="000000" w:themeColor="text1"/>
        </w:rPr>
        <w:t>integers</w:t>
      </w:r>
      <w:r w:rsidRPr="008B3AD6">
        <w:rPr>
          <w:color w:val="000000" w:themeColor="text1"/>
        </w:rPr>
        <w:t xml:space="preserve"> representing the tolerance</w:t>
      </w:r>
      <w:r>
        <w:rPr>
          <w:color w:val="000000" w:themeColor="text1"/>
        </w:rPr>
        <w:t xml:space="preserve"> threshold</w:t>
      </w:r>
      <w:r w:rsidRPr="008B3AD6">
        <w:rPr>
          <w:color w:val="000000" w:themeColor="text1"/>
        </w:rPr>
        <w:t>.</w:t>
      </w:r>
      <w:r w:rsidR="003B1744">
        <w:rPr>
          <w:color w:val="000000" w:themeColor="text1"/>
        </w:rPr>
        <w:t xml:space="preserve"> </w:t>
      </w:r>
      <w:r w:rsidR="003B1744">
        <w:rPr>
          <w:color w:val="000000" w:themeColor="text1"/>
        </w:rPr>
        <w:fldChar w:fldCharType="begin"/>
      </w:r>
      <w:r w:rsidR="003B1744">
        <w:rPr>
          <w:color w:val="000000" w:themeColor="text1"/>
        </w:rPr>
        <w:instrText xml:space="preserve"> REF _Ref525235479 </w:instrText>
      </w:r>
      <w:r w:rsidR="003B1744">
        <w:rPr>
          <w:color w:val="000000" w:themeColor="text1"/>
        </w:rPr>
        <w:fldChar w:fldCharType="separate"/>
      </w:r>
      <w:r w:rsidR="003B1744" w:rsidRPr="000D4AB9">
        <w:rPr>
          <w:b/>
        </w:rPr>
        <w:t xml:space="preserve">Table </w:t>
      </w:r>
      <w:r w:rsidR="003B1744" w:rsidRPr="000D4AB9">
        <w:rPr>
          <w:b/>
          <w:noProof/>
        </w:rPr>
        <w:t>7</w:t>
      </w:r>
      <w:r w:rsidR="003B1744" w:rsidRPr="000D4AB9">
        <w:rPr>
          <w:b/>
        </w:rPr>
        <w:t>.</w:t>
      </w:r>
      <w:r w:rsidR="003B1744" w:rsidRPr="000D4AB9">
        <w:rPr>
          <w:b/>
          <w:noProof/>
        </w:rPr>
        <w:t>2</w:t>
      </w:r>
      <w:r w:rsidR="003B1744">
        <w:rPr>
          <w:color w:val="000000" w:themeColor="text1"/>
        </w:rPr>
        <w:fldChar w:fldCharType="end"/>
      </w:r>
      <w:r w:rsidR="003B1744">
        <w:rPr>
          <w:color w:val="000000" w:themeColor="text1"/>
        </w:rPr>
        <w:t xml:space="preserve"> shows the information supplied to the </w:t>
      </w:r>
      <w:r w:rsidR="003B1744">
        <w:rPr>
          <w:i/>
          <w:color w:val="000000" w:themeColor="text1"/>
        </w:rPr>
        <w:t xml:space="preserve">ABC_sequential </w:t>
      </w:r>
      <w:r w:rsidR="003B1744">
        <w:rPr>
          <w:color w:val="000000" w:themeColor="text1"/>
        </w:rPr>
        <w:t>function for all calibrations where it was employed.</w:t>
      </w:r>
      <w:r w:rsidR="00391C34">
        <w:rPr>
          <w:color w:val="000000" w:themeColor="text1"/>
        </w:rPr>
        <w:t xml:space="preserve"> </w:t>
      </w:r>
      <w:r>
        <w:rPr>
          <w:color w:val="000000" w:themeColor="text1"/>
        </w:rPr>
        <w:t xml:space="preserve">The </w:t>
      </w:r>
      <w:r>
        <w:rPr>
          <w:i/>
          <w:color w:val="000000" w:themeColor="text1"/>
        </w:rPr>
        <w:t>ABC_sequential</w:t>
      </w:r>
      <w:r>
        <w:rPr>
          <w:color w:val="000000" w:themeColor="text1"/>
        </w:rPr>
        <w:t xml:space="preserve"> function first carried out a simple rejection-based sampling whereby the prior distribution is randomly sampled to generate a candidate parameter set, this was supplied to the </w:t>
      </w:r>
      <w:r w:rsidR="00C10795">
        <w:rPr>
          <w:color w:val="000000" w:themeColor="text1"/>
        </w:rPr>
        <w:t xml:space="preserve">simulation </w:t>
      </w:r>
      <w:r>
        <w:rPr>
          <w:color w:val="000000" w:themeColor="text1"/>
        </w:rPr>
        <w:t xml:space="preserve">model and the resulting output was evaluated against the expected data such that if the absolute value for the difference between the model output and expected data was equal to or less than the first tolerance value for all expected data points, those candidate parameter values were accepted for the next stage of the function. Once the specified number of candidate parameter sets had been generated, approximate posterior distributions were derived from their values. Candidate parameter values were sampled from the newly created approximate posterior distributions and supplied to the model and the output was evaluated as described above. This continues until all tolerance thresholds have been achieved, however no new approximate posterior distributions are calculated at each step instead the initial posterior is sampled throughout. Once all tolerance levels were achieved the </w:t>
      </w:r>
      <w:r w:rsidR="00C10795">
        <w:rPr>
          <w:i/>
          <w:color w:val="000000" w:themeColor="text1"/>
        </w:rPr>
        <w:lastRenderedPageBreak/>
        <w:t>ABC_sequential</w:t>
      </w:r>
      <w:r w:rsidR="00C10795">
        <w:rPr>
          <w:color w:val="000000" w:themeColor="text1"/>
        </w:rPr>
        <w:t xml:space="preserve"> </w:t>
      </w:r>
      <w:r>
        <w:rPr>
          <w:color w:val="000000" w:themeColor="text1"/>
        </w:rPr>
        <w:t xml:space="preserve">function returned the obtained parameter values, the </w:t>
      </w:r>
      <w:r w:rsidR="00C10795">
        <w:rPr>
          <w:color w:val="000000" w:themeColor="text1"/>
        </w:rPr>
        <w:t xml:space="preserve">simulation </w:t>
      </w:r>
      <w:r>
        <w:rPr>
          <w:color w:val="000000" w:themeColor="text1"/>
        </w:rPr>
        <w:t xml:space="preserve">output those parameters generated and the weights of the different simulations. </w:t>
      </w:r>
    </w:p>
    <w:p w14:paraId="35B2EC6D" w14:textId="77777777" w:rsidR="00344DC7" w:rsidRDefault="00344DC7" w:rsidP="00344DC7">
      <w:pPr>
        <w:spacing w:line="360" w:lineRule="auto"/>
        <w:jc w:val="both"/>
        <w:rPr>
          <w:color w:val="000000" w:themeColor="text1"/>
        </w:rPr>
      </w:pPr>
    </w:p>
    <w:p w14:paraId="2C24DD0D" w14:textId="1395A33D" w:rsidR="00344DC7" w:rsidRPr="00F814B4" w:rsidRDefault="00344DC7" w:rsidP="00344DC7">
      <w:pPr>
        <w:spacing w:line="360" w:lineRule="auto"/>
        <w:jc w:val="both"/>
        <w:rPr>
          <w:color w:val="000000" w:themeColor="text1"/>
        </w:rPr>
      </w:pPr>
      <w:r w:rsidRPr="004E3372">
        <w:rPr>
          <w:color w:val="000000" w:themeColor="text1"/>
        </w:rPr>
        <w:t xml:space="preserve">For calibration against multiple </w:t>
      </w:r>
      <w:r w:rsidR="00C10795">
        <w:rPr>
          <w:color w:val="000000" w:themeColor="text1"/>
        </w:rPr>
        <w:t>population simulation outputs</w:t>
      </w:r>
      <w:r w:rsidRPr="004E3372">
        <w:rPr>
          <w:color w:val="000000" w:themeColor="text1"/>
        </w:rPr>
        <w:t>, such as</w:t>
      </w:r>
      <w:r>
        <w:rPr>
          <w:color w:val="000000" w:themeColor="text1"/>
        </w:rPr>
        <w:t xml:space="preserve"> </w:t>
      </w:r>
      <w:r w:rsidRPr="004E3372">
        <w:rPr>
          <w:color w:val="000000" w:themeColor="text1"/>
        </w:rPr>
        <w:t>T cell time course data and myeloid cell time course data, a multi</w:t>
      </w:r>
      <w:r>
        <w:rPr>
          <w:color w:val="000000" w:themeColor="text1"/>
        </w:rPr>
        <w:t>-</w:t>
      </w:r>
      <w:r w:rsidRPr="004E3372">
        <w:rPr>
          <w:color w:val="000000" w:themeColor="text1"/>
        </w:rPr>
        <w:t xml:space="preserve">objective evolutionary algorithm was employed, namely the nondominated sorting genetic algorithm II (NSGA2) </w:t>
      </w:r>
      <w:r w:rsidRPr="004E3372">
        <w:rPr>
          <w:color w:val="000000" w:themeColor="text1"/>
        </w:rPr>
        <w:fldChar w:fldCharType="begin"/>
      </w:r>
      <w:r w:rsidR="001E0E9E">
        <w:rPr>
          <w:color w:val="000000" w:themeColor="text1"/>
        </w:rPr>
        <w:instrText xml:space="preserve"> ADDIN ZOTERO_ITEM CSL_CITATION {"citationID":"ZwR9oOSJ","properties":{"formattedCitation":"(K. Deb et al. 2002)","plainCitation":"(K. Deb et al. 2002)","noteIndex":0},"citationItems":[{"id":2582,"uris":["http://zotero.org/users/2628971/items/I66T9HGL"],"uri":["http://zotero.org/users/2628971/items/I66T9HGL"],"itemData":{"id":2582,"type":"article-journal","title":"A fast and elitist multiobjective genetic algorithm: NSGA-II","container-title":"IEEE Transactions on Evolutionary Computation","page":"182-197","volume":"6","issue":"2","source":"IEEE Xplore","abstract":"Multi-objective evolutionary algorithms (MOEAs) that use non-dominated sorting and sharing have been criticized mainly for: (1) their O(MN3) computational complexity (where M is the number of objectives and N is the population size); (2) their non-elitism approach; and (3) the need to specify a sharing parameter. In this paper, we suggest a non-dominated sorting-based MOEA, called NSGA-II (Non-dominated Sorting Genetic Algorithm II), which alleviates all of the above three difficulties. Specifically, a fast non-dominated sorting approach with O(MN2) computational complexity is presented. Also, a selection operator is presented that creates a mating pool by combining the parent and offspring populations and selecting the best N solutions (with respect to fitness and spread). Simulation results on difficult test problems show that NSGA-II is able, for most problems, to find a much better spread of solutions and better convergence near the true Pareto-optimal front compared to the Pareto-archived evolution strategy and the strength-Pareto evolutionary algorithm - two other elitist MOEAs that pay special attention to creating a diverse Pareto-optimal front. Moreover, we modify the definition of dominance in order to solve constrained multi-objective problems efficiently. Simulation results of the constrained NSGA-II on a number of test problems, including a five-objective, seven-constraint nonlinear problem, are compared with another constrained multi-objective optimizer, and the much better performance of NSGA-II is observed","DOI":"10.1109/4235.996017","ISSN":"1089-778X","shortTitle":"A fast and elitist multiobjective genetic algorithm","author":[{"family":"Deb","given":"K."},{"family":"Pratap","given":"A."},{"family":"Agarwal","given":"S."},{"family":"Meyarivan","given":"T."}],"issued":{"date-parts":[["2002",4]]}}}],"schema":"https://github.com/citation-style-language/schema/raw/master/csl-citation.json"} </w:instrText>
      </w:r>
      <w:r w:rsidRPr="004E3372">
        <w:rPr>
          <w:color w:val="000000" w:themeColor="text1"/>
        </w:rPr>
        <w:fldChar w:fldCharType="separate"/>
      </w:r>
      <w:r w:rsidR="001E0E9E">
        <w:rPr>
          <w:color w:val="000000"/>
        </w:rPr>
        <w:t>(Deb et al. 2002)</w:t>
      </w:r>
      <w:r w:rsidRPr="004E3372">
        <w:rPr>
          <w:color w:val="000000" w:themeColor="text1"/>
        </w:rPr>
        <w:fldChar w:fldCharType="end"/>
      </w:r>
      <w:r w:rsidRPr="004E3372">
        <w:rPr>
          <w:color w:val="000000" w:themeColor="text1"/>
        </w:rPr>
        <w:t xml:space="preserve"> </w:t>
      </w:r>
      <w:r>
        <w:rPr>
          <w:color w:val="000000" w:themeColor="text1"/>
        </w:rPr>
        <w:t xml:space="preserve">using the </w:t>
      </w:r>
      <w:r w:rsidRPr="00C473D1">
        <w:rPr>
          <w:i/>
          <w:color w:val="000000" w:themeColor="text1"/>
        </w:rPr>
        <w:t>nsga2</w:t>
      </w:r>
      <w:r>
        <w:rPr>
          <w:color w:val="000000" w:themeColor="text1"/>
        </w:rPr>
        <w:t xml:space="preserve"> function </w:t>
      </w:r>
      <w:r w:rsidRPr="00C473D1">
        <w:rPr>
          <w:color w:val="000000" w:themeColor="text1"/>
        </w:rPr>
        <w:t>from</w:t>
      </w:r>
      <w:r w:rsidRPr="004E3372">
        <w:rPr>
          <w:color w:val="000000" w:themeColor="text1"/>
        </w:rPr>
        <w:t xml:space="preserve"> the </w:t>
      </w:r>
      <w:r w:rsidRPr="004E3372">
        <w:rPr>
          <w:i/>
          <w:color w:val="000000" w:themeColor="text1"/>
        </w:rPr>
        <w:t>mco</w:t>
      </w:r>
      <w:r w:rsidRPr="004E3372">
        <w:rPr>
          <w:color w:val="000000" w:themeColor="text1"/>
        </w:rPr>
        <w:t xml:space="preserve"> R package.</w:t>
      </w:r>
      <w:r>
        <w:rPr>
          <w:color w:val="000000" w:themeColor="text1"/>
        </w:rPr>
        <w:t xml:space="preserve"> </w:t>
      </w:r>
      <w:r w:rsidR="0074503A">
        <w:rPr>
          <w:color w:val="000000" w:themeColor="text1"/>
        </w:rPr>
        <w:t>This multi-objective approach was utilised as it allowed</w:t>
      </w:r>
      <w:r w:rsidR="00F814B4">
        <w:rPr>
          <w:color w:val="000000" w:themeColor="text1"/>
        </w:rPr>
        <w:t xml:space="preserve"> us to investigate the trade-offs when calibrating for multiple populations which we are not able to do with the single objective </w:t>
      </w:r>
      <w:r w:rsidR="00F814B4">
        <w:rPr>
          <w:i/>
          <w:color w:val="000000" w:themeColor="text1"/>
        </w:rPr>
        <w:t>ABC_sequential</w:t>
      </w:r>
      <w:r w:rsidR="00F814B4">
        <w:rPr>
          <w:color w:val="000000" w:themeColor="text1"/>
        </w:rPr>
        <w:t xml:space="preserve"> function. This gives valuable additional insight into the mechanisms of the model as we can visualise which populations provide poor calibration results. Additionally, it reduces bias in calibration by segregating our objectives. As discussed, a possible concern of calibrating multiple populations of differing scales is the potential for calibration to focus on the population of higher magnitude. The NSGA2 algorithm was employed due to its successful implementation in previous calibrations of </w:t>
      </w:r>
      <w:r w:rsidR="00F814B4">
        <w:rPr>
          <w:i/>
          <w:color w:val="000000" w:themeColor="text1"/>
        </w:rPr>
        <w:t>in silico</w:t>
      </w:r>
      <w:r w:rsidR="00F814B4">
        <w:rPr>
          <w:color w:val="000000" w:themeColor="text1"/>
        </w:rPr>
        <w:t xml:space="preserve"> immunological models </w:t>
      </w:r>
      <w:r w:rsidR="00F814B4">
        <w:rPr>
          <w:color w:val="000000" w:themeColor="text1"/>
        </w:rPr>
        <w:fldChar w:fldCharType="begin"/>
      </w:r>
      <w:r w:rsidR="001E0E9E">
        <w:rPr>
          <w:color w:val="000000" w:themeColor="text1"/>
        </w:rPr>
        <w:instrText xml:space="preserve"> ADDIN ZOTERO_ITEM CSL_CITATION {"citationID":"DT9JYBci","properties":{"formattedCitation":"(Jason Cosgrove 2017)","plainCitation":"(Jason Cosgrove 2017)","noteIndex":0},"citationItems":[{"id":2563,"uris":["http://zotero.org/users/2628971/items/AJDJMDKZ"],"uri":["http://zotero.org/users/2628971/items/AJDJMDKZ"],"itemData":{"id":2563,"type":"thesis","title":"The Spatial Distribution and Dynamics of CXCL13 in Lymphoid Tissues","publisher":"University of York","genre":"PhD","source":"etheses.whiterose.ac.uk","abstract":"Morphogens are soluble signalling molecules that regulate a broad spectrum of biological processes. However, the distances and scales over which this regulation occurs are unclear. To date, many studies have highlighted source-sink mechanisms for morphogen gradient formation but fail to take the role of the tissue microenvironment into account. Using a systems-based approach we show that the chemokine CXCL13 is regulated by the B-cell microenvironment on distinct but interconnected levels of biological organization.\nCXCL13 is a key determinant of humoral immune responses, regulating the localisation of lymphocytes within lymphoid tissues. Due to a complex and dynamic interaction network occurring over broad spatiotemporal scales, mapping the spatial distribution of CXCL13 in situ is challenging. To address this we have mapped the 3-dimensional organisation of CXCL13+ stromal cells in situ using a fluorescent reporter system, identifying three distinct but interconnected stromal subsets that are unique in their network properties. We quantify CXCL13 dynamics using high-speed narrowfield microscopy in collagen matrix and lymph node tissue sections with results suggesting that diffusion is highly constrained by local tissue microanatomy.\nHowever, this data alone is insufficient to describe CXCL13 gradient formation. To consolidate this data we employ a quantitative modelling approach hybridising different techniques into a high fidelity in silico representation of the B-follicle, where immune cells can interact with stroma capable of creating and shaping complex physiological gradients. Simulation analyses and immunohistochemistry suggest that chemokine fields within the follicle are dynamic and non-uniform, with multiobjective optimization analysis suggesting that this spatial configuration is designed to promote scanning rates. Taken in concert, our data suggests that CXCL13 acts over short distances creating a complex landscape of expression. Importantly, this study provides a basis for understanding the spatial distribution of morphogens with complex binding behaviours.","URL":"http://etheses.whiterose.ac.uk/19258/","author":[{"family":"Cosgrove","given":"Jason"}],"issued":{"date-parts":[["2017",9]]},"accessed":{"date-parts":[["2018",6,18]]}}}],"schema":"https://github.com/citation-style-language/schema/raw/master/csl-citation.json"} </w:instrText>
      </w:r>
      <w:r w:rsidR="00F814B4">
        <w:rPr>
          <w:color w:val="000000" w:themeColor="text1"/>
        </w:rPr>
        <w:fldChar w:fldCharType="separate"/>
      </w:r>
      <w:r w:rsidR="001E0E9E" w:rsidRPr="001E0E9E">
        <w:rPr>
          <w:color w:val="000000"/>
          <w:lang w:val="en-US"/>
        </w:rPr>
        <w:t>(Cosgrove 2017)</w:t>
      </w:r>
      <w:r w:rsidR="00F814B4">
        <w:rPr>
          <w:color w:val="000000" w:themeColor="text1"/>
        </w:rPr>
        <w:fldChar w:fldCharType="end"/>
      </w:r>
      <w:r w:rsidR="00F814B4">
        <w:rPr>
          <w:color w:val="000000" w:themeColor="text1"/>
        </w:rPr>
        <w:t xml:space="preserve">. </w:t>
      </w:r>
    </w:p>
    <w:p w14:paraId="1D411231" w14:textId="77777777" w:rsidR="00344DC7" w:rsidRDefault="00344DC7" w:rsidP="00344DC7">
      <w:pPr>
        <w:spacing w:line="360" w:lineRule="auto"/>
        <w:jc w:val="both"/>
        <w:rPr>
          <w:color w:val="000000" w:themeColor="text1"/>
        </w:rPr>
      </w:pPr>
    </w:p>
    <w:p w14:paraId="6463ACCD" w14:textId="275A864A" w:rsidR="00344DC7" w:rsidRDefault="00344DC7" w:rsidP="00344DC7">
      <w:pPr>
        <w:spacing w:line="360" w:lineRule="auto"/>
        <w:jc w:val="both"/>
        <w:rPr>
          <w:color w:val="000000" w:themeColor="text1"/>
        </w:rPr>
      </w:pPr>
      <w:r w:rsidRPr="00C83A1C">
        <w:rPr>
          <w:color w:val="000000" w:themeColor="text1"/>
        </w:rPr>
        <w:t xml:space="preserve">To utilise this </w:t>
      </w:r>
      <w:r w:rsidRPr="00C83A1C">
        <w:rPr>
          <w:i/>
          <w:color w:val="000000" w:themeColor="text1"/>
        </w:rPr>
        <w:t>nsga2</w:t>
      </w:r>
      <w:r w:rsidRPr="00C83A1C">
        <w:rPr>
          <w:color w:val="000000" w:themeColor="text1"/>
        </w:rPr>
        <w:t xml:space="preserve"> function we first created an evaluation function. This evaluation function contains the model to be calibrated and receives candidate parameter values from the </w:t>
      </w:r>
      <w:r w:rsidRPr="00C83A1C">
        <w:rPr>
          <w:i/>
          <w:color w:val="000000" w:themeColor="text1"/>
        </w:rPr>
        <w:t>nsga2</w:t>
      </w:r>
      <w:r w:rsidRPr="00C83A1C">
        <w:rPr>
          <w:color w:val="000000" w:themeColor="text1"/>
        </w:rPr>
        <w:t xml:space="preserve"> function, in turn</w:t>
      </w:r>
      <w:r>
        <w:rPr>
          <w:color w:val="000000" w:themeColor="text1"/>
        </w:rPr>
        <w:t xml:space="preserve"> the evaluation function</w:t>
      </w:r>
      <w:r w:rsidRPr="00C83A1C">
        <w:rPr>
          <w:color w:val="000000" w:themeColor="text1"/>
        </w:rPr>
        <w:t xml:space="preserve"> supplies these </w:t>
      </w:r>
      <w:r>
        <w:rPr>
          <w:color w:val="000000" w:themeColor="text1"/>
        </w:rPr>
        <w:t xml:space="preserve">candidate parameter values </w:t>
      </w:r>
      <w:r w:rsidRPr="00C83A1C">
        <w:rPr>
          <w:color w:val="000000" w:themeColor="text1"/>
        </w:rPr>
        <w:t>to the model</w:t>
      </w:r>
      <w:r>
        <w:rPr>
          <w:color w:val="000000" w:themeColor="text1"/>
        </w:rPr>
        <w:t xml:space="preserve"> </w:t>
      </w:r>
      <w:r w:rsidRPr="00C83A1C">
        <w:rPr>
          <w:color w:val="000000" w:themeColor="text1"/>
        </w:rPr>
        <w:t xml:space="preserve">being calibrated, captures the output and evaluates it against the expected data. In our evaluation function, the evaluation itself was to derive the root mean square error (RMSE) for the observed and expected time course of individual entities. The </w:t>
      </w:r>
      <w:r w:rsidRPr="00C83A1C">
        <w:rPr>
          <w:i/>
          <w:color w:val="000000" w:themeColor="text1"/>
        </w:rPr>
        <w:t>nsga2</w:t>
      </w:r>
      <w:r w:rsidRPr="00C83A1C">
        <w:rPr>
          <w:color w:val="000000" w:themeColor="text1"/>
        </w:rPr>
        <w:t xml:space="preserve"> function was also supplied with the number of parameters, the number of model outputs, the upper and lower bounds of the parameters along with the population size to generate, the number of generations and the mutation and crossover probabilities (see</w:t>
      </w:r>
      <w:r>
        <w:rPr>
          <w:color w:val="000000" w:themeColor="text1"/>
        </w:rPr>
        <w:t xml:space="preserve"> Section </w:t>
      </w:r>
      <w:r>
        <w:rPr>
          <w:color w:val="000000" w:themeColor="text1"/>
        </w:rPr>
        <w:fldChar w:fldCharType="begin"/>
      </w:r>
      <w:r>
        <w:rPr>
          <w:color w:val="000000" w:themeColor="text1"/>
        </w:rPr>
        <w:instrText xml:space="preserve"> REF _Ref522642114 \n </w:instrText>
      </w:r>
      <w:r>
        <w:rPr>
          <w:color w:val="000000" w:themeColor="text1"/>
        </w:rPr>
        <w:fldChar w:fldCharType="separate"/>
      </w:r>
      <w:r w:rsidR="00031DCA">
        <w:rPr>
          <w:color w:val="000000" w:themeColor="text1"/>
        </w:rPr>
        <w:t>1.3.3.4</w:t>
      </w:r>
      <w:r>
        <w:rPr>
          <w:color w:val="000000" w:themeColor="text1"/>
        </w:rPr>
        <w:fldChar w:fldCharType="end"/>
      </w:r>
      <w:r w:rsidRPr="00C83A1C">
        <w:rPr>
          <w:color w:val="000000" w:themeColor="text1"/>
        </w:rPr>
        <w:t>).</w:t>
      </w:r>
      <w:r>
        <w:rPr>
          <w:color w:val="000000" w:themeColor="text1"/>
        </w:rPr>
        <w:t xml:space="preserve"> In this work, the number of parameters and model outputs was dependent on the model being calibrated and the upper and lower limits for each parameter are described in each section where the </w:t>
      </w:r>
      <w:r>
        <w:rPr>
          <w:i/>
          <w:color w:val="000000" w:themeColor="text1"/>
        </w:rPr>
        <w:t>nsga2</w:t>
      </w:r>
      <w:r>
        <w:rPr>
          <w:color w:val="000000" w:themeColor="text1"/>
        </w:rPr>
        <w:t xml:space="preserve"> function was employed. The population size was set </w:t>
      </w:r>
      <w:r w:rsidRPr="001268E1">
        <w:rPr>
          <w:color w:val="000000" w:themeColor="text1"/>
        </w:rPr>
        <w:t xml:space="preserve">to 100 with a generation size of 200 for each population member. The mutation and crossover probabilities were set as 0.7 and 0.3 respectively for all instances of </w:t>
      </w:r>
      <w:r w:rsidRPr="001268E1">
        <w:rPr>
          <w:i/>
          <w:color w:val="000000" w:themeColor="text1"/>
        </w:rPr>
        <w:t>nsga2</w:t>
      </w:r>
      <w:r w:rsidRPr="001268E1">
        <w:rPr>
          <w:color w:val="000000" w:themeColor="text1"/>
        </w:rPr>
        <w:t xml:space="preserve"> utilisation. The </w:t>
      </w:r>
      <w:r w:rsidRPr="001268E1">
        <w:rPr>
          <w:i/>
          <w:color w:val="000000" w:themeColor="text1"/>
        </w:rPr>
        <w:t>nsga2</w:t>
      </w:r>
      <w:r w:rsidRPr="001268E1">
        <w:rPr>
          <w:color w:val="000000" w:themeColor="text1"/>
        </w:rPr>
        <w:t xml:space="preserve"> function sought to minimise the RMSEs for the multiple objectives supplied (see </w:t>
      </w:r>
      <w:r>
        <w:rPr>
          <w:color w:val="000000" w:themeColor="text1"/>
        </w:rPr>
        <w:t xml:space="preserve">Section </w:t>
      </w:r>
      <w:r>
        <w:rPr>
          <w:b/>
          <w:color w:val="000000" w:themeColor="text1"/>
        </w:rPr>
        <w:fldChar w:fldCharType="begin"/>
      </w:r>
      <w:r>
        <w:rPr>
          <w:color w:val="000000" w:themeColor="text1"/>
        </w:rPr>
        <w:instrText xml:space="preserve"> REF _Ref522642114 \n </w:instrText>
      </w:r>
      <w:r>
        <w:rPr>
          <w:b/>
          <w:color w:val="000000" w:themeColor="text1"/>
        </w:rPr>
        <w:fldChar w:fldCharType="separate"/>
      </w:r>
      <w:r w:rsidR="00031DCA">
        <w:rPr>
          <w:color w:val="000000" w:themeColor="text1"/>
        </w:rPr>
        <w:t>1.3.3.4</w:t>
      </w:r>
      <w:r>
        <w:rPr>
          <w:b/>
          <w:color w:val="000000" w:themeColor="text1"/>
        </w:rPr>
        <w:fldChar w:fldCharType="end"/>
      </w:r>
      <w:r w:rsidRPr="001268E1">
        <w:rPr>
          <w:color w:val="000000" w:themeColor="text1"/>
        </w:rPr>
        <w:t xml:space="preserve">) and ran until the stated number of generations has been created for the total population size. Once completed it supplied the parameter values generated for each member of the population, the RMSE values for the model output of each population member parameter set against the </w:t>
      </w:r>
      <w:r w:rsidRPr="001268E1">
        <w:rPr>
          <w:color w:val="000000" w:themeColor="text1"/>
        </w:rPr>
        <w:lastRenderedPageBreak/>
        <w:t>expected data and a TRUE/FALSE value</w:t>
      </w:r>
      <w:r>
        <w:rPr>
          <w:color w:val="000000" w:themeColor="text1"/>
        </w:rPr>
        <w:t xml:space="preserve"> for each population member denoting whether it was pareto-optimal (or non-dominated).</w:t>
      </w:r>
    </w:p>
    <w:p w14:paraId="5EE92DDB" w14:textId="77777777" w:rsidR="00344DC7" w:rsidRDefault="00344DC7" w:rsidP="00344DC7">
      <w:pPr>
        <w:spacing w:line="360" w:lineRule="auto"/>
        <w:jc w:val="both"/>
        <w:rPr>
          <w:color w:val="000000" w:themeColor="text1"/>
        </w:rPr>
      </w:pPr>
    </w:p>
    <w:p w14:paraId="32910E4A" w14:textId="77777777" w:rsidR="00344DC7" w:rsidRPr="001268E1" w:rsidRDefault="00344DC7" w:rsidP="00344DC7">
      <w:pPr>
        <w:spacing w:line="360" w:lineRule="auto"/>
        <w:jc w:val="both"/>
        <w:rPr>
          <w:highlight w:val="yellow"/>
        </w:rPr>
      </w:pPr>
      <w:r>
        <w:rPr>
          <w:color w:val="000000" w:themeColor="text1"/>
        </w:rPr>
        <w:t>The parameter set deriving the best fitting model output for single objective approach</w:t>
      </w:r>
      <w:r>
        <w:rPr>
          <w:i/>
          <w:color w:val="000000" w:themeColor="text1"/>
        </w:rPr>
        <w:t xml:space="preserve"> </w:t>
      </w:r>
      <w:r>
        <w:rPr>
          <w:color w:val="000000" w:themeColor="text1"/>
        </w:rPr>
        <w:t>was determined by calculating the RMSE from the model output against the expected data and selected the lowest value. For the multi-objective approach, the parameter set for the best fitting model was calculated through summation of each objectives RMSE and selecting the minimum value.</w:t>
      </w:r>
    </w:p>
    <w:p w14:paraId="01DDFDA9" w14:textId="77777777" w:rsidR="00344DC7" w:rsidRPr="00233D6D" w:rsidRDefault="00344DC7" w:rsidP="00344DC7">
      <w:pPr>
        <w:spacing w:line="360" w:lineRule="auto"/>
        <w:jc w:val="both"/>
        <w:rPr>
          <w:highlight w:val="yellow"/>
        </w:rPr>
      </w:pPr>
    </w:p>
    <w:p w14:paraId="3C58E887" w14:textId="77777777" w:rsidR="00344DC7" w:rsidRPr="00B55232" w:rsidRDefault="00344DC7" w:rsidP="00344DC7">
      <w:pPr>
        <w:pStyle w:val="Heading3"/>
        <w:numPr>
          <w:ilvl w:val="2"/>
          <w:numId w:val="14"/>
        </w:numPr>
        <w:jc w:val="both"/>
      </w:pPr>
      <w:bookmarkStart w:id="211" w:name="_Toc517175495"/>
      <w:bookmarkStart w:id="212" w:name="_Toc518488938"/>
      <w:bookmarkStart w:id="213" w:name="_Ref519095669"/>
      <w:bookmarkStart w:id="214" w:name="_Toc3716092"/>
      <w:r>
        <w:t>Scientific</w:t>
      </w:r>
      <w:r w:rsidRPr="00B55232">
        <w:t xml:space="preserve"> Validation of the Model</w:t>
      </w:r>
      <w:bookmarkEnd w:id="211"/>
      <w:bookmarkEnd w:id="212"/>
      <w:bookmarkEnd w:id="213"/>
      <w:bookmarkEnd w:id="214"/>
    </w:p>
    <w:p w14:paraId="39DD5C5C" w14:textId="6AD18181" w:rsidR="00344DC7" w:rsidRPr="00B55232" w:rsidRDefault="00344DC7" w:rsidP="00344DC7">
      <w:pPr>
        <w:spacing w:line="360" w:lineRule="auto"/>
        <w:jc w:val="both"/>
      </w:pPr>
      <w:r w:rsidRPr="00B55232">
        <w:t xml:space="preserve">To validate the calibrated parameters, </w:t>
      </w:r>
      <w:r>
        <w:t xml:space="preserve">model output was compared against an </w:t>
      </w:r>
      <w:r>
        <w:rPr>
          <w:i/>
        </w:rPr>
        <w:t>in vitro</w:t>
      </w:r>
      <w:r>
        <w:t xml:space="preserve"> dataset of the number of </w:t>
      </w:r>
      <w:r>
        <w:rPr>
          <w:i/>
        </w:rPr>
        <w:t>L. donovani</w:t>
      </w:r>
      <w:r>
        <w:t xml:space="preserve"> amastigotes per infected J774 macrophages at selec</w:t>
      </w:r>
      <w:r w:rsidR="00C10795">
        <w:t xml:space="preserve">t intervals over 10 days </w:t>
      </w:r>
      <w:r w:rsidR="00C10795">
        <w:fldChar w:fldCharType="begin"/>
      </w:r>
      <w:r w:rsidR="001E0E9E">
        <w:instrText xml:space="preserve"> ADDIN ZOTERO_ITEM CSL_CITATION {"citationID":"XNEOhYe0","properties":{"formattedCitation":"(Mart\\uc0\\u237{}n-Montes et al. 2017)","plainCitation":"(Martín-Montes et al. 2017)","noteIndex":0},"citationItems":[{"id":2742,"uris":["http://zotero.org/users/2628971/items/4FBMZRCI"],"uri":["http://zotero.org/users/2628971/items/4FBMZRCI"],"itemData":{"id":2742,"type":"article-journal","title":"Synthesis and in vitro leishmanicidal activity of novel [1,2,3]triazolo[1,5-a]pyridine salts","container-title":"RSC Advances","page":"15715-15726","volume":"7","issue":"26","source":"Crossref","DOI":"10.1039/C7RA01070B","ISSN":"2046-2069","language":"en","author":[{"family":"Martín-Montes","given":"Álvaro"},{"family":"Ballesteros-Garrido","given":"Rafael"},{"family":"Martín-Escolano","given":"Rubén"},{"family":"Marín","given":"Clotilde"},{"family":"Guitiérrez-Sánchez","given":"Ramón"},{"family":"Abarca","given":"Belén"},{"family":"Ballesteros","given":"Rafael"},{"family":"Sanchez-Moreno","given":"Manuel"}],"issued":{"date-parts":[["2017"]]}}}],"schema":"https://github.com/citation-style-language/schema/raw/master/csl-citation.json"} </w:instrText>
      </w:r>
      <w:r w:rsidR="00C10795">
        <w:fldChar w:fldCharType="separate"/>
      </w:r>
      <w:r w:rsidR="001E0E9E" w:rsidRPr="001E0E9E">
        <w:rPr>
          <w:lang w:val="en-US"/>
        </w:rPr>
        <w:t>(Martín-Montes et al. 2017)</w:t>
      </w:r>
      <w:r w:rsidR="00C10795">
        <w:fldChar w:fldCharType="end"/>
      </w:r>
      <w:r>
        <w:t xml:space="preserve">. Initially, the </w:t>
      </w:r>
      <w:r w:rsidR="00C10795">
        <w:t xml:space="preserve">simulation </w:t>
      </w:r>
      <w:r>
        <w:t xml:space="preserve">model was configured to represent the </w:t>
      </w:r>
      <w:r>
        <w:rPr>
          <w:i/>
        </w:rPr>
        <w:t>in vitro</w:t>
      </w:r>
      <w:r>
        <w:t xml:space="preserve"> environment by setting the initial T cell number to </w:t>
      </w:r>
      <w:r w:rsidR="00C10795">
        <w:t>zero</w:t>
      </w:r>
      <w:r>
        <w:t xml:space="preserve"> and removing any extrinsic sources of cells (such as </w:t>
      </w:r>
      <w:r w:rsidR="00C10795">
        <w:t>extrahepatic influx</w:t>
      </w:r>
      <w:r>
        <w:t>). T</w:t>
      </w:r>
      <w:r w:rsidRPr="00B55232">
        <w:t xml:space="preserve">he parameter set deriving the best fitting </w:t>
      </w:r>
      <w:r w:rsidR="00C10795">
        <w:t>simulation</w:t>
      </w:r>
      <w:r w:rsidRPr="00B55232">
        <w:t xml:space="preserve"> output (compared to the expected data) </w:t>
      </w:r>
      <w:r>
        <w:t>from the previously described calibration was</w:t>
      </w:r>
      <w:r w:rsidRPr="00B55232">
        <w:t xml:space="preserve"> supplied to th</w:t>
      </w:r>
      <w:r>
        <w:t>is restructured</w:t>
      </w:r>
      <w:r w:rsidRPr="00B55232">
        <w:t xml:space="preserve"> model and</w:t>
      </w:r>
      <w:r>
        <w:t xml:space="preserve"> the</w:t>
      </w:r>
      <w:r w:rsidRPr="00B55232">
        <w:t xml:space="preserve"> output captured. </w:t>
      </w:r>
      <w:r>
        <w:t xml:space="preserve">A new dataset was derived from this output by calculating the number of amastigotes per infected myeloid cell, rounded to the nearest integer, and compared against an </w:t>
      </w:r>
      <w:r>
        <w:rPr>
          <w:i/>
        </w:rPr>
        <w:t>in vitro</w:t>
      </w:r>
      <w:r>
        <w:t xml:space="preserve"> time course using a Chi-Square goodness-of-fit test. A</w:t>
      </w:r>
      <w:r w:rsidRPr="00B55232">
        <w:t>ll analyses were carried out GraphPad Prism (Prism 7 for Mac OS X, GraphPad Software, California, USA).</w:t>
      </w:r>
    </w:p>
    <w:p w14:paraId="7C2D13AE" w14:textId="77777777" w:rsidR="00344DC7" w:rsidRPr="00B55232" w:rsidRDefault="00344DC7" w:rsidP="00344DC7">
      <w:pPr>
        <w:spacing w:line="240" w:lineRule="auto"/>
        <w:jc w:val="both"/>
        <w:rPr>
          <w:color w:val="000000" w:themeColor="text1"/>
        </w:rPr>
      </w:pPr>
    </w:p>
    <w:p w14:paraId="6858E761" w14:textId="77777777" w:rsidR="00344DC7" w:rsidRPr="00B55232" w:rsidRDefault="00344DC7" w:rsidP="00344DC7">
      <w:pPr>
        <w:pStyle w:val="Heading3"/>
        <w:numPr>
          <w:ilvl w:val="2"/>
          <w:numId w:val="14"/>
        </w:numPr>
        <w:jc w:val="both"/>
      </w:pPr>
      <w:bookmarkStart w:id="215" w:name="_Toc517175491"/>
      <w:bookmarkStart w:id="216" w:name="_Toc518488934"/>
      <w:bookmarkStart w:id="217" w:name="_Ref525145100"/>
      <w:bookmarkStart w:id="218" w:name="_Toc3716093"/>
      <w:r>
        <w:t>Global</w:t>
      </w:r>
      <w:r w:rsidRPr="00B55232">
        <w:t xml:space="preserve"> Sensitivity Analysis</w:t>
      </w:r>
      <w:bookmarkEnd w:id="215"/>
      <w:bookmarkEnd w:id="216"/>
      <w:bookmarkEnd w:id="217"/>
      <w:bookmarkEnd w:id="218"/>
    </w:p>
    <w:p w14:paraId="35B1671B" w14:textId="77777777" w:rsidR="00344DC7" w:rsidRDefault="00344DC7" w:rsidP="00344DC7">
      <w:pPr>
        <w:spacing w:line="360" w:lineRule="auto"/>
        <w:jc w:val="both"/>
      </w:pPr>
      <w:r w:rsidRPr="00B55232">
        <w:t xml:space="preserve">Within the simulation model, the </w:t>
      </w:r>
      <w:r>
        <w:t xml:space="preserve">system of </w:t>
      </w:r>
      <w:r w:rsidRPr="00B55232">
        <w:t>ODE</w:t>
      </w:r>
      <w:r>
        <w:t>s</w:t>
      </w:r>
      <w:r w:rsidRPr="00B55232">
        <w:t xml:space="preserve"> </w:t>
      </w:r>
      <w:r>
        <w:t xml:space="preserve">tracked the rate of change for several populations, the processes for each population included </w:t>
      </w:r>
      <w:r w:rsidRPr="00B55232">
        <w:t xml:space="preserve">multiple parameters that each could potentially impact the </w:t>
      </w:r>
      <w:r>
        <w:t>output</w:t>
      </w:r>
      <w:r w:rsidRPr="00B55232">
        <w:t xml:space="preserve"> of </w:t>
      </w:r>
      <w:r>
        <w:t>itself and other populations. To quantify the influence of each parameter with regard to each population represented within the model</w:t>
      </w:r>
      <w:r w:rsidRPr="00B55232">
        <w:t xml:space="preserve"> </w:t>
      </w:r>
      <w:r>
        <w:t xml:space="preserve">a global sensitivity analysis was performed. </w:t>
      </w:r>
    </w:p>
    <w:p w14:paraId="71CD3BBD" w14:textId="77777777" w:rsidR="00344DC7" w:rsidRDefault="00344DC7" w:rsidP="00344DC7">
      <w:pPr>
        <w:spacing w:line="360" w:lineRule="auto"/>
        <w:jc w:val="both"/>
      </w:pPr>
    </w:p>
    <w:p w14:paraId="6979C60E" w14:textId="04EF6EC6" w:rsidR="00344DC7" w:rsidRPr="00B55232" w:rsidRDefault="00344DC7" w:rsidP="00344DC7">
      <w:pPr>
        <w:spacing w:line="360" w:lineRule="auto"/>
        <w:jc w:val="both"/>
      </w:pPr>
      <w:r w:rsidRPr="00B55232">
        <w:t xml:space="preserve">To analyse this effect, 500 parameter sets were randomly generated using the R package </w:t>
      </w:r>
      <w:r w:rsidRPr="00B55232">
        <w:rPr>
          <w:i/>
        </w:rPr>
        <w:t>spartan</w:t>
      </w:r>
      <w:r w:rsidRPr="00B55232">
        <w:t xml:space="preserve"> </w:t>
      </w:r>
      <w:r w:rsidRPr="00B55232">
        <w:fldChar w:fldCharType="begin"/>
      </w:r>
      <w:r w:rsidRPr="00B55232">
        <w:instrText xml:space="preserve"> ADDIN ZOTERO_ITEM CSL_CITATION {"citationID":"q6LsAPmi","properties":{"formattedCitation":"(Alden et al. 2013)","plainCitation":"(Alden et al. 2013)","noteIndex":0},"citationItems":[{"id":2360,"uris":["http://zotero.org/users/2628971/items/ATPDZIXG"],"uri":["http://zotero.org/users/2628971/items/ATPDZIXG"],"itemData":{"id":2360,"type":"article-journal","title":"Spartan : A Comprehensive Tool for Understanding Uncertainty in Simulations of Biological Systems","container-title":"PLOS Comput Biol","page":"e1002916","volume":"9","issue":"2","source":"PLoS Journals","abstract":"Integrating computer simulation with conventional wet-lab research has proven to have much potential in furthering the understanding of biological systems. Success requires the relationship between simulation and the real-world system to be established: substantial aspects of the biological system are typically unknown, and the abstract nature of simulation can complicate interpretation of  in silico  results in terms of the biology. Here we present  spartan  ( S imulation  P arameter  A nalysis  R   T oolkit  A pplicatio N ), a package of statistical techniques specifically designed to help researchers understand this relationship and provide novel biological insight. The tools comprising  spartan  help identify which simulation results can be attributed to the dynamics of the modelled biological system, rather than artefacts of biological uncertainty or parametrisation, or simulation stochasticity. Statistical analyses reveal the influence that pathways and components have on simulation behaviour, offering valuable biological insight into aspects of the system under study. We demonstrate the power of  spartan  in providing critical insight into aspects of lymphoid tissue development in the small intestine through simulation.  Spartan  is released under a GPLv2 license, implemented within the open source R statistical environment, and freely available from both the Comprehensive R Archive Network (CRAN) and  http://www.cs.york.ac.uk/spartan . The techniques within the package can be applied to traditional ordinary or partial differential equation simulations as well as agent-based implementations. Manuals, comprehensive tutorials, and example simulation data upon which  spartan  can be applied are available from the website.","DOI":"10.1371/journal.pcbi.1002916","ISSN":"1553-7358","shortTitle":"Spartan","journalAbbreviation":"PLOS Comput Biol","author":[{"family":"Alden","given":"Kieran"},{"family":"Read","given":"Mark"},{"family":"Timmis","given":"Jon"},{"family":"Andrews","given":"Paul S."},{"family":"Veiga-Fernandes","given":"Henrique"},{"family":"Coles","given":"Mark"}],"issued":{"date-parts":[["2013",2,28]]}}}],"schema":"https://github.com/citation-style-language/schema/raw/master/csl-citation.json"} </w:instrText>
      </w:r>
      <w:r w:rsidRPr="00B55232">
        <w:fldChar w:fldCharType="separate"/>
      </w:r>
      <w:r w:rsidR="00025067">
        <w:t>(Alden et al. 2013)</w:t>
      </w:r>
      <w:r w:rsidRPr="00B55232">
        <w:fldChar w:fldCharType="end"/>
      </w:r>
      <w:r w:rsidR="00E8627B">
        <w:t xml:space="preserve">, </w:t>
      </w:r>
      <w:r>
        <w:t xml:space="preserve">which implemented a </w:t>
      </w:r>
      <w:r w:rsidRPr="00B55232">
        <w:t>Latin-hypercube (LHC) sampling approach to ensure randomly drawn parameter values</w:t>
      </w:r>
      <w:r>
        <w:t xml:space="preserve"> were sampled</w:t>
      </w:r>
      <w:r w:rsidRPr="00B55232">
        <w:t xml:space="preserve"> that cover</w:t>
      </w:r>
      <w:r>
        <w:t>ed</w:t>
      </w:r>
      <w:r w:rsidRPr="00B55232">
        <w:t xml:space="preserve"> the</w:t>
      </w:r>
      <w:r>
        <w:t xml:space="preserve"> defined parameter space fairly</w:t>
      </w:r>
      <w:r w:rsidRPr="00B55232">
        <w:t xml:space="preserve">; </w:t>
      </w:r>
      <w:r>
        <w:t>within the LHC sampling</w:t>
      </w:r>
      <w:r w:rsidRPr="00B55232">
        <w:t xml:space="preserve"> the previously drawn parameter values influence the selection of the </w:t>
      </w:r>
      <w:r>
        <w:t>following values for sampled parameters</w:t>
      </w:r>
      <w:r w:rsidRPr="00B55232">
        <w:t>, ensuring there is no bias from selecting similar parameter values for each draw.</w:t>
      </w:r>
    </w:p>
    <w:p w14:paraId="7FB005C9" w14:textId="77777777" w:rsidR="00344DC7" w:rsidRPr="00B55232" w:rsidRDefault="00344DC7" w:rsidP="00344DC7">
      <w:pPr>
        <w:spacing w:line="360" w:lineRule="auto"/>
        <w:jc w:val="both"/>
      </w:pPr>
    </w:p>
    <w:p w14:paraId="1EDAF625" w14:textId="6EA429AF" w:rsidR="00344DC7" w:rsidRDefault="00344DC7" w:rsidP="00344DC7">
      <w:pPr>
        <w:spacing w:line="360" w:lineRule="auto"/>
        <w:jc w:val="both"/>
        <w:rPr>
          <w:lang w:val="en-US"/>
        </w:rPr>
      </w:pPr>
      <w:r w:rsidRPr="00B55232">
        <w:t xml:space="preserve">Once the </w:t>
      </w:r>
      <w:r>
        <w:t xml:space="preserve">500 </w:t>
      </w:r>
      <w:r w:rsidRPr="00B55232">
        <w:t xml:space="preserve">parameter sets </w:t>
      </w:r>
      <w:r>
        <w:t>had</w:t>
      </w:r>
      <w:r w:rsidRPr="00B55232">
        <w:t xml:space="preserve"> been generated they </w:t>
      </w:r>
      <w:r>
        <w:t>were</w:t>
      </w:r>
      <w:r w:rsidRPr="00B55232">
        <w:t xml:space="preserve"> s</w:t>
      </w:r>
      <w:r>
        <w:t xml:space="preserve">upplied to the ODE </w:t>
      </w:r>
      <w:r w:rsidR="00C10795">
        <w:t xml:space="preserve">simulation </w:t>
      </w:r>
      <w:r>
        <w:t xml:space="preserve">model created using the CoSMoS process and output was generated, utilising </w:t>
      </w:r>
      <w:r w:rsidRPr="00B55232">
        <w:t xml:space="preserve">the </w:t>
      </w:r>
      <w:r w:rsidRPr="00B55232">
        <w:rPr>
          <w:i/>
        </w:rPr>
        <w:t>parallel</w:t>
      </w:r>
      <w:r w:rsidRPr="00B55232">
        <w:t xml:space="preserve"> package </w:t>
      </w:r>
      <w:r w:rsidRPr="00B55232">
        <w:fldChar w:fldCharType="begin"/>
      </w:r>
      <w:r w:rsidRPr="00B55232">
        <w:instrText xml:space="preserve"> ADDIN ZOTERO_ITEM CSL_CITATION {"citationID":"nxk9FZpF","properties":{"formattedCitation":"(Rossini, Tierney, and Li 2007)","plainCitation":"(Rossini, Tierney, and Li 2007)","noteIndex":0},"citationItems":[{"id":2557,"uris":["http://zotero.org/users/2628971/items/8BBKVJ2H"],"uri":["http://zotero.org/users/2628971/items/8BBKVJ2H"],"itemData":{"id":2557,"type":"article-journal","title":"Simple Parallel Statistical Computing in R","container-title":"Journal of Computational and Graphical Statistics","page":"399-420","volume":"16","issue":"2","source":"Taylor and Francis+NEJM","abstract":"Theoretically, many modern statistical procedures are trivial to parallelize. However, practical deployment of a parallelized implementation which is robust and reliably runs on different computational cluster configurations and environments is far from trivial. We present a framework for the R statistical computing language that provides a simple yet powerful programming interface to a computational cluster of CPUs. This interface allows the rapid development of R functions that distribute independent computations across the nodes of the computational cluster. The approach can be extended to finer grain parallelization if needed. The resulting framework allows statisticians to obtain significant speed-ups for some computations at little additional development cost. The particular implementation can be deployed in ad-hoc heterogeneous computing environments.","DOI":"10.1198/106186007X178979","ISSN":"1061-8600","author":[{"family":"Rossini","given":"A. J."},{"family":"Tierney","given":"Luke"},{"family":"Li","given":"Na"}],"issued":{"date-parts":[["2007",6,1]]}}}],"schema":"https://github.com/citation-style-language/schema/raw/master/csl-citation.json"} </w:instrText>
      </w:r>
      <w:r w:rsidRPr="00B55232">
        <w:fldChar w:fldCharType="separate"/>
      </w:r>
      <w:r w:rsidR="00025067">
        <w:t>(Rossini, Tierney, and Li 2007)</w:t>
      </w:r>
      <w:r w:rsidRPr="00B55232">
        <w:fldChar w:fldCharType="end"/>
      </w:r>
      <w:r>
        <w:t xml:space="preserve"> to accelerate data generation. The </w:t>
      </w:r>
      <w:r w:rsidR="00C10795">
        <w:t>simulation</w:t>
      </w:r>
      <w:r>
        <w:t xml:space="preserve"> output was divided into daily output, in this case a vector of 500 output values for each population for each daily time step from 0 - 42 days, and merged with a table of the generated 500 parameter values, with each </w:t>
      </w:r>
      <w:r w:rsidR="00C10795">
        <w:t xml:space="preserve">simulation </w:t>
      </w:r>
      <w:r>
        <w:t xml:space="preserve">output row joined to the row of parameters that generated it. This table was then analysed using </w:t>
      </w:r>
      <w:r w:rsidRPr="00B55232">
        <w:t xml:space="preserve">the </w:t>
      </w:r>
      <w:r w:rsidRPr="00B55232">
        <w:rPr>
          <w:i/>
        </w:rPr>
        <w:t xml:space="preserve">spartan </w:t>
      </w:r>
      <w:r w:rsidRPr="00B55232">
        <w:t xml:space="preserve">package </w:t>
      </w:r>
      <w:r>
        <w:t>through calculation</w:t>
      </w:r>
      <w:r w:rsidRPr="00B55232">
        <w:t xml:space="preserve"> of a </w:t>
      </w:r>
      <w:r>
        <w:t>p</w:t>
      </w:r>
      <w:r w:rsidRPr="00B55232">
        <w:t xml:space="preserve">artial </w:t>
      </w:r>
      <w:r>
        <w:t>r</w:t>
      </w:r>
      <w:r w:rsidRPr="00B55232">
        <w:t xml:space="preserve">ank </w:t>
      </w:r>
      <w:r>
        <w:t>c</w:t>
      </w:r>
      <w:r w:rsidRPr="00B55232">
        <w:t>orrelation</w:t>
      </w:r>
      <w:r>
        <w:t xml:space="preserve"> c</w:t>
      </w:r>
      <w:r w:rsidRPr="00B55232">
        <w:t xml:space="preserve">oefficient (PRCC), a measure of the strength of </w:t>
      </w:r>
      <w:r>
        <w:t xml:space="preserve">monotonicity, the preservation or reversing of the given order of data (for instance y = x and y = -x are monotonic whilst </w:t>
      </w:r>
      <w:r w:rsidRPr="009D0CF3">
        <w:t>y = x</w:t>
      </w:r>
      <w:r w:rsidRPr="009D0CF3">
        <w:rPr>
          <w:vertAlign w:val="superscript"/>
        </w:rPr>
        <w:t>3</w:t>
      </w:r>
      <w:r w:rsidRPr="009D0CF3">
        <w:t xml:space="preserve"> - x</w:t>
      </w:r>
      <w:r w:rsidRPr="009D0CF3">
        <w:rPr>
          <w:vertAlign w:val="superscript"/>
        </w:rPr>
        <w:t>4</w:t>
      </w:r>
      <w:r>
        <w:t xml:space="preserve"> is not), </w:t>
      </w:r>
      <w:r w:rsidRPr="00B55232">
        <w:t>between the paramet</w:t>
      </w:r>
      <w:r>
        <w:t xml:space="preserve">ers and the simulation outputs. </w:t>
      </w:r>
      <w:r>
        <w:rPr>
          <w:lang w:val="en-US"/>
        </w:rPr>
        <w:t xml:space="preserve">To calculate the PRCC the data </w:t>
      </w:r>
      <w:r w:rsidR="00407D15">
        <w:rPr>
          <w:lang w:val="en-US"/>
        </w:rPr>
        <w:t xml:space="preserve">were </w:t>
      </w:r>
      <w:r>
        <w:rPr>
          <w:lang w:val="en-US"/>
        </w:rPr>
        <w:t xml:space="preserve">sorted by input and output magnitude, and for every parameter investigated by the GSA a first linear regression describing the relationship of the input parameter to other parameters and a second linear regression describing the population output with regards to the other parameters were created. The residuals from the two regressions were analysed to give a Pearson correlation coefficient which fives the PRCC for the parameter. Thus, a PRCC for every parameter at every time point analysed was derived and plotted. The PRCC values fall between 1 and -1, with a positive value corresponding to a linear relationship between the parameter and output value (the higher the parameter value the higher the output value) and a negative value corresponding to an inverse linear relationship (the lower the parameter value the higher the output value). </w:t>
      </w:r>
    </w:p>
    <w:p w14:paraId="5121A250" w14:textId="77777777" w:rsidR="00344DC7" w:rsidRDefault="00344DC7" w:rsidP="00344DC7">
      <w:pPr>
        <w:autoSpaceDE w:val="0"/>
        <w:autoSpaceDN w:val="0"/>
        <w:adjustRightInd w:val="0"/>
        <w:spacing w:line="360" w:lineRule="auto"/>
        <w:jc w:val="both"/>
        <w:rPr>
          <w:lang w:val="en-US"/>
        </w:rPr>
      </w:pPr>
    </w:p>
    <w:p w14:paraId="125CABBC" w14:textId="77777777" w:rsidR="00344DC7" w:rsidRDefault="00344DC7" w:rsidP="00344DC7">
      <w:pPr>
        <w:autoSpaceDE w:val="0"/>
        <w:autoSpaceDN w:val="0"/>
        <w:adjustRightInd w:val="0"/>
        <w:spacing w:line="360" w:lineRule="auto"/>
        <w:jc w:val="both"/>
        <w:rPr>
          <w:lang w:val="en-US"/>
        </w:rPr>
      </w:pPr>
    </w:p>
    <w:p w14:paraId="7FA21645" w14:textId="52D0EE95" w:rsidR="00B21FF2" w:rsidRPr="008B3AD6" w:rsidRDefault="00B21FF2" w:rsidP="006A5D97">
      <w:pPr>
        <w:spacing w:line="360" w:lineRule="auto"/>
        <w:jc w:val="both"/>
      </w:pPr>
    </w:p>
    <w:p w14:paraId="52C2C4C3" w14:textId="7F099F73" w:rsidR="001F1286" w:rsidRPr="008B3AD6" w:rsidRDefault="001F1286">
      <w:pPr>
        <w:spacing w:line="240" w:lineRule="auto"/>
        <w:rPr>
          <w:color w:val="000000" w:themeColor="text1"/>
        </w:rPr>
      </w:pPr>
      <w:r w:rsidRPr="008B3AD6">
        <w:rPr>
          <w:color w:val="000000" w:themeColor="text1"/>
        </w:rPr>
        <w:br w:type="page"/>
      </w:r>
    </w:p>
    <w:p w14:paraId="1194138C" w14:textId="67A373FB" w:rsidR="007E5083" w:rsidRPr="008B3AD6" w:rsidRDefault="009856CF" w:rsidP="0095758B">
      <w:pPr>
        <w:pStyle w:val="Heading1"/>
      </w:pPr>
      <w:bookmarkStart w:id="219" w:name="_Ref518738258"/>
      <w:bookmarkStart w:id="220" w:name="_Toc3716094"/>
      <w:r w:rsidRPr="008B3AD6">
        <w:lastRenderedPageBreak/>
        <w:t xml:space="preserve">| </w:t>
      </w:r>
      <w:r w:rsidR="00AA644D" w:rsidRPr="008B3AD6">
        <w:t xml:space="preserve">Cellular Distribution of Amphotericin B in the Liver </w:t>
      </w:r>
      <w:r w:rsidR="00C975CA" w:rsidRPr="008B3AD6">
        <w:t>of Mice with</w:t>
      </w:r>
      <w:r w:rsidR="00AA644D" w:rsidRPr="008B3AD6">
        <w:t xml:space="preserve"> Experimental Visceral Leishmaniasis</w:t>
      </w:r>
      <w:bookmarkEnd w:id="219"/>
      <w:bookmarkEnd w:id="220"/>
    </w:p>
    <w:p w14:paraId="229256B8" w14:textId="77777777" w:rsidR="007E5083" w:rsidRPr="008B3AD6" w:rsidRDefault="007E5083" w:rsidP="0095758B">
      <w:pPr>
        <w:spacing w:line="360" w:lineRule="auto"/>
        <w:rPr>
          <w:rFonts w:eastAsiaTheme="majorEastAsia" w:cstheme="majorBidi"/>
          <w:b/>
          <w:color w:val="000000" w:themeColor="text1"/>
          <w:sz w:val="48"/>
          <w:szCs w:val="32"/>
        </w:rPr>
      </w:pPr>
      <w:r w:rsidRPr="008B3AD6">
        <w:br w:type="page"/>
      </w:r>
    </w:p>
    <w:p w14:paraId="036FE70C" w14:textId="1EC8BD60" w:rsidR="009154C0" w:rsidRPr="008B3AD6" w:rsidRDefault="00703327" w:rsidP="0095758B">
      <w:pPr>
        <w:pStyle w:val="Heading2"/>
        <w:numPr>
          <w:ilvl w:val="1"/>
          <w:numId w:val="19"/>
        </w:numPr>
      </w:pPr>
      <w:bookmarkStart w:id="221" w:name="_Toc3716095"/>
      <w:r w:rsidRPr="008B3AD6">
        <w:lastRenderedPageBreak/>
        <w:t>Introduction</w:t>
      </w:r>
      <w:bookmarkEnd w:id="221"/>
    </w:p>
    <w:p w14:paraId="4627B2EA" w14:textId="1A0AE6AE" w:rsidR="007A5401" w:rsidRPr="008B3AD6" w:rsidRDefault="007A5401" w:rsidP="007A5401">
      <w:pPr>
        <w:spacing w:line="360" w:lineRule="auto"/>
        <w:jc w:val="both"/>
      </w:pPr>
      <w:r w:rsidRPr="008B3AD6">
        <w:t xml:space="preserve">In Chapter 1, the various leukocyte populations that participate in the hepatic granulomatous response during </w:t>
      </w:r>
      <w:r w:rsidR="001946AF">
        <w:t>VL</w:t>
      </w:r>
      <w:r w:rsidRPr="008B3AD6">
        <w:t xml:space="preserve"> infection were introduced. To recap, in the </w:t>
      </w:r>
      <w:r w:rsidRPr="008B3AD6">
        <w:rPr>
          <w:i/>
        </w:rPr>
        <w:t>L. donovani</w:t>
      </w:r>
      <w:r w:rsidRPr="008B3AD6">
        <w:t xml:space="preserve"> murine model of </w:t>
      </w:r>
      <w:r w:rsidR="001946AF">
        <w:t>VL</w:t>
      </w:r>
      <w:r w:rsidRPr="008B3AD6">
        <w:t xml:space="preserve">, </w:t>
      </w:r>
      <w:r w:rsidR="001946AF">
        <w:t>KCs</w:t>
      </w:r>
      <w:r w:rsidRPr="008B3AD6">
        <w:t xml:space="preserve">, the resident macrophages of the liver, become infected with </w:t>
      </w:r>
      <w:r w:rsidRPr="008B3AD6">
        <w:rPr>
          <w:i/>
        </w:rPr>
        <w:t>L. donovani</w:t>
      </w:r>
      <w:r w:rsidRPr="008B3AD6">
        <w:t xml:space="preserve"> which activates patrolling NKT cells. This </w:t>
      </w:r>
      <w:r w:rsidR="009E3428">
        <w:t>KC</w:t>
      </w:r>
      <w:r w:rsidRPr="008B3AD6">
        <w:t xml:space="preserve"> infection and NKT activation generates recruitment signals which induce the migration of neutrophils, monocytes and lymphoid cells (predominantly T and B cells) to aggregate around infected KCs. These cells together promote a strong inflammatory environment inducing </w:t>
      </w:r>
      <w:r w:rsidR="009E3428">
        <w:t>KCs</w:t>
      </w:r>
      <w:r w:rsidRPr="008B3AD6">
        <w:t xml:space="preserve"> to adopt an activated phenotype, also called M1, characterised by production of reactive oxygen and nitrogen species, </w:t>
      </w:r>
      <w:r w:rsidR="009E3428">
        <w:t>which are</w:t>
      </w:r>
      <w:r w:rsidRPr="008B3AD6">
        <w:t xml:space="preserve"> leishmanicidal, leading to a reduction in parasite load within the liver.</w:t>
      </w:r>
    </w:p>
    <w:p w14:paraId="7C07845C" w14:textId="77777777" w:rsidR="007A5401" w:rsidRPr="008B3AD6" w:rsidRDefault="007A5401" w:rsidP="007A5401">
      <w:pPr>
        <w:spacing w:line="360" w:lineRule="auto"/>
        <w:jc w:val="both"/>
      </w:pPr>
    </w:p>
    <w:p w14:paraId="476DB6F5" w14:textId="61CAED1B" w:rsidR="007A5401" w:rsidRPr="008B3AD6" w:rsidRDefault="009E3428" w:rsidP="007A5401">
      <w:pPr>
        <w:spacing w:line="360" w:lineRule="auto"/>
        <w:jc w:val="both"/>
      </w:pPr>
      <w:r>
        <w:t>LAm</w:t>
      </w:r>
      <w:r w:rsidR="007A5401" w:rsidRPr="008B3AD6">
        <w:t>B is a frontline antileishmanial therapy. Previous studies of A</w:t>
      </w:r>
      <w:r>
        <w:t>m</w:t>
      </w:r>
      <w:r w:rsidR="007A5401" w:rsidRPr="008B3AD6">
        <w:t xml:space="preserve">B biodistribution have shown high levels of hepatic accumulation </w:t>
      </w:r>
      <w:r w:rsidR="007A5401" w:rsidRPr="008B3AD6">
        <w:rPr>
          <w:i/>
        </w:rPr>
        <w:t>in vivo</w:t>
      </w:r>
      <w:r w:rsidR="007A5401" w:rsidRPr="008B3AD6">
        <w:t xml:space="preserve"> </w:t>
      </w:r>
      <w:r w:rsidR="007A5401" w:rsidRPr="008B3AD6">
        <w:fldChar w:fldCharType="begin"/>
      </w:r>
      <w:r w:rsidR="00025067">
        <w:instrText xml:space="preserve"> ADDIN ZOTERO_ITEM CSL_CITATION {"citationID":"tZBYuQCS","properties":{"formattedCitation":"(Gershkovich et al. 2010; Sundar and Chakravarty 2010; Voak et al. 2017c)","plainCitation":"(Gershkovich et al. 2010; Sundar and Chakravarty 2010; Voak et al. 2017c)","noteIndex":0},"citationItems":[{"id":2489,"uris":["http://zotero.org/users/2628971/items/XXSTPFCD"],"uri":["http://zotero.org/users/2628971/items/XXSTPFCD"],"itemData":{"id":2489,"type":"article-journal","title":"Visceral leishmaniasis affects liver and spleen concentrations of amphotericin B following administration to mice","container-title":"The Journal of Antimicrobial Chemotherapy","page":"535-537","volume":"65","issue":"3","source":"PubMed","abstract":"OBJECTIVES: To assess the impact of visceral leishmaniasis (VL) on the concentration of amphotericin B (AmB) recovered in the liver and spleen following either intravenous (AmBisome) or oral (iCo-009) AmB administration to mice.\nMETHODS: Livers and spleens previously obtained from VL-infected BALB/c mice (following intravenous AmBisome or oral AmB treatments) were analysed for AmB concentrations. Then, non-infected BALB/c mice were divided into three treatment groups: a single dose of intravenous AmBisome (2 mg/kg, n = 5); and oral AmB every 12 h for 5 days (10 mg/kg, n = 6 and 20 mg/kg, n = 6). The animals were sacrificed 7 days after the initiation of the treatment and the livers and spleens were harvested for drug analysis by HPLC.\nRESULTS: The single intravenous injection of AmBisome resulted in a 77-fold lower concentration of AmB in infected compared with non-infected liver tissue, while the difference in AmB concentration in the spleen was only 5-fold. The multiple dose oral administration of AmB resulted in a 3-fold lower concentration of AmB in infected compared with non-infected livers for both oral doses, while the differences in AmB concentrations in the spleen were not statistically different for the oral treatment groups.\nCONCLUSIONS: VL significantly lowered the concentration of AmB in the liver and the spleen when compared with uninfected animals. This effect seems to correlate with the degree of infection of the tissue. In the case of the intravenous liposomal formulation (AmBisome), the differences between the infected and non-infected tissues are of a higher magnitude than in the case of orally administered AmB (iCo-009).","DOI":"10.1093/jac/dkp465","ISSN":"1460-2091","note":"PMID: 20026611","journalAbbreviation":"J. Antimicrob. Chemother.","language":"eng","author":[{"family":"Gershkovich","given":"Pavel"},{"family":"Wasan","given":"Ellen K."},{"family":"Sivak","given":"Olena"},{"family":"Li","given":"Raymond"},{"family":"Zhu","given":"Xiaohua"},{"family":"Werbovetz","given":"Karl A."},{"family":"Tidwell","given":"Richard R."},{"family":"Clement","given":"John G."},{"family":"Thornton","given":"Sheila J."},{"family":"Wasan","given":"Kishor M."}],"issued":{"date-parts":[["2010",3]]}}},{"id":3368,"uris":["http://zotero.org/users/2628971/items/SRP83MG5"],"uri":["http://zotero.org/users/2628971/items/SRP83MG5"],"itemData":{"id":3368,"type":"article-journal","title":"Liposomal Amphotericin B and Leishmaniasis: Dose and Response","container-title":"Journal of Global Infectious Diseases","page":"159-166","volume":"2","issue":"2","source":"PubMed Central","abstract":"Liposomal amphotericin B has been used with increasing frequency to treat visceral leishmaniasis (VL). It is the treatment of choice for immunocompetent patients in the Mediterranean region and the preferred drug for HIV/VL co-infection. Although there is a regional variation in the susceptibility of the parasite a total dose of 20 mg/kg is effective in immunocompetent patients. Randomized clinical trials of liposomal amphotericin B in the treatment and secondary prophylaxis of HIV-VL coinfected patients is urgently needed to optimize treatment in this subset. With the availability of Liposomal amphotericin B at a preferential pricing in the endemic areas, short course combination therapy can become a viable alternative.","DOI":"10.4103/0974-777X.62886","ISSN":"0974-777X","note":"PMID: 20606972\nPMCID: PMC2889656","shortTitle":"Liposomal Amphotericin B and Leishmaniasis","journalAbbreviation":"J Glob Infect Dis","author":[{"family":"Sundar","given":"Shyam"},{"family":"Chakravarty","given":"Jaya"}],"issued":{"date-parts":[["2010"]]}}},{"id":2507,"uris":["http://zotero.org/users/2628971/items/W2SGM4SR"],"uri":["http://zotero.org/users/2628971/items/W2SGM4SR"],"itemData":{"id":2507,"type":"article-journal","title":"Pharmacodynamics and Biodistribution of Single-Dose Liposomal Amphotericin B at Different Stages of Experimental Visceral Leishmaniasis","container-title":"Antimicrobial Agents and Chemotherapy","volume":"61","issue":"9","source":"PubMed","abstract":"Visceral leishmaniasis is a neglected tropical disease that causes significant morbidity and mortality worldwide. Characterization of the pharmacokinetics and pharmacodynamics of antileishmanial drugs in preclinical models is important for drug development and use. Here we investigated the pharmacodynamics and drug distribution of liposomal amphotericin B (AmBisome) inLeishmania donovani-infected BALB/c mice at three different dose levels and two different time points after infection. We additionally compared drug levels in plasma, liver, and spleen in infected and uninfected BALB/c mice over time. At the highest administered dose of 10 mg/kg AmBisome, &gt;90% parasite inhibition was observed within 2 days after drug administration, consistent with drug distribution from blood to tissue within 24 h and a fast rate of kill. Decreased drug potency was observed in the spleen when AmBisome was administered on day 35 after infection, compared to day 14 after infection. Amphotericin B concentrations and total drug amounts per organ were lower in liver and spleen when AmBisome was administered at the advanced stage of infection and compared to those in uninfected BALB/c mice. However, the magnitude of difference was lower when total drug amounts per organ were estimated. Differences were also noted in drug distribution toL. donovani-infected livers and spleens. Taken together, our data suggest that organ enlargement and other pathophysiological factors cause infection- and organ-specific drug distribution and elimination after administration of single-dose AmBisome toL. donovani-infected mice. Plasma drug levels were not reflective of changes in drug levels in tissues.","DOI":"10.1128/AAC.00497-17","ISSN":"1098-6596","note":"PMID: 28630200\nPMCID: PMC5571318","journalAbbreviation":"Antimicrob. Agents Chemother.","language":"eng","author":[{"family":"Voak","given":"Andrew A."},{"family":"Harris","given":"Andy"},{"family":"Qaiser","given":"Zeeshan"},{"family":"Croft","given":"Simon L."},{"family":"Seifert","given":"Karin"}],"issued":{"date-parts":[["2017",9]]}}}],"schema":"https://github.com/citation-style-language/schema/raw/master/csl-citation.json"} </w:instrText>
      </w:r>
      <w:r w:rsidR="007A5401" w:rsidRPr="008B3AD6">
        <w:fldChar w:fldCharType="separate"/>
      </w:r>
      <w:r w:rsidR="00025067" w:rsidRPr="00025067">
        <w:rPr>
          <w:lang w:val="en-US"/>
        </w:rPr>
        <w:t>(Gershkovich et al. 2010; Sundar and Chakravarty 2010; Voak et al. 2017)</w:t>
      </w:r>
      <w:r w:rsidR="007A5401" w:rsidRPr="008B3AD6">
        <w:fldChar w:fldCharType="end"/>
      </w:r>
      <w:r w:rsidR="007A5401" w:rsidRPr="008B3AD6">
        <w:t xml:space="preserve"> and significant reductions in parasite numbers are observed in </w:t>
      </w:r>
      <w:r w:rsidR="007A5401" w:rsidRPr="008B3AD6">
        <w:rPr>
          <w:i/>
        </w:rPr>
        <w:t xml:space="preserve">in vitro </w:t>
      </w:r>
      <w:r w:rsidR="007A5401" w:rsidRPr="008B3AD6">
        <w:t xml:space="preserve">and </w:t>
      </w:r>
      <w:r w:rsidR="007A5401" w:rsidRPr="008B3AD6">
        <w:rPr>
          <w:i/>
        </w:rPr>
        <w:t xml:space="preserve">in vivo </w:t>
      </w:r>
      <w:r w:rsidR="007A5401" w:rsidRPr="008B3AD6">
        <w:t>infection models as well as in the clinic</w:t>
      </w:r>
      <w:r w:rsidR="007A5401" w:rsidRPr="008B3AD6">
        <w:rPr>
          <w:i/>
        </w:rPr>
        <w:t xml:space="preserve"> </w:t>
      </w:r>
      <w:r w:rsidR="007A5401" w:rsidRPr="008B3AD6">
        <w:rPr>
          <w:i/>
        </w:rPr>
        <w:fldChar w:fldCharType="begin"/>
      </w:r>
      <w:r w:rsidR="00025067">
        <w:rPr>
          <w:i/>
        </w:rPr>
        <w:instrText xml:space="preserve"> ADDIN ZOTERO_ITEM CSL_CITATION {"citationID":"UG95PcOE","properties":{"formattedCitation":"(Mullen, Baillie, and Carter 1998; Yardley and Croft 2000; Manandhar et al. 2008; Van de Ven et al. 2012)","plainCitation":"(Mullen, Baillie, and Carter 1998; Yardley and Croft 2000; Manandhar et al. 2008; Van de Ven et al. 2012)","noteIndex":0},"citationItems":[{"id":2268,"uris":["http://zotero.org/users/2628971/items/R7SHNCXP"],"uri":["http://zotero.org/users/2628971/items/R7SHNCXP"],"itemData":{"id":2268,"type":"article-journal","title":"Visceral Leishmaniasis in the BALB/c Mouse: A Comparison of the Efficacy of a Nonionic Surfactant Formulation of Sodium Stibogluconate with Those of Three Proprietary Formulations of Amphotericin B","container-title":"Antimicrobial Agents and Chemotherapy","page":"2722-2725","volume":"42","issue":"10","source":"aac.asm.org","abstract":"In this study, treatment efficacies of a nonionic surfactant vesicle formulation of sodium stibogluconate (SSG-NIV) and of several formulations of amphotericin B were compared in a murine model of visceral leishmaniasis. Treatment with multiple doses of AmBisome, Abelcet, and Amphocil (total dose, 12.5 mg of amphotericin B/kg of body weight) resulted in a significant suppression of parasite burdens in liver (P &lt; 0.0005) and spleen (P &lt; 0.0005) compared with those of controls, with Abelcet having the lowest activity. Only AmBisome and Amphocil gave significant suppression of parasites in bone marrow (compared to control values,P &lt; 0.005). In the acute-infection model, single-dose treatments of SSG-NIV (296 mg of SbV/kg), SSG solution (296 mg of SbV/kg), or AmBisome (8 mg of amphotericin B/kg) were equally effective against liver parasites (compared to control values,P &lt; 0.0005). SSG-NIV and AmBisome treatment also significantly suppressed parasites in bone marrow and spleen (P &lt; 0.005), with SSG-NIV treatment being more suppressive (&gt;98% suppression in all three sites). Free-SSG treatment failed to suppress spleen or bone marrow parasites. Infection status influenced treatment outcome. In the chronic-infection model, the AmBisome single-dose treatment was less effective in all three infection sites and the SSG-NIV single-dose treatment was less effective in the spleen. The results of this study suggest that the antileishmanial efficacy of SSG-NIV compares favorably with those of the novel amphotericin B formulations.","ISSN":"0066-4804, 1098-6596","note":"PMID: 9756784","shortTitle":"Visceral Leishmaniasis in the BALB/c Mouse","journalAbbreviation":"Antimicrob. Agents Chemother.","language":"en","author":[{"family":"Mullen","given":"A. B."},{"family":"Baillie","given":"A. J."},{"family":"Carter","given":"K. C."}],"issued":{"date-parts":[["1998",10,1]]}}},{"id":3373,"uris":["http://zotero.org/users/2628971/items/UJR8CQ4P"],"uri":["http://zotero.org/users/2628971/items/UJR8CQ4P"],"itemData":{"id":3373,"type":"article-journal","title":"A comparison of the activities of three amphotericin B lipid formulations against experimental visceral and cutaneous leishmaniasis","container-title":"International Journal of Antimicrobial Agents","page":"243-248","volume":"13","issue":"4","source":"ScienceDirect","abstract":"The polyene antibiotic, amphotericin B, the gold standard for systemic fungal infections is also a recommended second line treatment for visceral, cutaneous and mucocutaneous leishmaniasis. Acute toxicity has limited the use of amphotericin B but less toxic lipid formulations, AmBisome®, Amphocil™ and Abelcet®, have shown potential for the treatment of clinical visceral and mucocutaneous leishmaniasis. This study compares the in vitro and in vivo anti-leishmanial activity of Fungizone and the three lipid formulations. AmBisome and Amphocil were more active (ED50 values 0.3 and 0.7mg/kg, respectively) than Abelcet (ED50 2.7mg/kg) against L. donovani in a mouse model. Against L. major in vivo, AmBisome at a dose of 25mg/kg was the most successful at reducing lesion size, with Amphocil also showing activity while Abelcet was inactive. In the L. donovani — peritoneal macrophage (PEM) model Fungizone and Amphocil were significantly more active (ED50 values 0.013 and 0.02 μg/ml, respectively) than AmBisome and Abelcet (ED50 values 1.5 and 2.6 μg/ml). This trend was similar in the L. major — PEM model (Fungizone&gt;Amphocil&gt;AmBisome&gt;Abelcet). THP-1 macrophages infected with L. donovani amastigotes showed a different profile with Amphocil=Abelcet&gt;AmBisome&gt;Fungizone. Differences could be due to the interaction of the formulations with the biological milieu and uptake into different cell types.","DOI":"10.1016/S0924-8579(99)00133-8","ISSN":"0924-8579","journalAbbreviation":"International Journal of Antimicrobial Agents","author":[{"family":"Yardley","given":"Vanessa"},{"family":"Croft","given":"Simon L"}],"issued":{"date-parts":[["2000",2,1]]}}},{"id":2525,"uris":["http://zotero.org/users/2628971/items/MPH2B93V"],"uri":["http://zotero.org/users/2628971/items/MPH2B93V"],"itemData":{"id":2525,"type":"article-journal","title":"Antileishmanial activity of nano-amphotericin B deoxycholate","container-title":"The Journal of Antimicrobial Chemotherapy","page":"376-380","volume":"62","issue":"2","source":"PubMed","abstract":"OBJECTIVES: The aim of the present study was to compare the efficacy of a nano form of amphotericin B deoxycholate with that of conventional amphotericin B deoxycholate for the treatment of visceral leishmaniasis.\nMETHODS: We have formulated nanoparticles (10-20 nM) from amphotericin B deoxycholate (1-2 microM) by applying high-pressure (150 argon) milling homogenization and have tested their efficacy in a J774A cell line and in hamsters. Parasite survival and tissue burden in spleen were evaluated for nano-amphotericin B and conventional amphotericin B. Both nano-amphotericin B and conventional amphotericin B were injected intraperitoneally at 5 mg/kg per day for 5 days.\nRESULTS: The inhibition of amastigotes in the splenic tissue with nano-amphotericin B was significantly more than with conventional amphotericin B (92.18% versus 74.57%, P = 0.005). Similarly, the suppression of parasite replication in the spleen was also found to be significant (99.18% versus 97.17%, P = 0.05). In a cytotoxicity test, nano-amphotericin B against the J774A cell line had a CC(50) of 12.67 mg/L in comparison with 10.61 mg/L for amphotericin B, far higher than the doses used for ED(50).\nCONCLUSIONS: Nanoparticles of amphotericin B had significantly greater efficacy than conventional amphotericin B. This formulation may have a favourable safety profile, and if production costs are low, it may prove to be a feasible alternative to conventional amphotericin B.","DOI":"10.1093/jac/dkn189","ISSN":"1460-2091","note":"PMID: 18453526","journalAbbreviation":"J. Antimicrob. Chemother.","language":"eng","author":[{"family":"Manandhar","given":"Krishna Das"},{"family":"Yadav","given":"Thakur Prasad"},{"family":"Prajapati","given":"Vijay Kumar"},{"family":"Kumar","given":"Subodh"},{"family":"Rai","given":"Madhukar"},{"family":"Dube","given":"Anuradha"},{"family":"Srivastava","given":"Onkar Nath"},{"family":"Sundar","given":"Shyam"}],"issued":{"date-parts":[["2008",8]]}}},{"id":1718,"uris":["http://zotero.org/users/2628971/items/7VMGHZ2A"],"uri":["http://zotero.org/users/2628971/items/7VMGHZ2A"],"itemData":{"id":1718,"type":"article-journal","title":"PLGA nanoparticles and nanosuspensions with amphotericin B: Potent in vitro and in vivo alternatives to Fungizone and AmBisome.","container-title":"Journal of controlled release : official journal of the Controlled Release Society","page":"795-803","volume":"161","issue":"3","abstract":"This paper describes the development of poly(D,L-lactide-co-glycolide) (PLGA) nanoparticles (NPs) and nanosuspensions with the polyene antibiotic amphotericin  B (AmB). The nanoformulations were prepared using nanoprecipitation and were characterised with respect to size, zeta potential, morphology, drug crystallinity and content. Standard in vitro sensitivity tests were performed on","DOI":"10.1016/j.jconrel.2012.05.037","ISSN":"1873-4995 0168-3659","note":"PMID: 22641062","journalAbbreviation":"J Control Release","language":"eng","author":[{"family":"Van de Ven","given":"H."},{"family":"Paulussen","given":"C."},{"family":"Feijens","given":"P. B."},{"family":"Matheeussen","given":"A."},{"family":"Rombaut","given":"P."},{"family":"Kayaert","given":"P."},{"family":"Van den Mooter","given":"G."},{"family":"Weyenberg","given":"W."},{"family":"Cos","given":"P."},{"family":"Maes","given":"L."},{"family":"Ludwig","given":"A."}],"issued":{"date-parts":[["2012",8,10]]}}}],"schema":"https://github.com/citation-style-language/schema/raw/master/csl-citation.json"} </w:instrText>
      </w:r>
      <w:r w:rsidR="007A5401" w:rsidRPr="008B3AD6">
        <w:rPr>
          <w:i/>
        </w:rPr>
        <w:fldChar w:fldCharType="separate"/>
      </w:r>
      <w:r w:rsidR="00025067" w:rsidRPr="00025067">
        <w:rPr>
          <w:lang w:val="en-US"/>
        </w:rPr>
        <w:t>(Mullen, Baillie, and Carter 1998; Yardley and Croft 2000; Manandhar et al. 2008; Van de Ven et al. 2012)</w:t>
      </w:r>
      <w:r w:rsidR="007A5401" w:rsidRPr="008B3AD6">
        <w:rPr>
          <w:i/>
        </w:rPr>
        <w:fldChar w:fldCharType="end"/>
      </w:r>
      <w:r>
        <w:t>. However recent work in tuberculosis</w:t>
      </w:r>
      <w:r w:rsidR="007A5401" w:rsidRPr="008B3AD6">
        <w:t xml:space="preserve"> has shown heterogenous sub-tissue distributions of drug </w:t>
      </w:r>
      <w:r w:rsidR="007A5401" w:rsidRPr="008B3AD6">
        <w:fldChar w:fldCharType="begin"/>
      </w:r>
      <w:r w:rsidR="00025067">
        <w:instrText xml:space="preserve"> ADDIN ZOTERO_ITEM CSL_CITATION {"citationID":"7pLcO87e","properties":{"formattedCitation":"(Prideaux et al. 2011; Rifat et al. 2018)","plainCitation":"(Prideaux et al. 2011; Rifat et al. 2018)","noteIndex":0},"citationItems":[{"id":3376,"uris":["http://zotero.org/users/2628971/items/5WQUEJZR"],"uri":["http://zotero.org/users/2628971/items/5WQUEJZR"],"itemData":{"id":3376,"type":"article-journal","title":"High-Sensitivity MALDI-MRM-MS Imaging of Moxifloxacin Distribution in Tuberculosis-Infected Rabbit Lungs and Granulomatous Lesions","container-title":"Analytical chemistry","page":"2112-2118","volume":"83","issue":"6","source":"PubMed Central","abstract":"MALDI-MSI is a powerful technology for localizing drug and metabolite distributions in biological tissues. To enhance our understanding of tuberculosis (TB) drug efficacy and how efficiently certain drugs reach their site of action, MALDI-MSI was applied to image the distribution of the second-line TB drug moxifloxacin at a range of time points after dosing. The ability to perform multiple monitoring of selected ion transitions in the same experiment enabled extremely sensitive imaging of moxifloxacin within tuberculosis-infected rabbit lung biopsies in less than 15 min per tissue section. Homogeneous application of a reference standard during the matrix spraying process enabled the ion-suppressing effects of the inhomogeneous lung tissue to be normalized. The drug was observed to accumulate in granulomatous lesions at levels higher than that in the surrounding lung tissue from 1.5 h postdose until the final time point. MALDI-MSI moxifloxacin distribution data were validated by quantitative LC/MS/MS analysis of lung and granuloma extracts from adjacent biopsies taken from the same animals. Drug distribution within the granulomas was observed to be inhomogeneous, and very low levels were observed in the caseum in comparison to the cellular granuloma regions. In this experiment the MALDI-MRM-MSI method was shown to be a rapid and sensitive method for analyzing the distribution of anti-TB compounds and will be applied to distribution studies of additional drugs in the future.,","DOI":"10.1021/ac1029049","ISSN":"0003-2700","note":"PMID: 21332183\nPMCID: PMC3158846","journalAbbreviation":"Anal Chem","author":[{"family":"Prideaux","given":"Brendan"},{"family":"Dartois","given":"Véronique"},{"family":"Staab","given":"Dieter"},{"family":"Weiner","given":"Danielle M."},{"family":"Goh","given":"Anne"},{"family":"Via","given":"Laura E."},{"family":"Barry","given":"Clifton E."},{"family":"Stoeckli","given":"Markus"}],"issued":{"date-parts":[["2011",3,15]]}}},{"id":3031,"uris":["http://zotero.org/users/2628971/items/2GCKJL34"],"uri":["http://zotero.org/users/2628971/items/2GCKJL34"],"itemData":{"id":3031,"type":"article-journal","title":"Pharmacokinetics of rifapentine and rifampin in a rabbit model of tuberculosis and correlation with clinical trial data","container-title":"Science Translational Medicine","page":"eaai7786","volume":"10","issue":"435","source":"stm.sciencemag.org","abstract":"A peek into a TB drug\nShorter-duration drug regimens are needed to treat tuberculosis, but drug regimens that are effective in mice often fail in clinical trials. In a new study, Rifat et al. have developed a rabbit model of pulmonary cavitary tuberculosis that mimics the pathology of the human disease. They used the model to explore the tissue distribution of two antibiotics in rabbit lung tubercular lesions. Rifapentine, but not rifampin, displayed poor penetration into necrotic cavitary lesions where the largest number of pathogenic bacteria reside. Combining this preclinical tissue penetration data with phase 2 clinical trial data enabled the authors to explain differences in treatment response among different TB patient populations.\nIn clinical trials of two rifamycin antibiotics (rifampin and rifapentine) for treating tuberculosis (TB), patients with cavitary lung lesions did not appear to derive benefit from rifapentine. Rifapentine was found not to outperform rifampin, despite a lower minimum inhibitory concentration against Mycobacterium tuberculosis in mouse models of TB. To understand these findings, we have developed a rabbit model of TB that reliably develops lung cavities with features similar to those of patients with pulmonary cavitary TB. After single or multiple doses of rifampin or rifapentine that produced human-equivalent plasma exposures, rabbits were sacrificed at different time points after dosing. We measured site-of-disease drug pharmacokinetics and tissue drug distribution. We used pharmacokinetic-pharmacodynamic (PK/PD) modeling to estimate drug penetration into different types of tubercular lesions. Both drugs penetrated rabbit lung cellular lesions, as well as the fibrotic cavity wall of cavitary lesions (penetration coefficients ≥1 compared to plasma). For the necrotic liquefied material inside cavitary lesions known as caseum (which contains high numbers of bacteria), the penetration coefficient was 1.0 for rifampin but only 0.25 for rifapentine. When estimates of site-of-disease drug PK were substituted into clinical PK/PD models, the relationship between site-of-action exposure and sputum culture conversion was significant (P &lt; 10−7). We propose that poor penetration of rifapentine into lung cavitary lesions explains, in part, why rifapentine doses required to improve treatment outcomes in two phase 2 clinical trials were four times higher in TB patients with large cavities compared to TB patients without cavitary lung disease.\nA rabbit model of pulmonary cavitary tuberculosis helps to explain phase 2 clinical trial results for the rifamycin class of TB drugs.\nA rabbit model of pulmonary cavitary tuberculosis helps to explain phase 2 clinical trial results for the rifamycin class of TB drugs.","DOI":"10.1126/scitranslmed.aai7786","ISSN":"1946-6234, 1946-6242","note":"PMID: 29618565","language":"en","author":[{"family":"Rifat","given":"Dalin"},{"family":"Prideaux","given":"Brendan"},{"family":"Savic","given":"Radojka M."},{"family":"Urbanowski","given":"Michael E."},{"family":"Parsons","given":"Teresa L."},{"family":"Luna","given":"Brian"},{"family":"Marzinke","given":"Mark A."},{"family":"Ordonez","given":"Alvaro A."},{"family":"DeMarco","given":"Vincent P."},{"family":"Jain","given":"Sanjay K."},{"family":"Dartois","given":"Veronique"},{"family":"Bishai","given":"William R."},{"family":"Dooley","given":"Kelly E."}],"issued":{"date-parts":[["2018",4,4]]}}}],"schema":"https://github.com/citation-style-language/schema/raw/master/csl-citation.json"} </w:instrText>
      </w:r>
      <w:r w:rsidR="007A5401" w:rsidRPr="008B3AD6">
        <w:fldChar w:fldCharType="separate"/>
      </w:r>
      <w:r w:rsidR="00025067" w:rsidRPr="00025067">
        <w:rPr>
          <w:lang w:val="en-US"/>
        </w:rPr>
        <w:t>(Prideaux et al. 2011; Rifat et al. 2018)</w:t>
      </w:r>
      <w:r w:rsidR="007A5401" w:rsidRPr="008B3AD6">
        <w:fldChar w:fldCharType="end"/>
      </w:r>
      <w:r w:rsidR="007A5401" w:rsidRPr="008B3AD6">
        <w:t xml:space="preserve"> that likely impact therapeutic outcome </w:t>
      </w:r>
      <w:r w:rsidR="007A5401" w:rsidRPr="008B3AD6">
        <w:fldChar w:fldCharType="begin"/>
      </w:r>
      <w:r w:rsidR="00025067">
        <w:instrText xml:space="preserve"> ADDIN ZOTERO_ITEM CSL_CITATION {"citationID":"2mii4uko","properties":{"formattedCitation":"(Pienaar, Dartois, et al. 2015; Pienaar et al. 2017)","plainCitation":"(Pienaar, Dartois, et al. 2015; Pienaar et al. 2017)","noteIndex":0},"citationItems":[{"id":2235,"uris":["http://zotero.org/users/2628971/items/HND6T2C4"],"uri":["http://zotero.org/users/2628971/items/HND6T2C4"],"itemData":{"id":2235,"type":"article-journal","title":"In silico evaluation and exploration of antibiotic tuberculosis treatment regimens","container-title":"BMC Systems Biology","volume":"9","issue":"1","source":"CrossRef","URL":"http://www.biomedcentral.com/1752-0509/9/79","DOI":"10.1186/s12918-015-0221-8","ISSN":"1752-0509","language":"en","author":[{"family":"Pienaar","given":"Elsje"},{"family":"Dartois","given":"Véronique"},{"family":"Linderman","given":"Jennifer J."},{"family":"Kirschner","given":"Denise E."}],"issued":{"date-parts":[["2015",12]]},"accessed":{"date-parts":[["2016",1,27]]}}},{"id":3083,"uris":["http://zotero.org/users/2628971/items/NXLHS9FU"],"uri":["http://zotero.org/users/2628971/items/NXLHS9FU"],"itemData":{"id":3083,"type":"article-journal","title":"Comparing efficacies of moxifloxacin, levofloxacin and gatifloxacin in tuberculosis granulomas using a multi-scale systems pharmacology approach","container-title":"PLoS Computational Biology","volume":"13","issue":"8","source":"PubMed Central","abstract":"Granulomas are complex lung lesions that are the hallmark of tuberculosis (TB). Understanding antibiotic dynamics within lung granulomas will be vital to improving and shortening the long course of TB treatment. Three fluoroquinolones (FQs) are commonly prescribed as part of multi-drug resistant TB therapy: moxifloxacin (MXF), levofloxacin (LVX) or gatifloxacin (GFX). To date, insufficient data are available to support selection of one FQ over another, or to show that these drugs are clinically equivalent. To predict the efficacy of MXF, LVX and GFX at a single granuloma level, we integrate computational modeling with experimental datasets into a single mechanistic framework, GranSim. GranSim is a hybrid agent-based computational model that simulates granuloma formation and function, FQ plasma and tissue pharmacokinetics and pharmacodynamics and is based on extensive in vitro and in vivo data. We treat in silico granulomas with recommended daily doses of each FQ and compare efficacy by multiple metrics: bacterial load, sterilization rates, early bactericidal activity and efficacy under non-compliance and treatment interruption. GranSim reproduces in vivo plasma pharmacokinetics, spatial and temporal tissue pharmacokinetics and in vitro pharmacodynamics of these FQs. We predict that MXF kills intracellular bacteria more quickly than LVX and GFX due in part to a higher cellular accumulation ratio. We also show that all three FQs struggle to sterilize non-replicating bacteria residing in caseum. This is due to modest drug concentrations inside caseum and high inhibitory concentrations for this bacterial subpopulation. MXF and LVX have higher granuloma sterilization rates compared to GFX; and MXF performs better in a simulated non-compliance or treatment interruption scenario. We conclude that MXF has a small but potentially clinically significant advantage over LVX, as well as LVX over GFX. We illustrate how a systems pharmacology approach combining experimental and computational methods can guide antibiotic selection for TB., Tuberculosis (TB) is caused by infection with the bacterium Mycobacterium tuberculosis (Mtb) and kills 1.5 million people each year. TB requires at least 6 months of treatment with up to four drugs, and is characterized by formation of granulomas in patient lungs. Granulomas are spherical collections of host cells and bacteria. Fluoroquinolones (FQs) are a class of drug that could help shorten TB treatment. Three FQs that are used to treat TB are: moxifloxacin (MXF), levofloxacin (LVX) or gatifloxacin (GFX). To date, it is unclear if one FQ is better than the others at treating TB, in part because little is known about how these drugs distribute and work inside the lung granulomas. We use computer simulations of Mtb infection and FQ treatment within granulomas to predict which FQ is better and why. Our computer model is calibrated to multiple experimental data sets. We compare the three FQs by multiple metrics, and predict that MXF is better than LVX and GFX because it kills bacteria more quickly, and it works better when patients miss doses. However, all three FQs are unable to kill a part of the bacterial population living in the center of granulomas. Our results can now inform future experimental studies.","URL":"https://www.ncbi.nlm.nih.gov/pmc/articles/PMC5560534/","DOI":"10.1371/journal.pcbi.1005650","ISSN":"1553-734X","note":"PMID: 28817561\nPMCID: PMC5560534","journalAbbreviation":"PLoS Comput Biol","author":[{"family":"Pienaar","given":"Elsje"},{"family":"Sarathy","given":"Jansy"},{"family":"Prideaux","given":"Brendan"},{"family":"Dietzold","given":"Jillian"},{"family":"Dartois","given":"Véronique"},{"family":"Kirschner","given":"Denise E."},{"family":"Linderman","given":"Jennifer J."}],"issued":{"date-parts":[["2017",8,17]]},"accessed":{"date-parts":[["2018",8,2]]}}}],"schema":"https://github.com/citation-style-language/schema/raw/master/csl-citation.json"} </w:instrText>
      </w:r>
      <w:r w:rsidR="007A5401" w:rsidRPr="008B3AD6">
        <w:fldChar w:fldCharType="separate"/>
      </w:r>
      <w:r w:rsidR="00E5551E">
        <w:rPr>
          <w:lang w:val="en-US"/>
        </w:rPr>
        <w:t xml:space="preserve">(Pienaar </w:t>
      </w:r>
      <w:r w:rsidR="00025067" w:rsidRPr="00025067">
        <w:rPr>
          <w:lang w:val="en-US"/>
        </w:rPr>
        <w:t>et al. 2015; Pienaar et al. 2017)</w:t>
      </w:r>
      <w:r w:rsidR="007A5401" w:rsidRPr="008B3AD6">
        <w:fldChar w:fldCharType="end"/>
      </w:r>
      <w:r w:rsidR="007A5401" w:rsidRPr="008B3AD6">
        <w:t xml:space="preserve">. For VL, it is not currently known how </w:t>
      </w:r>
      <w:r w:rsidR="00A32111">
        <w:t>AmB</w:t>
      </w:r>
      <w:r w:rsidR="007A5401" w:rsidRPr="008B3AD6">
        <w:t xml:space="preserve"> is distributed at a sub-tissue level in the liver, or how immunological responses shaping granuloma formation and maintenance could affect this distribution. Novel insights into the mechanisms of drug action could be key to developing more effective therapeutic regimes at a time when there are few available therapeutic agents and drug-resistance is emerging.</w:t>
      </w:r>
    </w:p>
    <w:p w14:paraId="5710A075" w14:textId="77777777" w:rsidR="007A5401" w:rsidRPr="008B3AD6" w:rsidRDefault="007A5401" w:rsidP="007A5401">
      <w:pPr>
        <w:spacing w:line="360" w:lineRule="auto"/>
        <w:jc w:val="both"/>
      </w:pPr>
    </w:p>
    <w:p w14:paraId="33E87EF9" w14:textId="3034B173" w:rsidR="007A5401" w:rsidRPr="008B3AD6" w:rsidRDefault="007A5401" w:rsidP="007A5401">
      <w:pPr>
        <w:spacing w:line="360" w:lineRule="auto"/>
        <w:jc w:val="both"/>
      </w:pPr>
      <w:r w:rsidRPr="008B3AD6">
        <w:t xml:space="preserve">In this chapter, a characterisation of the sub-tissue level distribution of </w:t>
      </w:r>
      <w:r w:rsidR="00A32111">
        <w:t>AmB</w:t>
      </w:r>
      <w:r w:rsidRPr="008B3AD6">
        <w:t xml:space="preserve">, focusing on granuloma leukocytes, is presented. We begin by developing </w:t>
      </w:r>
      <w:r w:rsidR="006C4DF8">
        <w:t>an LC-MS/MS</w:t>
      </w:r>
      <w:r w:rsidRPr="008B3AD6">
        <w:t xml:space="preserve"> analysis for the optimal detection of </w:t>
      </w:r>
      <w:r w:rsidR="00A32111">
        <w:t>AmB</w:t>
      </w:r>
      <w:r w:rsidRPr="008B3AD6">
        <w:t xml:space="preserve"> in liver derived cell samples. This analysis is then applied to leukocyte samples obtain</w:t>
      </w:r>
      <w:r w:rsidR="006C4DF8">
        <w:t>ed</w:t>
      </w:r>
      <w:r w:rsidRPr="008B3AD6">
        <w:t xml:space="preserve"> from AmBisome</w:t>
      </w:r>
      <w:r w:rsidR="006C4DF8">
        <w:t>, a frontline LAmB formulation,</w:t>
      </w:r>
      <w:r w:rsidRPr="008B3AD6">
        <w:t xml:space="preserve"> treated </w:t>
      </w:r>
      <w:r w:rsidRPr="008B3AD6">
        <w:rPr>
          <w:i/>
        </w:rPr>
        <w:t>L. donovani</w:t>
      </w:r>
      <w:r w:rsidRPr="008B3AD6">
        <w:t xml:space="preserve"> infected mice over a variety of time points and compared to the corresponding change in parasite load. Our findings indicate the majority of </w:t>
      </w:r>
      <w:r w:rsidR="00A32111">
        <w:t>AmB</w:t>
      </w:r>
      <w:r w:rsidRPr="008B3AD6">
        <w:t xml:space="preserve"> accumulates outside of leukocytes and that </w:t>
      </w:r>
      <w:r w:rsidR="006C4DF8">
        <w:t>KCs</w:t>
      </w:r>
      <w:r w:rsidRPr="008B3AD6">
        <w:t xml:space="preserve"> show a surprisingly poor accumulation of </w:t>
      </w:r>
      <w:r w:rsidR="00A32111">
        <w:t>AmB</w:t>
      </w:r>
      <w:r w:rsidRPr="008B3AD6">
        <w:t>, in spite of evident control of infection.</w:t>
      </w:r>
    </w:p>
    <w:p w14:paraId="1A24296F" w14:textId="7E70BDA1" w:rsidR="00B233F8" w:rsidRPr="008B3AD6" w:rsidRDefault="00B233F8" w:rsidP="007A5401">
      <w:pPr>
        <w:spacing w:line="360" w:lineRule="auto"/>
        <w:jc w:val="both"/>
      </w:pPr>
    </w:p>
    <w:p w14:paraId="0246AE93" w14:textId="4C15D31D" w:rsidR="00703327" w:rsidRPr="008B3AD6" w:rsidRDefault="00703327" w:rsidP="0095758B">
      <w:pPr>
        <w:pStyle w:val="Heading2"/>
      </w:pPr>
      <w:bookmarkStart w:id="222" w:name="_Toc3716096"/>
      <w:r w:rsidRPr="008B3AD6">
        <w:lastRenderedPageBreak/>
        <w:t>Aims</w:t>
      </w:r>
      <w:bookmarkEnd w:id="222"/>
    </w:p>
    <w:p w14:paraId="4C4EDDD1" w14:textId="3C38D13B" w:rsidR="00B233F8" w:rsidRPr="008B3AD6" w:rsidRDefault="007A5401" w:rsidP="00B233F8">
      <w:pPr>
        <w:spacing w:line="360" w:lineRule="auto"/>
        <w:jc w:val="both"/>
      </w:pPr>
      <w:r w:rsidRPr="008B3AD6">
        <w:t xml:space="preserve">The aims of this chapter were to develop a protocol for the analysis of </w:t>
      </w:r>
      <w:r w:rsidR="00A32111">
        <w:t>AmB</w:t>
      </w:r>
      <w:r w:rsidRPr="008B3AD6">
        <w:t xml:space="preserve"> accumulation in both whole liver tissue and </w:t>
      </w:r>
      <w:r w:rsidR="00000EC4">
        <w:t>individual</w:t>
      </w:r>
      <w:r w:rsidRPr="008B3AD6">
        <w:t xml:space="preserve"> liver </w:t>
      </w:r>
      <w:r w:rsidR="00000EC4">
        <w:t>cell populations</w:t>
      </w:r>
      <w:r w:rsidRPr="008B3AD6">
        <w:t xml:space="preserve"> and then to apply this protocol to determine the accumulation of </w:t>
      </w:r>
      <w:r w:rsidR="00A32111">
        <w:t>AmB</w:t>
      </w:r>
      <w:r w:rsidRPr="008B3AD6">
        <w:t xml:space="preserve"> over time in these tissue and cell samples. This is the first study, to the best of our knowledge, which ha</w:t>
      </w:r>
      <w:r w:rsidR="00000EC4">
        <w:t>s</w:t>
      </w:r>
      <w:r w:rsidRPr="008B3AD6">
        <w:t xml:space="preserve"> sought to characterise the accumulation of </w:t>
      </w:r>
      <w:r w:rsidR="00A32111">
        <w:t>AmB</w:t>
      </w:r>
      <w:r w:rsidR="00000EC4">
        <w:t xml:space="preserve"> in distinct cell</w:t>
      </w:r>
      <w:r w:rsidRPr="008B3AD6">
        <w:t xml:space="preserve"> populations during EVL.</w:t>
      </w:r>
      <w:r w:rsidR="00B51B7D" w:rsidRPr="008B3AD6">
        <w:t xml:space="preserve"> </w:t>
      </w:r>
    </w:p>
    <w:p w14:paraId="6FB276AE" w14:textId="77777777" w:rsidR="009154C0" w:rsidRPr="008B3AD6" w:rsidRDefault="009154C0" w:rsidP="0095758B">
      <w:pPr>
        <w:spacing w:line="360" w:lineRule="auto"/>
        <w:rPr>
          <w:rFonts w:eastAsiaTheme="majorEastAsia" w:cstheme="majorBidi"/>
          <w:b/>
          <w:color w:val="000000" w:themeColor="text1"/>
          <w:sz w:val="48"/>
          <w:szCs w:val="32"/>
        </w:rPr>
      </w:pPr>
      <w:r w:rsidRPr="008B3AD6">
        <w:br w:type="page"/>
      </w:r>
    </w:p>
    <w:p w14:paraId="5465A58A" w14:textId="749A9830" w:rsidR="00C975CA" w:rsidRPr="008B3AD6" w:rsidRDefault="00C975CA" w:rsidP="0095758B">
      <w:pPr>
        <w:pStyle w:val="Heading2"/>
      </w:pPr>
      <w:bookmarkStart w:id="223" w:name="_Ref518489437"/>
      <w:bookmarkStart w:id="224" w:name="_Toc3716097"/>
      <w:r w:rsidRPr="008B3AD6">
        <w:lastRenderedPageBreak/>
        <w:t>Results</w:t>
      </w:r>
      <w:bookmarkEnd w:id="224"/>
    </w:p>
    <w:p w14:paraId="07F2C230" w14:textId="4E74F706" w:rsidR="009154C0" w:rsidRPr="008B3AD6" w:rsidRDefault="009154C0" w:rsidP="00C975CA">
      <w:pPr>
        <w:pStyle w:val="Heading3"/>
      </w:pPr>
      <w:bookmarkStart w:id="225" w:name="_Ref521953713"/>
      <w:bookmarkStart w:id="226" w:name="_Toc3716098"/>
      <w:r w:rsidRPr="008B3AD6">
        <w:t xml:space="preserve">Optimisation of Amphotericin B detection </w:t>
      </w:r>
      <w:bookmarkEnd w:id="223"/>
      <w:r w:rsidR="00A47045" w:rsidRPr="008B3AD6">
        <w:t>by LC-MS</w:t>
      </w:r>
      <w:bookmarkEnd w:id="225"/>
      <w:r w:rsidR="006C4DF8">
        <w:t>/MS</w:t>
      </w:r>
      <w:bookmarkEnd w:id="226"/>
    </w:p>
    <w:p w14:paraId="071066C9" w14:textId="297708FB" w:rsidR="009154C0" w:rsidRPr="008B3AD6" w:rsidRDefault="006C4DF8" w:rsidP="009154C0">
      <w:pPr>
        <w:spacing w:line="360" w:lineRule="auto"/>
        <w:jc w:val="both"/>
      </w:pPr>
      <w:r>
        <w:rPr>
          <w:noProof/>
        </w:rPr>
        <mc:AlternateContent>
          <mc:Choice Requires="wps">
            <w:drawing>
              <wp:anchor distT="0" distB="0" distL="114300" distR="114300" simplePos="0" relativeHeight="251551744" behindDoc="0" locked="0" layoutInCell="1" allowOverlap="1" wp14:anchorId="1E2D7AB5" wp14:editId="6BBE6422">
                <wp:simplePos x="0" y="0"/>
                <wp:positionH relativeFrom="column">
                  <wp:posOffset>439420</wp:posOffset>
                </wp:positionH>
                <wp:positionV relativeFrom="paragraph">
                  <wp:posOffset>2542019</wp:posOffset>
                </wp:positionV>
                <wp:extent cx="647065" cy="436245"/>
                <wp:effectExtent l="0" t="0" r="0" b="0"/>
                <wp:wrapTopAndBottom/>
                <wp:docPr id="549" name="Text Box 549"/>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wps:cNvSpPr>
                      <wps:spPr>
                        <a:xfrm>
                          <a:off x="0" y="0"/>
                          <a:ext cx="647065" cy="436245"/>
                        </a:xfrm>
                        <a:prstGeom prst="rect">
                          <a:avLst/>
                        </a:prstGeom>
                        <a:noFill/>
                        <a:ln w="6350">
                          <a:noFill/>
                        </a:ln>
                      </wps:spPr>
                      <wps:txbx>
                        <w:txbxContent>
                          <w:p w14:paraId="04A66BAB" w14:textId="77777777" w:rsidR="00F61130" w:rsidRDefault="00F61130" w:rsidP="00813ACF">
                            <w: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E2D7AB5" id="Text Box 549" o:spid="_x0000_s1040" type="#_x0000_t202" style="position:absolute;left:0;text-align:left;margin-left:34.6pt;margin-top:200.15pt;width:50.95pt;height:34.35pt;z-index:2515517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Q/Om8RwIAAIgEAAAOAAAAZHJzL2Uyb0RvYy54bWysVN9v2jAQfp+0/8Hy+0igga4RoWJUTJNQ&#13;&#10;WwmmPhvHJtEcn2cbku6v39kJFHV7mvbinH2/v+8u8/uuUeQkrKtBF3Q8SikRmkNZ60NBv+/Wnz5T&#13;&#10;4jzTJVOgRUFfhaP3i48f5q3JxQQqUKWwBINol7emoJX3Jk8SxyvRMDcCIzQqJdiGebzaQ1Ja1mL0&#13;&#10;RiWTNJ0lLdjSWODCOXx96JV0EeNLKbh/ktIJT1RBsTYfTxvPfTiTxZzlB8tMVfOhDPYPVTSs1pj0&#13;&#10;EuqBeUaOtv4jVFNzCw6kH3FoEpCy5iL2gN2M03fdbCtmROwFwXHmApP7f2H54+nZkros6DS7o0Sz&#13;&#10;Bknaic6TL9CR8IYItcblaLg1aOo7VCDTsVtnNsB/OKJhVTF9EEtnEPGgRa/kyq2P4TBAAKmTtglf&#13;&#10;bJ9gLOTl9cJFSM3xcZbdprMpJRxV2c1skk1jzDdnY53/KqAhQSioxcSxJnbaOB/Ss/xsEnJpWNdK&#13;&#10;RbqVJi0muJmm0eGiQQ+lh7r7UkMHvtt3EaBxdsZiD+UrQmGhHydn+LrGIjbM+WdmcX6wI9wJ/4SH&#13;&#10;VIDJYJAoqcD++tt7sEdaUUtJi/NYUPfzyKygRH3TSPjdOMvCAMdLNr2d4MVea/bXGn1sVoAjP8bt&#13;&#10;MzyKwd6rsygtNC+4OsuQFVVMc8xdUH8WV77fElw9LpbLaIQja5jf6K3h5wkIEO+6F2bNwINHAh/h&#13;&#10;PLksf0dHb9sTsjx6kHXkKgDdozrgj+MeKRxWM+zT9T1avf1AFr8BAAD//wMAUEsDBBQABgAIAAAA&#13;&#10;IQAQmUI/5QAAAA8BAAAPAAAAZHJzL2Rvd25yZXYueG1sTE/LTsMwELwj8Q/WInGjdgKENo1TVUEV&#13;&#10;EiqHPi69bWI3iYjtELtt4OvZnuCy0u7MziNbjKZjZz341lkJ0UQA07ZyqrW1hP1u9TAF5gNahZ2z&#13;&#10;WsK39rDIb28yTJW72I0+b0PNSMT6FCU0IfQp575qtEE/cb22hB3dYDDQOtRcDXghcdPxWIiEG2wt&#13;&#10;OTTY66LR1ef2ZCS8F6sP3JSxmf50xdv6uOy/9odnKe/vxtc5jeUcWNBj+PuAawfKDzkFK93JKs86&#13;&#10;CcksJqaEJyEegV0JL1EErKRLMhPA84z/75H/AgAA//8DAFBLAQItABQABgAIAAAAIQC2gziS/gAA&#13;&#10;AOEBAAATAAAAAAAAAAAAAAAAAAAAAABbQ29udGVudF9UeXBlc10ueG1sUEsBAi0AFAAGAAgAAAAh&#13;&#10;ADj9If/WAAAAlAEAAAsAAAAAAAAAAAAAAAAALwEAAF9yZWxzLy5yZWxzUEsBAi0AFAAGAAgAAAAh&#13;&#10;AJD86bxHAgAAiAQAAA4AAAAAAAAAAAAAAAAALgIAAGRycy9lMm9Eb2MueG1sUEsBAi0AFAAGAAgA&#13;&#10;AAAhABCZQj/lAAAADwEAAA8AAAAAAAAAAAAAAAAAoQQAAGRycy9kb3ducmV2LnhtbFBLBQYAAAAA&#13;&#10;BAAEAPMAAACzBQAAAAA=&#13;&#10;" filled="f" stroked="f" strokeweight=".5pt">
                <o:lock v:ext="edit" aspectratio="t"/>
                <v:textbox>
                  <w:txbxContent>
                    <w:p w14:paraId="04A66BAB" w14:textId="77777777" w:rsidR="00F61130" w:rsidRDefault="00F61130" w:rsidP="00813ACF">
                      <w:r>
                        <w:t>A</w:t>
                      </w:r>
                    </w:p>
                  </w:txbxContent>
                </v:textbox>
                <w10:wrap type="topAndBottom"/>
              </v:shape>
            </w:pict>
          </mc:Fallback>
        </mc:AlternateContent>
      </w:r>
      <w:r w:rsidR="007621FC" w:rsidRPr="008B3AD6">
        <w:t xml:space="preserve">To begin the optimisation of </w:t>
      </w:r>
      <w:r w:rsidR="00A32111">
        <w:t>AmB</w:t>
      </w:r>
      <w:r w:rsidR="007621FC" w:rsidRPr="008B3AD6">
        <w:t xml:space="preserve"> detection, we first determined if </w:t>
      </w:r>
      <w:r w:rsidR="00A32111">
        <w:t>AmB</w:t>
      </w:r>
      <w:r w:rsidR="007621FC" w:rsidRPr="008B3AD6">
        <w:t xml:space="preserve"> was detectable using an LC-MS</w:t>
      </w:r>
      <w:r>
        <w:t>/MS</w:t>
      </w:r>
      <w:r w:rsidR="007621FC" w:rsidRPr="008B3AD6">
        <w:t xml:space="preserve"> approach. A solution of </w:t>
      </w:r>
      <w:r w:rsidR="00A32111">
        <w:t>AmB</w:t>
      </w:r>
      <w:r w:rsidR="007621FC" w:rsidRPr="008B3AD6">
        <w:t xml:space="preserve"> (0.2 mg/ml) and Clopidogrel (0.5 mg/ml) in 100% methanol, containing no biological components, was analysed, as described in Section </w:t>
      </w:r>
      <w:r w:rsidR="008B3AD6" w:rsidRPr="008B3AD6">
        <w:fldChar w:fldCharType="begin"/>
      </w:r>
      <w:r w:rsidR="008B3AD6" w:rsidRPr="008B3AD6">
        <w:instrText xml:space="preserve"> REF _Ref519019755 \n </w:instrText>
      </w:r>
      <w:r w:rsidR="008B3AD6">
        <w:instrText xml:space="preserve"> \* MERGEFORMAT </w:instrText>
      </w:r>
      <w:r w:rsidR="008B3AD6" w:rsidRPr="008B3AD6">
        <w:fldChar w:fldCharType="separate"/>
      </w:r>
      <w:r w:rsidR="00031DCA">
        <w:t>2.13</w:t>
      </w:r>
      <w:r w:rsidR="008B3AD6" w:rsidRPr="008B3AD6">
        <w:fldChar w:fldCharType="end"/>
      </w:r>
      <w:r w:rsidR="0026427F">
        <w:t>.</w:t>
      </w:r>
      <w:r w:rsidR="007621FC" w:rsidRPr="008B3AD6">
        <w:t xml:space="preserve"> Clopidogrel was used as an internal standard. </w:t>
      </w:r>
      <w:r w:rsidR="00A32111">
        <w:t>AmB</w:t>
      </w:r>
      <w:r w:rsidR="009154C0" w:rsidRPr="008B3AD6">
        <w:t xml:space="preserve"> and Clopidogrel </w:t>
      </w:r>
      <w:r w:rsidR="007621FC" w:rsidRPr="008B3AD6">
        <w:t>were</w:t>
      </w:r>
      <w:r w:rsidR="009154C0" w:rsidRPr="008B3AD6">
        <w:t xml:space="preserve"> eluted from the liquid chromatography comp</w:t>
      </w:r>
      <w:r w:rsidR="007621FC" w:rsidRPr="008B3AD6">
        <w:t>onent at 1.73 mins and 1.95 min</w:t>
      </w:r>
      <w:r w:rsidR="0026427F">
        <w:t xml:space="preserve">, this was determined by comparing the mass-charge ratio detected with the known values for </w:t>
      </w:r>
      <w:r w:rsidR="00A32111">
        <w:t>AmB</w:t>
      </w:r>
      <w:r w:rsidR="0026427F">
        <w:t xml:space="preserve"> and Clopidogrel and relating them to their corresponding elution time</w:t>
      </w:r>
      <w:r w:rsidR="007621FC" w:rsidRPr="008B3AD6">
        <w:t xml:space="preserve">, shown in </w:t>
      </w:r>
      <w:r w:rsidR="0074700A">
        <w:rPr>
          <w:b/>
        </w:rPr>
        <w:fldChar w:fldCharType="begin"/>
      </w:r>
      <w:r w:rsidR="0074700A">
        <w:rPr>
          <w:b/>
        </w:rPr>
        <w:instrText xml:space="preserve"> REF _Ref518931765  \* MERGEFORMAT </w:instrText>
      </w:r>
      <w:r w:rsidR="0074700A">
        <w:rPr>
          <w:b/>
        </w:rPr>
        <w:fldChar w:fldCharType="separate"/>
      </w:r>
      <w:r w:rsidR="00E5551E" w:rsidRPr="00E5551E">
        <w:rPr>
          <w:b/>
        </w:rPr>
        <w:t xml:space="preserve">Figure </w:t>
      </w:r>
      <w:r w:rsidR="00E5551E" w:rsidRPr="00E5551E">
        <w:rPr>
          <w:b/>
          <w:noProof/>
        </w:rPr>
        <w:t>3.1</w:t>
      </w:r>
      <w:r w:rsidR="0074700A">
        <w:rPr>
          <w:b/>
          <w:noProof/>
        </w:rPr>
        <w:fldChar w:fldCharType="end"/>
      </w:r>
      <w:r w:rsidR="007621FC" w:rsidRPr="008B3AD6">
        <w:t xml:space="preserve">, confirming the ability of the utilised equipment to detect both </w:t>
      </w:r>
      <w:r w:rsidR="00A32111">
        <w:t>AmB</w:t>
      </w:r>
      <w:r w:rsidR="007621FC" w:rsidRPr="008B3AD6">
        <w:t xml:space="preserve"> and the </w:t>
      </w:r>
      <w:r w:rsidR="007A5401" w:rsidRPr="008B3AD6">
        <w:t xml:space="preserve">proposed </w:t>
      </w:r>
      <w:r w:rsidR="007621FC" w:rsidRPr="008B3AD6">
        <w:t>internal standard</w:t>
      </w:r>
      <w:r w:rsidR="009154C0" w:rsidRPr="008B3AD6">
        <w:t xml:space="preserve">.  </w:t>
      </w:r>
    </w:p>
    <w:p w14:paraId="1B43DB1A" w14:textId="08444226" w:rsidR="009154C0" w:rsidRPr="008B3AD6" w:rsidRDefault="006C4DF8" w:rsidP="009154C0">
      <w:pPr>
        <w:spacing w:line="360" w:lineRule="auto"/>
        <w:jc w:val="both"/>
      </w:pPr>
      <w:r>
        <w:rPr>
          <w:noProof/>
        </w:rPr>
        <mc:AlternateContent>
          <mc:Choice Requires="wps">
            <w:drawing>
              <wp:anchor distT="0" distB="0" distL="114300" distR="114300" simplePos="0" relativeHeight="251552768" behindDoc="0" locked="0" layoutInCell="1" allowOverlap="1" wp14:anchorId="230FB8B5" wp14:editId="0214510F">
                <wp:simplePos x="0" y="0"/>
                <wp:positionH relativeFrom="column">
                  <wp:posOffset>449580</wp:posOffset>
                </wp:positionH>
                <wp:positionV relativeFrom="paragraph">
                  <wp:posOffset>1414095</wp:posOffset>
                </wp:positionV>
                <wp:extent cx="647700" cy="436880"/>
                <wp:effectExtent l="0" t="0" r="0" b="0"/>
                <wp:wrapTopAndBottom/>
                <wp:docPr id="550" name="Text Box 550"/>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wps:cNvSpPr>
                      <wps:spPr>
                        <a:xfrm>
                          <a:off x="0" y="0"/>
                          <a:ext cx="647700" cy="436880"/>
                        </a:xfrm>
                        <a:prstGeom prst="rect">
                          <a:avLst/>
                        </a:prstGeom>
                        <a:noFill/>
                        <a:ln w="6350">
                          <a:noFill/>
                        </a:ln>
                      </wps:spPr>
                      <wps:txbx>
                        <w:txbxContent>
                          <w:p w14:paraId="7E842659" w14:textId="77777777" w:rsidR="00F61130" w:rsidRDefault="00F61130" w:rsidP="00813ACF">
                            <w: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30FB8B5" id="Text Box 550" o:spid="_x0000_s1041" type="#_x0000_t202" style="position:absolute;left:0;text-align:left;margin-left:35.4pt;margin-top:111.35pt;width:51pt;height:34.4pt;z-index:2515527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XMOnrRgIAAIgEAAAOAAAAZHJzL2Uyb0RvYy54bWysVF1v2jAUfZ+0/2D5fQ1QoDQiVKxVp0mo&#13;&#10;rQRTn43jkGiJr2cbku7X79iBlnV7mvbi2D7X9+OcezO/6ZqaHZR1FemMDy8GnCktKa/0LuPfNvef&#13;&#10;Zpw5L3QuatIq4y/K8ZvFxw/z1qRqRCXVubIMTrRLW5Px0nuTJomTpWqEuyCjNMCCbCM8jnaX5Fa0&#13;&#10;8N7UyWgwmCYt2dxYkso53N71IF9E/0WhpH8sCqc8qzOO3HxcbVy3YU0Wc5HurDBlJY9piH/IohGV&#13;&#10;RtBXV3fCC7a31R+umkpaclT4C0lNQkVRSRVrQDXDwbtq1qUwKtYCcpx5pcn9P7fy4fBkWZVnfDIB&#13;&#10;P1o0EGmjOs8+U8fCHRhqjUthuDYw9R0AKB2rdWZF8rtjmm5LoXdq6QwYDyheJWfPeh8ODgJJXWGb&#13;&#10;8EX5DL4Q9+VVixBa4nI6vroaAJGAxpfT2Sxmkrw9Ntb5L4oaFjYZtwgccxKHlfMhvEhPJiGWpvuq&#13;&#10;rqPctWYtAlyiuN8QvKj1Me8+1VCB77ZdJGg4OXGxpfwFVFjq28kZeV8hiZVw/klY9A/yxkz4RyxF&#13;&#10;TQhGxx1nJdmff7sP9pAVKGct+jHj7sdeWMVZ/VVD8OvheAy3Ph7Gk6sRDvYc2Z4jet/cElp+iOkz&#13;&#10;Mm6Dva9P28JS84zRWYaogISWiJ1xf9re+n5KMHpSLZfRCC1rhF/ptZGnDggUb7pnYc1RBw8BH+jU&#13;&#10;uSJ9J0dv29O+3HsqqqhVILpn9cg/2j1KeBzNME/n52j19gNZ/AIAAP//AwBQSwMEFAAGAAgAAAAh&#13;&#10;AHjjYnPlAAAADwEAAA8AAABkcnMvZG93bnJldi54bWxMj09vwjAMxe+T9h0iI+02UiKxstIUoU5o&#13;&#10;0rQdYFx2SxvTVuRP1wTo9ulnTuxiyc/28+/lq9EadsYhdN5JmE0TYOhqrzvXSNh/bh4XwEJUTivj&#13;&#10;HUr4wQCr4v4uV5n2F7fF8y42jExcyJSENsY+4zzULVoVpr5HR7ODH6yK1A4N14O6kLk1XCTJE7eq&#13;&#10;c/ShVT2WLdbH3clKeCs3H2pbCbv4NeXr+2Hdf++/5lI+TMaXJZX1EljEMd4u4JqB+KEgsMqfnA7M&#13;&#10;SEgTwo8ShBApsOtCKkipSHmezYEXOf+fo/gDAAD//wMAUEsBAi0AFAAGAAgAAAAhALaDOJL+AAAA&#13;&#10;4QEAABMAAAAAAAAAAAAAAAAAAAAAAFtDb250ZW50X1R5cGVzXS54bWxQSwECLQAUAAYACAAAACEA&#13;&#10;OP0h/9YAAACUAQAACwAAAAAAAAAAAAAAAAAvAQAAX3JlbHMvLnJlbHNQSwECLQAUAAYACAAAACEA&#13;&#10;VzDp60YCAACIBAAADgAAAAAAAAAAAAAAAAAuAgAAZHJzL2Uyb0RvYy54bWxQSwECLQAUAAYACAAA&#13;&#10;ACEAeONic+UAAAAPAQAADwAAAAAAAAAAAAAAAACgBAAAZHJzL2Rvd25yZXYueG1sUEsFBgAAAAAE&#13;&#10;AAQA8wAAALIFAAAAAA==&#13;&#10;" filled="f" stroked="f" strokeweight=".5pt">
                <o:lock v:ext="edit" aspectratio="t"/>
                <v:textbox>
                  <w:txbxContent>
                    <w:p w14:paraId="7E842659" w14:textId="77777777" w:rsidR="00F61130" w:rsidRDefault="00F61130" w:rsidP="00813ACF">
                      <w:r>
                        <w:t>B</w:t>
                      </w:r>
                    </w:p>
                  </w:txbxContent>
                </v:textbox>
                <w10:wrap type="topAndBottom"/>
              </v:shape>
            </w:pict>
          </mc:Fallback>
        </mc:AlternateContent>
      </w:r>
      <w:r w:rsidR="00CD3F99">
        <w:rPr>
          <w:noProof/>
        </w:rPr>
        <w:drawing>
          <wp:anchor distT="0" distB="0" distL="114300" distR="114300" simplePos="0" relativeHeight="251550720" behindDoc="0" locked="0" layoutInCell="1" allowOverlap="1" wp14:anchorId="2BFF13F0" wp14:editId="607664B8">
            <wp:simplePos x="0" y="0"/>
            <wp:positionH relativeFrom="column">
              <wp:posOffset>737206</wp:posOffset>
            </wp:positionH>
            <wp:positionV relativeFrom="paragraph">
              <wp:posOffset>182366</wp:posOffset>
            </wp:positionV>
            <wp:extent cx="4389120" cy="2879090"/>
            <wp:effectExtent l="0" t="0" r="5080" b="0"/>
            <wp:wrapTopAndBottom/>
            <wp:docPr id="548" name="Picture 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8" name="Picture 548"/>
                    <pic:cNvPicPr>
                      <a:picLocks noChangeAspect="1"/>
                    </pic:cNvPicPr>
                  </pic:nvPicPr>
                  <pic:blipFill>
                    <a:blip r:embed="rId30" cstate="print">
                      <a:extLst>
                        <a:ext uri="{28A0092B-C50C-407E-A947-70E740481C1C}">
                          <a14:useLocalDpi xmlns:a14="http://schemas.microsoft.com/office/drawing/2010/main" val="0"/>
                        </a:ext>
                      </a:extLst>
                    </a:blip>
                    <a:stretch>
                      <a:fillRect/>
                    </a:stretch>
                  </pic:blipFill>
                  <pic:spPr>
                    <a:xfrm>
                      <a:off x="0" y="0"/>
                      <a:ext cx="4389120" cy="2879090"/>
                    </a:xfrm>
                    <a:prstGeom prst="rect">
                      <a:avLst/>
                    </a:prstGeom>
                  </pic:spPr>
                </pic:pic>
              </a:graphicData>
            </a:graphic>
          </wp:anchor>
        </w:drawing>
      </w:r>
      <w:r w:rsidR="00CD3F99">
        <w:rPr>
          <w:noProof/>
        </w:rPr>
        <mc:AlternateContent>
          <mc:Choice Requires="wps">
            <w:drawing>
              <wp:anchor distT="0" distB="0" distL="114300" distR="114300" simplePos="0" relativeHeight="251553792" behindDoc="0" locked="0" layoutInCell="1" allowOverlap="1" wp14:anchorId="76B167A1" wp14:editId="3902D07F">
                <wp:simplePos x="0" y="0"/>
                <wp:positionH relativeFrom="column">
                  <wp:posOffset>99253</wp:posOffset>
                </wp:positionH>
                <wp:positionV relativeFrom="paragraph">
                  <wp:posOffset>3116952</wp:posOffset>
                </wp:positionV>
                <wp:extent cx="5399405" cy="869024"/>
                <wp:effectExtent l="0" t="0" r="0" b="0"/>
                <wp:wrapTopAndBottom/>
                <wp:docPr id="64" name="Text Box 64"/>
                <wp:cNvGraphicFramePr/>
                <a:graphic xmlns:a="http://schemas.openxmlformats.org/drawingml/2006/main">
                  <a:graphicData uri="http://schemas.microsoft.com/office/word/2010/wordprocessingShape">
                    <wps:wsp>
                      <wps:cNvSpPr txBox="1"/>
                      <wps:spPr>
                        <a:xfrm>
                          <a:off x="0" y="0"/>
                          <a:ext cx="5399405" cy="869024"/>
                        </a:xfrm>
                        <a:prstGeom prst="rect">
                          <a:avLst/>
                        </a:prstGeom>
                        <a:solidFill>
                          <a:prstClr val="white"/>
                        </a:solidFill>
                        <a:ln>
                          <a:noFill/>
                        </a:ln>
                      </wps:spPr>
                      <wps:txbx>
                        <w:txbxContent>
                          <w:p w14:paraId="0AF5ABB7" w14:textId="1EB4EBEA" w:rsidR="00F61130" w:rsidRPr="0004454D" w:rsidRDefault="00F61130" w:rsidP="007A5401">
                            <w:pPr>
                              <w:pStyle w:val="Caption"/>
                              <w:spacing w:line="360" w:lineRule="auto"/>
                              <w:jc w:val="both"/>
                              <w:rPr>
                                <w:noProof/>
                                <w:sz w:val="20"/>
                                <w:szCs w:val="20"/>
                              </w:rPr>
                            </w:pPr>
                            <w:bookmarkStart w:id="227" w:name="_Ref518931765"/>
                            <w:bookmarkStart w:id="228" w:name="_Toc525227192"/>
                            <w:bookmarkStart w:id="229" w:name="_Toc536814131"/>
                            <w:r w:rsidRPr="0004454D">
                              <w:rPr>
                                <w:b/>
                                <w:sz w:val="20"/>
                                <w:szCs w:val="20"/>
                              </w:rPr>
                              <w:t xml:space="preserve">Figure </w:t>
                            </w:r>
                            <w:r>
                              <w:rPr>
                                <w:b/>
                                <w:sz w:val="20"/>
                                <w:szCs w:val="20"/>
                              </w:rPr>
                              <w:fldChar w:fldCharType="begin"/>
                            </w:r>
                            <w:r>
                              <w:rPr>
                                <w:b/>
                                <w:sz w:val="20"/>
                                <w:szCs w:val="20"/>
                              </w:rPr>
                              <w:instrText xml:space="preserve"> STYLEREF 1 \s </w:instrText>
                            </w:r>
                            <w:r>
                              <w:rPr>
                                <w:b/>
                                <w:sz w:val="20"/>
                                <w:szCs w:val="20"/>
                              </w:rPr>
                              <w:fldChar w:fldCharType="separate"/>
                            </w:r>
                            <w:r>
                              <w:rPr>
                                <w:b/>
                                <w:noProof/>
                                <w:sz w:val="20"/>
                                <w:szCs w:val="20"/>
                              </w:rPr>
                              <w:t>3</w:t>
                            </w:r>
                            <w:r>
                              <w:rPr>
                                <w:b/>
                                <w:sz w:val="20"/>
                                <w:szCs w:val="20"/>
                              </w:rPr>
                              <w:fldChar w:fldCharType="end"/>
                            </w:r>
                            <w:r>
                              <w:rPr>
                                <w:b/>
                                <w:sz w:val="20"/>
                                <w:szCs w:val="20"/>
                              </w:rPr>
                              <w:t>.</w:t>
                            </w:r>
                            <w:r>
                              <w:rPr>
                                <w:b/>
                                <w:sz w:val="20"/>
                                <w:szCs w:val="20"/>
                              </w:rPr>
                              <w:fldChar w:fldCharType="begin"/>
                            </w:r>
                            <w:r>
                              <w:rPr>
                                <w:b/>
                                <w:sz w:val="20"/>
                                <w:szCs w:val="20"/>
                              </w:rPr>
                              <w:instrText xml:space="preserve"> SEQ Figure \* ARABIC \s 1 </w:instrText>
                            </w:r>
                            <w:r>
                              <w:rPr>
                                <w:b/>
                                <w:sz w:val="20"/>
                                <w:szCs w:val="20"/>
                              </w:rPr>
                              <w:fldChar w:fldCharType="separate"/>
                            </w:r>
                            <w:r>
                              <w:rPr>
                                <w:b/>
                                <w:noProof/>
                                <w:sz w:val="20"/>
                                <w:szCs w:val="20"/>
                              </w:rPr>
                              <w:t>1</w:t>
                            </w:r>
                            <w:r>
                              <w:rPr>
                                <w:b/>
                                <w:sz w:val="20"/>
                                <w:szCs w:val="20"/>
                              </w:rPr>
                              <w:fldChar w:fldCharType="end"/>
                            </w:r>
                            <w:bookmarkEnd w:id="227"/>
                            <w:r w:rsidRPr="0004454D">
                              <w:rPr>
                                <w:b/>
                                <w:sz w:val="20"/>
                                <w:szCs w:val="20"/>
                              </w:rPr>
                              <w:t xml:space="preserve"> - Chromatogram of Amphotericin B and Clopidogrel. </w:t>
                            </w:r>
                            <w:r w:rsidRPr="0004454D">
                              <w:rPr>
                                <w:sz w:val="20"/>
                                <w:szCs w:val="20"/>
                              </w:rPr>
                              <w:t xml:space="preserve">Liquid chromatography-mass spectroscopy </w:t>
                            </w:r>
                            <w:r>
                              <w:rPr>
                                <w:sz w:val="20"/>
                                <w:szCs w:val="20"/>
                              </w:rPr>
                              <w:t>chromatogram of a 5ul sample injection without column purifcation containing</w:t>
                            </w:r>
                            <w:r w:rsidRPr="0004454D">
                              <w:rPr>
                                <w:sz w:val="20"/>
                                <w:szCs w:val="20"/>
                              </w:rPr>
                              <w:t xml:space="preserve"> </w:t>
                            </w:r>
                            <w:r>
                              <w:rPr>
                                <w:sz w:val="20"/>
                                <w:szCs w:val="20"/>
                              </w:rPr>
                              <w:t xml:space="preserve">1 </w:t>
                            </w:r>
                            <w:r>
                              <w:rPr>
                                <w:sz w:val="20"/>
                                <w:szCs w:val="20"/>
                              </w:rPr>
                              <w:sym w:font="Symbol" w:char="F06D"/>
                            </w:r>
                            <w:r>
                              <w:rPr>
                                <w:sz w:val="20"/>
                                <w:szCs w:val="20"/>
                              </w:rPr>
                              <w:t xml:space="preserve">g of </w:t>
                            </w:r>
                            <w:r w:rsidRPr="0004454D">
                              <w:rPr>
                                <w:sz w:val="20"/>
                                <w:szCs w:val="20"/>
                              </w:rPr>
                              <w:t xml:space="preserve">Amphotericin B (A) and </w:t>
                            </w:r>
                            <w:r>
                              <w:rPr>
                                <w:sz w:val="20"/>
                                <w:szCs w:val="20"/>
                              </w:rPr>
                              <w:t xml:space="preserve">2.5 </w:t>
                            </w:r>
                            <w:r>
                              <w:rPr>
                                <w:sz w:val="20"/>
                                <w:szCs w:val="20"/>
                              </w:rPr>
                              <w:sym w:font="Symbol" w:char="F06D"/>
                            </w:r>
                            <w:r>
                              <w:rPr>
                                <w:sz w:val="20"/>
                                <w:szCs w:val="20"/>
                              </w:rPr>
                              <w:t>g of Clopidogrel (B) dissolved in 100% methanol.</w:t>
                            </w:r>
                            <w:r w:rsidRPr="0004454D">
                              <w:rPr>
                                <w:sz w:val="20"/>
                                <w:szCs w:val="20"/>
                              </w:rPr>
                              <w:t xml:space="preserve"> </w:t>
                            </w:r>
                            <w:r>
                              <w:rPr>
                                <w:sz w:val="20"/>
                                <w:szCs w:val="20"/>
                              </w:rPr>
                              <w:t>D</w:t>
                            </w:r>
                            <w:r w:rsidRPr="0004454D">
                              <w:rPr>
                                <w:sz w:val="20"/>
                                <w:szCs w:val="20"/>
                              </w:rPr>
                              <w:t>etect</w:t>
                            </w:r>
                            <w:r>
                              <w:rPr>
                                <w:sz w:val="20"/>
                                <w:szCs w:val="20"/>
                              </w:rPr>
                              <w:t>ion was performed</w:t>
                            </w:r>
                            <w:r w:rsidRPr="0004454D">
                              <w:rPr>
                                <w:sz w:val="20"/>
                                <w:szCs w:val="20"/>
                              </w:rPr>
                              <w:t xml:space="preserve"> using a TSQ Endura™ Triple Quadrupole Mass Spectrometer.</w:t>
                            </w:r>
                            <w:bookmarkEnd w:id="228"/>
                            <w:bookmarkEnd w:id="229"/>
                          </w:p>
                          <w:p w14:paraId="60D6C692" w14:textId="10D9B4B1" w:rsidR="00F61130" w:rsidRPr="0004454D" w:rsidRDefault="00F61130" w:rsidP="007A5401">
                            <w:pPr>
                              <w:pStyle w:val="Caption"/>
                              <w:spacing w:line="360" w:lineRule="auto"/>
                              <w:jc w:val="both"/>
                              <w:rPr>
                                <w:noProof/>
                                <w:sz w:val="20"/>
                                <w:szCs w:val="20"/>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76B167A1" id="Text Box 64" o:spid="_x0000_s1042" type="#_x0000_t202" style="position:absolute;left:0;text-align:left;margin-left:7.8pt;margin-top:245.45pt;width:425.15pt;height:68.45pt;z-index:2515537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qddrrNQIAAGoEAAAOAAAAZHJzL2Uyb0RvYy54bWysVFFv2yAQfp+0/4B4X+xkbdRYcaosVaZJ&#13;&#10;UVspmfpMMI6RgGNAYme/fgeO067b07QXfNwdB9/33Xl+32lFTsJ5Caak41FOiTAcKmkOJf2+W3+6&#13;&#10;o8QHZiqmwIiSnoWn94uPH+atLcQEGlCVcASLGF+0tqRNCLbIMs8boZkfgRUGgzU4zQJu3SGrHGux&#13;&#10;ulbZJM+nWQuusg648B69D32QLlL9uhY8PNW1F4GokuLbQlpdWvdxzRZzVhwcs43kl2ewf3iFZtLg&#13;&#10;pddSDywwcnTyj1Jacgce6jDioDOoa8lFwoBoxvk7NNuGWZGwIDneXmny/68sfzw9OyKrkk5vKDFM&#13;&#10;o0Y70QXyBTqCLuSntb7AtK3FxNChH3Ue/B6dEXZXOx2/CIhgHJk+X9mN1Tg6bz/PZjf5LSUcY3fT&#13;&#10;WT5J5bPX09b58FWAJtEoqUP1EqnstPEBX4KpQ0q8zIOS1VoqFTcxsFKOnBgq3TYyiPhGPPFbljIx&#13;&#10;10A81YejJ4sQeyjRCt2+S5SMpwPOPVRnhO+gbyBv+VrihRvmwzNz2DGIGKcgPOFSK2hLCheLkgbc&#13;&#10;z7/5Yz4KiVFKWuzAkvofR+YEJeqbQYljuw6GG4z9YJijXgFCHeN8WZ5MPOCCGszagX7B4VjGWzDE&#13;&#10;DMe7ShoGcxX6OcDh4mK5TEnYlJaFjdlaHksPxO66F+bsRZaAgj7C0JuseKdOn9vTvDwGqGWSLhLb&#13;&#10;s3jhGxs66XMZvjgxb/cp6/UXsfgFAAD//wMAUEsDBBQABgAIAAAAIQAyhJck4gAAAA8BAAAPAAAA&#13;&#10;ZHJzL2Rvd25yZXYueG1sTE9NT4NAEL2b+B82Y+LF2EVikVKWRove9NDa9LxlRyCys4RdCv33jie9&#13;&#10;TOZl3ryPfDPbTpxx8K0jBQ+LCARS5UxLtYLD59t9CsIHTUZ3jlDBBT1siuurXGfGTbTD8z7UgkXI&#13;&#10;Z1pBE0KfSemrBq32C9cj8e3LDVYHhkMtzaAnFredjKMokVa3xA6N7nHbYPW9H62CpBzGaUfbu/Lw&#13;&#10;+q4/+jo+vlyOSt3ezOWax/MaRMA5/H3AbwfODwUHO7mRjBcd42XCTAWPq2gFgglpsuTlxBbxUwqy&#13;&#10;yOX/HsUPAAAA//8DAFBLAQItABQABgAIAAAAIQC2gziS/gAAAOEBAAATAAAAAAAAAAAAAAAAAAAA&#13;&#10;AABbQ29udGVudF9UeXBlc10ueG1sUEsBAi0AFAAGAAgAAAAhADj9If/WAAAAlAEAAAsAAAAAAAAA&#13;&#10;AAAAAAAALwEAAF9yZWxzLy5yZWxzUEsBAi0AFAAGAAgAAAAhAKp12us1AgAAagQAAA4AAAAAAAAA&#13;&#10;AAAAAAAALgIAAGRycy9lMm9Eb2MueG1sUEsBAi0AFAAGAAgAAAAhADKElyTiAAAADwEAAA8AAAAA&#13;&#10;AAAAAAAAAAAAjwQAAGRycy9kb3ducmV2LnhtbFBLBQYAAAAABAAEAPMAAACeBQAAAAA=&#13;&#10;" stroked="f">
                <v:textbox inset="0,0,0,0">
                  <w:txbxContent>
                    <w:p w14:paraId="0AF5ABB7" w14:textId="1EB4EBEA" w:rsidR="00F61130" w:rsidRPr="0004454D" w:rsidRDefault="00F61130" w:rsidP="007A5401">
                      <w:pPr>
                        <w:pStyle w:val="Caption"/>
                        <w:spacing w:line="360" w:lineRule="auto"/>
                        <w:jc w:val="both"/>
                        <w:rPr>
                          <w:noProof/>
                          <w:sz w:val="20"/>
                          <w:szCs w:val="20"/>
                        </w:rPr>
                      </w:pPr>
                      <w:bookmarkStart w:id="230" w:name="_Ref518931765"/>
                      <w:bookmarkStart w:id="231" w:name="_Toc525227192"/>
                      <w:bookmarkStart w:id="232" w:name="_Toc536814131"/>
                      <w:r w:rsidRPr="0004454D">
                        <w:rPr>
                          <w:b/>
                          <w:sz w:val="20"/>
                          <w:szCs w:val="20"/>
                        </w:rPr>
                        <w:t xml:space="preserve">Figure </w:t>
                      </w:r>
                      <w:r>
                        <w:rPr>
                          <w:b/>
                          <w:sz w:val="20"/>
                          <w:szCs w:val="20"/>
                        </w:rPr>
                        <w:fldChar w:fldCharType="begin"/>
                      </w:r>
                      <w:r>
                        <w:rPr>
                          <w:b/>
                          <w:sz w:val="20"/>
                          <w:szCs w:val="20"/>
                        </w:rPr>
                        <w:instrText xml:space="preserve"> STYLEREF 1 \s </w:instrText>
                      </w:r>
                      <w:r>
                        <w:rPr>
                          <w:b/>
                          <w:sz w:val="20"/>
                          <w:szCs w:val="20"/>
                        </w:rPr>
                        <w:fldChar w:fldCharType="separate"/>
                      </w:r>
                      <w:r>
                        <w:rPr>
                          <w:b/>
                          <w:noProof/>
                          <w:sz w:val="20"/>
                          <w:szCs w:val="20"/>
                        </w:rPr>
                        <w:t>3</w:t>
                      </w:r>
                      <w:r>
                        <w:rPr>
                          <w:b/>
                          <w:sz w:val="20"/>
                          <w:szCs w:val="20"/>
                        </w:rPr>
                        <w:fldChar w:fldCharType="end"/>
                      </w:r>
                      <w:r>
                        <w:rPr>
                          <w:b/>
                          <w:sz w:val="20"/>
                          <w:szCs w:val="20"/>
                        </w:rPr>
                        <w:t>.</w:t>
                      </w:r>
                      <w:r>
                        <w:rPr>
                          <w:b/>
                          <w:sz w:val="20"/>
                          <w:szCs w:val="20"/>
                        </w:rPr>
                        <w:fldChar w:fldCharType="begin"/>
                      </w:r>
                      <w:r>
                        <w:rPr>
                          <w:b/>
                          <w:sz w:val="20"/>
                          <w:szCs w:val="20"/>
                        </w:rPr>
                        <w:instrText xml:space="preserve"> SEQ Figure \* ARABIC \s 1 </w:instrText>
                      </w:r>
                      <w:r>
                        <w:rPr>
                          <w:b/>
                          <w:sz w:val="20"/>
                          <w:szCs w:val="20"/>
                        </w:rPr>
                        <w:fldChar w:fldCharType="separate"/>
                      </w:r>
                      <w:r>
                        <w:rPr>
                          <w:b/>
                          <w:noProof/>
                          <w:sz w:val="20"/>
                          <w:szCs w:val="20"/>
                        </w:rPr>
                        <w:t>1</w:t>
                      </w:r>
                      <w:r>
                        <w:rPr>
                          <w:b/>
                          <w:sz w:val="20"/>
                          <w:szCs w:val="20"/>
                        </w:rPr>
                        <w:fldChar w:fldCharType="end"/>
                      </w:r>
                      <w:bookmarkEnd w:id="230"/>
                      <w:r w:rsidRPr="0004454D">
                        <w:rPr>
                          <w:b/>
                          <w:sz w:val="20"/>
                          <w:szCs w:val="20"/>
                        </w:rPr>
                        <w:t xml:space="preserve"> - Chromatogram of Amphotericin B and Clopidogrel. </w:t>
                      </w:r>
                      <w:r w:rsidRPr="0004454D">
                        <w:rPr>
                          <w:sz w:val="20"/>
                          <w:szCs w:val="20"/>
                        </w:rPr>
                        <w:t xml:space="preserve">Liquid chromatography-mass spectroscopy </w:t>
                      </w:r>
                      <w:r>
                        <w:rPr>
                          <w:sz w:val="20"/>
                          <w:szCs w:val="20"/>
                        </w:rPr>
                        <w:t>chromatogram of a 5ul sample injection without column purifcation containing</w:t>
                      </w:r>
                      <w:r w:rsidRPr="0004454D">
                        <w:rPr>
                          <w:sz w:val="20"/>
                          <w:szCs w:val="20"/>
                        </w:rPr>
                        <w:t xml:space="preserve"> </w:t>
                      </w:r>
                      <w:r>
                        <w:rPr>
                          <w:sz w:val="20"/>
                          <w:szCs w:val="20"/>
                        </w:rPr>
                        <w:t xml:space="preserve">1 </w:t>
                      </w:r>
                      <w:r>
                        <w:rPr>
                          <w:sz w:val="20"/>
                          <w:szCs w:val="20"/>
                        </w:rPr>
                        <w:sym w:font="Symbol" w:char="F06D"/>
                      </w:r>
                      <w:r>
                        <w:rPr>
                          <w:sz w:val="20"/>
                          <w:szCs w:val="20"/>
                        </w:rPr>
                        <w:t xml:space="preserve">g of </w:t>
                      </w:r>
                      <w:r w:rsidRPr="0004454D">
                        <w:rPr>
                          <w:sz w:val="20"/>
                          <w:szCs w:val="20"/>
                        </w:rPr>
                        <w:t xml:space="preserve">Amphotericin B (A) and </w:t>
                      </w:r>
                      <w:r>
                        <w:rPr>
                          <w:sz w:val="20"/>
                          <w:szCs w:val="20"/>
                        </w:rPr>
                        <w:t xml:space="preserve">2.5 </w:t>
                      </w:r>
                      <w:r>
                        <w:rPr>
                          <w:sz w:val="20"/>
                          <w:szCs w:val="20"/>
                        </w:rPr>
                        <w:sym w:font="Symbol" w:char="F06D"/>
                      </w:r>
                      <w:r>
                        <w:rPr>
                          <w:sz w:val="20"/>
                          <w:szCs w:val="20"/>
                        </w:rPr>
                        <w:t>g of Clopidogrel (B) dissolved in 100% methanol.</w:t>
                      </w:r>
                      <w:r w:rsidRPr="0004454D">
                        <w:rPr>
                          <w:sz w:val="20"/>
                          <w:szCs w:val="20"/>
                        </w:rPr>
                        <w:t xml:space="preserve"> </w:t>
                      </w:r>
                      <w:r>
                        <w:rPr>
                          <w:sz w:val="20"/>
                          <w:szCs w:val="20"/>
                        </w:rPr>
                        <w:t>D</w:t>
                      </w:r>
                      <w:r w:rsidRPr="0004454D">
                        <w:rPr>
                          <w:sz w:val="20"/>
                          <w:szCs w:val="20"/>
                        </w:rPr>
                        <w:t>etect</w:t>
                      </w:r>
                      <w:r>
                        <w:rPr>
                          <w:sz w:val="20"/>
                          <w:szCs w:val="20"/>
                        </w:rPr>
                        <w:t>ion was performed</w:t>
                      </w:r>
                      <w:r w:rsidRPr="0004454D">
                        <w:rPr>
                          <w:sz w:val="20"/>
                          <w:szCs w:val="20"/>
                        </w:rPr>
                        <w:t xml:space="preserve"> using a TSQ Endura™ Triple Quadrupole Mass Spectrometer.</w:t>
                      </w:r>
                      <w:bookmarkEnd w:id="231"/>
                      <w:bookmarkEnd w:id="232"/>
                    </w:p>
                    <w:p w14:paraId="60D6C692" w14:textId="10D9B4B1" w:rsidR="00F61130" w:rsidRPr="0004454D" w:rsidRDefault="00F61130" w:rsidP="007A5401">
                      <w:pPr>
                        <w:pStyle w:val="Caption"/>
                        <w:spacing w:line="360" w:lineRule="auto"/>
                        <w:jc w:val="both"/>
                        <w:rPr>
                          <w:noProof/>
                          <w:sz w:val="20"/>
                          <w:szCs w:val="20"/>
                        </w:rPr>
                      </w:pPr>
                    </w:p>
                  </w:txbxContent>
                </v:textbox>
                <w10:wrap type="topAndBottom"/>
              </v:shape>
            </w:pict>
          </mc:Fallback>
        </mc:AlternateContent>
      </w:r>
    </w:p>
    <w:p w14:paraId="25B242A4" w14:textId="77777777" w:rsidR="007A5401" w:rsidRPr="008B3AD6" w:rsidRDefault="007A5401" w:rsidP="007621FC">
      <w:pPr>
        <w:spacing w:line="360" w:lineRule="auto"/>
        <w:jc w:val="both"/>
      </w:pPr>
    </w:p>
    <w:p w14:paraId="1539431F" w14:textId="46A77D95" w:rsidR="009154C0" w:rsidRPr="008B3AD6" w:rsidRDefault="007621FC" w:rsidP="007621FC">
      <w:pPr>
        <w:spacing w:line="360" w:lineRule="auto"/>
        <w:jc w:val="both"/>
        <w:rPr>
          <w:noProof/>
        </w:rPr>
      </w:pPr>
      <w:r w:rsidRPr="008B3AD6">
        <w:t xml:space="preserve">Once the detection capability had been ascertained, a standard curve of </w:t>
      </w:r>
      <w:r w:rsidR="00A32111">
        <w:t>AmB</w:t>
      </w:r>
      <w:r w:rsidR="009154C0" w:rsidRPr="008B3AD6">
        <w:t xml:space="preserve"> concentrations</w:t>
      </w:r>
      <w:r w:rsidRPr="008B3AD6">
        <w:t xml:space="preserve"> </w:t>
      </w:r>
      <w:r w:rsidR="009154C0" w:rsidRPr="008B3AD6">
        <w:t>was derived</w:t>
      </w:r>
      <w:r w:rsidRPr="008B3AD6">
        <w:t xml:space="preserve"> </w:t>
      </w:r>
      <w:r w:rsidR="008F5533" w:rsidRPr="008B3AD6">
        <w:t>exploring the quantitative limits of the equipment</w:t>
      </w:r>
      <w:r w:rsidRPr="008B3AD6">
        <w:t xml:space="preserve">. </w:t>
      </w:r>
      <w:r w:rsidR="008F5533" w:rsidRPr="008B3AD6">
        <w:t xml:space="preserve">Lyophilised </w:t>
      </w:r>
      <w:r w:rsidR="00A32111">
        <w:t>AmB</w:t>
      </w:r>
      <w:r w:rsidR="009154C0" w:rsidRPr="008B3AD6">
        <w:t xml:space="preserve"> was </w:t>
      </w:r>
      <w:r w:rsidR="008F5533" w:rsidRPr="008B3AD6">
        <w:t>re</w:t>
      </w:r>
      <w:r w:rsidR="009154C0" w:rsidRPr="008B3AD6">
        <w:t xml:space="preserve">suspended at concentrations ranging from </w:t>
      </w:r>
      <w:r w:rsidR="009154C0" w:rsidRPr="008B3AD6">
        <w:rPr>
          <w:noProof/>
        </w:rPr>
        <w:t>3</w:t>
      </w:r>
      <w:r w:rsidR="009154C0" w:rsidRPr="008B3AD6">
        <w:t xml:space="preserve"> </w:t>
      </w:r>
      <w:r w:rsidR="008F5533" w:rsidRPr="008B3AD6">
        <w:sym w:font="Symbol" w:char="F06D"/>
      </w:r>
      <w:r w:rsidR="009154C0" w:rsidRPr="008B3AD6">
        <w:t>g/</w:t>
      </w:r>
      <w:r w:rsidR="008F5533" w:rsidRPr="008B3AD6">
        <w:sym w:font="Symbol" w:char="F06D"/>
      </w:r>
      <w:r w:rsidR="009154C0" w:rsidRPr="008B3AD6">
        <w:t xml:space="preserve">l to </w:t>
      </w:r>
      <w:r w:rsidRPr="008B3AD6">
        <w:t>30</w:t>
      </w:r>
      <w:r w:rsidR="009154C0" w:rsidRPr="008B3AD6">
        <w:t xml:space="preserve"> </w:t>
      </w:r>
      <w:r w:rsidR="008F5533" w:rsidRPr="008B3AD6">
        <w:t xml:space="preserve">femtograms (fg) </w:t>
      </w:r>
      <w:r w:rsidR="009154C0" w:rsidRPr="008B3AD6">
        <w:t>/</w:t>
      </w:r>
      <w:r w:rsidR="008F5533" w:rsidRPr="008B3AD6">
        <w:sym w:font="Symbol" w:char="F06D"/>
      </w:r>
      <w:r w:rsidR="009154C0" w:rsidRPr="008B3AD6">
        <w:t>l</w:t>
      </w:r>
      <w:r w:rsidR="001D4F31" w:rsidRPr="008B3AD6">
        <w:t>, with</w:t>
      </w:r>
      <w:r w:rsidR="006C2ED9">
        <w:t xml:space="preserve"> t</w:t>
      </w:r>
      <w:r w:rsidR="001D4F31" w:rsidRPr="008B3AD6">
        <w:t>he proposed internal standard,</w:t>
      </w:r>
      <w:r w:rsidR="008F5533" w:rsidRPr="008B3AD6">
        <w:t xml:space="preserve"> and 2 </w:t>
      </w:r>
      <w:r w:rsidR="008F5533" w:rsidRPr="008B3AD6">
        <w:sym w:font="Symbol" w:char="F06D"/>
      </w:r>
      <w:r w:rsidR="008F5533" w:rsidRPr="008B3AD6">
        <w:t xml:space="preserve">l of each sample was injected for analysis. </w:t>
      </w:r>
      <w:r w:rsidR="009154C0" w:rsidRPr="008B3AD6">
        <w:t xml:space="preserve">Only </w:t>
      </w:r>
      <w:r w:rsidR="008F5533" w:rsidRPr="008B3AD6">
        <w:t>samples between</w:t>
      </w:r>
      <w:r w:rsidR="009154C0" w:rsidRPr="008B3AD6">
        <w:t xml:space="preserve"> </w:t>
      </w:r>
      <w:r w:rsidR="009154C0" w:rsidRPr="008B3AD6">
        <w:rPr>
          <w:noProof/>
        </w:rPr>
        <w:t xml:space="preserve">3 – 0.0003 </w:t>
      </w:r>
      <w:r w:rsidR="008F5533" w:rsidRPr="008B3AD6">
        <w:sym w:font="Symbol" w:char="F06D"/>
      </w:r>
      <w:r w:rsidR="009154C0" w:rsidRPr="008B3AD6">
        <w:rPr>
          <w:noProof/>
        </w:rPr>
        <w:t>g/</w:t>
      </w:r>
      <w:r w:rsidR="008F5533" w:rsidRPr="008B3AD6">
        <w:sym w:font="Symbol" w:char="F06D"/>
      </w:r>
      <w:r w:rsidR="009154C0" w:rsidRPr="008B3AD6">
        <w:rPr>
          <w:noProof/>
        </w:rPr>
        <w:t xml:space="preserve">l provided a satisfactory linear relationaship between the amount of </w:t>
      </w:r>
      <w:r w:rsidR="00A32111">
        <w:rPr>
          <w:noProof/>
        </w:rPr>
        <w:t>AmB</w:t>
      </w:r>
      <w:r w:rsidR="009154C0" w:rsidRPr="008B3AD6">
        <w:rPr>
          <w:noProof/>
        </w:rPr>
        <w:t xml:space="preserve"> injected and the peak area, normalised </w:t>
      </w:r>
      <w:r w:rsidR="006C2ED9">
        <w:rPr>
          <w:noProof/>
        </w:rPr>
        <w:t>to the area of the samples corresponding internal standard peak</w:t>
      </w:r>
      <w:r w:rsidR="008F5533" w:rsidRPr="008B3AD6">
        <w:rPr>
          <w:noProof/>
        </w:rPr>
        <w:t xml:space="preserve">, shown in </w:t>
      </w:r>
      <w:r w:rsidR="008F5533" w:rsidRPr="008B3AD6">
        <w:rPr>
          <w:b/>
          <w:noProof/>
        </w:rPr>
        <w:fldChar w:fldCharType="begin"/>
      </w:r>
      <w:r w:rsidR="008F5533" w:rsidRPr="008B3AD6">
        <w:rPr>
          <w:b/>
          <w:noProof/>
        </w:rPr>
        <w:instrText xml:space="preserve"> REF _Ref518931793  \* MERGEFORMAT </w:instrText>
      </w:r>
      <w:r w:rsidR="008F5533" w:rsidRPr="008B3AD6">
        <w:rPr>
          <w:b/>
          <w:noProof/>
        </w:rPr>
        <w:fldChar w:fldCharType="separate"/>
      </w:r>
      <w:r w:rsidR="00E5551E" w:rsidRPr="00E5551E">
        <w:rPr>
          <w:b/>
        </w:rPr>
        <w:t xml:space="preserve">Figure </w:t>
      </w:r>
      <w:r w:rsidR="00E5551E" w:rsidRPr="00E5551E">
        <w:rPr>
          <w:b/>
          <w:noProof/>
        </w:rPr>
        <w:t>3.2</w:t>
      </w:r>
      <w:r w:rsidR="008F5533" w:rsidRPr="008B3AD6">
        <w:rPr>
          <w:b/>
          <w:noProof/>
        </w:rPr>
        <w:fldChar w:fldCharType="end"/>
      </w:r>
      <w:r w:rsidR="009154C0" w:rsidRPr="008B3AD6">
        <w:rPr>
          <w:noProof/>
        </w:rPr>
        <w:t xml:space="preserve">. Thus </w:t>
      </w:r>
      <w:r w:rsidR="008F5533" w:rsidRPr="008B3AD6">
        <w:rPr>
          <w:noProof/>
        </w:rPr>
        <w:t>the absolute</w:t>
      </w:r>
      <w:r w:rsidR="009154C0" w:rsidRPr="008B3AD6">
        <w:rPr>
          <w:noProof/>
        </w:rPr>
        <w:t xml:space="preserve"> detection limits</w:t>
      </w:r>
      <w:r w:rsidR="008F5533" w:rsidRPr="008B3AD6">
        <w:rPr>
          <w:noProof/>
        </w:rPr>
        <w:t xml:space="preserve"> for this </w:t>
      </w:r>
      <w:r w:rsidR="00CE3F6F" w:rsidRPr="008B3AD6">
        <w:rPr>
          <w:noProof/>
        </w:rPr>
        <w:t xml:space="preserve">specific </w:t>
      </w:r>
      <w:r w:rsidR="008F5533" w:rsidRPr="008B3AD6">
        <w:rPr>
          <w:noProof/>
        </w:rPr>
        <w:t>curve</w:t>
      </w:r>
      <w:r w:rsidR="009154C0" w:rsidRPr="008B3AD6">
        <w:rPr>
          <w:noProof/>
        </w:rPr>
        <w:t xml:space="preserve"> </w:t>
      </w:r>
      <w:r w:rsidR="008F5533" w:rsidRPr="008B3AD6">
        <w:rPr>
          <w:noProof/>
        </w:rPr>
        <w:t>are</w:t>
      </w:r>
      <w:r w:rsidR="009154C0" w:rsidRPr="008B3AD6">
        <w:rPr>
          <w:noProof/>
        </w:rPr>
        <w:t xml:space="preserve"> 6 </w:t>
      </w:r>
      <w:r w:rsidR="008F5533" w:rsidRPr="008B3AD6">
        <w:sym w:font="Symbol" w:char="F06D"/>
      </w:r>
      <w:r w:rsidR="009154C0" w:rsidRPr="008B3AD6">
        <w:rPr>
          <w:noProof/>
        </w:rPr>
        <w:t xml:space="preserve">g - 0.0006 </w:t>
      </w:r>
      <w:r w:rsidR="008F5533" w:rsidRPr="008B3AD6">
        <w:sym w:font="Symbol" w:char="F06D"/>
      </w:r>
      <w:r w:rsidR="009154C0" w:rsidRPr="008B3AD6">
        <w:rPr>
          <w:noProof/>
        </w:rPr>
        <w:t>g</w:t>
      </w:r>
      <w:r w:rsidR="008F5533" w:rsidRPr="008B3AD6">
        <w:rPr>
          <w:noProof/>
        </w:rPr>
        <w:t xml:space="preserve"> (</w:t>
      </w:r>
      <w:r w:rsidR="00CE3F6F" w:rsidRPr="008B3AD6">
        <w:rPr>
          <w:noProof/>
        </w:rPr>
        <w:t>factoring</w:t>
      </w:r>
      <w:r w:rsidR="008F5533" w:rsidRPr="008B3AD6">
        <w:rPr>
          <w:noProof/>
        </w:rPr>
        <w:t xml:space="preserve"> for the 2 </w:t>
      </w:r>
      <w:r w:rsidR="008F5533" w:rsidRPr="008B3AD6">
        <w:sym w:font="Symbol" w:char="F06D"/>
      </w:r>
      <w:r w:rsidR="008F5533" w:rsidRPr="008B3AD6">
        <w:rPr>
          <w:noProof/>
        </w:rPr>
        <w:t>l injection volume)</w:t>
      </w:r>
      <w:r w:rsidR="009154C0" w:rsidRPr="008B3AD6">
        <w:rPr>
          <w:noProof/>
        </w:rPr>
        <w:t>.</w:t>
      </w:r>
      <w:r w:rsidR="00CE37DB" w:rsidRPr="008B3AD6">
        <w:rPr>
          <w:noProof/>
        </w:rPr>
        <w:t xml:space="preserve"> </w:t>
      </w:r>
      <w:r w:rsidR="001D4F31" w:rsidRPr="008B3AD6">
        <w:rPr>
          <w:noProof/>
        </w:rPr>
        <w:t xml:space="preserve">Of note, </w:t>
      </w:r>
      <w:r w:rsidR="001D4F31" w:rsidRPr="008B3AD6">
        <w:rPr>
          <w:noProof/>
        </w:rPr>
        <w:lastRenderedPageBreak/>
        <w:t>s</w:t>
      </w:r>
      <w:r w:rsidR="00CE37DB" w:rsidRPr="008B3AD6">
        <w:rPr>
          <w:noProof/>
        </w:rPr>
        <w:t>tandard curve</w:t>
      </w:r>
      <w:r w:rsidR="008F5533" w:rsidRPr="008B3AD6">
        <w:rPr>
          <w:noProof/>
        </w:rPr>
        <w:t>s</w:t>
      </w:r>
      <w:r w:rsidR="00CE37DB" w:rsidRPr="008B3AD6">
        <w:rPr>
          <w:noProof/>
        </w:rPr>
        <w:t xml:space="preserve"> </w:t>
      </w:r>
      <w:r w:rsidR="008F5533" w:rsidRPr="008B3AD6">
        <w:rPr>
          <w:noProof/>
        </w:rPr>
        <w:t>were</w:t>
      </w:r>
      <w:r w:rsidR="00CE37DB" w:rsidRPr="008B3AD6">
        <w:rPr>
          <w:noProof/>
        </w:rPr>
        <w:t xml:space="preserve"> generated in every instance of sample analysis to account for ‘on the day’ variability in machine </w:t>
      </w:r>
      <w:r w:rsidR="0001334E" w:rsidRPr="008B3AD6">
        <w:rPr>
          <w:noProof/>
        </w:rPr>
        <w:t>running and sample preperation, thus</w:t>
      </w:r>
      <w:r w:rsidR="00CE37DB" w:rsidRPr="008B3AD6">
        <w:rPr>
          <w:noProof/>
        </w:rPr>
        <w:t xml:space="preserve"> </w:t>
      </w:r>
      <w:r w:rsidR="000D76BA" w:rsidRPr="008B3AD6">
        <w:rPr>
          <w:b/>
          <w:noProof/>
        </w:rPr>
        <w:fldChar w:fldCharType="begin"/>
      </w:r>
      <w:r w:rsidR="000D76BA" w:rsidRPr="008B3AD6">
        <w:rPr>
          <w:b/>
          <w:noProof/>
        </w:rPr>
        <w:instrText xml:space="preserve"> REF _Ref518931793  \* MERGEFORMAT </w:instrText>
      </w:r>
      <w:r w:rsidR="000D76BA" w:rsidRPr="008B3AD6">
        <w:rPr>
          <w:b/>
          <w:noProof/>
        </w:rPr>
        <w:fldChar w:fldCharType="separate"/>
      </w:r>
      <w:r w:rsidR="00E5551E" w:rsidRPr="00E5551E">
        <w:rPr>
          <w:b/>
        </w:rPr>
        <w:t xml:space="preserve">Figure </w:t>
      </w:r>
      <w:r w:rsidR="00E5551E" w:rsidRPr="00E5551E">
        <w:rPr>
          <w:b/>
          <w:noProof/>
        </w:rPr>
        <w:t>3.2</w:t>
      </w:r>
      <w:r w:rsidR="000D76BA" w:rsidRPr="008B3AD6">
        <w:rPr>
          <w:b/>
          <w:noProof/>
        </w:rPr>
        <w:fldChar w:fldCharType="end"/>
      </w:r>
      <w:r w:rsidR="000D76BA" w:rsidRPr="008B3AD6">
        <w:rPr>
          <w:noProof/>
        </w:rPr>
        <w:t xml:space="preserve"> </w:t>
      </w:r>
      <w:r w:rsidR="00CE37DB" w:rsidRPr="008B3AD6">
        <w:rPr>
          <w:noProof/>
        </w:rPr>
        <w:t xml:space="preserve">is referred to as an </w:t>
      </w:r>
      <w:r w:rsidR="008F5533" w:rsidRPr="008B3AD6">
        <w:rPr>
          <w:noProof/>
        </w:rPr>
        <w:t>examplar</w:t>
      </w:r>
      <w:r w:rsidR="00CE37DB" w:rsidRPr="008B3AD6">
        <w:rPr>
          <w:noProof/>
        </w:rPr>
        <w:t xml:space="preserve"> standard curve</w:t>
      </w:r>
      <w:r w:rsidR="0001334E" w:rsidRPr="008B3AD6">
        <w:rPr>
          <w:noProof/>
        </w:rPr>
        <w:t xml:space="preserve">, meaning this curve highlights approximate </w:t>
      </w:r>
      <w:r w:rsidR="00A32111">
        <w:rPr>
          <w:noProof/>
        </w:rPr>
        <w:t>AmB</w:t>
      </w:r>
      <w:r w:rsidR="0001334E" w:rsidRPr="008B3AD6">
        <w:rPr>
          <w:noProof/>
        </w:rPr>
        <w:t xml:space="preserve"> detection </w:t>
      </w:r>
      <w:r w:rsidR="006C2ED9">
        <w:rPr>
          <w:noProof/>
        </w:rPr>
        <w:drawing>
          <wp:anchor distT="0" distB="0" distL="114300" distR="114300" simplePos="0" relativeHeight="252020736" behindDoc="0" locked="0" layoutInCell="1" allowOverlap="1" wp14:anchorId="15A10EC7" wp14:editId="3C0566F6">
            <wp:simplePos x="0" y="0"/>
            <wp:positionH relativeFrom="column">
              <wp:posOffset>307340</wp:posOffset>
            </wp:positionH>
            <wp:positionV relativeFrom="paragraph">
              <wp:posOffset>1042035</wp:posOffset>
            </wp:positionV>
            <wp:extent cx="4968240" cy="2878455"/>
            <wp:effectExtent l="0" t="0" r="0" b="4445"/>
            <wp:wrapTopAndBottom/>
            <wp:docPr id="555" name="Picture 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5" name="Picture 555"/>
                    <pic:cNvPicPr>
                      <a:picLocks noChangeAspect="1"/>
                    </pic:cNvPicPr>
                  </pic:nvPicPr>
                  <pic:blipFill>
                    <a:blip r:embed="rId31">
                      <a:extLst>
                        <a:ext uri="{28A0092B-C50C-407E-A947-70E740481C1C}">
                          <a14:useLocalDpi xmlns:a14="http://schemas.microsoft.com/office/drawing/2010/main" val="0"/>
                        </a:ext>
                      </a:extLst>
                    </a:blip>
                    <a:stretch>
                      <a:fillRect/>
                    </a:stretch>
                  </pic:blipFill>
                  <pic:spPr>
                    <a:xfrm>
                      <a:off x="0" y="0"/>
                      <a:ext cx="4968240" cy="2878455"/>
                    </a:xfrm>
                    <a:prstGeom prst="rect">
                      <a:avLst/>
                    </a:prstGeom>
                  </pic:spPr>
                </pic:pic>
              </a:graphicData>
            </a:graphic>
          </wp:anchor>
        </w:drawing>
      </w:r>
      <w:r w:rsidR="006C2ED9">
        <w:rPr>
          <w:noProof/>
        </w:rPr>
        <mc:AlternateContent>
          <mc:Choice Requires="wps">
            <w:drawing>
              <wp:anchor distT="0" distB="0" distL="114300" distR="114300" simplePos="0" relativeHeight="252021760" behindDoc="0" locked="0" layoutInCell="1" allowOverlap="1" wp14:anchorId="23D3BEEB" wp14:editId="364BC881">
                <wp:simplePos x="0" y="0"/>
                <wp:positionH relativeFrom="column">
                  <wp:posOffset>307340</wp:posOffset>
                </wp:positionH>
                <wp:positionV relativeFrom="paragraph">
                  <wp:posOffset>3999979</wp:posOffset>
                </wp:positionV>
                <wp:extent cx="4968240" cy="1065530"/>
                <wp:effectExtent l="0" t="0" r="0" b="1270"/>
                <wp:wrapTopAndBottom/>
                <wp:docPr id="556" name="Text Box 556"/>
                <wp:cNvGraphicFramePr/>
                <a:graphic xmlns:a="http://schemas.openxmlformats.org/drawingml/2006/main">
                  <a:graphicData uri="http://schemas.microsoft.com/office/word/2010/wordprocessingShape">
                    <wps:wsp>
                      <wps:cNvSpPr txBox="1"/>
                      <wps:spPr>
                        <a:xfrm>
                          <a:off x="0" y="0"/>
                          <a:ext cx="4968240" cy="1065530"/>
                        </a:xfrm>
                        <a:prstGeom prst="rect">
                          <a:avLst/>
                        </a:prstGeom>
                        <a:solidFill>
                          <a:prstClr val="white"/>
                        </a:solidFill>
                        <a:ln>
                          <a:noFill/>
                        </a:ln>
                      </wps:spPr>
                      <wps:txbx>
                        <w:txbxContent>
                          <w:p w14:paraId="1CA1A4C6" w14:textId="1C872474" w:rsidR="00F61130" w:rsidRPr="00CE37DB" w:rsidRDefault="00F61130" w:rsidP="00CE37DB">
                            <w:pPr>
                              <w:spacing w:line="360" w:lineRule="auto"/>
                              <w:rPr>
                                <w:sz w:val="20"/>
                                <w:szCs w:val="20"/>
                              </w:rPr>
                            </w:pPr>
                            <w:bookmarkStart w:id="233" w:name="_Ref518931793"/>
                            <w:bookmarkStart w:id="234" w:name="_Toc525227193"/>
                            <w:bookmarkStart w:id="235" w:name="_Toc536814132"/>
                            <w:r w:rsidRPr="00CE37DB">
                              <w:rPr>
                                <w:b/>
                                <w:sz w:val="20"/>
                                <w:szCs w:val="20"/>
                              </w:rPr>
                              <w:t xml:space="preserve">Figure </w:t>
                            </w:r>
                            <w:r>
                              <w:rPr>
                                <w:b/>
                                <w:sz w:val="20"/>
                                <w:szCs w:val="20"/>
                              </w:rPr>
                              <w:fldChar w:fldCharType="begin"/>
                            </w:r>
                            <w:r>
                              <w:rPr>
                                <w:b/>
                                <w:sz w:val="20"/>
                                <w:szCs w:val="20"/>
                              </w:rPr>
                              <w:instrText xml:space="preserve"> STYLEREF 1 \s </w:instrText>
                            </w:r>
                            <w:r>
                              <w:rPr>
                                <w:b/>
                                <w:sz w:val="20"/>
                                <w:szCs w:val="20"/>
                              </w:rPr>
                              <w:fldChar w:fldCharType="separate"/>
                            </w:r>
                            <w:r>
                              <w:rPr>
                                <w:b/>
                                <w:noProof/>
                                <w:sz w:val="20"/>
                                <w:szCs w:val="20"/>
                              </w:rPr>
                              <w:t>3</w:t>
                            </w:r>
                            <w:r>
                              <w:rPr>
                                <w:b/>
                                <w:sz w:val="20"/>
                                <w:szCs w:val="20"/>
                              </w:rPr>
                              <w:fldChar w:fldCharType="end"/>
                            </w:r>
                            <w:r>
                              <w:rPr>
                                <w:b/>
                                <w:sz w:val="20"/>
                                <w:szCs w:val="20"/>
                              </w:rPr>
                              <w:t>.</w:t>
                            </w:r>
                            <w:r>
                              <w:rPr>
                                <w:b/>
                                <w:sz w:val="20"/>
                                <w:szCs w:val="20"/>
                              </w:rPr>
                              <w:fldChar w:fldCharType="begin"/>
                            </w:r>
                            <w:r>
                              <w:rPr>
                                <w:b/>
                                <w:sz w:val="20"/>
                                <w:szCs w:val="20"/>
                              </w:rPr>
                              <w:instrText xml:space="preserve"> SEQ Figure \* ARABIC \s 1 </w:instrText>
                            </w:r>
                            <w:r>
                              <w:rPr>
                                <w:b/>
                                <w:sz w:val="20"/>
                                <w:szCs w:val="20"/>
                              </w:rPr>
                              <w:fldChar w:fldCharType="separate"/>
                            </w:r>
                            <w:r>
                              <w:rPr>
                                <w:b/>
                                <w:noProof/>
                                <w:sz w:val="20"/>
                                <w:szCs w:val="20"/>
                              </w:rPr>
                              <w:t>2</w:t>
                            </w:r>
                            <w:r>
                              <w:rPr>
                                <w:b/>
                                <w:sz w:val="20"/>
                                <w:szCs w:val="20"/>
                              </w:rPr>
                              <w:fldChar w:fldCharType="end"/>
                            </w:r>
                            <w:bookmarkEnd w:id="233"/>
                            <w:r w:rsidRPr="00CE37DB">
                              <w:rPr>
                                <w:b/>
                                <w:sz w:val="20"/>
                                <w:szCs w:val="20"/>
                              </w:rPr>
                              <w:t xml:space="preserve"> - Standard Curve for Amphotericin B LC-MS.</w:t>
                            </w:r>
                            <w:r w:rsidRPr="00CE37DB">
                              <w:rPr>
                                <w:noProof/>
                                <w:sz w:val="20"/>
                                <w:szCs w:val="20"/>
                              </w:rPr>
                              <w:t xml:space="preserve"> 2 ul of Amphotericin B solutions </w:t>
                            </w:r>
                            <w:r w:rsidRPr="008F5533">
                              <w:rPr>
                                <w:noProof/>
                                <w:sz w:val="20"/>
                                <w:szCs w:val="20"/>
                              </w:rPr>
                              <w:t xml:space="preserve">ranging from 3 </w:t>
                            </w:r>
                            <w:r w:rsidRPr="008F5533">
                              <w:rPr>
                                <w:sz w:val="20"/>
                                <w:szCs w:val="20"/>
                              </w:rPr>
                              <w:sym w:font="Symbol" w:char="F06D"/>
                            </w:r>
                            <w:r w:rsidRPr="008F5533">
                              <w:rPr>
                                <w:noProof/>
                                <w:sz w:val="20"/>
                                <w:szCs w:val="20"/>
                              </w:rPr>
                              <w:t>g/</w:t>
                            </w:r>
                            <w:r w:rsidRPr="008F5533">
                              <w:rPr>
                                <w:sz w:val="20"/>
                                <w:szCs w:val="20"/>
                              </w:rPr>
                              <w:sym w:font="Symbol" w:char="F06D"/>
                            </w:r>
                            <w:r w:rsidRPr="008F5533">
                              <w:rPr>
                                <w:sz w:val="20"/>
                                <w:szCs w:val="20"/>
                              </w:rPr>
                              <w:t xml:space="preserve">l </w:t>
                            </w:r>
                            <w:r w:rsidRPr="008F5533">
                              <w:rPr>
                                <w:noProof/>
                                <w:sz w:val="20"/>
                                <w:szCs w:val="20"/>
                              </w:rPr>
                              <w:t>- 30 f</w:t>
                            </w:r>
                            <w:r w:rsidRPr="008F5533">
                              <w:rPr>
                                <w:sz w:val="20"/>
                                <w:szCs w:val="20"/>
                              </w:rPr>
                              <w:t>g/</w:t>
                            </w:r>
                            <w:r w:rsidRPr="008F5533">
                              <w:rPr>
                                <w:sz w:val="20"/>
                                <w:szCs w:val="20"/>
                              </w:rPr>
                              <w:sym w:font="Symbol" w:char="F06D"/>
                            </w:r>
                            <w:r w:rsidRPr="008F5533">
                              <w:rPr>
                                <w:sz w:val="20"/>
                                <w:szCs w:val="20"/>
                              </w:rPr>
                              <w:t>l</w:t>
                            </w:r>
                            <w:r w:rsidRPr="00CE37DB">
                              <w:rPr>
                                <w:sz w:val="20"/>
                                <w:szCs w:val="20"/>
                              </w:rPr>
                              <w:t xml:space="preserve"> were </w:t>
                            </w:r>
                            <w:r w:rsidRPr="00CE37DB">
                              <w:rPr>
                                <w:noProof/>
                                <w:sz w:val="20"/>
                                <w:szCs w:val="20"/>
                              </w:rPr>
                              <w:t>injected for LC-MS analysis</w:t>
                            </w:r>
                            <w:r w:rsidRPr="00CE37DB">
                              <w:rPr>
                                <w:sz w:val="20"/>
                                <w:szCs w:val="20"/>
                              </w:rPr>
                              <w:t xml:space="preserve"> and their resulting peak areas normalised</w:t>
                            </w:r>
                            <w:r>
                              <w:rPr>
                                <w:sz w:val="20"/>
                                <w:szCs w:val="20"/>
                              </w:rPr>
                              <w:t xml:space="preserve"> against the area of the internal standard peak for each sample</w:t>
                            </w:r>
                            <w:r w:rsidRPr="00CE37DB">
                              <w:rPr>
                                <w:sz w:val="20"/>
                                <w:szCs w:val="20"/>
                              </w:rPr>
                              <w:t xml:space="preserve">. The log amount of Amphotericin B injected is then plotted against the log area of the </w:t>
                            </w:r>
                            <w:r>
                              <w:rPr>
                                <w:sz w:val="20"/>
                                <w:szCs w:val="20"/>
                              </w:rPr>
                              <w:t xml:space="preserve">corresponding normalised </w:t>
                            </w:r>
                            <w:r w:rsidRPr="00CE37DB">
                              <w:rPr>
                                <w:sz w:val="20"/>
                                <w:szCs w:val="20"/>
                              </w:rPr>
                              <w:t xml:space="preserve">Amphotericin B peak </w:t>
                            </w:r>
                            <w:r>
                              <w:rPr>
                                <w:sz w:val="20"/>
                                <w:szCs w:val="20"/>
                              </w:rPr>
                              <w:t>area</w:t>
                            </w:r>
                            <w:r w:rsidRPr="00CE37DB">
                              <w:rPr>
                                <w:sz w:val="20"/>
                                <w:szCs w:val="20"/>
                              </w:rPr>
                              <w:t>.</w:t>
                            </w:r>
                            <w:bookmarkEnd w:id="234"/>
                            <w:bookmarkEnd w:id="235"/>
                            <w:r w:rsidRPr="00CE37DB">
                              <w:rPr>
                                <w:sz w:val="20"/>
                                <w:szCs w:val="20"/>
                              </w:rPr>
                              <w:t xml:space="preserve"> </w:t>
                            </w:r>
                          </w:p>
                          <w:p w14:paraId="41FDF8DB" w14:textId="29D7B0B0" w:rsidR="00F61130" w:rsidRPr="00CE37DB" w:rsidRDefault="00F61130" w:rsidP="00CE37DB">
                            <w:pPr>
                              <w:pStyle w:val="Caption"/>
                              <w:spacing w:line="360" w:lineRule="auto"/>
                              <w:rPr>
                                <w:noProof/>
                                <w:sz w:val="20"/>
                                <w:szCs w:val="20"/>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23D3BEEB" id="Text Box 556" o:spid="_x0000_s1043" type="#_x0000_t202" style="position:absolute;left:0;text-align:left;margin-left:24.2pt;margin-top:314.95pt;width:391.2pt;height:83.9pt;z-index:2520217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KfA4SNwIAAG0EAAAOAAAAZHJzL2Uyb0RvYy54bWysVMFuGjEQvVfqP1i+lwUaaIpYIkpEVQkl&#13;&#10;kaDK2Xht1pLtcW3DLv36jr0sSdOeql6845nx2O+9mZ3ftUaTk/BBgS3paDCkRFgOlbKHkn7frT/c&#13;&#10;UhIisxXTYEVJzyLQu8X7d/PGzcQYatCV8ASL2DBrXEnrGN2sKAKvhWFhAE5YDErwhkXc+kNRedZg&#13;&#10;daOL8XA4LRrwlfPARQjove+CdJHrSyl4fJQyiEh0SfFtMa8+r/u0Fos5mx08c7Xil2ewf3iFYcri&#13;&#10;pddS9ywycvTqj1JGcQ8BZBxwMAVIqbjIGBDNaPgGzbZmTmQsSE5wV5rC/yvLH05PnqiqpJPJlBLL&#13;&#10;DIq0E20kX6AlyYcMNS7MMHHrMDW2GECle39AZwLeSm/SFyERjCPX5yu/qRxH583n6e34BkMcY6Ph&#13;&#10;dDL5mBUoXo47H+JXAYYko6QeBcy8stMmRHwKpvYp6bYAWlVrpXXapMBKe3JiKHZTqyjSI/HEb1na&#13;&#10;plwL6VQXTp4iYeywJCu2+zazMvrUA91DdUb8HroeCo6vFV64YSE+MY9Ng7hwEOIjLlJDU1K4WJTU&#13;&#10;4H/+zZ/yUUuMUtJgE5Y0/DgyLyjR3yyqnDq2N3xv7HvDHs0KEOoIR8zxbOIBH3VvSg/mGedjmW7B&#13;&#10;ELMc7ypp7M1V7EYB54uL5TInYV86Fjd263gq3RO7a5+ZdxdZIir6AH17stkbdbrcjublMYJUWbpE&#13;&#10;bMfihW/s6azPZf7S0Lze56yXv8TiFwAAAP//AwBQSwMEFAAGAAgAAAAhADKlgX3lAAAADwEAAA8A&#13;&#10;AABkcnMvZG93bnJldi54bWxMj81OwzAQhO9IvIO1SFwQdQhV89M4FTRwK4eWqmc3NklEvI5sp0nf&#13;&#10;nuUEl5VWOzM7X7GZTc8u2vnOooCnRQRMY21Vh42A4+f7YwrMB4lK9ha1gKv2sClvbwqZKzvhXl8O&#13;&#10;oWEUgj6XAtoQhpxzX7faSL+wg0a6fVlnZKDVNVw5OVG46XkcRStuZIf0oZWD3ra6/j6MRsCqcuO0&#13;&#10;x+1DdXzbyY+hiU+v15MQ93dztabxsgYW9Bz+HPDLQP2hpGJnO6LyrBewTJekpMA4y4CRIH2OCOgs&#13;&#10;IMmSBHhZ8P8c5Q8AAAD//wMAUEsBAi0AFAAGAAgAAAAhALaDOJL+AAAA4QEAABMAAAAAAAAAAAAA&#13;&#10;AAAAAAAAAFtDb250ZW50X1R5cGVzXS54bWxQSwECLQAUAAYACAAAACEAOP0h/9YAAACUAQAACwAA&#13;&#10;AAAAAAAAAAAAAAAvAQAAX3JlbHMvLnJlbHNQSwECLQAUAAYACAAAACEASnwOEjcCAABtBAAADgAA&#13;&#10;AAAAAAAAAAAAAAAuAgAAZHJzL2Uyb0RvYy54bWxQSwECLQAUAAYACAAAACEAMqWBfeUAAAAPAQAA&#13;&#10;DwAAAAAAAAAAAAAAAACRBAAAZHJzL2Rvd25yZXYueG1sUEsFBgAAAAAEAAQA8wAAAKMFAAAAAA==&#13;&#10;" stroked="f">
                <v:textbox inset="0,0,0,0">
                  <w:txbxContent>
                    <w:p w14:paraId="1CA1A4C6" w14:textId="1C872474" w:rsidR="00F61130" w:rsidRPr="00CE37DB" w:rsidRDefault="00F61130" w:rsidP="00CE37DB">
                      <w:pPr>
                        <w:spacing w:line="360" w:lineRule="auto"/>
                        <w:rPr>
                          <w:sz w:val="20"/>
                          <w:szCs w:val="20"/>
                        </w:rPr>
                      </w:pPr>
                      <w:bookmarkStart w:id="236" w:name="_Ref518931793"/>
                      <w:bookmarkStart w:id="237" w:name="_Toc525227193"/>
                      <w:bookmarkStart w:id="238" w:name="_Toc536814132"/>
                      <w:r w:rsidRPr="00CE37DB">
                        <w:rPr>
                          <w:b/>
                          <w:sz w:val="20"/>
                          <w:szCs w:val="20"/>
                        </w:rPr>
                        <w:t xml:space="preserve">Figure </w:t>
                      </w:r>
                      <w:r>
                        <w:rPr>
                          <w:b/>
                          <w:sz w:val="20"/>
                          <w:szCs w:val="20"/>
                        </w:rPr>
                        <w:fldChar w:fldCharType="begin"/>
                      </w:r>
                      <w:r>
                        <w:rPr>
                          <w:b/>
                          <w:sz w:val="20"/>
                          <w:szCs w:val="20"/>
                        </w:rPr>
                        <w:instrText xml:space="preserve"> STYLEREF 1 \s </w:instrText>
                      </w:r>
                      <w:r>
                        <w:rPr>
                          <w:b/>
                          <w:sz w:val="20"/>
                          <w:szCs w:val="20"/>
                        </w:rPr>
                        <w:fldChar w:fldCharType="separate"/>
                      </w:r>
                      <w:r>
                        <w:rPr>
                          <w:b/>
                          <w:noProof/>
                          <w:sz w:val="20"/>
                          <w:szCs w:val="20"/>
                        </w:rPr>
                        <w:t>3</w:t>
                      </w:r>
                      <w:r>
                        <w:rPr>
                          <w:b/>
                          <w:sz w:val="20"/>
                          <w:szCs w:val="20"/>
                        </w:rPr>
                        <w:fldChar w:fldCharType="end"/>
                      </w:r>
                      <w:r>
                        <w:rPr>
                          <w:b/>
                          <w:sz w:val="20"/>
                          <w:szCs w:val="20"/>
                        </w:rPr>
                        <w:t>.</w:t>
                      </w:r>
                      <w:r>
                        <w:rPr>
                          <w:b/>
                          <w:sz w:val="20"/>
                          <w:szCs w:val="20"/>
                        </w:rPr>
                        <w:fldChar w:fldCharType="begin"/>
                      </w:r>
                      <w:r>
                        <w:rPr>
                          <w:b/>
                          <w:sz w:val="20"/>
                          <w:szCs w:val="20"/>
                        </w:rPr>
                        <w:instrText xml:space="preserve"> SEQ Figure \* ARABIC \s 1 </w:instrText>
                      </w:r>
                      <w:r>
                        <w:rPr>
                          <w:b/>
                          <w:sz w:val="20"/>
                          <w:szCs w:val="20"/>
                        </w:rPr>
                        <w:fldChar w:fldCharType="separate"/>
                      </w:r>
                      <w:r>
                        <w:rPr>
                          <w:b/>
                          <w:noProof/>
                          <w:sz w:val="20"/>
                          <w:szCs w:val="20"/>
                        </w:rPr>
                        <w:t>2</w:t>
                      </w:r>
                      <w:r>
                        <w:rPr>
                          <w:b/>
                          <w:sz w:val="20"/>
                          <w:szCs w:val="20"/>
                        </w:rPr>
                        <w:fldChar w:fldCharType="end"/>
                      </w:r>
                      <w:bookmarkEnd w:id="236"/>
                      <w:r w:rsidRPr="00CE37DB">
                        <w:rPr>
                          <w:b/>
                          <w:sz w:val="20"/>
                          <w:szCs w:val="20"/>
                        </w:rPr>
                        <w:t xml:space="preserve"> - Standard Curve for Amphotericin B LC-MS.</w:t>
                      </w:r>
                      <w:r w:rsidRPr="00CE37DB">
                        <w:rPr>
                          <w:noProof/>
                          <w:sz w:val="20"/>
                          <w:szCs w:val="20"/>
                        </w:rPr>
                        <w:t xml:space="preserve"> 2 ul of Amphotericin B solutions </w:t>
                      </w:r>
                      <w:r w:rsidRPr="008F5533">
                        <w:rPr>
                          <w:noProof/>
                          <w:sz w:val="20"/>
                          <w:szCs w:val="20"/>
                        </w:rPr>
                        <w:t xml:space="preserve">ranging from 3 </w:t>
                      </w:r>
                      <w:r w:rsidRPr="008F5533">
                        <w:rPr>
                          <w:sz w:val="20"/>
                          <w:szCs w:val="20"/>
                        </w:rPr>
                        <w:sym w:font="Symbol" w:char="F06D"/>
                      </w:r>
                      <w:r w:rsidRPr="008F5533">
                        <w:rPr>
                          <w:noProof/>
                          <w:sz w:val="20"/>
                          <w:szCs w:val="20"/>
                        </w:rPr>
                        <w:t>g/</w:t>
                      </w:r>
                      <w:r w:rsidRPr="008F5533">
                        <w:rPr>
                          <w:sz w:val="20"/>
                          <w:szCs w:val="20"/>
                        </w:rPr>
                        <w:sym w:font="Symbol" w:char="F06D"/>
                      </w:r>
                      <w:r w:rsidRPr="008F5533">
                        <w:rPr>
                          <w:sz w:val="20"/>
                          <w:szCs w:val="20"/>
                        </w:rPr>
                        <w:t xml:space="preserve">l </w:t>
                      </w:r>
                      <w:r w:rsidRPr="008F5533">
                        <w:rPr>
                          <w:noProof/>
                          <w:sz w:val="20"/>
                          <w:szCs w:val="20"/>
                        </w:rPr>
                        <w:t>- 30 f</w:t>
                      </w:r>
                      <w:r w:rsidRPr="008F5533">
                        <w:rPr>
                          <w:sz w:val="20"/>
                          <w:szCs w:val="20"/>
                        </w:rPr>
                        <w:t>g/</w:t>
                      </w:r>
                      <w:r w:rsidRPr="008F5533">
                        <w:rPr>
                          <w:sz w:val="20"/>
                          <w:szCs w:val="20"/>
                        </w:rPr>
                        <w:sym w:font="Symbol" w:char="F06D"/>
                      </w:r>
                      <w:r w:rsidRPr="008F5533">
                        <w:rPr>
                          <w:sz w:val="20"/>
                          <w:szCs w:val="20"/>
                        </w:rPr>
                        <w:t>l</w:t>
                      </w:r>
                      <w:r w:rsidRPr="00CE37DB">
                        <w:rPr>
                          <w:sz w:val="20"/>
                          <w:szCs w:val="20"/>
                        </w:rPr>
                        <w:t xml:space="preserve"> were </w:t>
                      </w:r>
                      <w:r w:rsidRPr="00CE37DB">
                        <w:rPr>
                          <w:noProof/>
                          <w:sz w:val="20"/>
                          <w:szCs w:val="20"/>
                        </w:rPr>
                        <w:t>injected for LC-MS analysis</w:t>
                      </w:r>
                      <w:r w:rsidRPr="00CE37DB">
                        <w:rPr>
                          <w:sz w:val="20"/>
                          <w:szCs w:val="20"/>
                        </w:rPr>
                        <w:t xml:space="preserve"> and their resulting peak areas normalised</w:t>
                      </w:r>
                      <w:r>
                        <w:rPr>
                          <w:sz w:val="20"/>
                          <w:szCs w:val="20"/>
                        </w:rPr>
                        <w:t xml:space="preserve"> against the area of the internal standard peak for each sample</w:t>
                      </w:r>
                      <w:r w:rsidRPr="00CE37DB">
                        <w:rPr>
                          <w:sz w:val="20"/>
                          <w:szCs w:val="20"/>
                        </w:rPr>
                        <w:t xml:space="preserve">. The log amount of Amphotericin B injected is then plotted against the log area of the </w:t>
                      </w:r>
                      <w:r>
                        <w:rPr>
                          <w:sz w:val="20"/>
                          <w:szCs w:val="20"/>
                        </w:rPr>
                        <w:t xml:space="preserve">corresponding normalised </w:t>
                      </w:r>
                      <w:r w:rsidRPr="00CE37DB">
                        <w:rPr>
                          <w:sz w:val="20"/>
                          <w:szCs w:val="20"/>
                        </w:rPr>
                        <w:t xml:space="preserve">Amphotericin B peak </w:t>
                      </w:r>
                      <w:r>
                        <w:rPr>
                          <w:sz w:val="20"/>
                          <w:szCs w:val="20"/>
                        </w:rPr>
                        <w:t>area</w:t>
                      </w:r>
                      <w:r w:rsidRPr="00CE37DB">
                        <w:rPr>
                          <w:sz w:val="20"/>
                          <w:szCs w:val="20"/>
                        </w:rPr>
                        <w:t>.</w:t>
                      </w:r>
                      <w:bookmarkEnd w:id="237"/>
                      <w:bookmarkEnd w:id="238"/>
                      <w:r w:rsidRPr="00CE37DB">
                        <w:rPr>
                          <w:sz w:val="20"/>
                          <w:szCs w:val="20"/>
                        </w:rPr>
                        <w:t xml:space="preserve"> </w:t>
                      </w:r>
                    </w:p>
                    <w:p w14:paraId="41FDF8DB" w14:textId="29D7B0B0" w:rsidR="00F61130" w:rsidRPr="00CE37DB" w:rsidRDefault="00F61130" w:rsidP="00CE37DB">
                      <w:pPr>
                        <w:pStyle w:val="Caption"/>
                        <w:spacing w:line="360" w:lineRule="auto"/>
                        <w:rPr>
                          <w:noProof/>
                          <w:sz w:val="20"/>
                          <w:szCs w:val="20"/>
                        </w:rPr>
                      </w:pPr>
                    </w:p>
                  </w:txbxContent>
                </v:textbox>
                <w10:wrap type="topAndBottom"/>
              </v:shape>
            </w:pict>
          </mc:Fallback>
        </mc:AlternateContent>
      </w:r>
      <w:r w:rsidR="0001334E" w:rsidRPr="008B3AD6">
        <w:rPr>
          <w:noProof/>
        </w:rPr>
        <w:t>limits</w:t>
      </w:r>
      <w:r w:rsidR="00CE37DB" w:rsidRPr="008B3AD6">
        <w:rPr>
          <w:noProof/>
        </w:rPr>
        <w:t>.</w:t>
      </w:r>
    </w:p>
    <w:p w14:paraId="119119A8" w14:textId="77777777" w:rsidR="0026427F" w:rsidRDefault="0026427F" w:rsidP="00596BE4">
      <w:pPr>
        <w:spacing w:line="360" w:lineRule="auto"/>
        <w:jc w:val="both"/>
        <w:rPr>
          <w:noProof/>
        </w:rPr>
      </w:pPr>
    </w:p>
    <w:p w14:paraId="751A477A" w14:textId="712A795F" w:rsidR="009154C0" w:rsidRPr="008B3AD6" w:rsidRDefault="0001334E" w:rsidP="00596BE4">
      <w:pPr>
        <w:spacing w:line="360" w:lineRule="auto"/>
        <w:jc w:val="both"/>
      </w:pPr>
      <w:r w:rsidRPr="008B3AD6">
        <w:rPr>
          <w:noProof/>
        </w:rPr>
        <w:t xml:space="preserve">Following the identification of approximate </w:t>
      </w:r>
      <w:r w:rsidR="00A32111">
        <w:rPr>
          <w:noProof/>
        </w:rPr>
        <w:t>AmB</w:t>
      </w:r>
      <w:r w:rsidRPr="008B3AD6">
        <w:rPr>
          <w:noProof/>
        </w:rPr>
        <w:t xml:space="preserve"> detection limits, </w:t>
      </w:r>
      <w:r w:rsidR="009154C0" w:rsidRPr="008B3AD6">
        <w:rPr>
          <w:noProof/>
        </w:rPr>
        <w:t xml:space="preserve">the detection of </w:t>
      </w:r>
      <w:r w:rsidR="00A32111">
        <w:rPr>
          <w:noProof/>
        </w:rPr>
        <w:t>AmB</w:t>
      </w:r>
      <w:r w:rsidR="009154C0" w:rsidRPr="008B3AD6">
        <w:rPr>
          <w:noProof/>
        </w:rPr>
        <w:t xml:space="preserve"> </w:t>
      </w:r>
      <w:r w:rsidR="00932BD4" w:rsidRPr="008B3AD6">
        <w:rPr>
          <w:noProof/>
        </w:rPr>
        <w:t xml:space="preserve">accumulated </w:t>
      </w:r>
      <w:r w:rsidR="009154C0" w:rsidRPr="008B3AD6">
        <w:rPr>
          <w:noProof/>
        </w:rPr>
        <w:t>in</w:t>
      </w:r>
      <w:r w:rsidR="00932BD4" w:rsidRPr="008B3AD6">
        <w:rPr>
          <w:noProof/>
        </w:rPr>
        <w:t xml:space="preserve"> </w:t>
      </w:r>
      <w:r w:rsidR="009154C0" w:rsidRPr="008B3AD6">
        <w:rPr>
          <w:noProof/>
        </w:rPr>
        <w:t xml:space="preserve">biological tissue </w:t>
      </w:r>
      <w:r w:rsidR="00932BD4" w:rsidRPr="008B3AD6">
        <w:rPr>
          <w:noProof/>
        </w:rPr>
        <w:t xml:space="preserve">fractions </w:t>
      </w:r>
      <w:r w:rsidR="009154C0" w:rsidRPr="008B3AD6">
        <w:rPr>
          <w:noProof/>
        </w:rPr>
        <w:t>was attempted</w:t>
      </w:r>
      <w:r w:rsidR="00932BD4" w:rsidRPr="008B3AD6">
        <w:rPr>
          <w:noProof/>
        </w:rPr>
        <w:t xml:space="preserve">, due to the scarcity of information on cellular accumulation levels achieved </w:t>
      </w:r>
      <w:r w:rsidR="00932BD4" w:rsidRPr="008B3AD6">
        <w:rPr>
          <w:i/>
          <w:noProof/>
        </w:rPr>
        <w:t>in vivo</w:t>
      </w:r>
      <w:r w:rsidRPr="008B3AD6">
        <w:rPr>
          <w:noProof/>
        </w:rPr>
        <w:t xml:space="preserve">. Liver tissue was isolated from mice 12 hours post-treatment with 10 mg/kg </w:t>
      </w:r>
      <w:r w:rsidR="00A32111">
        <w:rPr>
          <w:noProof/>
        </w:rPr>
        <w:t>AmB</w:t>
      </w:r>
      <w:r w:rsidR="00932BD4" w:rsidRPr="008B3AD6">
        <w:rPr>
          <w:noProof/>
        </w:rPr>
        <w:t>, a</w:t>
      </w:r>
      <w:r w:rsidR="00860D6D" w:rsidRPr="008B3AD6">
        <w:rPr>
          <w:noProof/>
        </w:rPr>
        <w:t xml:space="preserve"> dose and </w:t>
      </w:r>
      <w:r w:rsidR="00932BD4" w:rsidRPr="008B3AD6">
        <w:rPr>
          <w:noProof/>
        </w:rPr>
        <w:t xml:space="preserve">time-point that </w:t>
      </w:r>
      <w:r w:rsidR="00860D6D" w:rsidRPr="008B3AD6">
        <w:rPr>
          <w:noProof/>
        </w:rPr>
        <w:t>are</w:t>
      </w:r>
      <w:r w:rsidR="00932BD4" w:rsidRPr="008B3AD6">
        <w:rPr>
          <w:noProof/>
        </w:rPr>
        <w:t xml:space="preserve"> likely to show high levels of </w:t>
      </w:r>
      <w:r w:rsidR="00A32111">
        <w:rPr>
          <w:noProof/>
        </w:rPr>
        <w:t>AmB</w:t>
      </w:r>
      <w:r w:rsidR="00932BD4" w:rsidRPr="008B3AD6">
        <w:rPr>
          <w:noProof/>
        </w:rPr>
        <w:t xml:space="preserve"> accumulation in total liver </w:t>
      </w:r>
      <w:r w:rsidR="00932BD4" w:rsidRPr="008B3AD6">
        <w:rPr>
          <w:noProof/>
        </w:rPr>
        <w:fldChar w:fldCharType="begin"/>
      </w:r>
      <w:r w:rsidR="00025067">
        <w:rPr>
          <w:noProof/>
        </w:rPr>
        <w:instrText xml:space="preserve"> ADDIN ZOTERO_ITEM CSL_CITATION {"citationID":"HovGBOkc","properties":{"formattedCitation":"(Voak et al. 2017c)","plainCitation":"(Voak et al. 2017c)","noteIndex":0},"citationItems":[{"id":2507,"uris":["http://zotero.org/users/2628971/items/W2SGM4SR"],"uri":["http://zotero.org/users/2628971/items/W2SGM4SR"],"itemData":{"id":2507,"type":"article-journal","title":"Pharmacodynamics and Biodistribution of Single-Dose Liposomal Amphotericin B at Different Stages of Experimental Visceral Leishmaniasis","container-title":"Antimicrobial Agents and Chemotherapy","volume":"61","issue":"9","source":"PubMed","abstract":"Visceral leishmaniasis is a neglected tropical disease that causes significant morbidity and mortality worldwide. Characterization of the pharmacokinetics and pharmacodynamics of antileishmanial drugs in preclinical models is important for drug development and use. Here we investigated the pharmacodynamics and drug distribution of liposomal amphotericin B (AmBisome) inLeishmania donovani-infected BALB/c mice at three different dose levels and two different time points after infection. We additionally compared drug levels in plasma, liver, and spleen in infected and uninfected BALB/c mice over time. At the highest administered dose of 10 mg/kg AmBisome, &gt;90% parasite inhibition was observed within 2 days after drug administration, consistent with drug distribution from blood to tissue within 24 h and a fast rate of kill. Decreased drug potency was observed in the spleen when AmBisome was administered on day 35 after infection, compared to day 14 after infection. Amphotericin B concentrations and total drug amounts per organ were lower in liver and spleen when AmBisome was administered at the advanced stage of infection and compared to those in uninfected BALB/c mice. However, the magnitude of difference was lower when total drug amounts per organ were estimated. Differences were also noted in drug distribution toL. donovani-infected livers and spleens. Taken together, our data suggest that organ enlargement and other pathophysiological factors cause infection- and organ-specific drug distribution and elimination after administration of single-dose AmBisome toL. donovani-infected mice. Plasma drug levels were not reflective of changes in drug levels in tissues.","DOI":"10.1128/AAC.00497-17","ISSN":"1098-6596","note":"PMID: 28630200\nPMCID: PMC5571318","journalAbbreviation":"Antimicrob. Agents Chemother.","language":"eng","author":[{"family":"Voak","given":"Andrew A."},{"family":"Harris","given":"Andy"},{"family":"Qaiser","given":"Zeeshan"},{"family":"Croft","given":"Simon L."},{"family":"Seifert","given":"Karin"}],"issued":{"date-parts":[["2017",9]]}}}],"schema":"https://github.com/citation-style-language/schema/raw/master/csl-citation.json"} </w:instrText>
      </w:r>
      <w:r w:rsidR="00932BD4" w:rsidRPr="008B3AD6">
        <w:rPr>
          <w:noProof/>
        </w:rPr>
        <w:fldChar w:fldCharType="separate"/>
      </w:r>
      <w:r w:rsidR="00E5551E">
        <w:rPr>
          <w:lang w:val="en-US"/>
        </w:rPr>
        <w:t>(Voak et al. 2017</w:t>
      </w:r>
      <w:r w:rsidR="00025067" w:rsidRPr="00025067">
        <w:rPr>
          <w:lang w:val="en-US"/>
        </w:rPr>
        <w:t>)</w:t>
      </w:r>
      <w:r w:rsidR="00932BD4" w:rsidRPr="008B3AD6">
        <w:rPr>
          <w:noProof/>
        </w:rPr>
        <w:fldChar w:fldCharType="end"/>
      </w:r>
      <w:r w:rsidR="00860D6D" w:rsidRPr="008B3AD6">
        <w:rPr>
          <w:noProof/>
        </w:rPr>
        <w:t xml:space="preserve"> </w:t>
      </w:r>
      <w:r w:rsidR="00932BD4" w:rsidRPr="008B3AD6">
        <w:rPr>
          <w:noProof/>
        </w:rPr>
        <w:t xml:space="preserve">thus increasing the likelihood of the positive dection of </w:t>
      </w:r>
      <w:r w:rsidR="00A32111">
        <w:rPr>
          <w:noProof/>
        </w:rPr>
        <w:t>AmB</w:t>
      </w:r>
      <w:r w:rsidR="00932BD4" w:rsidRPr="008B3AD6">
        <w:rPr>
          <w:noProof/>
        </w:rPr>
        <w:t xml:space="preserve"> in cellular fractions</w:t>
      </w:r>
      <w:r w:rsidRPr="008B3AD6">
        <w:rPr>
          <w:noProof/>
        </w:rPr>
        <w:t>. Leukocytes were recovered from both naïve and infected livers alongside digested liver tissue post-leukocyte recovery (containing the parenchyma)</w:t>
      </w:r>
      <w:r w:rsidR="00540F5D" w:rsidRPr="008B3AD6">
        <w:rPr>
          <w:noProof/>
        </w:rPr>
        <w:t xml:space="preserve"> </w:t>
      </w:r>
      <w:r w:rsidRPr="008B3AD6">
        <w:rPr>
          <w:noProof/>
        </w:rPr>
        <w:t xml:space="preserve">. At least </w:t>
      </w:r>
      <w:r w:rsidRPr="008B3AD6">
        <w:t>2x10</w:t>
      </w:r>
      <w:r w:rsidRPr="008B3AD6">
        <w:rPr>
          <w:vertAlign w:val="superscript"/>
        </w:rPr>
        <w:t>6</w:t>
      </w:r>
      <w:r w:rsidRPr="008B3AD6">
        <w:t xml:space="preserve"> leukocytes and 1 ml of </w:t>
      </w:r>
      <w:r w:rsidR="009F7D7D" w:rsidRPr="008B3AD6">
        <w:t>parenchymal</w:t>
      </w:r>
      <w:r w:rsidRPr="008B3AD6">
        <w:t xml:space="preserve"> lysate</w:t>
      </w:r>
      <w:r w:rsidR="006D4E53">
        <w:t xml:space="preserve"> (this lysate being the pelleted cells removed in the parenchymal fractionation using a 50 G centrifugation, which we were not able to quantify in terms of cell number)</w:t>
      </w:r>
      <w:r w:rsidRPr="008B3AD6">
        <w:t xml:space="preserve"> per mouse were processed using column extraction to isolate </w:t>
      </w:r>
      <w:r w:rsidR="00A32111">
        <w:t>AmB</w:t>
      </w:r>
      <w:r w:rsidRPr="008B3AD6">
        <w:t xml:space="preserve"> (Section </w:t>
      </w:r>
      <w:r w:rsidR="008B3AD6" w:rsidRPr="008B3AD6">
        <w:fldChar w:fldCharType="begin"/>
      </w:r>
      <w:r w:rsidR="008B3AD6" w:rsidRPr="008B3AD6">
        <w:instrText xml:space="preserve"> REF _Ref521680359 \n </w:instrText>
      </w:r>
      <w:r w:rsidR="008B3AD6">
        <w:instrText xml:space="preserve"> \* MERGEFORMAT </w:instrText>
      </w:r>
      <w:r w:rsidR="008B3AD6" w:rsidRPr="008B3AD6">
        <w:fldChar w:fldCharType="separate"/>
      </w:r>
      <w:r w:rsidR="00031DCA">
        <w:t>2.11</w:t>
      </w:r>
      <w:r w:rsidR="008B3AD6" w:rsidRPr="008B3AD6">
        <w:fldChar w:fldCharType="end"/>
      </w:r>
      <w:r w:rsidRPr="008B3AD6">
        <w:t xml:space="preserve">). </w:t>
      </w:r>
      <w:r w:rsidR="00A32111">
        <w:t>AmB</w:t>
      </w:r>
      <w:r w:rsidR="00596BE4" w:rsidRPr="008B3AD6">
        <w:t xml:space="preserve"> was detected in both </w:t>
      </w:r>
      <w:r w:rsidR="006A409E" w:rsidRPr="008B3AD6">
        <w:t xml:space="preserve">leukocytes and </w:t>
      </w:r>
      <w:r w:rsidR="009F7D7D" w:rsidRPr="008B3AD6">
        <w:t xml:space="preserve">parenchymal lysate, shown in </w:t>
      </w:r>
      <w:r w:rsidR="0074700A">
        <w:rPr>
          <w:b/>
        </w:rPr>
        <w:fldChar w:fldCharType="begin"/>
      </w:r>
      <w:r w:rsidR="0074700A">
        <w:rPr>
          <w:b/>
        </w:rPr>
        <w:instrText xml:space="preserve"> REF _Ref518931821  \* MERGEFORMAT </w:instrText>
      </w:r>
      <w:r w:rsidR="0074700A">
        <w:rPr>
          <w:b/>
        </w:rPr>
        <w:fldChar w:fldCharType="separate"/>
      </w:r>
      <w:r w:rsidR="00E5551E" w:rsidRPr="00E5551E">
        <w:rPr>
          <w:b/>
        </w:rPr>
        <w:t xml:space="preserve">Figure </w:t>
      </w:r>
      <w:r w:rsidR="00E5551E" w:rsidRPr="00E5551E">
        <w:rPr>
          <w:b/>
          <w:noProof/>
        </w:rPr>
        <w:t>3.3</w:t>
      </w:r>
      <w:r w:rsidR="0074700A">
        <w:rPr>
          <w:b/>
          <w:noProof/>
        </w:rPr>
        <w:fldChar w:fldCharType="end"/>
      </w:r>
      <w:r w:rsidR="009F7D7D" w:rsidRPr="008B3AD6">
        <w:t xml:space="preserve">, confirming the </w:t>
      </w:r>
      <w:r w:rsidR="00CF429C" w:rsidRPr="008B3AD6">
        <w:t xml:space="preserve">ability to detect </w:t>
      </w:r>
      <w:r w:rsidR="009F7D7D" w:rsidRPr="008B3AD6">
        <w:t xml:space="preserve">sub-tissue </w:t>
      </w:r>
      <w:r w:rsidR="00CF429C" w:rsidRPr="008B3AD6">
        <w:t>distributed</w:t>
      </w:r>
      <w:r w:rsidR="009F7D7D" w:rsidRPr="008B3AD6">
        <w:t xml:space="preserve"> </w:t>
      </w:r>
      <w:r w:rsidR="00A32111">
        <w:t>AmB</w:t>
      </w:r>
      <w:r w:rsidR="009F7D7D" w:rsidRPr="008B3AD6">
        <w:t xml:space="preserve">. </w:t>
      </w:r>
      <w:r w:rsidR="00DA7F53" w:rsidRPr="008B3AD6">
        <w:t>To note, t</w:t>
      </w:r>
      <w:r w:rsidR="00932BD4" w:rsidRPr="008B3AD6">
        <w:t xml:space="preserve">he standard, Clopidogrel, </w:t>
      </w:r>
      <w:r w:rsidR="00DA7F53" w:rsidRPr="008B3AD6">
        <w:t>was</w:t>
      </w:r>
      <w:r w:rsidR="00932BD4" w:rsidRPr="008B3AD6">
        <w:t xml:space="preserve"> added to these samples during the extraction of </w:t>
      </w:r>
      <w:r w:rsidR="00A32111">
        <w:t>AmB</w:t>
      </w:r>
      <w:r w:rsidR="00932BD4" w:rsidRPr="008B3AD6">
        <w:t xml:space="preserve"> from </w:t>
      </w:r>
      <w:r w:rsidR="00DA7F53" w:rsidRPr="008B3AD6">
        <w:t xml:space="preserve">the biological samples and </w:t>
      </w:r>
      <w:r w:rsidR="00932BD4" w:rsidRPr="008B3AD6">
        <w:t>correct</w:t>
      </w:r>
      <w:r w:rsidR="00DA7F53" w:rsidRPr="008B3AD6">
        <w:t xml:space="preserve">s for analytical variability as it is applied to uniformly to all samples. In this way the area of the detected </w:t>
      </w:r>
      <w:r w:rsidR="00DA7F53" w:rsidRPr="008B3AD6">
        <w:lastRenderedPageBreak/>
        <w:t xml:space="preserve">peaks for </w:t>
      </w:r>
      <w:r w:rsidR="00A32111">
        <w:t>AmB</w:t>
      </w:r>
      <w:r w:rsidR="00DA7F53" w:rsidRPr="008B3AD6">
        <w:t xml:space="preserve"> and Clopidogrel can be used to derive a ratio that allows for like-for-l</w:t>
      </w:r>
      <w:r w:rsidR="000F320E" w:rsidRPr="008B3AD6">
        <w:t>ike comparisons of all samples.</w:t>
      </w:r>
      <w:r w:rsidR="00860D6D" w:rsidRPr="008B3AD6">
        <w:t xml:space="preserve"> </w:t>
      </w:r>
      <w:r w:rsidR="009F7D7D" w:rsidRPr="008B3AD6">
        <w:t xml:space="preserve">Whilst an </w:t>
      </w:r>
      <w:r w:rsidR="00A32111">
        <w:t>AmB</w:t>
      </w:r>
      <w:r w:rsidR="009F7D7D" w:rsidRPr="008B3AD6">
        <w:t xml:space="preserve"> signal was detected in untreated s</w:t>
      </w:r>
      <w:r w:rsidR="00932BD4" w:rsidRPr="008B3AD6">
        <w:t xml:space="preserve">amples this was between 178-318 </w:t>
      </w:r>
      <w:r w:rsidR="009F7D7D" w:rsidRPr="008B3AD6">
        <w:t xml:space="preserve">fold less than in treated leukocytes and between 1618-5803 fold less </w:t>
      </w:r>
      <w:r w:rsidR="006C2ED9">
        <w:rPr>
          <w:noProof/>
        </w:rPr>
        <mc:AlternateContent>
          <mc:Choice Requires="wps">
            <w:drawing>
              <wp:anchor distT="0" distB="0" distL="114300" distR="114300" simplePos="0" relativeHeight="252134400" behindDoc="0" locked="0" layoutInCell="1" allowOverlap="1" wp14:anchorId="7FB70AD7" wp14:editId="1457CE3D">
                <wp:simplePos x="0" y="0"/>
                <wp:positionH relativeFrom="column">
                  <wp:posOffset>1085215</wp:posOffset>
                </wp:positionH>
                <wp:positionV relativeFrom="paragraph">
                  <wp:posOffset>1294765</wp:posOffset>
                </wp:positionV>
                <wp:extent cx="262255" cy="958850"/>
                <wp:effectExtent l="0" t="0" r="4445" b="6350"/>
                <wp:wrapNone/>
                <wp:docPr id="5" name="Rectangle 5"/>
                <wp:cNvGraphicFramePr/>
                <a:graphic xmlns:a="http://schemas.openxmlformats.org/drawingml/2006/main">
                  <a:graphicData uri="http://schemas.microsoft.com/office/word/2010/wordprocessingShape">
                    <wps:wsp>
                      <wps:cNvSpPr/>
                      <wps:spPr>
                        <a:xfrm>
                          <a:off x="0" y="0"/>
                          <a:ext cx="262255" cy="95885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7634494C" id="Rectangle 5" o:spid="_x0000_s1026" style="position:absolute;margin-left:85.45pt;margin-top:101.95pt;width:20.65pt;height:75.5pt;z-index:2521344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vp3MtkgIAAIMFAAAOAAAAZHJzL2Uyb0RvYy54bWysVFFPGzEMfp+0/xDlfVxbcQwqrqgCMU1C&#13;&#10;gCgTz2ku6UXKxVmS9tr9+jnJ3RUY2sO0PqRxbH+2v7N9ebVvNdkJ5xWYik5PJpQIw6FWZlPRH8+3&#13;&#10;X84p8YGZmmkwoqIH4enV4vOny87OxQwa0LVwBEGMn3e2ok0Idl4UnjeiZf4ErDColOBaFlB0m6J2&#13;&#10;rEP0VhezyeSs6MDV1gEX3uPrTVbSRcKXUvDwIKUXgeiKYm4hnS6d63gWi0s23zhmG8X7NNg/ZNEy&#13;&#10;ZTDoCHXDAiNbp/6AahV34EGGEw5tAVIqLlINWM108q6aVcOsSLUgOd6ONPn/B8vvd4+OqLqiJSWG&#13;&#10;tfiJnpA0ZjZakDLS01k/R6uVfXS95PEaa91L18Z/rILsE6WHkVKxD4Tj4+xsNisRmqPqojw/LxPl&#13;&#10;xdHZOh++CWhJvFTUYfBEJNvd+YAB0XQwibE8aFXfKq2TELtEXGtHdgy/73ozjQmjxxsrbaKtgeiV&#13;&#10;1fGliHXlStItHLSIdto8CYmExNxTIqkVj0EY58KEaVY1rBY5djnB3xB9SCvlkgAjssT4I3YPMFhm&#13;&#10;kAE7Z9nbR1eROnl0nvwtsew8eqTIYMLo3CoD7iMAjVX1kbP9QFKmJrK0hvqA7eIgz5G3/FbhZ7tj&#13;&#10;Pjwyh4ODI4bLIDzgITV0FYX+RkkD7tdH79Ee+xm1lHQ4iBX1P7fMCUr0d4OdfjE9PY2Tm4TT8usM&#13;&#10;Bfdas36tMdv2GrAXprh2LE/XaB/0cJUO2hfcGcsYFVXMcIxdUR7cIFyHvCBw63CxXCYznFbLwp1Z&#13;&#10;WR7BI6uxLZ/3L8zZvncDNv09DEPL5u9aONtGTwPLbQCpUn8fee35xklPjdNvpbhKXsvJ6rg7F78B&#13;&#10;AAD//wMAUEsDBBQABgAIAAAAIQAhE+6x5AAAABABAAAPAAAAZHJzL2Rvd25yZXYueG1sTE/LTsMw&#13;&#10;ELwj8Q/WInFB1K4NlKZxKh5C4sKBtkIc3djEVmM7it0k5etZTnBZ7Whn51GuJ9+SwfTJxSBhPmNA&#13;&#10;TKijdqGRsNu+XN8DSVkFrdoYjISTSbCuzs9KVeg4hnczbHJDUCSkQkmwOXcFpam2xqs0i50JePuK&#13;&#10;vVcZYd9Q3asRxX1LOWN31CsX0MGqzjxZUx82Ry/h7STE63AlDuPOicZ908/HDxulvLyYnlc4HlZA&#13;&#10;spny3wf8dsD8UGGwfTwGnUiLeMGWSJXAmcAFGXzOOZC9BHF7swRalfR/keoHAAD//wMAUEsBAi0A&#13;&#10;FAAGAAgAAAAhALaDOJL+AAAA4QEAABMAAAAAAAAAAAAAAAAAAAAAAFtDb250ZW50X1R5cGVzXS54&#13;&#10;bWxQSwECLQAUAAYACAAAACEAOP0h/9YAAACUAQAACwAAAAAAAAAAAAAAAAAvAQAAX3JlbHMvLnJl&#13;&#10;bHNQSwECLQAUAAYACAAAACEAr6dzLZICAACDBQAADgAAAAAAAAAAAAAAAAAuAgAAZHJzL2Uyb0Rv&#13;&#10;Yy54bWxQSwECLQAUAAYACAAAACEAIRPuseQAAAAQAQAADwAAAAAAAAAAAAAAAADsBAAAZHJzL2Rv&#13;&#10;d25yZXYueG1sUEsFBgAAAAAEAAQA8wAAAP0FAAAAAA==&#13;&#10;" fillcolor="white [3212]" stroked="f" strokeweight="1pt"/>
            </w:pict>
          </mc:Fallback>
        </mc:AlternateContent>
      </w:r>
      <w:r w:rsidR="009F7D7D" w:rsidRPr="008B3AD6">
        <w:t xml:space="preserve">than treated parenchyma, </w:t>
      </w:r>
      <w:r w:rsidR="00932BD4" w:rsidRPr="008B3AD6">
        <w:t>likely</w:t>
      </w:r>
      <w:r w:rsidR="00860D6D" w:rsidRPr="008B3AD6">
        <w:t xml:space="preserve"> representing </w:t>
      </w:r>
      <w:r w:rsidR="009F7D7D" w:rsidRPr="008B3AD6">
        <w:t xml:space="preserve">background </w:t>
      </w:r>
      <w:r w:rsidR="00932BD4" w:rsidRPr="008B3AD6">
        <w:t>noise</w:t>
      </w:r>
      <w:r w:rsidR="009F7D7D" w:rsidRPr="008B3AD6">
        <w:t>.</w:t>
      </w:r>
    </w:p>
    <w:p w14:paraId="3DD48703" w14:textId="158AEBEC" w:rsidR="000C7703" w:rsidRPr="008B3AD6" w:rsidRDefault="006D4E53" w:rsidP="00596BE4">
      <w:pPr>
        <w:spacing w:line="360" w:lineRule="auto"/>
        <w:jc w:val="both"/>
      </w:pPr>
      <w:r>
        <w:rPr>
          <w:noProof/>
        </w:rPr>
        <w:drawing>
          <wp:anchor distT="0" distB="0" distL="114300" distR="114300" simplePos="0" relativeHeight="252136448" behindDoc="0" locked="0" layoutInCell="1" allowOverlap="1" wp14:anchorId="47AF6A58" wp14:editId="078FB7AE">
            <wp:simplePos x="0" y="0"/>
            <wp:positionH relativeFrom="column">
              <wp:posOffset>664210</wp:posOffset>
            </wp:positionH>
            <wp:positionV relativeFrom="paragraph">
              <wp:posOffset>285750</wp:posOffset>
            </wp:positionV>
            <wp:extent cx="561975" cy="2105660"/>
            <wp:effectExtent l="0" t="0" r="0" b="2540"/>
            <wp:wrapTopAndBottom/>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Picture 74"/>
                    <pic:cNvPicPr>
                      <a:picLocks noChangeAspect="1"/>
                    </pic:cNvPicPr>
                  </pic:nvPicPr>
                  <pic:blipFill rotWithShape="1">
                    <a:blip r:embed="rId32">
                      <a:extLst>
                        <a:ext uri="{28A0092B-C50C-407E-A947-70E740481C1C}">
                          <a14:useLocalDpi xmlns:a14="http://schemas.microsoft.com/office/drawing/2010/main" val="0"/>
                        </a:ext>
                      </a:extLst>
                    </a:blip>
                    <a:srcRect t="10709" r="87672" b="24259"/>
                    <a:stretch/>
                  </pic:blipFill>
                  <pic:spPr bwMode="auto">
                    <a:xfrm>
                      <a:off x="0" y="0"/>
                      <a:ext cx="561975" cy="21056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110906" behindDoc="0" locked="0" layoutInCell="1" allowOverlap="1" wp14:anchorId="123A1E78" wp14:editId="2F86468F">
            <wp:simplePos x="0" y="0"/>
            <wp:positionH relativeFrom="column">
              <wp:posOffset>1183005</wp:posOffset>
            </wp:positionH>
            <wp:positionV relativeFrom="paragraph">
              <wp:posOffset>165100</wp:posOffset>
            </wp:positionV>
            <wp:extent cx="3448050" cy="3236595"/>
            <wp:effectExtent l="0" t="0" r="6350" b="1905"/>
            <wp:wrapTopAndBottom/>
            <wp:docPr id="449" name="Picture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9" name="Picture 449"/>
                    <pic:cNvPicPr>
                      <a:picLocks noChangeAspect="1"/>
                    </pic:cNvPicPr>
                  </pic:nvPicPr>
                  <pic:blipFill rotWithShape="1">
                    <a:blip r:embed="rId33">
                      <a:extLst>
                        <a:ext uri="{28A0092B-C50C-407E-A947-70E740481C1C}">
                          <a14:useLocalDpi xmlns:a14="http://schemas.microsoft.com/office/drawing/2010/main" val="0"/>
                        </a:ext>
                      </a:extLst>
                    </a:blip>
                    <a:srcRect l="6692"/>
                    <a:stretch/>
                  </pic:blipFill>
                  <pic:spPr bwMode="auto">
                    <a:xfrm>
                      <a:off x="0" y="0"/>
                      <a:ext cx="3448050" cy="323659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r>
        <w:rPr>
          <w:noProof/>
        </w:rPr>
        <mc:AlternateContent>
          <mc:Choice Requires="wps">
            <w:drawing>
              <wp:anchor distT="0" distB="0" distL="114300" distR="114300" simplePos="0" relativeHeight="251432960" behindDoc="0" locked="0" layoutInCell="1" allowOverlap="1" wp14:anchorId="44AEDACC" wp14:editId="4D4DA634">
                <wp:simplePos x="0" y="0"/>
                <wp:positionH relativeFrom="column">
                  <wp:posOffset>-22860</wp:posOffset>
                </wp:positionH>
                <wp:positionV relativeFrom="paragraph">
                  <wp:posOffset>3478563</wp:posOffset>
                </wp:positionV>
                <wp:extent cx="5615940" cy="1289050"/>
                <wp:effectExtent l="0" t="0" r="0" b="6350"/>
                <wp:wrapTopAndBottom/>
                <wp:docPr id="561" name="Text Box 561"/>
                <wp:cNvGraphicFramePr/>
                <a:graphic xmlns:a="http://schemas.openxmlformats.org/drawingml/2006/main">
                  <a:graphicData uri="http://schemas.microsoft.com/office/word/2010/wordprocessingShape">
                    <wps:wsp>
                      <wps:cNvSpPr txBox="1"/>
                      <wps:spPr>
                        <a:xfrm>
                          <a:off x="0" y="0"/>
                          <a:ext cx="5615940" cy="1289050"/>
                        </a:xfrm>
                        <a:prstGeom prst="rect">
                          <a:avLst/>
                        </a:prstGeom>
                        <a:solidFill>
                          <a:prstClr val="white"/>
                        </a:solidFill>
                        <a:ln>
                          <a:noFill/>
                        </a:ln>
                      </wps:spPr>
                      <wps:txbx>
                        <w:txbxContent>
                          <w:p w14:paraId="3EAA19F5" w14:textId="1009A02D" w:rsidR="00F61130" w:rsidRPr="00CE37DB" w:rsidRDefault="00F61130" w:rsidP="0004454D">
                            <w:pPr>
                              <w:pStyle w:val="Caption"/>
                              <w:spacing w:line="360" w:lineRule="auto"/>
                              <w:jc w:val="both"/>
                              <w:rPr>
                                <w:noProof/>
                                <w:sz w:val="20"/>
                                <w:szCs w:val="20"/>
                              </w:rPr>
                            </w:pPr>
                            <w:bookmarkStart w:id="239" w:name="_Ref518931821"/>
                            <w:bookmarkStart w:id="240" w:name="_Toc525227194"/>
                            <w:bookmarkStart w:id="241" w:name="_Toc536814133"/>
                            <w:r w:rsidRPr="00CE37DB">
                              <w:rPr>
                                <w:b/>
                                <w:sz w:val="20"/>
                                <w:szCs w:val="20"/>
                              </w:rPr>
                              <w:t xml:space="preserve">Figure </w:t>
                            </w:r>
                            <w:r>
                              <w:rPr>
                                <w:b/>
                                <w:sz w:val="20"/>
                                <w:szCs w:val="20"/>
                              </w:rPr>
                              <w:fldChar w:fldCharType="begin"/>
                            </w:r>
                            <w:r>
                              <w:rPr>
                                <w:b/>
                                <w:sz w:val="20"/>
                                <w:szCs w:val="20"/>
                              </w:rPr>
                              <w:instrText xml:space="preserve"> STYLEREF 1 \s </w:instrText>
                            </w:r>
                            <w:r>
                              <w:rPr>
                                <w:b/>
                                <w:sz w:val="20"/>
                                <w:szCs w:val="20"/>
                              </w:rPr>
                              <w:fldChar w:fldCharType="separate"/>
                            </w:r>
                            <w:r>
                              <w:rPr>
                                <w:b/>
                                <w:noProof/>
                                <w:sz w:val="20"/>
                                <w:szCs w:val="20"/>
                              </w:rPr>
                              <w:t>3</w:t>
                            </w:r>
                            <w:r>
                              <w:rPr>
                                <w:b/>
                                <w:sz w:val="20"/>
                                <w:szCs w:val="20"/>
                              </w:rPr>
                              <w:fldChar w:fldCharType="end"/>
                            </w:r>
                            <w:r>
                              <w:rPr>
                                <w:b/>
                                <w:sz w:val="20"/>
                                <w:szCs w:val="20"/>
                              </w:rPr>
                              <w:t>.</w:t>
                            </w:r>
                            <w:r>
                              <w:rPr>
                                <w:b/>
                                <w:sz w:val="20"/>
                                <w:szCs w:val="20"/>
                              </w:rPr>
                              <w:fldChar w:fldCharType="begin"/>
                            </w:r>
                            <w:r>
                              <w:rPr>
                                <w:b/>
                                <w:sz w:val="20"/>
                                <w:szCs w:val="20"/>
                              </w:rPr>
                              <w:instrText xml:space="preserve"> SEQ Figure \* ARABIC \s 1 </w:instrText>
                            </w:r>
                            <w:r>
                              <w:rPr>
                                <w:b/>
                                <w:sz w:val="20"/>
                                <w:szCs w:val="20"/>
                              </w:rPr>
                              <w:fldChar w:fldCharType="separate"/>
                            </w:r>
                            <w:r>
                              <w:rPr>
                                <w:b/>
                                <w:noProof/>
                                <w:sz w:val="20"/>
                                <w:szCs w:val="20"/>
                              </w:rPr>
                              <w:t>3</w:t>
                            </w:r>
                            <w:r>
                              <w:rPr>
                                <w:b/>
                                <w:sz w:val="20"/>
                                <w:szCs w:val="20"/>
                              </w:rPr>
                              <w:fldChar w:fldCharType="end"/>
                            </w:r>
                            <w:bookmarkEnd w:id="239"/>
                            <w:r w:rsidRPr="00CE37DB">
                              <w:rPr>
                                <w:b/>
                                <w:sz w:val="20"/>
                                <w:szCs w:val="20"/>
                              </w:rPr>
                              <w:t xml:space="preserve"> - LC-MS Analysis of </w:t>
                            </w:r>
                            <w:r>
                              <w:rPr>
                                <w:b/>
                                <w:sz w:val="20"/>
                                <w:szCs w:val="20"/>
                              </w:rPr>
                              <w:t>Leukocytes and Parenchyma</w:t>
                            </w:r>
                            <w:r w:rsidRPr="00CE37DB">
                              <w:rPr>
                                <w:b/>
                                <w:sz w:val="20"/>
                                <w:szCs w:val="20"/>
                              </w:rPr>
                              <w:t xml:space="preserve"> for Amphotericin B Detection.</w:t>
                            </w:r>
                            <w:r w:rsidRPr="00CE37DB">
                              <w:rPr>
                                <w:sz w:val="20"/>
                                <w:szCs w:val="20"/>
                              </w:rPr>
                              <w:t xml:space="preserve"> Amphotericin B and Clopidogrel levels were determined for </w:t>
                            </w:r>
                            <w:r>
                              <w:rPr>
                                <w:sz w:val="20"/>
                                <w:szCs w:val="20"/>
                              </w:rPr>
                              <w:t>l</w:t>
                            </w:r>
                            <w:r w:rsidRPr="00877A35">
                              <w:rPr>
                                <w:sz w:val="20"/>
                                <w:szCs w:val="20"/>
                              </w:rPr>
                              <w:t>eukocytes and parenchymal cells isolated from 2 naïve mice treated with 10 mg/kg Amphotericin B as AmB</w:t>
                            </w:r>
                            <w:r w:rsidRPr="00CE37DB">
                              <w:rPr>
                                <w:sz w:val="20"/>
                                <w:szCs w:val="20"/>
                              </w:rPr>
                              <w:t>isome (Red &amp; Blue) and 1 untreated naïve mouse (Green). The ratio of the peak areas for Amphotericin B and Clopidogrel was determined for each sample. Data represents 1 biological replicate per treatment group.</w:t>
                            </w:r>
                            <w:r>
                              <w:rPr>
                                <w:sz w:val="20"/>
                                <w:szCs w:val="20"/>
                              </w:rPr>
                              <w:t xml:space="preserve"> Samples were processed using digestion protocol 1 (Section </w:t>
                            </w:r>
                            <w:r>
                              <w:rPr>
                                <w:sz w:val="20"/>
                                <w:szCs w:val="20"/>
                              </w:rPr>
                              <w:fldChar w:fldCharType="begin"/>
                            </w:r>
                            <w:r>
                              <w:rPr>
                                <w:sz w:val="20"/>
                                <w:szCs w:val="20"/>
                              </w:rPr>
                              <w:instrText xml:space="preserve"> REF _Ref518492280 \n </w:instrText>
                            </w:r>
                            <w:r>
                              <w:rPr>
                                <w:sz w:val="20"/>
                                <w:szCs w:val="20"/>
                              </w:rPr>
                              <w:fldChar w:fldCharType="separate"/>
                            </w:r>
                            <w:r>
                              <w:rPr>
                                <w:sz w:val="20"/>
                                <w:szCs w:val="20"/>
                              </w:rPr>
                              <w:t>2.5</w:t>
                            </w:r>
                            <w:r>
                              <w:rPr>
                                <w:sz w:val="20"/>
                                <w:szCs w:val="20"/>
                              </w:rPr>
                              <w:fldChar w:fldCharType="end"/>
                            </w:r>
                            <w:r>
                              <w:rPr>
                                <w:sz w:val="20"/>
                                <w:szCs w:val="20"/>
                              </w:rPr>
                              <w:t xml:space="preserve">) and the column extraction method (Section </w:t>
                            </w:r>
                            <w:r>
                              <w:rPr>
                                <w:sz w:val="20"/>
                                <w:szCs w:val="20"/>
                              </w:rPr>
                              <w:fldChar w:fldCharType="begin"/>
                            </w:r>
                            <w:r>
                              <w:rPr>
                                <w:sz w:val="20"/>
                                <w:szCs w:val="20"/>
                              </w:rPr>
                              <w:instrText xml:space="preserve"> REF _Ref519017137 \n </w:instrText>
                            </w:r>
                            <w:r>
                              <w:rPr>
                                <w:sz w:val="20"/>
                                <w:szCs w:val="20"/>
                              </w:rPr>
                              <w:fldChar w:fldCharType="separate"/>
                            </w:r>
                            <w:r>
                              <w:rPr>
                                <w:sz w:val="20"/>
                                <w:szCs w:val="20"/>
                              </w:rPr>
                              <w:t>2.11</w:t>
                            </w:r>
                            <w:r>
                              <w:rPr>
                                <w:sz w:val="20"/>
                                <w:szCs w:val="20"/>
                              </w:rPr>
                              <w:fldChar w:fldCharType="end"/>
                            </w:r>
                            <w:r>
                              <w:rPr>
                                <w:sz w:val="20"/>
                                <w:szCs w:val="20"/>
                              </w:rPr>
                              <w:t>).</w:t>
                            </w:r>
                            <w:bookmarkEnd w:id="240"/>
                            <w:bookmarkEnd w:id="241"/>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44AEDACC" id="Text Box 561" o:spid="_x0000_s1044" type="#_x0000_t202" style="position:absolute;left:0;text-align:left;margin-left:-1.8pt;margin-top:273.9pt;width:442.2pt;height:101.5pt;z-index:2514329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r3vybNQIAAG0EAAAOAAAAZHJzL2Uyb0RvYy54bWysVMFu2zAMvQ/YPwi6r06CtWiDOkXWosOA&#13;&#10;oC2QDj0rshwLkEVNUmJnX78nOU67bqdhF4UmKYrvPTLXN31r2F75oMmWfHo24UxZSZW225J/f77/&#13;&#10;dMlZiMJWwpBVJT+owG8WHz9cd26uZtSQqZRnKGLDvHMlb2J086IIslGtCGfklEWwJt+KiE+/LSov&#13;&#10;OlRvTTGbTC6KjnzlPEkVArx3Q5Avcv26VjI+1nVQkZmSo7eYT5/PTTqLxbWYb71wjZbHNsQ/dNEK&#13;&#10;bfHoqdSdiILtvP6jVKulp0B1PJPUFlTXWqqMAWimk3do1o1wKmMBOcGdaAr/r6x82D95pquSn19M&#13;&#10;ObOihUjPqo/sC/Us+cBQ58IciWuH1NgjAKVHf4AzAe9r36ZfQGKIg+vDid9UTsKJcudXnxGSiE1n&#13;&#10;l1eT86xA8Xrd+RC/KmpZMkruIWDmVexXIaIVpI4p6bVARlf32pj0kQK3xrO9gNhdo6NKTeLGb1nG&#13;&#10;plxL6dYQTp4iYRywJCv2mz6zMr0cgW6oOgC/p2GGgpP3Gg+uRIhPwmNogAuLEB9x1Ia6ktPR4qwh&#13;&#10;//Nv/pQPLRHlrMMQljz82AmvODPfLFROEzsafjQ2o2F37S0BKnRDN9nEBR/NaNae2hfsxzK9gpCw&#13;&#10;Em+VPI7mbRxWAfsl1XKZkzCXTsSVXTuZSo/EPvcvwrujLBGKPtA4nmL+Tp0hd6B5uYtU6yxdInZg&#13;&#10;8cg3Zjrrc9y/tDRvv3PW67/E4hcAAAD//wMAUEsDBBQABgAIAAAAIQDf8b2x4gAAAA8BAAAPAAAA&#13;&#10;ZHJzL2Rvd25yZXYueG1sTE9NT8MwDL0j8R8iI3FBW8pgXdU1nWCF2zhsTDtnjWkrGqdq0rX795gT&#13;&#10;XKxn+fl9ZJvJtuKCvW8cKXicRyCQSmcaqhQcP99nCQgfNBndOkIFV/SwyW9vMp0aN9IeL4dQCRYh&#13;&#10;n2oFdQhdKqUva7Taz12HxLcv11sdeO0raXo9srht5SKKYml1Q+xQ6w63NZbfh8EqiIt+GPe0fSiO&#13;&#10;bzv90VWL0+v1pNT93VSsebysQQScwt8H/Hbg/JBzsLMbyHjRKpg9xcxUsHxecQ8mJEnE4KxgtWQg&#13;&#10;80z+75H/AAAA//8DAFBLAQItABQABgAIAAAAIQC2gziS/gAAAOEBAAATAAAAAAAAAAAAAAAAAAAA&#13;&#10;AABbQ29udGVudF9UeXBlc10ueG1sUEsBAi0AFAAGAAgAAAAhADj9If/WAAAAlAEAAAsAAAAAAAAA&#13;&#10;AAAAAAAALwEAAF9yZWxzLy5yZWxzUEsBAi0AFAAGAAgAAAAhAGve/Js1AgAAbQQAAA4AAAAAAAAA&#13;&#10;AAAAAAAALgIAAGRycy9lMm9Eb2MueG1sUEsBAi0AFAAGAAgAAAAhAN/xvbHiAAAADwEAAA8AAAAA&#13;&#10;AAAAAAAAAAAAjwQAAGRycy9kb3ducmV2LnhtbFBLBQYAAAAABAAEAPMAAACeBQAAAAA=&#13;&#10;" stroked="f">
                <v:textbox inset="0,0,0,0">
                  <w:txbxContent>
                    <w:p w14:paraId="3EAA19F5" w14:textId="1009A02D" w:rsidR="00F61130" w:rsidRPr="00CE37DB" w:rsidRDefault="00F61130" w:rsidP="0004454D">
                      <w:pPr>
                        <w:pStyle w:val="Caption"/>
                        <w:spacing w:line="360" w:lineRule="auto"/>
                        <w:jc w:val="both"/>
                        <w:rPr>
                          <w:noProof/>
                          <w:sz w:val="20"/>
                          <w:szCs w:val="20"/>
                        </w:rPr>
                      </w:pPr>
                      <w:bookmarkStart w:id="242" w:name="_Ref518931821"/>
                      <w:bookmarkStart w:id="243" w:name="_Toc525227194"/>
                      <w:bookmarkStart w:id="244" w:name="_Toc536814133"/>
                      <w:r w:rsidRPr="00CE37DB">
                        <w:rPr>
                          <w:b/>
                          <w:sz w:val="20"/>
                          <w:szCs w:val="20"/>
                        </w:rPr>
                        <w:t xml:space="preserve">Figure </w:t>
                      </w:r>
                      <w:r>
                        <w:rPr>
                          <w:b/>
                          <w:sz w:val="20"/>
                          <w:szCs w:val="20"/>
                        </w:rPr>
                        <w:fldChar w:fldCharType="begin"/>
                      </w:r>
                      <w:r>
                        <w:rPr>
                          <w:b/>
                          <w:sz w:val="20"/>
                          <w:szCs w:val="20"/>
                        </w:rPr>
                        <w:instrText xml:space="preserve"> STYLEREF 1 \s </w:instrText>
                      </w:r>
                      <w:r>
                        <w:rPr>
                          <w:b/>
                          <w:sz w:val="20"/>
                          <w:szCs w:val="20"/>
                        </w:rPr>
                        <w:fldChar w:fldCharType="separate"/>
                      </w:r>
                      <w:r>
                        <w:rPr>
                          <w:b/>
                          <w:noProof/>
                          <w:sz w:val="20"/>
                          <w:szCs w:val="20"/>
                        </w:rPr>
                        <w:t>3</w:t>
                      </w:r>
                      <w:r>
                        <w:rPr>
                          <w:b/>
                          <w:sz w:val="20"/>
                          <w:szCs w:val="20"/>
                        </w:rPr>
                        <w:fldChar w:fldCharType="end"/>
                      </w:r>
                      <w:r>
                        <w:rPr>
                          <w:b/>
                          <w:sz w:val="20"/>
                          <w:szCs w:val="20"/>
                        </w:rPr>
                        <w:t>.</w:t>
                      </w:r>
                      <w:r>
                        <w:rPr>
                          <w:b/>
                          <w:sz w:val="20"/>
                          <w:szCs w:val="20"/>
                        </w:rPr>
                        <w:fldChar w:fldCharType="begin"/>
                      </w:r>
                      <w:r>
                        <w:rPr>
                          <w:b/>
                          <w:sz w:val="20"/>
                          <w:szCs w:val="20"/>
                        </w:rPr>
                        <w:instrText xml:space="preserve"> SEQ Figure \* ARABIC \s 1 </w:instrText>
                      </w:r>
                      <w:r>
                        <w:rPr>
                          <w:b/>
                          <w:sz w:val="20"/>
                          <w:szCs w:val="20"/>
                        </w:rPr>
                        <w:fldChar w:fldCharType="separate"/>
                      </w:r>
                      <w:r>
                        <w:rPr>
                          <w:b/>
                          <w:noProof/>
                          <w:sz w:val="20"/>
                          <w:szCs w:val="20"/>
                        </w:rPr>
                        <w:t>3</w:t>
                      </w:r>
                      <w:r>
                        <w:rPr>
                          <w:b/>
                          <w:sz w:val="20"/>
                          <w:szCs w:val="20"/>
                        </w:rPr>
                        <w:fldChar w:fldCharType="end"/>
                      </w:r>
                      <w:bookmarkEnd w:id="242"/>
                      <w:r w:rsidRPr="00CE37DB">
                        <w:rPr>
                          <w:b/>
                          <w:sz w:val="20"/>
                          <w:szCs w:val="20"/>
                        </w:rPr>
                        <w:t xml:space="preserve"> - LC-MS Analysis of </w:t>
                      </w:r>
                      <w:r>
                        <w:rPr>
                          <w:b/>
                          <w:sz w:val="20"/>
                          <w:szCs w:val="20"/>
                        </w:rPr>
                        <w:t>Leukocytes and Parenchyma</w:t>
                      </w:r>
                      <w:r w:rsidRPr="00CE37DB">
                        <w:rPr>
                          <w:b/>
                          <w:sz w:val="20"/>
                          <w:szCs w:val="20"/>
                        </w:rPr>
                        <w:t xml:space="preserve"> for Amphotericin B Detection.</w:t>
                      </w:r>
                      <w:r w:rsidRPr="00CE37DB">
                        <w:rPr>
                          <w:sz w:val="20"/>
                          <w:szCs w:val="20"/>
                        </w:rPr>
                        <w:t xml:space="preserve"> Amphotericin B and Clopidogrel levels were determined for </w:t>
                      </w:r>
                      <w:r>
                        <w:rPr>
                          <w:sz w:val="20"/>
                          <w:szCs w:val="20"/>
                        </w:rPr>
                        <w:t>l</w:t>
                      </w:r>
                      <w:r w:rsidRPr="00877A35">
                        <w:rPr>
                          <w:sz w:val="20"/>
                          <w:szCs w:val="20"/>
                        </w:rPr>
                        <w:t>eukocytes and parenchymal cells isolated from 2 naïve mice treated with 10 mg/kg Amphotericin B as AmB</w:t>
                      </w:r>
                      <w:r w:rsidRPr="00CE37DB">
                        <w:rPr>
                          <w:sz w:val="20"/>
                          <w:szCs w:val="20"/>
                        </w:rPr>
                        <w:t>isome (Red &amp; Blue) and 1 untreated naïve mouse (Green). The ratio of the peak areas for Amphotericin B and Clopidogrel was determined for each sample. Data represents 1 biological replicate per treatment group.</w:t>
                      </w:r>
                      <w:r>
                        <w:rPr>
                          <w:sz w:val="20"/>
                          <w:szCs w:val="20"/>
                        </w:rPr>
                        <w:t xml:space="preserve"> Samples were processed using digestion protocol 1 (Section </w:t>
                      </w:r>
                      <w:r>
                        <w:rPr>
                          <w:sz w:val="20"/>
                          <w:szCs w:val="20"/>
                        </w:rPr>
                        <w:fldChar w:fldCharType="begin"/>
                      </w:r>
                      <w:r>
                        <w:rPr>
                          <w:sz w:val="20"/>
                          <w:szCs w:val="20"/>
                        </w:rPr>
                        <w:instrText xml:space="preserve"> REF _Ref518492280 \n </w:instrText>
                      </w:r>
                      <w:r>
                        <w:rPr>
                          <w:sz w:val="20"/>
                          <w:szCs w:val="20"/>
                        </w:rPr>
                        <w:fldChar w:fldCharType="separate"/>
                      </w:r>
                      <w:r>
                        <w:rPr>
                          <w:sz w:val="20"/>
                          <w:szCs w:val="20"/>
                        </w:rPr>
                        <w:t>2.5</w:t>
                      </w:r>
                      <w:r>
                        <w:rPr>
                          <w:sz w:val="20"/>
                          <w:szCs w:val="20"/>
                        </w:rPr>
                        <w:fldChar w:fldCharType="end"/>
                      </w:r>
                      <w:r>
                        <w:rPr>
                          <w:sz w:val="20"/>
                          <w:szCs w:val="20"/>
                        </w:rPr>
                        <w:t xml:space="preserve">) and the column extraction method (Section </w:t>
                      </w:r>
                      <w:r>
                        <w:rPr>
                          <w:sz w:val="20"/>
                          <w:szCs w:val="20"/>
                        </w:rPr>
                        <w:fldChar w:fldCharType="begin"/>
                      </w:r>
                      <w:r>
                        <w:rPr>
                          <w:sz w:val="20"/>
                          <w:szCs w:val="20"/>
                        </w:rPr>
                        <w:instrText xml:space="preserve"> REF _Ref519017137 \n </w:instrText>
                      </w:r>
                      <w:r>
                        <w:rPr>
                          <w:sz w:val="20"/>
                          <w:szCs w:val="20"/>
                        </w:rPr>
                        <w:fldChar w:fldCharType="separate"/>
                      </w:r>
                      <w:r>
                        <w:rPr>
                          <w:sz w:val="20"/>
                          <w:szCs w:val="20"/>
                        </w:rPr>
                        <w:t>2.11</w:t>
                      </w:r>
                      <w:r>
                        <w:rPr>
                          <w:sz w:val="20"/>
                          <w:szCs w:val="20"/>
                        </w:rPr>
                        <w:fldChar w:fldCharType="end"/>
                      </w:r>
                      <w:r>
                        <w:rPr>
                          <w:sz w:val="20"/>
                          <w:szCs w:val="20"/>
                        </w:rPr>
                        <w:t>).</w:t>
                      </w:r>
                      <w:bookmarkEnd w:id="243"/>
                      <w:bookmarkEnd w:id="244"/>
                    </w:p>
                  </w:txbxContent>
                </v:textbox>
                <w10:wrap type="topAndBottom"/>
              </v:shape>
            </w:pict>
          </mc:Fallback>
        </mc:AlternateContent>
      </w:r>
    </w:p>
    <w:p w14:paraId="3402F966" w14:textId="2B1DF506" w:rsidR="009154C0" w:rsidRPr="008B3AD6" w:rsidRDefault="00860D6D" w:rsidP="009154C0">
      <w:pPr>
        <w:spacing w:line="360" w:lineRule="auto"/>
        <w:jc w:val="both"/>
        <w:rPr>
          <w:noProof/>
        </w:rPr>
      </w:pPr>
      <w:r w:rsidRPr="008B3AD6">
        <w:rPr>
          <w:noProof/>
        </w:rPr>
        <w:t xml:space="preserve">Next, to validate whether maximal cell disruption, and thus </w:t>
      </w:r>
      <w:r w:rsidR="00A32111">
        <w:rPr>
          <w:noProof/>
        </w:rPr>
        <w:t>AmB</w:t>
      </w:r>
      <w:r w:rsidRPr="008B3AD6">
        <w:rPr>
          <w:noProof/>
        </w:rPr>
        <w:t xml:space="preserve"> release and extraction, was achieved the efficacy of two cellular disruption methods was compared. Leukocytes and parenchy</w:t>
      </w:r>
      <w:r w:rsidRPr="00D771B5">
        <w:rPr>
          <w:noProof/>
        </w:rPr>
        <w:t>mal cells</w:t>
      </w:r>
      <w:r w:rsidR="00D771B5" w:rsidRPr="00D771B5">
        <w:rPr>
          <w:noProof/>
        </w:rPr>
        <w:t>, where the purity of these fractions had been previously ascertained (</w:t>
      </w:r>
      <w:r w:rsidR="00D771B5" w:rsidRPr="00D771B5">
        <w:rPr>
          <w:noProof/>
        </w:rPr>
        <w:fldChar w:fldCharType="begin"/>
      </w:r>
      <w:r w:rsidR="00D771B5" w:rsidRPr="00D771B5">
        <w:rPr>
          <w:noProof/>
        </w:rPr>
        <w:instrText xml:space="preserve"> REF _Ref534201026 </w:instrText>
      </w:r>
      <w:r w:rsidR="00D771B5">
        <w:rPr>
          <w:noProof/>
        </w:rPr>
        <w:instrText xml:space="preserve"> \* MERGEFORMAT </w:instrText>
      </w:r>
      <w:r w:rsidR="00D771B5" w:rsidRPr="00D771B5">
        <w:rPr>
          <w:noProof/>
        </w:rPr>
        <w:fldChar w:fldCharType="separate"/>
      </w:r>
      <w:r w:rsidR="00D771B5" w:rsidRPr="00B23FF8">
        <w:rPr>
          <w:b/>
        </w:rPr>
        <w:t xml:space="preserve">Figure </w:t>
      </w:r>
      <w:r w:rsidR="00D771B5" w:rsidRPr="00B23FF8">
        <w:rPr>
          <w:b/>
          <w:noProof/>
        </w:rPr>
        <w:t>7</w:t>
      </w:r>
      <w:r w:rsidR="00D771B5" w:rsidRPr="00B23FF8">
        <w:rPr>
          <w:b/>
        </w:rPr>
        <w:t>.</w:t>
      </w:r>
      <w:r w:rsidR="00D771B5" w:rsidRPr="00B23FF8">
        <w:rPr>
          <w:b/>
          <w:noProof/>
        </w:rPr>
        <w:t>1</w:t>
      </w:r>
      <w:r w:rsidR="00D771B5" w:rsidRPr="00D771B5">
        <w:rPr>
          <w:noProof/>
        </w:rPr>
        <w:fldChar w:fldCharType="end"/>
      </w:r>
      <w:r w:rsidR="00D771B5" w:rsidRPr="00D771B5">
        <w:rPr>
          <w:noProof/>
        </w:rPr>
        <w:t>),</w:t>
      </w:r>
      <w:r w:rsidRPr="00D771B5">
        <w:rPr>
          <w:noProof/>
        </w:rPr>
        <w:t xml:space="preserve"> </w:t>
      </w:r>
      <w:r w:rsidRPr="008B3AD6">
        <w:rPr>
          <w:noProof/>
        </w:rPr>
        <w:t xml:space="preserve">were recovered from mouse liver tissue, described in Section </w:t>
      </w:r>
      <w:r w:rsidRPr="008B3AD6">
        <w:rPr>
          <w:noProof/>
        </w:rPr>
        <w:fldChar w:fldCharType="begin"/>
      </w:r>
      <w:r w:rsidRPr="008B3AD6">
        <w:rPr>
          <w:noProof/>
        </w:rPr>
        <w:instrText xml:space="preserve"> REF _Ref518492280 \n </w:instrText>
      </w:r>
      <w:r w:rsidR="008B3AD6">
        <w:rPr>
          <w:noProof/>
        </w:rPr>
        <w:instrText xml:space="preserve"> \* MERGEFORMAT </w:instrText>
      </w:r>
      <w:r w:rsidRPr="008B3AD6">
        <w:rPr>
          <w:noProof/>
        </w:rPr>
        <w:fldChar w:fldCharType="separate"/>
      </w:r>
      <w:r w:rsidR="00E5551E">
        <w:rPr>
          <w:noProof/>
        </w:rPr>
        <w:t>2.5</w:t>
      </w:r>
      <w:r w:rsidRPr="008B3AD6">
        <w:rPr>
          <w:noProof/>
        </w:rPr>
        <w:fldChar w:fldCharType="end"/>
      </w:r>
      <w:r w:rsidRPr="008B3AD6">
        <w:rPr>
          <w:noProof/>
        </w:rPr>
        <w:t xml:space="preserve">, and subjected to either sonication or repeated freeze-thaw cycles. Comparatively, freeze-thaw cycles achieved higher levels </w:t>
      </w:r>
      <w:r w:rsidR="00D771B5">
        <w:rPr>
          <w:noProof/>
        </w:rPr>
        <w:t>of</w:t>
      </w:r>
      <w:r w:rsidR="00D771B5" w:rsidRPr="008B3AD6">
        <w:rPr>
          <w:noProof/>
        </w:rPr>
        <w:t xml:space="preserve"> </w:t>
      </w:r>
      <w:r w:rsidRPr="008B3AD6">
        <w:rPr>
          <w:noProof/>
        </w:rPr>
        <w:t xml:space="preserve">cell </w:t>
      </w:r>
      <w:r w:rsidR="00D771B5">
        <w:rPr>
          <w:noProof/>
        </w:rPr>
        <w:t>concentration reduction</w:t>
      </w:r>
      <w:r w:rsidR="00D771B5" w:rsidRPr="008B3AD6">
        <w:rPr>
          <w:noProof/>
        </w:rPr>
        <w:t xml:space="preserve"> </w:t>
      </w:r>
      <w:r w:rsidRPr="008B3AD6">
        <w:rPr>
          <w:noProof/>
        </w:rPr>
        <w:t>(</w:t>
      </w:r>
      <w:r w:rsidRPr="008B3AD6">
        <w:rPr>
          <w:noProof/>
        </w:rPr>
        <w:fldChar w:fldCharType="begin"/>
      </w:r>
      <w:r w:rsidRPr="008B3AD6">
        <w:rPr>
          <w:noProof/>
        </w:rPr>
        <w:instrText xml:space="preserve"> REF _Ref518931841  \* MERGEFORMAT </w:instrText>
      </w:r>
      <w:r w:rsidRPr="008B3AD6">
        <w:rPr>
          <w:noProof/>
        </w:rPr>
        <w:fldChar w:fldCharType="separate"/>
      </w:r>
      <w:r w:rsidR="00E5551E" w:rsidRPr="00E5551E">
        <w:rPr>
          <w:b/>
        </w:rPr>
        <w:t xml:space="preserve">Figure </w:t>
      </w:r>
      <w:r w:rsidR="00E5551E" w:rsidRPr="00E5551E">
        <w:rPr>
          <w:b/>
          <w:noProof/>
        </w:rPr>
        <w:t>3.4</w:t>
      </w:r>
      <w:r w:rsidRPr="008B3AD6">
        <w:rPr>
          <w:noProof/>
        </w:rPr>
        <w:fldChar w:fldCharType="end"/>
      </w:r>
      <w:r w:rsidRPr="008B3AD6">
        <w:rPr>
          <w:noProof/>
        </w:rPr>
        <w:t xml:space="preserve">). Repeated freeze-thaw reduced the cell viability of leukocytes by 92.37%, compared to </w:t>
      </w:r>
      <w:r w:rsidR="00D771B5">
        <w:rPr>
          <w:noProof/>
        </w:rPr>
        <w:t>48.33</w:t>
      </w:r>
      <w:r w:rsidRPr="008B3AD6">
        <w:rPr>
          <w:noProof/>
        </w:rPr>
        <w:t xml:space="preserve">% for sonication, and for parenchymal cells by 91.97%, compared to </w:t>
      </w:r>
      <w:r w:rsidR="00D771B5">
        <w:rPr>
          <w:noProof/>
        </w:rPr>
        <w:t>69.89</w:t>
      </w:r>
      <w:r w:rsidRPr="008B3AD6">
        <w:rPr>
          <w:noProof/>
        </w:rPr>
        <w:t>% for sonication. Freeze-thaw cycles were therefore utilised for cell disruption prior to LC-MS</w:t>
      </w:r>
      <w:r w:rsidR="006C2ED9">
        <w:rPr>
          <w:noProof/>
        </w:rPr>
        <w:t>/MS</w:t>
      </w:r>
      <w:r w:rsidRPr="008B3AD6">
        <w:rPr>
          <w:noProof/>
        </w:rPr>
        <w:t xml:space="preserve"> analysis.</w:t>
      </w:r>
    </w:p>
    <w:p w14:paraId="1D08D5AD" w14:textId="762DB041" w:rsidR="00CE37DB" w:rsidRPr="008B3AD6" w:rsidRDefault="00CE37DB" w:rsidP="009154C0">
      <w:pPr>
        <w:spacing w:line="360" w:lineRule="auto"/>
        <w:jc w:val="both"/>
      </w:pPr>
    </w:p>
    <w:p w14:paraId="71269066" w14:textId="58D13717" w:rsidR="0004454D" w:rsidRPr="008B3AD6" w:rsidRDefault="00B24E32" w:rsidP="009154C0">
      <w:pPr>
        <w:spacing w:line="360" w:lineRule="auto"/>
        <w:jc w:val="both"/>
      </w:pPr>
      <w:r>
        <w:rPr>
          <w:noProof/>
        </w:rPr>
        <w:lastRenderedPageBreak/>
        <w:drawing>
          <wp:anchor distT="0" distB="0" distL="114300" distR="114300" simplePos="0" relativeHeight="252029952" behindDoc="0" locked="0" layoutInCell="1" allowOverlap="1" wp14:anchorId="626EF297" wp14:editId="73183EDA">
            <wp:simplePos x="0" y="0"/>
            <wp:positionH relativeFrom="column">
              <wp:posOffset>1057275</wp:posOffset>
            </wp:positionH>
            <wp:positionV relativeFrom="paragraph">
              <wp:posOffset>3735705</wp:posOffset>
            </wp:positionV>
            <wp:extent cx="72390" cy="71755"/>
            <wp:effectExtent l="0" t="0" r="3810" b="4445"/>
            <wp:wrapTopAndBottom/>
            <wp:docPr id="72" name="Picture 5">
              <a:extLst xmlns:a="http://schemas.openxmlformats.org/drawingml/2006/main">
                <a:ext uri="{FF2B5EF4-FFF2-40B4-BE49-F238E27FC236}">
                  <a16:creationId xmlns:a16="http://schemas.microsoft.com/office/drawing/2014/main" id="{AE1E4459-5A4F-EF46-BD8E-7085F856277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Picture 5">
                      <a:extLst>
                        <a:ext uri="{FF2B5EF4-FFF2-40B4-BE49-F238E27FC236}">
                          <a16:creationId xmlns:a16="http://schemas.microsoft.com/office/drawing/2014/main" id="{AE1E4459-5A4F-EF46-BD8E-7085F8562779}"/>
                        </a:ext>
                      </a:extLst>
                    </pic:cNvPr>
                    <pic:cNvPicPr>
                      <a:picLocks noChangeAspect="1"/>
                    </pic:cNvPicPr>
                  </pic:nvPicPr>
                  <pic:blipFill rotWithShape="1">
                    <a:blip r:embed="rId34"/>
                    <a:srcRect l="19019" t="24017" r="19860" b="21674"/>
                    <a:stretch/>
                  </pic:blipFill>
                  <pic:spPr>
                    <a:xfrm flipV="1">
                      <a:off x="0" y="0"/>
                      <a:ext cx="72390" cy="71755"/>
                    </a:xfrm>
                    <a:prstGeom prst="rect">
                      <a:avLst/>
                    </a:prstGeom>
                  </pic:spPr>
                </pic:pic>
              </a:graphicData>
            </a:graphic>
          </wp:anchor>
        </w:drawing>
      </w:r>
      <w:r>
        <w:rPr>
          <w:noProof/>
        </w:rPr>
        <w:drawing>
          <wp:anchor distT="0" distB="0" distL="114300" distR="114300" simplePos="0" relativeHeight="252028928" behindDoc="0" locked="0" layoutInCell="1" allowOverlap="1" wp14:anchorId="2D62ABB8" wp14:editId="6D3B4E3C">
            <wp:simplePos x="0" y="0"/>
            <wp:positionH relativeFrom="column">
              <wp:posOffset>1977390</wp:posOffset>
            </wp:positionH>
            <wp:positionV relativeFrom="paragraph">
              <wp:posOffset>3735705</wp:posOffset>
            </wp:positionV>
            <wp:extent cx="72390" cy="71755"/>
            <wp:effectExtent l="0" t="0" r="3810" b="4445"/>
            <wp:wrapTopAndBottom/>
            <wp:docPr id="71" name="Picture 4">
              <a:extLst xmlns:a="http://schemas.openxmlformats.org/drawingml/2006/main">
                <a:ext uri="{FF2B5EF4-FFF2-40B4-BE49-F238E27FC236}">
                  <a16:creationId xmlns:a16="http://schemas.microsoft.com/office/drawing/2014/main" id="{AD4492FD-9C0D-F343-A0FB-A9C6F294793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Picture 4">
                      <a:extLst>
                        <a:ext uri="{FF2B5EF4-FFF2-40B4-BE49-F238E27FC236}">
                          <a16:creationId xmlns:a16="http://schemas.microsoft.com/office/drawing/2014/main" id="{AD4492FD-9C0D-F343-A0FB-A9C6F294793C}"/>
                        </a:ext>
                      </a:extLst>
                    </pic:cNvPr>
                    <pic:cNvPicPr>
                      <a:picLocks noChangeAspect="1"/>
                    </pic:cNvPicPr>
                  </pic:nvPicPr>
                  <pic:blipFill rotWithShape="1">
                    <a:blip r:embed="rId35"/>
                    <a:srcRect l="22384" t="24897" r="23307" b="30681"/>
                    <a:stretch/>
                  </pic:blipFill>
                  <pic:spPr>
                    <a:xfrm flipV="1">
                      <a:off x="0" y="0"/>
                      <a:ext cx="72390" cy="71755"/>
                    </a:xfrm>
                    <a:prstGeom prst="rect">
                      <a:avLst/>
                    </a:prstGeom>
                  </pic:spPr>
                </pic:pic>
              </a:graphicData>
            </a:graphic>
          </wp:anchor>
        </w:drawing>
      </w:r>
      <w:r w:rsidR="00206787">
        <w:rPr>
          <w:noProof/>
        </w:rPr>
        <mc:AlternateContent>
          <mc:Choice Requires="wps">
            <w:drawing>
              <wp:anchor distT="0" distB="0" distL="114300" distR="114300" simplePos="0" relativeHeight="252026880" behindDoc="0" locked="0" layoutInCell="1" allowOverlap="1" wp14:anchorId="1C7EE840" wp14:editId="09CB8846">
                <wp:simplePos x="0" y="0"/>
                <wp:positionH relativeFrom="column">
                  <wp:posOffset>22860</wp:posOffset>
                </wp:positionH>
                <wp:positionV relativeFrom="paragraph">
                  <wp:posOffset>3246120</wp:posOffset>
                </wp:positionV>
                <wp:extent cx="5452745" cy="1289336"/>
                <wp:effectExtent l="0" t="0" r="8255" b="6350"/>
                <wp:wrapTopAndBottom/>
                <wp:docPr id="582" name="Text Box 582"/>
                <wp:cNvGraphicFramePr/>
                <a:graphic xmlns:a="http://schemas.openxmlformats.org/drawingml/2006/main">
                  <a:graphicData uri="http://schemas.microsoft.com/office/word/2010/wordprocessingShape">
                    <wps:wsp>
                      <wps:cNvSpPr txBox="1"/>
                      <wps:spPr>
                        <a:xfrm>
                          <a:off x="0" y="0"/>
                          <a:ext cx="5452745" cy="1289336"/>
                        </a:xfrm>
                        <a:prstGeom prst="rect">
                          <a:avLst/>
                        </a:prstGeom>
                        <a:noFill/>
                        <a:ln>
                          <a:noFill/>
                        </a:ln>
                      </wps:spPr>
                      <wps:txbx>
                        <w:txbxContent>
                          <w:p w14:paraId="7915AB1D" w14:textId="7EC63ACE" w:rsidR="00F61130" w:rsidRPr="008A6213" w:rsidRDefault="00F61130" w:rsidP="0004454D">
                            <w:pPr>
                              <w:pStyle w:val="Caption"/>
                              <w:spacing w:line="360" w:lineRule="auto"/>
                              <w:jc w:val="both"/>
                              <w:rPr>
                                <w:noProof/>
                                <w:sz w:val="20"/>
                                <w:szCs w:val="20"/>
                              </w:rPr>
                            </w:pPr>
                            <w:bookmarkStart w:id="245" w:name="_Ref518931841"/>
                            <w:bookmarkStart w:id="246" w:name="_Toc525227195"/>
                            <w:bookmarkStart w:id="247" w:name="_Toc536814134"/>
                            <w:r w:rsidRPr="008A6213">
                              <w:rPr>
                                <w:b/>
                                <w:sz w:val="20"/>
                                <w:szCs w:val="20"/>
                              </w:rPr>
                              <w:t xml:space="preserve">Figure </w:t>
                            </w:r>
                            <w:r>
                              <w:rPr>
                                <w:b/>
                                <w:sz w:val="20"/>
                                <w:szCs w:val="20"/>
                              </w:rPr>
                              <w:fldChar w:fldCharType="begin"/>
                            </w:r>
                            <w:r>
                              <w:rPr>
                                <w:b/>
                                <w:sz w:val="20"/>
                                <w:szCs w:val="20"/>
                              </w:rPr>
                              <w:instrText xml:space="preserve"> STYLEREF 1 \s </w:instrText>
                            </w:r>
                            <w:r>
                              <w:rPr>
                                <w:b/>
                                <w:sz w:val="20"/>
                                <w:szCs w:val="20"/>
                              </w:rPr>
                              <w:fldChar w:fldCharType="separate"/>
                            </w:r>
                            <w:r>
                              <w:rPr>
                                <w:b/>
                                <w:noProof/>
                                <w:sz w:val="20"/>
                                <w:szCs w:val="20"/>
                              </w:rPr>
                              <w:t>3</w:t>
                            </w:r>
                            <w:r>
                              <w:rPr>
                                <w:b/>
                                <w:sz w:val="20"/>
                                <w:szCs w:val="20"/>
                              </w:rPr>
                              <w:fldChar w:fldCharType="end"/>
                            </w:r>
                            <w:r>
                              <w:rPr>
                                <w:b/>
                                <w:sz w:val="20"/>
                                <w:szCs w:val="20"/>
                              </w:rPr>
                              <w:t>.</w:t>
                            </w:r>
                            <w:r>
                              <w:rPr>
                                <w:b/>
                                <w:sz w:val="20"/>
                                <w:szCs w:val="20"/>
                              </w:rPr>
                              <w:fldChar w:fldCharType="begin"/>
                            </w:r>
                            <w:r>
                              <w:rPr>
                                <w:b/>
                                <w:sz w:val="20"/>
                                <w:szCs w:val="20"/>
                              </w:rPr>
                              <w:instrText xml:space="preserve"> SEQ Figure \* ARABIC \s 1 </w:instrText>
                            </w:r>
                            <w:r>
                              <w:rPr>
                                <w:b/>
                                <w:sz w:val="20"/>
                                <w:szCs w:val="20"/>
                              </w:rPr>
                              <w:fldChar w:fldCharType="separate"/>
                            </w:r>
                            <w:r>
                              <w:rPr>
                                <w:b/>
                                <w:noProof/>
                                <w:sz w:val="20"/>
                                <w:szCs w:val="20"/>
                              </w:rPr>
                              <w:t>4</w:t>
                            </w:r>
                            <w:r>
                              <w:rPr>
                                <w:b/>
                                <w:sz w:val="20"/>
                                <w:szCs w:val="20"/>
                              </w:rPr>
                              <w:fldChar w:fldCharType="end"/>
                            </w:r>
                            <w:bookmarkEnd w:id="245"/>
                            <w:r w:rsidRPr="008A6213">
                              <w:rPr>
                                <w:b/>
                                <w:sz w:val="20"/>
                                <w:szCs w:val="20"/>
                              </w:rPr>
                              <w:t xml:space="preserve"> - Quantification of Lysis Efficiency for Liver-derived Cells.</w:t>
                            </w:r>
                            <w:r w:rsidRPr="008A6213">
                              <w:rPr>
                                <w:sz w:val="20"/>
                                <w:szCs w:val="20"/>
                              </w:rPr>
                              <w:t xml:space="preserve"> </w:t>
                            </w:r>
                            <w:r>
                              <w:rPr>
                                <w:sz w:val="20"/>
                                <w:szCs w:val="20"/>
                              </w:rPr>
                              <w:t>Viable c</w:t>
                            </w:r>
                            <w:r w:rsidRPr="008A6213">
                              <w:rPr>
                                <w:sz w:val="20"/>
                                <w:szCs w:val="20"/>
                              </w:rPr>
                              <w:t xml:space="preserve">ell </w:t>
                            </w:r>
                            <w:r>
                              <w:rPr>
                                <w:sz w:val="20"/>
                                <w:szCs w:val="20"/>
                              </w:rPr>
                              <w:t xml:space="preserve">counts </w:t>
                            </w:r>
                            <w:r w:rsidRPr="008A6213">
                              <w:rPr>
                                <w:sz w:val="20"/>
                                <w:szCs w:val="20"/>
                              </w:rPr>
                              <w:t xml:space="preserve">for total liver-derived </w:t>
                            </w:r>
                            <w:r>
                              <w:rPr>
                                <w:sz w:val="20"/>
                                <w:szCs w:val="20"/>
                              </w:rPr>
                              <w:t>l</w:t>
                            </w:r>
                            <w:r w:rsidRPr="00877A35">
                              <w:rPr>
                                <w:sz w:val="20"/>
                                <w:szCs w:val="20"/>
                              </w:rPr>
                              <w:t xml:space="preserve">eukocytes </w:t>
                            </w:r>
                            <w:r w:rsidRPr="008A6213">
                              <w:rPr>
                                <w:sz w:val="20"/>
                                <w:szCs w:val="20"/>
                              </w:rPr>
                              <w:t xml:space="preserve">and parenchymal cells were calculated using a </w:t>
                            </w:r>
                            <w:r w:rsidRPr="008A6213">
                              <w:rPr>
                                <w:sz w:val="20"/>
                                <w:szCs w:val="20"/>
                                <w:lang w:val="en-US"/>
                              </w:rPr>
                              <w:t>Vi-CELL Cell Viability Analyzer</w:t>
                            </w:r>
                            <w:r>
                              <w:rPr>
                                <w:sz w:val="20"/>
                                <w:szCs w:val="20"/>
                                <w:lang w:val="en-US"/>
                              </w:rPr>
                              <w:t xml:space="preserve"> before and after </w:t>
                            </w:r>
                            <w:r w:rsidRPr="008A6213">
                              <w:rPr>
                                <w:sz w:val="20"/>
                                <w:szCs w:val="20"/>
                                <w:lang w:val="en-US"/>
                              </w:rPr>
                              <w:t>sonication (  ) or freeze-thaw (  ). The reduction in cell</w:t>
                            </w:r>
                            <w:r>
                              <w:rPr>
                                <w:sz w:val="20"/>
                                <w:szCs w:val="20"/>
                                <w:lang w:val="en-US"/>
                              </w:rPr>
                              <w:t xml:space="preserve"> </w:t>
                            </w:r>
                            <w:r w:rsidRPr="008A6213">
                              <w:rPr>
                                <w:sz w:val="20"/>
                                <w:szCs w:val="20"/>
                                <w:lang w:val="en-US"/>
                              </w:rPr>
                              <w:t>concentration was calculated. Data represents technical replicates (n = 3</w:t>
                            </w:r>
                            <w:r>
                              <w:rPr>
                                <w:sz w:val="20"/>
                                <w:szCs w:val="20"/>
                                <w:lang w:val="en-US"/>
                              </w:rPr>
                              <w:t xml:space="preserve"> technical replicates created using cells pooled from </w:t>
                            </w:r>
                            <w:r w:rsidRPr="008A6213">
                              <w:rPr>
                                <w:sz w:val="20"/>
                                <w:szCs w:val="20"/>
                                <w:lang w:val="en-US"/>
                              </w:rPr>
                              <w:t>3 naïve mice</w:t>
                            </w:r>
                            <w:r>
                              <w:rPr>
                                <w:sz w:val="20"/>
                                <w:szCs w:val="20"/>
                                <w:lang w:val="en-US"/>
                              </w:rPr>
                              <w:t>)</w:t>
                            </w:r>
                            <w:r w:rsidRPr="008A6213">
                              <w:rPr>
                                <w:sz w:val="20"/>
                                <w:szCs w:val="20"/>
                                <w:lang w:val="en-US"/>
                              </w:rPr>
                              <w:t xml:space="preserve"> and is plotted as individual replicates + mean.</w:t>
                            </w:r>
                            <w:r>
                              <w:rPr>
                                <w:sz w:val="20"/>
                                <w:szCs w:val="20"/>
                                <w:lang w:val="en-US"/>
                              </w:rPr>
                              <w:t xml:space="preserve"> </w:t>
                            </w:r>
                            <w:r>
                              <w:rPr>
                                <w:sz w:val="20"/>
                                <w:szCs w:val="20"/>
                              </w:rPr>
                              <w:t>Samples were processed using digestion protocol 1.</w:t>
                            </w:r>
                            <w:bookmarkEnd w:id="246"/>
                            <w:bookmarkEnd w:id="247"/>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1C7EE840" id="Text Box 582" o:spid="_x0000_s1045" type="#_x0000_t202" style="position:absolute;left:0;text-align:left;margin-left:1.8pt;margin-top:255.6pt;width:429.35pt;height:101.5pt;z-index:2520268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DPYmLIwIAAEUEAAAOAAAAZHJzL2Uyb0RvYy54bWysU8Fu2zAMvQ/YPwi6L07SpkuDOEXWIsOA&#13;&#10;oC2QDD0rshQbsESNUmJnXz9KjtOu22nYRaZJ6lF8fJzftaZmR4W+Apvz0WDImbISisruc/59u/o0&#13;&#10;5cwHYQtRg1U5PynP7xYfP8wbN1NjKKEuFDICsX7WuJyXIbhZlnlZKiP8AJyyFNSARgT6xX1WoGgI&#13;&#10;3dTZeDi8yRrAwiFI5T15H7ogXyR8rZUMT1p7FVidc3pbSCemcxfPbDEXsz0KV1by/AzxD68worJU&#13;&#10;9AL1IIJgB6z+gDKVRPCgw0CCyUDrSqrUA3UzGr7rZlMKp1IvRI53F5r8/4OVj8dnZFWR88l0zJkV&#13;&#10;hoa0VW1gX6Bl0UcMNc7PKHHjKDW0FKBJ935Pzth4q9HEL7XEKE5cny78RjhJzsn1ZPz5esKZpNho&#13;&#10;PL29urqJONnrdYc+fFVgWDRyjjTAxKs4rn3oUvuUWM3CqqrrNMTa/uYgzOjJ4tu7N0YrtLs2dTu6&#13;&#10;7RvYQXGivhA6bXgnVxXVXgsfngWSGKgVEnh4okPX0OQczhZnJeDPv/ljPs2Iopw1JK6c+x8HgYqz&#13;&#10;+pul6UUl9gb2xq437MHcA+l1RKvjZDLpAoa6NzWCeSHdL2MVCgkrqVbOQ2/eh07itDdSLZcpifTm&#13;&#10;RFjbjZMROpIVmdy2LwLdme5Ak3qEXnZi9o71LrejeXkIoKs0kkhsx+KZb9JqGup5r+IyvP1PWa/b&#13;&#10;v/gFAAD//wMAUEsDBBQABgAIAAAAIQAO7ntg4wAAAA4BAAAPAAAAZHJzL2Rvd25yZXYueG1sTE9N&#13;&#10;T4NAEL2b+B82Y+LNLlDFShmaxo+TiZHiwePCToGUnUV22+K/dz3pZZKX9zHv5ZvZDOJEk+stI8SL&#13;&#10;CARxY3XPLcJH9XKzAuG8Yq0Gy4TwTQ42xeVFrjJtz1zSaedbEULYZQqh837MpHRNR0a5hR2JA7e3&#13;&#10;k1E+wKmVelLnEG4GmURRKo3qOXzo1EiPHTWH3dEgbD+5fO6/3ur3cl/2VfUQ8Wt6QLy+mp/W4WzX&#13;&#10;IDzN/s8BvxtCfyhCsdoeWTsxICzTIES4i+MEROBXabIEUSPcx7cJyCKX/2cUPwAAAP//AwBQSwEC&#13;&#10;LQAUAAYACAAAACEAtoM4kv4AAADhAQAAEwAAAAAAAAAAAAAAAAAAAAAAW0NvbnRlbnRfVHlwZXNd&#13;&#10;LnhtbFBLAQItABQABgAIAAAAIQA4/SH/1gAAAJQBAAALAAAAAAAAAAAAAAAAAC8BAABfcmVscy8u&#13;&#10;cmVsc1BLAQItABQABgAIAAAAIQCDPYmLIwIAAEUEAAAOAAAAAAAAAAAAAAAAAC4CAABkcnMvZTJv&#13;&#10;RG9jLnhtbFBLAQItABQABgAIAAAAIQAO7ntg4wAAAA4BAAAPAAAAAAAAAAAAAAAAAH0EAABkcnMv&#13;&#10;ZG93bnJldi54bWxQSwUGAAAAAAQABADzAAAAjQUAAAAA&#13;&#10;" filled="f" stroked="f">
                <v:textbox inset="0,0,0,0">
                  <w:txbxContent>
                    <w:p w14:paraId="7915AB1D" w14:textId="7EC63ACE" w:rsidR="00F61130" w:rsidRPr="008A6213" w:rsidRDefault="00F61130" w:rsidP="0004454D">
                      <w:pPr>
                        <w:pStyle w:val="Caption"/>
                        <w:spacing w:line="360" w:lineRule="auto"/>
                        <w:jc w:val="both"/>
                        <w:rPr>
                          <w:noProof/>
                          <w:sz w:val="20"/>
                          <w:szCs w:val="20"/>
                        </w:rPr>
                      </w:pPr>
                      <w:bookmarkStart w:id="248" w:name="_Ref518931841"/>
                      <w:bookmarkStart w:id="249" w:name="_Toc525227195"/>
                      <w:bookmarkStart w:id="250" w:name="_Toc536814134"/>
                      <w:r w:rsidRPr="008A6213">
                        <w:rPr>
                          <w:b/>
                          <w:sz w:val="20"/>
                          <w:szCs w:val="20"/>
                        </w:rPr>
                        <w:t xml:space="preserve">Figure </w:t>
                      </w:r>
                      <w:r>
                        <w:rPr>
                          <w:b/>
                          <w:sz w:val="20"/>
                          <w:szCs w:val="20"/>
                        </w:rPr>
                        <w:fldChar w:fldCharType="begin"/>
                      </w:r>
                      <w:r>
                        <w:rPr>
                          <w:b/>
                          <w:sz w:val="20"/>
                          <w:szCs w:val="20"/>
                        </w:rPr>
                        <w:instrText xml:space="preserve"> STYLEREF 1 \s </w:instrText>
                      </w:r>
                      <w:r>
                        <w:rPr>
                          <w:b/>
                          <w:sz w:val="20"/>
                          <w:szCs w:val="20"/>
                        </w:rPr>
                        <w:fldChar w:fldCharType="separate"/>
                      </w:r>
                      <w:r>
                        <w:rPr>
                          <w:b/>
                          <w:noProof/>
                          <w:sz w:val="20"/>
                          <w:szCs w:val="20"/>
                        </w:rPr>
                        <w:t>3</w:t>
                      </w:r>
                      <w:r>
                        <w:rPr>
                          <w:b/>
                          <w:sz w:val="20"/>
                          <w:szCs w:val="20"/>
                        </w:rPr>
                        <w:fldChar w:fldCharType="end"/>
                      </w:r>
                      <w:r>
                        <w:rPr>
                          <w:b/>
                          <w:sz w:val="20"/>
                          <w:szCs w:val="20"/>
                        </w:rPr>
                        <w:t>.</w:t>
                      </w:r>
                      <w:r>
                        <w:rPr>
                          <w:b/>
                          <w:sz w:val="20"/>
                          <w:szCs w:val="20"/>
                        </w:rPr>
                        <w:fldChar w:fldCharType="begin"/>
                      </w:r>
                      <w:r>
                        <w:rPr>
                          <w:b/>
                          <w:sz w:val="20"/>
                          <w:szCs w:val="20"/>
                        </w:rPr>
                        <w:instrText xml:space="preserve"> SEQ Figure \* ARABIC \s 1 </w:instrText>
                      </w:r>
                      <w:r>
                        <w:rPr>
                          <w:b/>
                          <w:sz w:val="20"/>
                          <w:szCs w:val="20"/>
                        </w:rPr>
                        <w:fldChar w:fldCharType="separate"/>
                      </w:r>
                      <w:r>
                        <w:rPr>
                          <w:b/>
                          <w:noProof/>
                          <w:sz w:val="20"/>
                          <w:szCs w:val="20"/>
                        </w:rPr>
                        <w:t>4</w:t>
                      </w:r>
                      <w:r>
                        <w:rPr>
                          <w:b/>
                          <w:sz w:val="20"/>
                          <w:szCs w:val="20"/>
                        </w:rPr>
                        <w:fldChar w:fldCharType="end"/>
                      </w:r>
                      <w:bookmarkEnd w:id="248"/>
                      <w:r w:rsidRPr="008A6213">
                        <w:rPr>
                          <w:b/>
                          <w:sz w:val="20"/>
                          <w:szCs w:val="20"/>
                        </w:rPr>
                        <w:t xml:space="preserve"> - Quantification of Lysis Efficiency for Liver-derived Cells.</w:t>
                      </w:r>
                      <w:r w:rsidRPr="008A6213">
                        <w:rPr>
                          <w:sz w:val="20"/>
                          <w:szCs w:val="20"/>
                        </w:rPr>
                        <w:t xml:space="preserve"> </w:t>
                      </w:r>
                      <w:r>
                        <w:rPr>
                          <w:sz w:val="20"/>
                          <w:szCs w:val="20"/>
                        </w:rPr>
                        <w:t>Viable c</w:t>
                      </w:r>
                      <w:r w:rsidRPr="008A6213">
                        <w:rPr>
                          <w:sz w:val="20"/>
                          <w:szCs w:val="20"/>
                        </w:rPr>
                        <w:t xml:space="preserve">ell </w:t>
                      </w:r>
                      <w:r>
                        <w:rPr>
                          <w:sz w:val="20"/>
                          <w:szCs w:val="20"/>
                        </w:rPr>
                        <w:t xml:space="preserve">counts </w:t>
                      </w:r>
                      <w:r w:rsidRPr="008A6213">
                        <w:rPr>
                          <w:sz w:val="20"/>
                          <w:szCs w:val="20"/>
                        </w:rPr>
                        <w:t xml:space="preserve">for total liver-derived </w:t>
                      </w:r>
                      <w:r>
                        <w:rPr>
                          <w:sz w:val="20"/>
                          <w:szCs w:val="20"/>
                        </w:rPr>
                        <w:t>l</w:t>
                      </w:r>
                      <w:r w:rsidRPr="00877A35">
                        <w:rPr>
                          <w:sz w:val="20"/>
                          <w:szCs w:val="20"/>
                        </w:rPr>
                        <w:t xml:space="preserve">eukocytes </w:t>
                      </w:r>
                      <w:r w:rsidRPr="008A6213">
                        <w:rPr>
                          <w:sz w:val="20"/>
                          <w:szCs w:val="20"/>
                        </w:rPr>
                        <w:t xml:space="preserve">and parenchymal cells were calculated using a </w:t>
                      </w:r>
                      <w:r w:rsidRPr="008A6213">
                        <w:rPr>
                          <w:sz w:val="20"/>
                          <w:szCs w:val="20"/>
                          <w:lang w:val="en-US"/>
                        </w:rPr>
                        <w:t>Vi-CELL Cell Viability Analyzer</w:t>
                      </w:r>
                      <w:r>
                        <w:rPr>
                          <w:sz w:val="20"/>
                          <w:szCs w:val="20"/>
                          <w:lang w:val="en-US"/>
                        </w:rPr>
                        <w:t xml:space="preserve"> before and after </w:t>
                      </w:r>
                      <w:r w:rsidRPr="008A6213">
                        <w:rPr>
                          <w:sz w:val="20"/>
                          <w:szCs w:val="20"/>
                          <w:lang w:val="en-US"/>
                        </w:rPr>
                        <w:t>sonication (  ) or freeze-thaw (  ). The reduction in cell</w:t>
                      </w:r>
                      <w:r>
                        <w:rPr>
                          <w:sz w:val="20"/>
                          <w:szCs w:val="20"/>
                          <w:lang w:val="en-US"/>
                        </w:rPr>
                        <w:t xml:space="preserve"> </w:t>
                      </w:r>
                      <w:r w:rsidRPr="008A6213">
                        <w:rPr>
                          <w:sz w:val="20"/>
                          <w:szCs w:val="20"/>
                          <w:lang w:val="en-US"/>
                        </w:rPr>
                        <w:t>concentration was calculated. Data represents technical replicates (n = 3</w:t>
                      </w:r>
                      <w:r>
                        <w:rPr>
                          <w:sz w:val="20"/>
                          <w:szCs w:val="20"/>
                          <w:lang w:val="en-US"/>
                        </w:rPr>
                        <w:t xml:space="preserve"> technical replicates created using cells pooled from </w:t>
                      </w:r>
                      <w:r w:rsidRPr="008A6213">
                        <w:rPr>
                          <w:sz w:val="20"/>
                          <w:szCs w:val="20"/>
                          <w:lang w:val="en-US"/>
                        </w:rPr>
                        <w:t>3 naïve mice</w:t>
                      </w:r>
                      <w:r>
                        <w:rPr>
                          <w:sz w:val="20"/>
                          <w:szCs w:val="20"/>
                          <w:lang w:val="en-US"/>
                        </w:rPr>
                        <w:t>)</w:t>
                      </w:r>
                      <w:r w:rsidRPr="008A6213">
                        <w:rPr>
                          <w:sz w:val="20"/>
                          <w:szCs w:val="20"/>
                          <w:lang w:val="en-US"/>
                        </w:rPr>
                        <w:t xml:space="preserve"> and is plotted as individual replicates + mean.</w:t>
                      </w:r>
                      <w:r>
                        <w:rPr>
                          <w:sz w:val="20"/>
                          <w:szCs w:val="20"/>
                          <w:lang w:val="en-US"/>
                        </w:rPr>
                        <w:t xml:space="preserve"> </w:t>
                      </w:r>
                      <w:r>
                        <w:rPr>
                          <w:sz w:val="20"/>
                          <w:szCs w:val="20"/>
                        </w:rPr>
                        <w:t>Samples were processed using digestion protocol 1.</w:t>
                      </w:r>
                      <w:bookmarkEnd w:id="249"/>
                      <w:bookmarkEnd w:id="250"/>
                    </w:p>
                  </w:txbxContent>
                </v:textbox>
                <w10:wrap type="topAndBottom"/>
              </v:shape>
            </w:pict>
          </mc:Fallback>
        </mc:AlternateContent>
      </w:r>
      <w:r w:rsidR="00206787">
        <w:rPr>
          <w:noProof/>
        </w:rPr>
        <w:drawing>
          <wp:anchor distT="0" distB="0" distL="114300" distR="114300" simplePos="0" relativeHeight="252027904" behindDoc="0" locked="0" layoutInCell="1" allowOverlap="1" wp14:anchorId="2B12E279" wp14:editId="60379A8D">
            <wp:simplePos x="0" y="0"/>
            <wp:positionH relativeFrom="column">
              <wp:posOffset>769967</wp:posOffset>
            </wp:positionH>
            <wp:positionV relativeFrom="paragraph">
              <wp:posOffset>11430</wp:posOffset>
            </wp:positionV>
            <wp:extent cx="4003675" cy="3236926"/>
            <wp:effectExtent l="0" t="0" r="0" b="1905"/>
            <wp:wrapTopAndBottom/>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Picture 69"/>
                    <pic:cNvPicPr>
                      <a:picLocks noChangeAspect="1"/>
                    </pic:cNvPicPr>
                  </pic:nvPicPr>
                  <pic:blipFill>
                    <a:blip r:embed="rId36">
                      <a:extLst>
                        <a:ext uri="{28A0092B-C50C-407E-A947-70E740481C1C}">
                          <a14:useLocalDpi xmlns:a14="http://schemas.microsoft.com/office/drawing/2010/main" val="0"/>
                        </a:ext>
                      </a:extLst>
                    </a:blip>
                    <a:stretch>
                      <a:fillRect/>
                    </a:stretch>
                  </pic:blipFill>
                  <pic:spPr>
                    <a:xfrm>
                      <a:off x="0" y="0"/>
                      <a:ext cx="4003675" cy="3236926"/>
                    </a:xfrm>
                    <a:prstGeom prst="rect">
                      <a:avLst/>
                    </a:prstGeom>
                  </pic:spPr>
                </pic:pic>
              </a:graphicData>
            </a:graphic>
          </wp:anchor>
        </w:drawing>
      </w:r>
      <w:r w:rsidR="00C4563E" w:rsidRPr="008B3AD6">
        <w:rPr>
          <w:noProof/>
        </w:rPr>
        <w:t xml:space="preserve"> </w:t>
      </w:r>
      <w:r w:rsidR="0055611A" w:rsidRPr="008B3AD6">
        <w:t>Whilst</w:t>
      </w:r>
      <w:r w:rsidR="0055611A" w:rsidRPr="008B3AD6">
        <w:rPr>
          <w:b/>
        </w:rPr>
        <w:t xml:space="preserve"> </w:t>
      </w:r>
      <w:r w:rsidR="0055611A" w:rsidRPr="008B3AD6">
        <w:rPr>
          <w:b/>
        </w:rPr>
        <w:fldChar w:fldCharType="begin"/>
      </w:r>
      <w:r w:rsidR="0055611A" w:rsidRPr="008B3AD6">
        <w:rPr>
          <w:b/>
        </w:rPr>
        <w:instrText xml:space="preserve"> REF _Ref518931793  \* MERGEFORMAT </w:instrText>
      </w:r>
      <w:r w:rsidR="0055611A" w:rsidRPr="008B3AD6">
        <w:rPr>
          <w:b/>
        </w:rPr>
        <w:fldChar w:fldCharType="separate"/>
      </w:r>
      <w:r w:rsidR="00031DCA" w:rsidRPr="00031DCA">
        <w:rPr>
          <w:b/>
        </w:rPr>
        <w:t xml:space="preserve">Figure </w:t>
      </w:r>
      <w:r w:rsidR="00031DCA" w:rsidRPr="00031DCA">
        <w:rPr>
          <w:b/>
          <w:noProof/>
        </w:rPr>
        <w:t>3.2</w:t>
      </w:r>
      <w:r w:rsidR="0055611A" w:rsidRPr="008B3AD6">
        <w:rPr>
          <w:b/>
          <w:noProof/>
        </w:rPr>
        <w:fldChar w:fldCharType="end"/>
      </w:r>
      <w:r w:rsidR="0055611A" w:rsidRPr="008B3AD6">
        <w:t xml:space="preserve"> provided an indication of </w:t>
      </w:r>
      <w:r w:rsidR="00A32111">
        <w:t>AmB</w:t>
      </w:r>
      <w:r w:rsidR="0055611A" w:rsidRPr="008B3AD6">
        <w:t xml:space="preserve"> detection limits in pure solution, cellular accumulation of </w:t>
      </w:r>
      <w:r w:rsidR="00A32111">
        <w:t>AmB</w:t>
      </w:r>
      <w:r w:rsidR="0055611A" w:rsidRPr="008B3AD6">
        <w:t xml:space="preserve"> post-treatment has not been previously quantified. To this end, the number of cells that would be needed to generate a signal within the detection range for </w:t>
      </w:r>
      <w:r w:rsidR="00A32111">
        <w:t>AmB</w:t>
      </w:r>
      <w:r w:rsidR="0055611A" w:rsidRPr="008B3AD6">
        <w:t xml:space="preserve"> were investigated. Leukocyte and parenchymal cell aliquots, ranging from 10</w:t>
      </w:r>
      <w:r w:rsidR="0055611A" w:rsidRPr="008B3AD6">
        <w:rPr>
          <w:vertAlign w:val="superscript"/>
        </w:rPr>
        <w:t>2</w:t>
      </w:r>
      <w:r w:rsidR="0055611A" w:rsidRPr="008B3AD6">
        <w:t xml:space="preserve"> – 10</w:t>
      </w:r>
      <w:r w:rsidR="0055611A" w:rsidRPr="008B3AD6">
        <w:rPr>
          <w:vertAlign w:val="superscript"/>
        </w:rPr>
        <w:t>7</w:t>
      </w:r>
      <w:r w:rsidR="0055611A" w:rsidRPr="008B3AD6">
        <w:t xml:space="preserve"> cells, were collected from naïve mouse liver 12h post-treatment. These samples were then processed using freeze-thaw cycles and </w:t>
      </w:r>
      <w:r w:rsidR="00A32111">
        <w:t>AmB</w:t>
      </w:r>
      <w:r w:rsidR="0055611A" w:rsidRPr="008B3AD6">
        <w:t xml:space="preserve"> extracted using a column (Section </w:t>
      </w:r>
      <w:r w:rsidR="008B3AD6" w:rsidRPr="008B3AD6">
        <w:fldChar w:fldCharType="begin"/>
      </w:r>
      <w:r w:rsidR="008B3AD6" w:rsidRPr="008B3AD6">
        <w:instrText xml:space="preserve"> REF _Ref521680359 \n </w:instrText>
      </w:r>
      <w:r w:rsidR="008B3AD6">
        <w:instrText xml:space="preserve"> \* MERGEFORMAT </w:instrText>
      </w:r>
      <w:r w:rsidR="008B3AD6" w:rsidRPr="008B3AD6">
        <w:fldChar w:fldCharType="separate"/>
      </w:r>
      <w:r w:rsidR="00031DCA">
        <w:t>2.11</w:t>
      </w:r>
      <w:r w:rsidR="008B3AD6" w:rsidRPr="008B3AD6">
        <w:fldChar w:fldCharType="end"/>
      </w:r>
      <w:r w:rsidR="0055611A" w:rsidRPr="008B3AD6">
        <w:t>).</w:t>
      </w:r>
      <w:r w:rsidR="00811563" w:rsidRPr="008B3AD6">
        <w:t xml:space="preserve"> </w:t>
      </w:r>
      <w:r w:rsidR="00811563" w:rsidRPr="008B3AD6">
        <w:rPr>
          <w:b/>
        </w:rPr>
        <w:fldChar w:fldCharType="begin"/>
      </w:r>
      <w:r w:rsidR="00811563" w:rsidRPr="008B3AD6">
        <w:rPr>
          <w:b/>
        </w:rPr>
        <w:instrText xml:space="preserve"> REF _Ref518931924  \* MERGEFORMAT </w:instrText>
      </w:r>
      <w:r w:rsidR="00811563" w:rsidRPr="008B3AD6">
        <w:rPr>
          <w:b/>
        </w:rPr>
        <w:fldChar w:fldCharType="separate"/>
      </w:r>
      <w:r w:rsidR="00031DCA" w:rsidRPr="00031DCA">
        <w:rPr>
          <w:b/>
        </w:rPr>
        <w:t xml:space="preserve">Figure </w:t>
      </w:r>
      <w:r w:rsidR="00031DCA" w:rsidRPr="00031DCA">
        <w:rPr>
          <w:b/>
          <w:noProof/>
        </w:rPr>
        <w:t>3.5</w:t>
      </w:r>
      <w:r w:rsidR="00811563" w:rsidRPr="008B3AD6">
        <w:rPr>
          <w:b/>
          <w:noProof/>
        </w:rPr>
        <w:fldChar w:fldCharType="end"/>
      </w:r>
      <w:r w:rsidR="00811563" w:rsidRPr="008B3AD6">
        <w:t xml:space="preserve"> shows the </w:t>
      </w:r>
      <w:r w:rsidR="00552EF5" w:rsidRPr="008B3AD6">
        <w:t>area of the</w:t>
      </w:r>
      <w:r w:rsidR="00811563" w:rsidRPr="008B3AD6">
        <w:t xml:space="preserve"> </w:t>
      </w:r>
      <w:r w:rsidR="00A32111">
        <w:t>AmB</w:t>
      </w:r>
      <w:r w:rsidR="00552EF5" w:rsidRPr="008B3AD6">
        <w:t xml:space="preserve"> peak normalised to the samples corresponding area for the</w:t>
      </w:r>
      <w:r w:rsidR="00D24FE4" w:rsidRPr="008B3AD6">
        <w:t xml:space="preserve"> Clopidogrel</w:t>
      </w:r>
      <w:r w:rsidR="00552EF5" w:rsidRPr="008B3AD6">
        <w:t xml:space="preserve"> peak </w:t>
      </w:r>
      <w:r w:rsidR="00811563" w:rsidRPr="008B3AD6">
        <w:t xml:space="preserve">for </w:t>
      </w:r>
      <w:r w:rsidR="00D24FE4" w:rsidRPr="008B3AD6">
        <w:t>these aliquots</w:t>
      </w:r>
      <w:r w:rsidR="00811563" w:rsidRPr="008B3AD6">
        <w:t xml:space="preserve">. </w:t>
      </w:r>
      <w:r w:rsidR="00A32111">
        <w:t>AmB</w:t>
      </w:r>
      <w:r w:rsidR="00811563" w:rsidRPr="008B3AD6">
        <w:t xml:space="preserve"> was detected in samples containing 10</w:t>
      </w:r>
      <w:r w:rsidR="00811563" w:rsidRPr="008B3AD6">
        <w:rPr>
          <w:vertAlign w:val="superscript"/>
        </w:rPr>
        <w:t>6</w:t>
      </w:r>
      <w:r w:rsidR="00811563" w:rsidRPr="008B3AD6">
        <w:t xml:space="preserve"> and 10</w:t>
      </w:r>
      <w:r w:rsidR="00811563" w:rsidRPr="008B3AD6">
        <w:rPr>
          <w:vertAlign w:val="superscript"/>
        </w:rPr>
        <w:t>7</w:t>
      </w:r>
      <w:r w:rsidR="00811563" w:rsidRPr="008B3AD6">
        <w:t xml:space="preserve"> cells (Ratio: 0.0001 and 0.002, respectively), was negligible </w:t>
      </w:r>
      <w:r w:rsidR="006C2ED9">
        <w:t>in 10</w:t>
      </w:r>
      <w:r w:rsidR="006C2ED9" w:rsidRPr="006C2ED9">
        <w:rPr>
          <w:vertAlign w:val="superscript"/>
        </w:rPr>
        <w:t>5</w:t>
      </w:r>
      <w:r w:rsidR="00811563" w:rsidRPr="008B3AD6">
        <w:t xml:space="preserve"> parenchymal cells (Ratio: 2.3x10</w:t>
      </w:r>
      <w:r w:rsidR="00811563" w:rsidRPr="008B3AD6">
        <w:rPr>
          <w:vertAlign w:val="superscript"/>
        </w:rPr>
        <w:t>-6</w:t>
      </w:r>
      <w:r w:rsidR="00811563" w:rsidRPr="008B3AD6">
        <w:t>) and was not detected in samples below 10</w:t>
      </w:r>
      <w:r w:rsidR="00811563" w:rsidRPr="008B3AD6">
        <w:rPr>
          <w:vertAlign w:val="superscript"/>
        </w:rPr>
        <w:t>5</w:t>
      </w:r>
      <w:r w:rsidR="00811563" w:rsidRPr="008B3AD6">
        <w:t xml:space="preserve"> cells. Similarly, for leukocytes, </w:t>
      </w:r>
      <w:r w:rsidR="00000EC4">
        <w:t>detection</w:t>
      </w:r>
      <w:r w:rsidR="00811563" w:rsidRPr="008B3AD6">
        <w:t xml:space="preserve"> was possible </w:t>
      </w:r>
      <w:r w:rsidR="00D24FE4" w:rsidRPr="008B3AD6">
        <w:t>at 10</w:t>
      </w:r>
      <w:r w:rsidR="00D24FE4" w:rsidRPr="008B3AD6">
        <w:rPr>
          <w:vertAlign w:val="superscript"/>
        </w:rPr>
        <w:t>6</w:t>
      </w:r>
      <w:r w:rsidR="00811563" w:rsidRPr="008B3AD6">
        <w:t xml:space="preserve"> and 10</w:t>
      </w:r>
      <w:r w:rsidR="00811563" w:rsidRPr="008B3AD6">
        <w:rPr>
          <w:vertAlign w:val="superscript"/>
        </w:rPr>
        <w:t>7</w:t>
      </w:r>
      <w:r w:rsidR="00811563" w:rsidRPr="008B3AD6">
        <w:t xml:space="preserve"> cells (Ratio: 0.0006 and 0.01, respectively), but not with </w:t>
      </w:r>
      <w:r w:rsidR="0055611A" w:rsidRPr="008B3AD6">
        <w:t>10</w:t>
      </w:r>
      <w:r w:rsidR="0055611A" w:rsidRPr="008B3AD6">
        <w:rPr>
          <w:vertAlign w:val="superscript"/>
        </w:rPr>
        <w:t>2</w:t>
      </w:r>
      <w:r w:rsidR="0055611A" w:rsidRPr="008B3AD6">
        <w:t>, 10</w:t>
      </w:r>
      <w:r w:rsidR="0055611A" w:rsidRPr="008B3AD6">
        <w:rPr>
          <w:vertAlign w:val="superscript"/>
        </w:rPr>
        <w:t>4</w:t>
      </w:r>
      <w:r w:rsidR="0055611A" w:rsidRPr="008B3AD6">
        <w:t xml:space="preserve"> or </w:t>
      </w:r>
      <w:r w:rsidR="00811563" w:rsidRPr="008B3AD6">
        <w:t>10</w:t>
      </w:r>
      <w:r w:rsidR="00811563" w:rsidRPr="008B3AD6">
        <w:rPr>
          <w:vertAlign w:val="superscript"/>
        </w:rPr>
        <w:t xml:space="preserve">5 </w:t>
      </w:r>
      <w:r w:rsidR="00811563" w:rsidRPr="008B3AD6">
        <w:t>cell</w:t>
      </w:r>
      <w:r w:rsidR="0055611A" w:rsidRPr="008B3AD6">
        <w:t>s. A signal was detected for 10</w:t>
      </w:r>
      <w:r w:rsidR="0055611A" w:rsidRPr="008B3AD6">
        <w:rPr>
          <w:vertAlign w:val="superscript"/>
        </w:rPr>
        <w:t>3</w:t>
      </w:r>
      <w:r w:rsidR="0055611A" w:rsidRPr="008B3AD6">
        <w:t xml:space="preserve"> cells (Ratio: 0.000046) but was assumed to be noise due to a lack of signal in the other larger samples</w:t>
      </w:r>
      <w:r w:rsidR="00811563" w:rsidRPr="008B3AD6">
        <w:t xml:space="preserve">. </w:t>
      </w:r>
      <w:r w:rsidR="00C4563E" w:rsidRPr="008B3AD6">
        <w:t>Therefore,</w:t>
      </w:r>
      <w:r w:rsidR="00D24FE4" w:rsidRPr="008B3AD6">
        <w:t xml:space="preserve"> i</w:t>
      </w:r>
      <w:r w:rsidR="00811563" w:rsidRPr="008B3AD6">
        <w:t>n all following experiments</w:t>
      </w:r>
      <w:r w:rsidR="00D24FE4" w:rsidRPr="008B3AD6">
        <w:t>, we attempted to obtain</w:t>
      </w:r>
      <w:r w:rsidR="00811563" w:rsidRPr="008B3AD6">
        <w:t xml:space="preserve"> 10</w:t>
      </w:r>
      <w:r w:rsidR="00811563" w:rsidRPr="008B3AD6">
        <w:rPr>
          <w:vertAlign w:val="superscript"/>
        </w:rPr>
        <w:t>6</w:t>
      </w:r>
      <w:r w:rsidR="00811563" w:rsidRPr="008B3AD6">
        <w:t xml:space="preserve"> cells </w:t>
      </w:r>
      <w:r w:rsidR="00D24FE4" w:rsidRPr="008B3AD6">
        <w:t>per sample to</w:t>
      </w:r>
      <w:r w:rsidR="00811563" w:rsidRPr="008B3AD6">
        <w:t xml:space="preserve"> analyse cellular </w:t>
      </w:r>
      <w:r w:rsidR="00A32111">
        <w:t>AmB</w:t>
      </w:r>
      <w:r w:rsidR="00811563" w:rsidRPr="008B3AD6">
        <w:t xml:space="preserve"> accumulation.</w:t>
      </w:r>
    </w:p>
    <w:p w14:paraId="7E785624" w14:textId="77777777" w:rsidR="000C7703" w:rsidRPr="008B3AD6" w:rsidRDefault="000C7703" w:rsidP="009154C0">
      <w:pPr>
        <w:spacing w:line="360" w:lineRule="auto"/>
        <w:jc w:val="both"/>
      </w:pPr>
    </w:p>
    <w:p w14:paraId="4C62BA6D" w14:textId="0B8BF980" w:rsidR="00292947" w:rsidRPr="008B3AD6" w:rsidRDefault="00206787" w:rsidP="0004454D">
      <w:pPr>
        <w:spacing w:line="240" w:lineRule="auto"/>
      </w:pPr>
      <w:r>
        <w:rPr>
          <w:noProof/>
        </w:rPr>
        <w:lastRenderedPageBreak/>
        <w:drawing>
          <wp:anchor distT="0" distB="0" distL="114300" distR="114300" simplePos="0" relativeHeight="251993088" behindDoc="0" locked="0" layoutInCell="1" allowOverlap="1" wp14:anchorId="4E1033B8" wp14:editId="06033C7A">
            <wp:simplePos x="0" y="0"/>
            <wp:positionH relativeFrom="column">
              <wp:posOffset>502915</wp:posOffset>
            </wp:positionH>
            <wp:positionV relativeFrom="paragraph">
              <wp:posOffset>57150</wp:posOffset>
            </wp:positionV>
            <wp:extent cx="4560570" cy="2981306"/>
            <wp:effectExtent l="0" t="0" r="0" b="3810"/>
            <wp:wrapTopAndBottom/>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Picture 74"/>
                    <pic:cNvPicPr>
                      <a:picLocks noChangeAspect="1"/>
                    </pic:cNvPicPr>
                  </pic:nvPicPr>
                  <pic:blipFill rotWithShape="1">
                    <a:blip r:embed="rId32">
                      <a:extLst>
                        <a:ext uri="{28A0092B-C50C-407E-A947-70E740481C1C}">
                          <a14:useLocalDpi xmlns:a14="http://schemas.microsoft.com/office/drawing/2010/main" val="0"/>
                        </a:ext>
                      </a:extLst>
                    </a:blip>
                    <a:srcRect t="5154" b="2809"/>
                    <a:stretch/>
                  </pic:blipFill>
                  <pic:spPr bwMode="auto">
                    <a:xfrm>
                      <a:off x="0" y="0"/>
                      <a:ext cx="4560570" cy="2981306"/>
                    </a:xfrm>
                    <a:prstGeom prst="rect">
                      <a:avLst/>
                    </a:prstGeom>
                    <a:ln>
                      <a:noFill/>
                    </a:ln>
                    <a:extLst>
                      <a:ext uri="{53640926-AAD7-44D8-BBD7-CCE9431645EC}">
                        <a14:shadowObscured xmlns:a14="http://schemas.microsoft.com/office/drawing/2010/main"/>
                      </a:ext>
                    </a:extLst>
                  </pic:spPr>
                </pic:pic>
              </a:graphicData>
            </a:graphic>
          </wp:anchor>
        </w:drawing>
      </w:r>
      <w:r>
        <w:rPr>
          <w:noProof/>
        </w:rPr>
        <mc:AlternateContent>
          <mc:Choice Requires="wps">
            <w:drawing>
              <wp:anchor distT="0" distB="0" distL="114300" distR="114300" simplePos="0" relativeHeight="251994112" behindDoc="0" locked="0" layoutInCell="1" allowOverlap="1" wp14:anchorId="20D01B0F" wp14:editId="4533C8D8">
                <wp:simplePos x="0" y="0"/>
                <wp:positionH relativeFrom="column">
                  <wp:posOffset>-45720</wp:posOffset>
                </wp:positionH>
                <wp:positionV relativeFrom="paragraph">
                  <wp:posOffset>3123516</wp:posOffset>
                </wp:positionV>
                <wp:extent cx="5651500" cy="1097329"/>
                <wp:effectExtent l="0" t="0" r="0" b="0"/>
                <wp:wrapTopAndBottom/>
                <wp:docPr id="594" name="Text Box 594"/>
                <wp:cNvGraphicFramePr/>
                <a:graphic xmlns:a="http://schemas.openxmlformats.org/drawingml/2006/main">
                  <a:graphicData uri="http://schemas.microsoft.com/office/word/2010/wordprocessingShape">
                    <wps:wsp>
                      <wps:cNvSpPr txBox="1"/>
                      <wps:spPr>
                        <a:xfrm>
                          <a:off x="0" y="0"/>
                          <a:ext cx="5651500" cy="1097329"/>
                        </a:xfrm>
                        <a:prstGeom prst="rect">
                          <a:avLst/>
                        </a:prstGeom>
                        <a:solidFill>
                          <a:prstClr val="white"/>
                        </a:solidFill>
                        <a:ln>
                          <a:noFill/>
                        </a:ln>
                      </wps:spPr>
                      <wps:txbx>
                        <w:txbxContent>
                          <w:p w14:paraId="7F5F530E" w14:textId="034A22BC" w:rsidR="00F61130" w:rsidRPr="00CE37DB" w:rsidRDefault="00F61130" w:rsidP="000C7703">
                            <w:pPr>
                              <w:pStyle w:val="Caption"/>
                              <w:spacing w:line="360" w:lineRule="auto"/>
                              <w:jc w:val="both"/>
                              <w:rPr>
                                <w:noProof/>
                                <w:sz w:val="20"/>
                                <w:szCs w:val="20"/>
                              </w:rPr>
                            </w:pPr>
                            <w:bookmarkStart w:id="251" w:name="_Ref518931924"/>
                            <w:bookmarkStart w:id="252" w:name="_Toc525227196"/>
                            <w:bookmarkStart w:id="253" w:name="_Toc536814135"/>
                            <w:r w:rsidRPr="00292947">
                              <w:rPr>
                                <w:b/>
                                <w:sz w:val="20"/>
                                <w:szCs w:val="20"/>
                              </w:rPr>
                              <w:t xml:space="preserve">Figure </w:t>
                            </w:r>
                            <w:r>
                              <w:rPr>
                                <w:b/>
                                <w:sz w:val="20"/>
                                <w:szCs w:val="20"/>
                              </w:rPr>
                              <w:fldChar w:fldCharType="begin"/>
                            </w:r>
                            <w:r>
                              <w:rPr>
                                <w:b/>
                                <w:sz w:val="20"/>
                                <w:szCs w:val="20"/>
                              </w:rPr>
                              <w:instrText xml:space="preserve"> STYLEREF 1 \s </w:instrText>
                            </w:r>
                            <w:r>
                              <w:rPr>
                                <w:b/>
                                <w:sz w:val="20"/>
                                <w:szCs w:val="20"/>
                              </w:rPr>
                              <w:fldChar w:fldCharType="separate"/>
                            </w:r>
                            <w:r>
                              <w:rPr>
                                <w:b/>
                                <w:noProof/>
                                <w:sz w:val="20"/>
                                <w:szCs w:val="20"/>
                              </w:rPr>
                              <w:t>3</w:t>
                            </w:r>
                            <w:r>
                              <w:rPr>
                                <w:b/>
                                <w:sz w:val="20"/>
                                <w:szCs w:val="20"/>
                              </w:rPr>
                              <w:fldChar w:fldCharType="end"/>
                            </w:r>
                            <w:r>
                              <w:rPr>
                                <w:b/>
                                <w:sz w:val="20"/>
                                <w:szCs w:val="20"/>
                              </w:rPr>
                              <w:t>.</w:t>
                            </w:r>
                            <w:r>
                              <w:rPr>
                                <w:b/>
                                <w:sz w:val="20"/>
                                <w:szCs w:val="20"/>
                              </w:rPr>
                              <w:fldChar w:fldCharType="begin"/>
                            </w:r>
                            <w:r>
                              <w:rPr>
                                <w:b/>
                                <w:sz w:val="20"/>
                                <w:szCs w:val="20"/>
                              </w:rPr>
                              <w:instrText xml:space="preserve"> SEQ Figure \* ARABIC \s 1 </w:instrText>
                            </w:r>
                            <w:r>
                              <w:rPr>
                                <w:b/>
                                <w:sz w:val="20"/>
                                <w:szCs w:val="20"/>
                              </w:rPr>
                              <w:fldChar w:fldCharType="separate"/>
                            </w:r>
                            <w:r>
                              <w:rPr>
                                <w:b/>
                                <w:noProof/>
                                <w:sz w:val="20"/>
                                <w:szCs w:val="20"/>
                              </w:rPr>
                              <w:t>5</w:t>
                            </w:r>
                            <w:r>
                              <w:rPr>
                                <w:b/>
                                <w:sz w:val="20"/>
                                <w:szCs w:val="20"/>
                              </w:rPr>
                              <w:fldChar w:fldCharType="end"/>
                            </w:r>
                            <w:bookmarkEnd w:id="251"/>
                            <w:r w:rsidRPr="00292947">
                              <w:rPr>
                                <w:b/>
                                <w:sz w:val="20"/>
                                <w:szCs w:val="20"/>
                              </w:rPr>
                              <w:t xml:space="preserve"> - Quantification of Cell Number Detection Limit. </w:t>
                            </w:r>
                            <w:r w:rsidRPr="00292947">
                              <w:rPr>
                                <w:sz w:val="20"/>
                                <w:szCs w:val="20"/>
                              </w:rPr>
                              <w:t xml:space="preserve">Different </w:t>
                            </w:r>
                            <w:r>
                              <w:rPr>
                                <w:sz w:val="20"/>
                                <w:szCs w:val="20"/>
                              </w:rPr>
                              <w:t>numbers</w:t>
                            </w:r>
                            <w:r w:rsidRPr="00292947">
                              <w:rPr>
                                <w:sz w:val="20"/>
                                <w:szCs w:val="20"/>
                              </w:rPr>
                              <w:t xml:space="preserve"> of </w:t>
                            </w:r>
                            <w:r>
                              <w:rPr>
                                <w:sz w:val="20"/>
                                <w:szCs w:val="20"/>
                              </w:rPr>
                              <w:t>l</w:t>
                            </w:r>
                            <w:r w:rsidRPr="00877A35">
                              <w:rPr>
                                <w:sz w:val="20"/>
                                <w:szCs w:val="20"/>
                              </w:rPr>
                              <w:t xml:space="preserve">eukocytes </w:t>
                            </w:r>
                            <w:r w:rsidRPr="00292947">
                              <w:rPr>
                                <w:sz w:val="20"/>
                                <w:szCs w:val="20"/>
                              </w:rPr>
                              <w:t>(Blue) and parenchymal cells (Red) from AmBisome treated mice were processed and analysed using LC-MS. The ratio of the peak areas for Amphotericin B and Clopidogrel detected for each aliquot was determined for each sample. Data represents value of 1 aliquot.</w:t>
                            </w:r>
                            <w:r>
                              <w:rPr>
                                <w:sz w:val="20"/>
                                <w:szCs w:val="20"/>
                              </w:rPr>
                              <w:t xml:space="preserve"> Samples were processed using digestion protocol 1 and the column extraction method.</w:t>
                            </w:r>
                            <w:bookmarkEnd w:id="252"/>
                            <w:bookmarkEnd w:id="253"/>
                            <w:r>
                              <w:rPr>
                                <w:sz w:val="20"/>
                                <w:szCs w:val="20"/>
                              </w:rPr>
                              <w:t xml:space="preserve"> </w:t>
                            </w:r>
                          </w:p>
                          <w:p w14:paraId="07022DDC" w14:textId="77777777" w:rsidR="00F61130" w:rsidRPr="00CE37DB" w:rsidRDefault="00F61130" w:rsidP="000C7703">
                            <w:pPr>
                              <w:pStyle w:val="Caption"/>
                              <w:spacing w:line="360" w:lineRule="auto"/>
                              <w:jc w:val="both"/>
                              <w:rPr>
                                <w:noProof/>
                                <w:sz w:val="20"/>
                                <w:szCs w:val="20"/>
                              </w:rPr>
                            </w:pPr>
                            <w:r>
                              <w:rPr>
                                <w:sz w:val="20"/>
                                <w:szCs w:val="20"/>
                              </w:rPr>
                              <w:t>.</w:t>
                            </w:r>
                          </w:p>
                          <w:p w14:paraId="79A60871" w14:textId="77777777" w:rsidR="00F61130" w:rsidRPr="00292947" w:rsidRDefault="00F61130" w:rsidP="000C7703">
                            <w:pPr>
                              <w:pStyle w:val="Caption"/>
                              <w:spacing w:line="360" w:lineRule="auto"/>
                              <w:jc w:val="both"/>
                              <w:rPr>
                                <w:noProof/>
                                <w:sz w:val="20"/>
                                <w:szCs w:val="20"/>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20D01B0F" id="Text Box 594" o:spid="_x0000_s1046" type="#_x0000_t202" style="position:absolute;margin-left:-3.6pt;margin-top:245.95pt;width:445pt;height:86.4pt;z-index:2519941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X4lA8MwIAAG0EAAAOAAAAZHJzL2Uyb0RvYy54bWysVMGO2jAQvVfqP1i+lwRatgURVpQVVSW0&#13;&#10;uxJUezaOTSw5Htc2JPTrO3YSaLc9Vb0445nxs+e9mSzu21qTs3BegSnoeJRTIgyHUpljQb/tN+8+&#13;&#10;UeIDMyXTYERBL8LT++XbN4vGzsUEKtClcARBjJ83tqBVCHaeZZ5XomZ+BFYYDEpwNQu4dcesdKxB&#13;&#10;9Fpnkzy/yxpwpXXAhffofeiCdJnwpRQ8PEnpRSC6oPi2kFaX1kNcs+WCzY+O2Urx/hnsH15RM2Xw&#13;&#10;0ivUAwuMnJz6A6pW3IEHGUYc6gykVFykGrCacf6qml3FrEi1IDneXmny/w+WP56fHVFlQaezD5QY&#13;&#10;VqNIe9EG8hlaEn3IUGP9HBN3FlNDiwFUevB7dMbCW+nq+MWSCMaR68uV3wjH0Tm9m46nOYY4xsb5&#13;&#10;7OP7ySziZLfj1vnwRUBNolFQhwImXtl560OXOqTE2zxoVW6U1nETA2vtyJmh2E2lgujBf8vSJuYa&#13;&#10;iKc6wOjJYo1dLdEK7aFNrExSi0TXAcoL1u+g6yFv+UbhhVvmwzNz2DRYFw5CeMJFamgKCr1FSQXu&#13;&#10;x9/8MR+1xCglDTZhQf33E3OCEv3VoMqxYwfDDcZhMMypXgOWOsYRszyZeMAFPZjSQf2C87GKt2CI&#13;&#10;GY53FTQM5jp0o4DzxcVqlZKwLy0LW7OzPEIPxO7bF+ZsL0tARR9haE82f6VOl9vRvDoFkCpJd2Ox&#13;&#10;5xt7Oonfz18cml/3Kev2l1j+BAAA//8DAFBLAwQUAAYACAAAACEAqmpXTuUAAAAPAQAADwAAAGRy&#13;&#10;cy9kb3ducmV2LnhtbEyPwW7CMBBE75X6D9ZW6qUChwiFEOKglrS39gBFnE1skoh4HdkOCX/f7am9&#13;&#10;rLTa2Zl5+XYyHbtp51uLAhbzCJjGyqoWawHH749ZCswHiUp2FrWAu/awLR4fcpkpO+Je3w6hZmSC&#13;&#10;PpMCmhD6jHNfNdpIP7e9RrpdrDMy0Opqrpwcydx0PI6ihBvZIiU0ste7RlfXw2AEJKUbxj3uXsrj&#13;&#10;+6f86uv49HY/CfH8NJUbGq8bYEFP4e8DfhmoPxRU7GwHVJ51AmarmJQCluvFGhgJ0jQmoDNFJMsV&#13;&#10;8CLn/zmKHwAAAP//AwBQSwECLQAUAAYACAAAACEAtoM4kv4AAADhAQAAEwAAAAAAAAAAAAAAAAAA&#13;&#10;AAAAW0NvbnRlbnRfVHlwZXNdLnhtbFBLAQItABQABgAIAAAAIQA4/SH/1gAAAJQBAAALAAAAAAAA&#13;&#10;AAAAAAAAAC8BAABfcmVscy8ucmVsc1BLAQItABQABgAIAAAAIQCX4lA8MwIAAG0EAAAOAAAAAAAA&#13;&#10;AAAAAAAAAC4CAABkcnMvZTJvRG9jLnhtbFBLAQItABQABgAIAAAAIQCqaldO5QAAAA8BAAAPAAAA&#13;&#10;AAAAAAAAAAAAAI0EAABkcnMvZG93bnJldi54bWxQSwUGAAAAAAQABADzAAAAnwUAAAAA&#13;&#10;" stroked="f">
                <v:textbox inset="0,0,0,0">
                  <w:txbxContent>
                    <w:p w14:paraId="7F5F530E" w14:textId="034A22BC" w:rsidR="00F61130" w:rsidRPr="00CE37DB" w:rsidRDefault="00F61130" w:rsidP="000C7703">
                      <w:pPr>
                        <w:pStyle w:val="Caption"/>
                        <w:spacing w:line="360" w:lineRule="auto"/>
                        <w:jc w:val="both"/>
                        <w:rPr>
                          <w:noProof/>
                          <w:sz w:val="20"/>
                          <w:szCs w:val="20"/>
                        </w:rPr>
                      </w:pPr>
                      <w:bookmarkStart w:id="254" w:name="_Ref518931924"/>
                      <w:bookmarkStart w:id="255" w:name="_Toc525227196"/>
                      <w:bookmarkStart w:id="256" w:name="_Toc536814135"/>
                      <w:r w:rsidRPr="00292947">
                        <w:rPr>
                          <w:b/>
                          <w:sz w:val="20"/>
                          <w:szCs w:val="20"/>
                        </w:rPr>
                        <w:t xml:space="preserve">Figure </w:t>
                      </w:r>
                      <w:r>
                        <w:rPr>
                          <w:b/>
                          <w:sz w:val="20"/>
                          <w:szCs w:val="20"/>
                        </w:rPr>
                        <w:fldChar w:fldCharType="begin"/>
                      </w:r>
                      <w:r>
                        <w:rPr>
                          <w:b/>
                          <w:sz w:val="20"/>
                          <w:szCs w:val="20"/>
                        </w:rPr>
                        <w:instrText xml:space="preserve"> STYLEREF 1 \s </w:instrText>
                      </w:r>
                      <w:r>
                        <w:rPr>
                          <w:b/>
                          <w:sz w:val="20"/>
                          <w:szCs w:val="20"/>
                        </w:rPr>
                        <w:fldChar w:fldCharType="separate"/>
                      </w:r>
                      <w:r>
                        <w:rPr>
                          <w:b/>
                          <w:noProof/>
                          <w:sz w:val="20"/>
                          <w:szCs w:val="20"/>
                        </w:rPr>
                        <w:t>3</w:t>
                      </w:r>
                      <w:r>
                        <w:rPr>
                          <w:b/>
                          <w:sz w:val="20"/>
                          <w:szCs w:val="20"/>
                        </w:rPr>
                        <w:fldChar w:fldCharType="end"/>
                      </w:r>
                      <w:r>
                        <w:rPr>
                          <w:b/>
                          <w:sz w:val="20"/>
                          <w:szCs w:val="20"/>
                        </w:rPr>
                        <w:t>.</w:t>
                      </w:r>
                      <w:r>
                        <w:rPr>
                          <w:b/>
                          <w:sz w:val="20"/>
                          <w:szCs w:val="20"/>
                        </w:rPr>
                        <w:fldChar w:fldCharType="begin"/>
                      </w:r>
                      <w:r>
                        <w:rPr>
                          <w:b/>
                          <w:sz w:val="20"/>
                          <w:szCs w:val="20"/>
                        </w:rPr>
                        <w:instrText xml:space="preserve"> SEQ Figure \* ARABIC \s 1 </w:instrText>
                      </w:r>
                      <w:r>
                        <w:rPr>
                          <w:b/>
                          <w:sz w:val="20"/>
                          <w:szCs w:val="20"/>
                        </w:rPr>
                        <w:fldChar w:fldCharType="separate"/>
                      </w:r>
                      <w:r>
                        <w:rPr>
                          <w:b/>
                          <w:noProof/>
                          <w:sz w:val="20"/>
                          <w:szCs w:val="20"/>
                        </w:rPr>
                        <w:t>5</w:t>
                      </w:r>
                      <w:r>
                        <w:rPr>
                          <w:b/>
                          <w:sz w:val="20"/>
                          <w:szCs w:val="20"/>
                        </w:rPr>
                        <w:fldChar w:fldCharType="end"/>
                      </w:r>
                      <w:bookmarkEnd w:id="254"/>
                      <w:r w:rsidRPr="00292947">
                        <w:rPr>
                          <w:b/>
                          <w:sz w:val="20"/>
                          <w:szCs w:val="20"/>
                        </w:rPr>
                        <w:t xml:space="preserve"> - Quantification of Cell Number Detection Limit. </w:t>
                      </w:r>
                      <w:r w:rsidRPr="00292947">
                        <w:rPr>
                          <w:sz w:val="20"/>
                          <w:szCs w:val="20"/>
                        </w:rPr>
                        <w:t xml:space="preserve">Different </w:t>
                      </w:r>
                      <w:r>
                        <w:rPr>
                          <w:sz w:val="20"/>
                          <w:szCs w:val="20"/>
                        </w:rPr>
                        <w:t>numbers</w:t>
                      </w:r>
                      <w:r w:rsidRPr="00292947">
                        <w:rPr>
                          <w:sz w:val="20"/>
                          <w:szCs w:val="20"/>
                        </w:rPr>
                        <w:t xml:space="preserve"> of </w:t>
                      </w:r>
                      <w:r>
                        <w:rPr>
                          <w:sz w:val="20"/>
                          <w:szCs w:val="20"/>
                        </w:rPr>
                        <w:t>l</w:t>
                      </w:r>
                      <w:r w:rsidRPr="00877A35">
                        <w:rPr>
                          <w:sz w:val="20"/>
                          <w:szCs w:val="20"/>
                        </w:rPr>
                        <w:t xml:space="preserve">eukocytes </w:t>
                      </w:r>
                      <w:r w:rsidRPr="00292947">
                        <w:rPr>
                          <w:sz w:val="20"/>
                          <w:szCs w:val="20"/>
                        </w:rPr>
                        <w:t>(Blue) and parenchymal cells (Red) from AmBisome treated mice were processed and analysed using LC-MS. The ratio of the peak areas for Amphotericin B and Clopidogrel detected for each aliquot was determined for each sample. Data represents value of 1 aliquot.</w:t>
                      </w:r>
                      <w:r>
                        <w:rPr>
                          <w:sz w:val="20"/>
                          <w:szCs w:val="20"/>
                        </w:rPr>
                        <w:t xml:space="preserve"> Samples were processed using digestion protocol 1 and the column extraction method.</w:t>
                      </w:r>
                      <w:bookmarkEnd w:id="255"/>
                      <w:bookmarkEnd w:id="256"/>
                      <w:r>
                        <w:rPr>
                          <w:sz w:val="20"/>
                          <w:szCs w:val="20"/>
                        </w:rPr>
                        <w:t xml:space="preserve"> </w:t>
                      </w:r>
                    </w:p>
                    <w:p w14:paraId="07022DDC" w14:textId="77777777" w:rsidR="00F61130" w:rsidRPr="00CE37DB" w:rsidRDefault="00F61130" w:rsidP="000C7703">
                      <w:pPr>
                        <w:pStyle w:val="Caption"/>
                        <w:spacing w:line="360" w:lineRule="auto"/>
                        <w:jc w:val="both"/>
                        <w:rPr>
                          <w:noProof/>
                          <w:sz w:val="20"/>
                          <w:szCs w:val="20"/>
                        </w:rPr>
                      </w:pPr>
                      <w:r>
                        <w:rPr>
                          <w:sz w:val="20"/>
                          <w:szCs w:val="20"/>
                        </w:rPr>
                        <w:t>.</w:t>
                      </w:r>
                    </w:p>
                    <w:p w14:paraId="79A60871" w14:textId="77777777" w:rsidR="00F61130" w:rsidRPr="00292947" w:rsidRDefault="00F61130" w:rsidP="000C7703">
                      <w:pPr>
                        <w:pStyle w:val="Caption"/>
                        <w:spacing w:line="360" w:lineRule="auto"/>
                        <w:jc w:val="both"/>
                        <w:rPr>
                          <w:noProof/>
                          <w:sz w:val="20"/>
                          <w:szCs w:val="20"/>
                        </w:rPr>
                      </w:pPr>
                    </w:p>
                  </w:txbxContent>
                </v:textbox>
                <w10:wrap type="topAndBottom"/>
              </v:shape>
            </w:pict>
          </mc:Fallback>
        </mc:AlternateContent>
      </w:r>
    </w:p>
    <w:p w14:paraId="20804C38" w14:textId="3ED88F4F" w:rsidR="00C4563E" w:rsidRPr="008B3AD6" w:rsidRDefault="0055611A" w:rsidP="0055611A">
      <w:pPr>
        <w:spacing w:line="360" w:lineRule="auto"/>
        <w:jc w:val="both"/>
      </w:pPr>
      <w:r w:rsidRPr="008B3AD6">
        <w:t xml:space="preserve">Further to deriving the most efficient cell lysis method and the number of cells needed for positive detection, it was also investigated if singular or multiple extractions would be needed to maximally extract drug from cell and tissue samples. For this analysis, we first digested liver tissue 12 hours post-treatment and isolated a mixed liver cell population. This population underwent 3 consecutive extractions (Section 2.11) and each extraction was analysed for </w:t>
      </w:r>
      <w:r w:rsidR="00A32111">
        <w:t>AmB</w:t>
      </w:r>
      <w:r w:rsidRPr="008B3AD6">
        <w:t xml:space="preserve"> content compared to the internal standard. </w:t>
      </w:r>
      <w:r w:rsidRPr="008B3AD6">
        <w:rPr>
          <w:b/>
        </w:rPr>
        <w:t>Figure 3.6</w:t>
      </w:r>
      <w:r w:rsidRPr="008B3AD6">
        <w:t xml:space="preserve"> shows the ratio of the peak areas of </w:t>
      </w:r>
      <w:r w:rsidR="00A32111">
        <w:t>AmB</w:t>
      </w:r>
      <w:r w:rsidRPr="008B3AD6">
        <w:t xml:space="preserve"> and Clopidogrel for the extractions from this analysis. No signal for </w:t>
      </w:r>
      <w:r w:rsidR="00A32111">
        <w:t>AmB</w:t>
      </w:r>
      <w:r w:rsidRPr="008B3AD6">
        <w:t xml:space="preserve"> was detected for the 3</w:t>
      </w:r>
      <w:r w:rsidRPr="008B3AD6">
        <w:rPr>
          <w:vertAlign w:val="superscript"/>
        </w:rPr>
        <w:t>rd</w:t>
      </w:r>
      <w:r w:rsidRPr="008B3AD6">
        <w:t xml:space="preserve"> extraction whilst the 1</w:t>
      </w:r>
      <w:r w:rsidRPr="008B3AD6">
        <w:rPr>
          <w:vertAlign w:val="superscript"/>
        </w:rPr>
        <w:t>st</w:t>
      </w:r>
      <w:r w:rsidRPr="008B3AD6">
        <w:t xml:space="preserve"> and 2</w:t>
      </w:r>
      <w:r w:rsidRPr="008B3AD6">
        <w:rPr>
          <w:vertAlign w:val="superscript"/>
        </w:rPr>
        <w:t>nd</w:t>
      </w:r>
      <w:r w:rsidRPr="008B3AD6">
        <w:t xml:space="preserve"> extractions show the presence of </w:t>
      </w:r>
      <w:r w:rsidR="00A32111">
        <w:t>AmB</w:t>
      </w:r>
      <w:r w:rsidRPr="008B3AD6">
        <w:t xml:space="preserve">. These data indicate that </w:t>
      </w:r>
      <w:r w:rsidR="00A32111">
        <w:t>AmB</w:t>
      </w:r>
      <w:r w:rsidRPr="008B3AD6">
        <w:t xml:space="preserve"> had been fully extracted during the 2</w:t>
      </w:r>
      <w:r w:rsidRPr="008B3AD6">
        <w:rPr>
          <w:vertAlign w:val="superscript"/>
        </w:rPr>
        <w:t>nd</w:t>
      </w:r>
      <w:r w:rsidRPr="008B3AD6">
        <w:t xml:space="preserve"> extraction. Hence, future samples were processed using two extractions.</w:t>
      </w:r>
    </w:p>
    <w:p w14:paraId="3BF20C70" w14:textId="77777777" w:rsidR="000C7703" w:rsidRPr="008B3AD6" w:rsidRDefault="000C7703" w:rsidP="009154C0">
      <w:pPr>
        <w:spacing w:line="360" w:lineRule="auto"/>
        <w:jc w:val="both"/>
      </w:pPr>
    </w:p>
    <w:p w14:paraId="39A71E8A" w14:textId="73D7FF60" w:rsidR="000C7703" w:rsidRPr="008B3AD6" w:rsidRDefault="000C7703" w:rsidP="009154C0">
      <w:pPr>
        <w:spacing w:line="360" w:lineRule="auto"/>
        <w:jc w:val="both"/>
      </w:pPr>
    </w:p>
    <w:p w14:paraId="649F83C2" w14:textId="5847C636" w:rsidR="009154C0" w:rsidRPr="008B3AD6" w:rsidRDefault="009154C0" w:rsidP="009154C0">
      <w:pPr>
        <w:spacing w:line="360" w:lineRule="auto"/>
        <w:jc w:val="both"/>
      </w:pPr>
    </w:p>
    <w:p w14:paraId="3B4B2BFC" w14:textId="042F1ABC" w:rsidR="00CC07A6" w:rsidRPr="008B3AD6" w:rsidRDefault="00CC07A6" w:rsidP="009154C0">
      <w:pPr>
        <w:spacing w:line="360" w:lineRule="auto"/>
        <w:jc w:val="both"/>
      </w:pPr>
    </w:p>
    <w:p w14:paraId="1E215812" w14:textId="003C5FBE" w:rsidR="000C7703" w:rsidRPr="008B3AD6" w:rsidRDefault="000C7703" w:rsidP="009154C0">
      <w:pPr>
        <w:spacing w:line="360" w:lineRule="auto"/>
        <w:jc w:val="both"/>
      </w:pPr>
    </w:p>
    <w:p w14:paraId="2731AE27" w14:textId="37F2D581" w:rsidR="000C7703" w:rsidRPr="008B3AD6" w:rsidRDefault="000C7703" w:rsidP="009154C0">
      <w:pPr>
        <w:spacing w:line="360" w:lineRule="auto"/>
        <w:jc w:val="both"/>
      </w:pPr>
    </w:p>
    <w:p w14:paraId="79F574BA" w14:textId="588BEC9E" w:rsidR="000C7703" w:rsidRPr="008B3AD6" w:rsidRDefault="000C7703" w:rsidP="009154C0">
      <w:pPr>
        <w:spacing w:line="360" w:lineRule="auto"/>
        <w:jc w:val="both"/>
      </w:pPr>
    </w:p>
    <w:p w14:paraId="0B015CB7" w14:textId="2904B7B7" w:rsidR="000C7703" w:rsidRPr="008B3AD6" w:rsidRDefault="00206787" w:rsidP="009154C0">
      <w:pPr>
        <w:spacing w:line="360" w:lineRule="auto"/>
        <w:jc w:val="both"/>
      </w:pPr>
      <w:r>
        <w:rPr>
          <w:noProof/>
        </w:rPr>
        <w:lastRenderedPageBreak/>
        <w:drawing>
          <wp:anchor distT="0" distB="0" distL="114300" distR="114300" simplePos="0" relativeHeight="251451392" behindDoc="0" locked="0" layoutInCell="1" allowOverlap="1" wp14:anchorId="397F9E37" wp14:editId="6EACECF8">
            <wp:simplePos x="0" y="0"/>
            <wp:positionH relativeFrom="column">
              <wp:posOffset>960120</wp:posOffset>
            </wp:positionH>
            <wp:positionV relativeFrom="paragraph">
              <wp:posOffset>0</wp:posOffset>
            </wp:positionV>
            <wp:extent cx="3672205" cy="3956980"/>
            <wp:effectExtent l="0" t="0" r="0" b="5715"/>
            <wp:wrapTopAndBottom/>
            <wp:docPr id="596" name="Picture 5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6" name="Picture 596"/>
                    <pic:cNvPicPr>
                      <a:picLocks noChangeAspect="1"/>
                    </pic:cNvPicPr>
                  </pic:nvPicPr>
                  <pic:blipFill>
                    <a:blip r:embed="rId37">
                      <a:extLst>
                        <a:ext uri="{28A0092B-C50C-407E-A947-70E740481C1C}">
                          <a14:useLocalDpi xmlns:a14="http://schemas.microsoft.com/office/drawing/2010/main" val="0"/>
                        </a:ext>
                      </a:extLst>
                    </a:blip>
                    <a:stretch>
                      <a:fillRect/>
                    </a:stretch>
                  </pic:blipFill>
                  <pic:spPr>
                    <a:xfrm>
                      <a:off x="0" y="0"/>
                      <a:ext cx="3672205" cy="3956980"/>
                    </a:xfrm>
                    <a:prstGeom prst="rect">
                      <a:avLst/>
                    </a:prstGeom>
                  </pic:spPr>
                </pic:pic>
              </a:graphicData>
            </a:graphic>
          </wp:anchor>
        </w:drawing>
      </w:r>
      <w:r>
        <w:rPr>
          <w:noProof/>
        </w:rPr>
        <mc:AlternateContent>
          <mc:Choice Requires="wps">
            <w:drawing>
              <wp:anchor distT="0" distB="0" distL="114300" distR="114300" simplePos="0" relativeHeight="251452416" behindDoc="0" locked="0" layoutInCell="1" allowOverlap="1" wp14:anchorId="166973A7" wp14:editId="7B0BD283">
                <wp:simplePos x="0" y="0"/>
                <wp:positionH relativeFrom="column">
                  <wp:posOffset>91440</wp:posOffset>
                </wp:positionH>
                <wp:positionV relativeFrom="paragraph">
                  <wp:posOffset>3806190</wp:posOffset>
                </wp:positionV>
                <wp:extent cx="5399405" cy="1073785"/>
                <wp:effectExtent l="0" t="0" r="0" b="5715"/>
                <wp:wrapTopAndBottom/>
                <wp:docPr id="597" name="Text Box 597"/>
                <wp:cNvGraphicFramePr/>
                <a:graphic xmlns:a="http://schemas.openxmlformats.org/drawingml/2006/main">
                  <a:graphicData uri="http://schemas.microsoft.com/office/word/2010/wordprocessingShape">
                    <wps:wsp>
                      <wps:cNvSpPr txBox="1"/>
                      <wps:spPr>
                        <a:xfrm>
                          <a:off x="0" y="0"/>
                          <a:ext cx="5399405" cy="1073785"/>
                        </a:xfrm>
                        <a:prstGeom prst="rect">
                          <a:avLst/>
                        </a:prstGeom>
                        <a:solidFill>
                          <a:prstClr val="white"/>
                        </a:solidFill>
                        <a:ln>
                          <a:noFill/>
                        </a:ln>
                      </wps:spPr>
                      <wps:txbx>
                        <w:txbxContent>
                          <w:p w14:paraId="5E74322A" w14:textId="5B59B673" w:rsidR="00F61130" w:rsidRPr="00CE37DB" w:rsidRDefault="00F61130" w:rsidP="006F30B9">
                            <w:pPr>
                              <w:pStyle w:val="Caption"/>
                              <w:spacing w:line="360" w:lineRule="auto"/>
                              <w:jc w:val="both"/>
                              <w:rPr>
                                <w:noProof/>
                                <w:sz w:val="20"/>
                                <w:szCs w:val="20"/>
                              </w:rPr>
                            </w:pPr>
                            <w:bookmarkStart w:id="257" w:name="_Ref518931950"/>
                            <w:bookmarkStart w:id="258" w:name="_Toc525227197"/>
                            <w:bookmarkStart w:id="259" w:name="_Toc536814136"/>
                            <w:r w:rsidRPr="00CC07A6">
                              <w:rPr>
                                <w:b/>
                                <w:sz w:val="20"/>
                                <w:szCs w:val="20"/>
                              </w:rPr>
                              <w:t xml:space="preserve">Figure </w:t>
                            </w:r>
                            <w:r>
                              <w:rPr>
                                <w:b/>
                                <w:sz w:val="20"/>
                                <w:szCs w:val="20"/>
                              </w:rPr>
                              <w:fldChar w:fldCharType="begin"/>
                            </w:r>
                            <w:r>
                              <w:rPr>
                                <w:b/>
                                <w:sz w:val="20"/>
                                <w:szCs w:val="20"/>
                              </w:rPr>
                              <w:instrText xml:space="preserve"> STYLEREF 1 \s </w:instrText>
                            </w:r>
                            <w:r>
                              <w:rPr>
                                <w:b/>
                                <w:sz w:val="20"/>
                                <w:szCs w:val="20"/>
                              </w:rPr>
                              <w:fldChar w:fldCharType="separate"/>
                            </w:r>
                            <w:r>
                              <w:rPr>
                                <w:b/>
                                <w:noProof/>
                                <w:sz w:val="20"/>
                                <w:szCs w:val="20"/>
                              </w:rPr>
                              <w:t>3</w:t>
                            </w:r>
                            <w:r>
                              <w:rPr>
                                <w:b/>
                                <w:sz w:val="20"/>
                                <w:szCs w:val="20"/>
                              </w:rPr>
                              <w:fldChar w:fldCharType="end"/>
                            </w:r>
                            <w:r>
                              <w:rPr>
                                <w:b/>
                                <w:sz w:val="20"/>
                                <w:szCs w:val="20"/>
                              </w:rPr>
                              <w:t>.</w:t>
                            </w:r>
                            <w:r>
                              <w:rPr>
                                <w:b/>
                                <w:sz w:val="20"/>
                                <w:szCs w:val="20"/>
                              </w:rPr>
                              <w:fldChar w:fldCharType="begin"/>
                            </w:r>
                            <w:r>
                              <w:rPr>
                                <w:b/>
                                <w:sz w:val="20"/>
                                <w:szCs w:val="20"/>
                              </w:rPr>
                              <w:instrText xml:space="preserve"> SEQ Figure \* ARABIC \s 1 </w:instrText>
                            </w:r>
                            <w:r>
                              <w:rPr>
                                <w:b/>
                                <w:sz w:val="20"/>
                                <w:szCs w:val="20"/>
                              </w:rPr>
                              <w:fldChar w:fldCharType="separate"/>
                            </w:r>
                            <w:r>
                              <w:rPr>
                                <w:b/>
                                <w:noProof/>
                                <w:sz w:val="20"/>
                                <w:szCs w:val="20"/>
                              </w:rPr>
                              <w:t>6</w:t>
                            </w:r>
                            <w:r>
                              <w:rPr>
                                <w:b/>
                                <w:sz w:val="20"/>
                                <w:szCs w:val="20"/>
                              </w:rPr>
                              <w:fldChar w:fldCharType="end"/>
                            </w:r>
                            <w:bookmarkEnd w:id="257"/>
                            <w:r w:rsidRPr="00CC07A6">
                              <w:rPr>
                                <w:b/>
                                <w:sz w:val="20"/>
                                <w:szCs w:val="20"/>
                              </w:rPr>
                              <w:t xml:space="preserve"> - Determination of Cellular Amphotericin B Extraction Efficiency</w:t>
                            </w:r>
                            <w:r w:rsidRPr="00CC07A6">
                              <w:rPr>
                                <w:sz w:val="20"/>
                                <w:szCs w:val="20"/>
                              </w:rPr>
                              <w:t>. 1 x 10</w:t>
                            </w:r>
                            <w:r w:rsidRPr="00CC07A6">
                              <w:rPr>
                                <w:sz w:val="20"/>
                                <w:szCs w:val="20"/>
                                <w:vertAlign w:val="superscript"/>
                              </w:rPr>
                              <w:t>7</w:t>
                            </w:r>
                            <w:r w:rsidRPr="00CC07A6">
                              <w:rPr>
                                <w:sz w:val="20"/>
                                <w:szCs w:val="20"/>
                              </w:rPr>
                              <w:t xml:space="preserve"> liver cells (</w:t>
                            </w:r>
                            <w:r>
                              <w:rPr>
                                <w:sz w:val="20"/>
                                <w:szCs w:val="20"/>
                              </w:rPr>
                              <w:t>l</w:t>
                            </w:r>
                            <w:r w:rsidRPr="00877A35">
                              <w:rPr>
                                <w:sz w:val="20"/>
                                <w:szCs w:val="20"/>
                              </w:rPr>
                              <w:t xml:space="preserve">eukocytes </w:t>
                            </w:r>
                            <w:r w:rsidRPr="00CC07A6">
                              <w:rPr>
                                <w:sz w:val="20"/>
                                <w:szCs w:val="20"/>
                              </w:rPr>
                              <w:t>+ parenchymal</w:t>
                            </w:r>
                            <w:r>
                              <w:rPr>
                                <w:sz w:val="20"/>
                                <w:szCs w:val="20"/>
                              </w:rPr>
                              <w:t xml:space="preserve"> cells </w:t>
                            </w:r>
                            <w:r w:rsidRPr="00CC07A6">
                              <w:rPr>
                                <w:sz w:val="20"/>
                                <w:szCs w:val="20"/>
                              </w:rPr>
                              <w:t xml:space="preserve">from liver homogenate) were </w:t>
                            </w:r>
                            <w:r>
                              <w:rPr>
                                <w:sz w:val="20"/>
                                <w:szCs w:val="20"/>
                              </w:rPr>
                              <w:t>extracted for the stated number of times a</w:t>
                            </w:r>
                            <w:r w:rsidRPr="00CC07A6">
                              <w:rPr>
                                <w:sz w:val="20"/>
                                <w:szCs w:val="20"/>
                              </w:rPr>
                              <w:t xml:space="preserve">nd the normalised peak area of Amphotericin B was determined for each extraction. Data represents 1 sample per extraction (derived from </w:t>
                            </w:r>
                            <w:r>
                              <w:rPr>
                                <w:sz w:val="20"/>
                                <w:szCs w:val="20"/>
                              </w:rPr>
                              <w:t xml:space="preserve">a single </w:t>
                            </w:r>
                            <w:r w:rsidRPr="00CC07A6">
                              <w:rPr>
                                <w:sz w:val="20"/>
                                <w:szCs w:val="20"/>
                              </w:rPr>
                              <w:t>initial sample).</w:t>
                            </w:r>
                            <w:r>
                              <w:rPr>
                                <w:sz w:val="20"/>
                                <w:szCs w:val="20"/>
                              </w:rPr>
                              <w:t xml:space="preserve"> Samples were processed using digestion protocol 1 and the column extraction method.</w:t>
                            </w:r>
                            <w:bookmarkEnd w:id="258"/>
                            <w:bookmarkEnd w:id="259"/>
                            <w:r>
                              <w:rPr>
                                <w:sz w:val="20"/>
                                <w:szCs w:val="20"/>
                              </w:rPr>
                              <w:t xml:space="preserve"> </w:t>
                            </w:r>
                          </w:p>
                          <w:p w14:paraId="20E1BAB9" w14:textId="63480EFF" w:rsidR="00F61130" w:rsidRPr="00CC07A6" w:rsidRDefault="00F61130" w:rsidP="0004454D">
                            <w:pPr>
                              <w:pStyle w:val="Caption"/>
                              <w:spacing w:line="360" w:lineRule="auto"/>
                              <w:jc w:val="both"/>
                              <w:rPr>
                                <w:noProof/>
                                <w:sz w:val="20"/>
                                <w:szCs w:val="20"/>
                              </w:rPr>
                            </w:pPr>
                            <w:r>
                              <w:rPr>
                                <w:sz w:val="20"/>
                                <w:szCs w:val="20"/>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166973A7" id="Text Box 597" o:spid="_x0000_s1047" type="#_x0000_t202" style="position:absolute;left:0;text-align:left;margin-left:7.2pt;margin-top:299.7pt;width:425.15pt;height:84.55pt;z-index:2514524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5sVyXNQIAAG0EAAAOAAAAZHJzL2Uyb0RvYy54bWysVFFv2yAQfp+0/4B4X+yky9pEcaosVaZJ&#13;&#10;UVspmfpMMI6RgGNAYme/fge2063b07QXfNwdB9/33Xlx32pFzsJ5Caag41FOiTAcSmmOBf2233y4&#13;&#10;o8QHZkqmwIiCXoSn98v37xaNnYsJ1KBK4QgWMX7e2ILWIdh5lnleC838CKwwGKzAaRZw645Z6ViD&#13;&#10;1bXKJnn+KWvAldYBF96j96EL0mWqX1WCh6eq8iIQVVB8W0irS+shrtlyweZHx2wtef8M9g+v0Ewa&#13;&#10;vPRa6oEFRk5O/lFKS+7AQxVGHHQGVSW5SBgQzTh/g2ZXMysSFiTH2ytN/v+V5Y/nZ0dkWdDp7JYS&#13;&#10;wzSKtBdtIJ+hJdGHDDXWzzFxZzE1tBhApQe/R2cE3lZOxy9CIhhHri9XfmM5js7pzWz2MZ9SwjE2&#13;&#10;zm9vbu+msU72etw6H74I0CQaBXUoYOKVnbc+dKlDSrzNg5LlRioVNzGwVo6cGYrd1DKIvvhvWcrE&#13;&#10;XAPxVFcwerKIscMSrdAe2sTK5Ar0AOUF8TvoeshbvpF44Zb58MwcNg1CxkEIT7hUCpqCQm9RUoP7&#13;&#10;8Td/zEctMUpJg01YUP/9xJygRH01qHLs2MFwg3EYDHPSa0CoYxwxy5OJB1xQg1k50C84H6t4C4aY&#13;&#10;4XhXQcNgrkM3CjhfXKxWKQn70rKwNTvLY+mB2H37wpztZQmo6CMM7cnmb9TpcjuaV6cAlUzSRWI7&#13;&#10;Fnu+saeT+P38xaH5dZ+yXv8Sy58AAAD//wMAUEsDBBQABgAIAAAAIQB7fqQw4wAAAA8BAAAPAAAA&#13;&#10;ZHJzL2Rvd25yZXYueG1sTE89T8MwEN2R+h+sq8SCqEOVpmkap4IGNhhaqs5ubJKI+BzZTpP+e44J&#13;&#10;ltM93bv3ke8m07Grdr61KOBpEQHTWFnVYi3g9Pn2mALzQaKSnUUt4KY97IrZXS4zZUc86Osx1IxE&#13;&#10;0GdSQBNCn3Huq0Yb6Re210i3L+uMDARdzZWTI4mbji+jKOFGtkgOjez1vtHV93EwApLSDeMB9w/l&#13;&#10;6fVdfvT18vxyOwtxP5/KLY3nLbCgp/D3Ab8dKD8UFOxiB1SedYTjmJgCVpsNLURIk3gN7CJgnaQr&#13;&#10;4EXO//cofgAAAP//AwBQSwECLQAUAAYACAAAACEAtoM4kv4AAADhAQAAEwAAAAAAAAAAAAAAAAAA&#13;&#10;AAAAW0NvbnRlbnRfVHlwZXNdLnhtbFBLAQItABQABgAIAAAAIQA4/SH/1gAAAJQBAAALAAAAAAAA&#13;&#10;AAAAAAAAAC8BAABfcmVscy8ucmVsc1BLAQItABQABgAIAAAAIQB5sVyXNQIAAG0EAAAOAAAAAAAA&#13;&#10;AAAAAAAAAC4CAABkcnMvZTJvRG9jLnhtbFBLAQItABQABgAIAAAAIQB7fqQw4wAAAA8BAAAPAAAA&#13;&#10;AAAAAAAAAAAAAI8EAABkcnMvZG93bnJldi54bWxQSwUGAAAAAAQABADzAAAAnwUAAAAA&#13;&#10;" stroked="f">
                <v:textbox inset="0,0,0,0">
                  <w:txbxContent>
                    <w:p w14:paraId="5E74322A" w14:textId="5B59B673" w:rsidR="00F61130" w:rsidRPr="00CE37DB" w:rsidRDefault="00F61130" w:rsidP="006F30B9">
                      <w:pPr>
                        <w:pStyle w:val="Caption"/>
                        <w:spacing w:line="360" w:lineRule="auto"/>
                        <w:jc w:val="both"/>
                        <w:rPr>
                          <w:noProof/>
                          <w:sz w:val="20"/>
                          <w:szCs w:val="20"/>
                        </w:rPr>
                      </w:pPr>
                      <w:bookmarkStart w:id="260" w:name="_Ref518931950"/>
                      <w:bookmarkStart w:id="261" w:name="_Toc525227197"/>
                      <w:bookmarkStart w:id="262" w:name="_Toc536814136"/>
                      <w:r w:rsidRPr="00CC07A6">
                        <w:rPr>
                          <w:b/>
                          <w:sz w:val="20"/>
                          <w:szCs w:val="20"/>
                        </w:rPr>
                        <w:t xml:space="preserve">Figure </w:t>
                      </w:r>
                      <w:r>
                        <w:rPr>
                          <w:b/>
                          <w:sz w:val="20"/>
                          <w:szCs w:val="20"/>
                        </w:rPr>
                        <w:fldChar w:fldCharType="begin"/>
                      </w:r>
                      <w:r>
                        <w:rPr>
                          <w:b/>
                          <w:sz w:val="20"/>
                          <w:szCs w:val="20"/>
                        </w:rPr>
                        <w:instrText xml:space="preserve"> STYLEREF 1 \s </w:instrText>
                      </w:r>
                      <w:r>
                        <w:rPr>
                          <w:b/>
                          <w:sz w:val="20"/>
                          <w:szCs w:val="20"/>
                        </w:rPr>
                        <w:fldChar w:fldCharType="separate"/>
                      </w:r>
                      <w:r>
                        <w:rPr>
                          <w:b/>
                          <w:noProof/>
                          <w:sz w:val="20"/>
                          <w:szCs w:val="20"/>
                        </w:rPr>
                        <w:t>3</w:t>
                      </w:r>
                      <w:r>
                        <w:rPr>
                          <w:b/>
                          <w:sz w:val="20"/>
                          <w:szCs w:val="20"/>
                        </w:rPr>
                        <w:fldChar w:fldCharType="end"/>
                      </w:r>
                      <w:r>
                        <w:rPr>
                          <w:b/>
                          <w:sz w:val="20"/>
                          <w:szCs w:val="20"/>
                        </w:rPr>
                        <w:t>.</w:t>
                      </w:r>
                      <w:r>
                        <w:rPr>
                          <w:b/>
                          <w:sz w:val="20"/>
                          <w:szCs w:val="20"/>
                        </w:rPr>
                        <w:fldChar w:fldCharType="begin"/>
                      </w:r>
                      <w:r>
                        <w:rPr>
                          <w:b/>
                          <w:sz w:val="20"/>
                          <w:szCs w:val="20"/>
                        </w:rPr>
                        <w:instrText xml:space="preserve"> SEQ Figure \* ARABIC \s 1 </w:instrText>
                      </w:r>
                      <w:r>
                        <w:rPr>
                          <w:b/>
                          <w:sz w:val="20"/>
                          <w:szCs w:val="20"/>
                        </w:rPr>
                        <w:fldChar w:fldCharType="separate"/>
                      </w:r>
                      <w:r>
                        <w:rPr>
                          <w:b/>
                          <w:noProof/>
                          <w:sz w:val="20"/>
                          <w:szCs w:val="20"/>
                        </w:rPr>
                        <w:t>6</w:t>
                      </w:r>
                      <w:r>
                        <w:rPr>
                          <w:b/>
                          <w:sz w:val="20"/>
                          <w:szCs w:val="20"/>
                        </w:rPr>
                        <w:fldChar w:fldCharType="end"/>
                      </w:r>
                      <w:bookmarkEnd w:id="260"/>
                      <w:r w:rsidRPr="00CC07A6">
                        <w:rPr>
                          <w:b/>
                          <w:sz w:val="20"/>
                          <w:szCs w:val="20"/>
                        </w:rPr>
                        <w:t xml:space="preserve"> - Determination of Cellular Amphotericin B Extraction Efficiency</w:t>
                      </w:r>
                      <w:r w:rsidRPr="00CC07A6">
                        <w:rPr>
                          <w:sz w:val="20"/>
                          <w:szCs w:val="20"/>
                        </w:rPr>
                        <w:t>. 1 x 10</w:t>
                      </w:r>
                      <w:r w:rsidRPr="00CC07A6">
                        <w:rPr>
                          <w:sz w:val="20"/>
                          <w:szCs w:val="20"/>
                          <w:vertAlign w:val="superscript"/>
                        </w:rPr>
                        <w:t>7</w:t>
                      </w:r>
                      <w:r w:rsidRPr="00CC07A6">
                        <w:rPr>
                          <w:sz w:val="20"/>
                          <w:szCs w:val="20"/>
                        </w:rPr>
                        <w:t xml:space="preserve"> liver cells (</w:t>
                      </w:r>
                      <w:r>
                        <w:rPr>
                          <w:sz w:val="20"/>
                          <w:szCs w:val="20"/>
                        </w:rPr>
                        <w:t>l</w:t>
                      </w:r>
                      <w:r w:rsidRPr="00877A35">
                        <w:rPr>
                          <w:sz w:val="20"/>
                          <w:szCs w:val="20"/>
                        </w:rPr>
                        <w:t xml:space="preserve">eukocytes </w:t>
                      </w:r>
                      <w:r w:rsidRPr="00CC07A6">
                        <w:rPr>
                          <w:sz w:val="20"/>
                          <w:szCs w:val="20"/>
                        </w:rPr>
                        <w:t>+ parenchymal</w:t>
                      </w:r>
                      <w:r>
                        <w:rPr>
                          <w:sz w:val="20"/>
                          <w:szCs w:val="20"/>
                        </w:rPr>
                        <w:t xml:space="preserve"> cells </w:t>
                      </w:r>
                      <w:r w:rsidRPr="00CC07A6">
                        <w:rPr>
                          <w:sz w:val="20"/>
                          <w:szCs w:val="20"/>
                        </w:rPr>
                        <w:t xml:space="preserve">from liver homogenate) were </w:t>
                      </w:r>
                      <w:r>
                        <w:rPr>
                          <w:sz w:val="20"/>
                          <w:szCs w:val="20"/>
                        </w:rPr>
                        <w:t>extracted for the stated number of times a</w:t>
                      </w:r>
                      <w:r w:rsidRPr="00CC07A6">
                        <w:rPr>
                          <w:sz w:val="20"/>
                          <w:szCs w:val="20"/>
                        </w:rPr>
                        <w:t xml:space="preserve">nd the normalised peak area of Amphotericin B was determined for each extraction. Data represents 1 sample per extraction (derived from </w:t>
                      </w:r>
                      <w:r>
                        <w:rPr>
                          <w:sz w:val="20"/>
                          <w:szCs w:val="20"/>
                        </w:rPr>
                        <w:t xml:space="preserve">a single </w:t>
                      </w:r>
                      <w:r w:rsidRPr="00CC07A6">
                        <w:rPr>
                          <w:sz w:val="20"/>
                          <w:szCs w:val="20"/>
                        </w:rPr>
                        <w:t>initial sample).</w:t>
                      </w:r>
                      <w:r>
                        <w:rPr>
                          <w:sz w:val="20"/>
                          <w:szCs w:val="20"/>
                        </w:rPr>
                        <w:t xml:space="preserve"> Samples were processed using digestion protocol 1 and the column extraction method.</w:t>
                      </w:r>
                      <w:bookmarkEnd w:id="261"/>
                      <w:bookmarkEnd w:id="262"/>
                      <w:r>
                        <w:rPr>
                          <w:sz w:val="20"/>
                          <w:szCs w:val="20"/>
                        </w:rPr>
                        <w:t xml:space="preserve"> </w:t>
                      </w:r>
                    </w:p>
                    <w:p w14:paraId="20E1BAB9" w14:textId="63480EFF" w:rsidR="00F61130" w:rsidRPr="00CC07A6" w:rsidRDefault="00F61130" w:rsidP="0004454D">
                      <w:pPr>
                        <w:pStyle w:val="Caption"/>
                        <w:spacing w:line="360" w:lineRule="auto"/>
                        <w:jc w:val="both"/>
                        <w:rPr>
                          <w:noProof/>
                          <w:sz w:val="20"/>
                          <w:szCs w:val="20"/>
                        </w:rPr>
                      </w:pPr>
                      <w:r>
                        <w:rPr>
                          <w:sz w:val="20"/>
                          <w:szCs w:val="20"/>
                        </w:rPr>
                        <w:t>.</w:t>
                      </w:r>
                    </w:p>
                  </w:txbxContent>
                </v:textbox>
                <w10:wrap type="topAndBottom"/>
              </v:shape>
            </w:pict>
          </mc:Fallback>
        </mc:AlternateContent>
      </w:r>
    </w:p>
    <w:p w14:paraId="34CF0669" w14:textId="668AF770" w:rsidR="009154C0" w:rsidRDefault="009154C0" w:rsidP="009154C0">
      <w:pPr>
        <w:spacing w:line="360" w:lineRule="auto"/>
        <w:jc w:val="both"/>
      </w:pPr>
      <w:r w:rsidRPr="008B3AD6">
        <w:t xml:space="preserve">Hepatocytes, the main parenchymal cell type in the liver, have been previously described as sensitive cells, prone to </w:t>
      </w:r>
      <w:r w:rsidR="0055611A" w:rsidRPr="008B3AD6">
        <w:t>death during</w:t>
      </w:r>
      <w:r w:rsidRPr="008B3AD6">
        <w:t xml:space="preserve"> cellular isolation techniques </w:t>
      </w:r>
      <w:r w:rsidR="00D60343" w:rsidRPr="008B3AD6">
        <w:fldChar w:fldCharType="begin"/>
      </w:r>
      <w:r w:rsidR="00E664D4" w:rsidRPr="008B3AD6">
        <w:instrText xml:space="preserve"> ADDIN ZOTERO_ITEM CSL_CITATION {"citationID":"dI7K9Pij","properties":{"formattedCitation":"(Cabral et al. 2018)","plainCitation":"(Cabral et al. 2018)","noteIndex":0},"citationItems":[{"id":3313,"uris":["http://zotero.org/users/2628971/items/LW5GCDLJ"],"uri":["http://zotero.org/users/2628971/items/LW5GCDLJ"],"itemData":{"id":3313,"type":"article-journal","title":"Purification of Hepatocytes and Sinusoidal Endothelial Cells from Mouse Liver Perfusion","container-title":"Journal of Visualized Experiments : JoVE","issue":"132","source":"PubMed Central","abstract":"This protocol demonstrates a method for obtaining high yield and viability for mouse hepatocytes and sinusoidal endothelial cells (SECs) suitable for culturing or for obtaining cell lysates. In this protocol, the portal vein is used as the site for catheterization, rather than the vena cava, as this limits contamination of other possible cell types in the final liver preparation. No special instrumentation is required throughout the procedure. A water bath is used as a source of heat to maintain the temperature of all the buffers and solutions. A standard peristaltic pump is used to drive the fluid, and a refrigerated table-top centrifuge is required for the centrifugation procedures. The only limitation of this technique is the placement of the catheter within the portal vein, which is challenging on some of the mice in the 18 - 25 g size range. An advantage of this technique is that only one vein is utilized for the perfusion and the access to the vein is quick, which minimizes ischemia and reperfusion of the liver that reduces hepatic cell viability. Another advantage to this protocol is that it is easy to distinguish live from dead hepatocytes by eyesight due to the difference in cellular density during the centrifugation steps. Cells from this protocol may be used in cell culture for any downstream application as well as processed for any biochemical assessment.","URL":"https://www.ncbi.nlm.nih.gov/pmc/articles/PMC5894826/","DOI":"10.3791/56993","ISSN":"1940-087X","note":"PMID: 29553556\nPMCID: PMC5894826","journalAbbreviation":"J Vis Exp","author":[{"family":"Cabral","given":"Fatima"},{"family":"Miller","given":"Colton M."},{"family":"Kudrna","given":"Katrina M."},{"family":"Hass","given":"Blake E."},{"family":"Daubendiek","given":"Jocelyn G."},{"family":"Kellar","given":"Brianna M."},{"family":"Harris","given":"Edward N."}],"issued":{"date-parts":[["2018",2,12]]},"accessed":{"date-parts":[["2018",8,10]]}}}],"schema":"https://github.com/citation-style-language/schema/raw/master/csl-citation.json"} </w:instrText>
      </w:r>
      <w:r w:rsidR="00D60343" w:rsidRPr="008B3AD6">
        <w:fldChar w:fldCharType="separate"/>
      </w:r>
      <w:r w:rsidR="00025067">
        <w:rPr>
          <w:lang w:val="en-US"/>
        </w:rPr>
        <w:t>(Cabral et al. 2018)</w:t>
      </w:r>
      <w:r w:rsidR="00D60343" w:rsidRPr="008B3AD6">
        <w:fldChar w:fldCharType="end"/>
      </w:r>
      <w:r w:rsidRPr="008B3AD6">
        <w:t xml:space="preserve">. </w:t>
      </w:r>
      <w:r w:rsidR="00D60343" w:rsidRPr="008B3AD6">
        <w:t xml:space="preserve">In this instance, apoptotic hepatocytes are likely to have compromised membranes, impacting their detectable drug accumulation; this is discussed further in Section </w:t>
      </w:r>
      <w:r w:rsidR="008B3AD6" w:rsidRPr="008B3AD6">
        <w:fldChar w:fldCharType="begin"/>
      </w:r>
      <w:r w:rsidR="008B3AD6" w:rsidRPr="008B3AD6">
        <w:instrText xml:space="preserve"> REF _Ref521690651 \n </w:instrText>
      </w:r>
      <w:r w:rsidR="008B3AD6">
        <w:instrText xml:space="preserve"> \* MERGEFORMAT </w:instrText>
      </w:r>
      <w:r w:rsidR="008B3AD6" w:rsidRPr="008B3AD6">
        <w:fldChar w:fldCharType="separate"/>
      </w:r>
      <w:r w:rsidR="00031DCA">
        <w:t>3.4</w:t>
      </w:r>
      <w:r w:rsidR="008B3AD6" w:rsidRPr="008B3AD6">
        <w:fldChar w:fldCharType="end"/>
      </w:r>
      <w:r w:rsidRPr="008B3AD6">
        <w:t xml:space="preserve">. To verify </w:t>
      </w:r>
      <w:r w:rsidR="00D60343" w:rsidRPr="008B3AD6">
        <w:t xml:space="preserve">the </w:t>
      </w:r>
      <w:r w:rsidRPr="008B3AD6">
        <w:t xml:space="preserve">ability of hepatocytes to survive the extraction process, parenchymal cells were isolated from naïve livers and processed using a protocol optimised for viable hepatocyte recovery </w:t>
      </w:r>
      <w:r w:rsidRPr="008B3AD6">
        <w:rPr>
          <w:lang w:val="en-US"/>
        </w:rPr>
        <w:t>(Klaunig et al. 1981; Gonçalves, Vigário, and Penha-Gonçalves 2007)</w:t>
      </w:r>
      <w:r w:rsidRPr="008B3AD6">
        <w:fldChar w:fldCharType="begin"/>
      </w:r>
      <w:r w:rsidR="00812605" w:rsidRPr="008B3AD6">
        <w:instrText xml:space="preserve"> ADDIN ZOTERO_ITEM CSL_CITATION {"citationID":"Nad2sBqb","properties":{"formattedCitation":"(Klaunig et al. 1981; Gon\\uc0\\u231{}alves, Vig\\uc0\\u225{}rio, and Penha-Gon\\uc0\\u231{}alves 2007)","plainCitation":"","noteIndex":0},"citationItems":[{"id":2826,"uris":["http://zotero.org/users/2628971/items/I4XU3797"],"uri":["http://zotero.org/users/2628971/items/I4XU3797"],"itemData":{"id":2826,"type":"article-journal","title":"Mouse Liver Cell Culture. I. Hepatocyte Isolation","container-title":"In Vitro","page":"913-925","volume":"17","issue":"10","source":"JSTOR","abstract":"A method for isolation of mouse liver cells by a two-step perfusion with calcium and magnesium-free Hanks' salt solution followed by a medium containing collagenase is described. Several variations of the commonly used procedure for rat liver cell isolation were quantitatively compared with respect to cell yield and viability. The optimal isolation technique involved perfusion through the hepatic portal vein and routinely produced an average of $2.3 \\times 10^6$ viable liver cells/g body weight. Optimal perfusate collagenase concentration was found to be 100 U of enzyme activity per milliliter of perfusate. Light and electron microscopic evaluation of liver morphology after several steps of the isolation showed distinct morphologic changes in hepatocytes and other liver cells during perfusion. After perfusion with Hanks' calcium- and magnesium-free solution, many hepatocytes exhibited early reversible cell injury. These changes included vesiculation and slight swelling of the endoplasmic reticulum as well as mitochondrial matrix condensation. Subsequent to perfusion with collagenase, the majority of hepatocytes appeared connected to one another only by tight junctional complexes at the bile canaliculi. Multiple evaginations were seen on the outer membrane resembling microvilli and probably represented the remains of cell-to-cell interdigitations between hepatocytes and sinusoidal lining cells from the space of Disse. The cytoplasmic injury seen after Hanks' perfusion was reversed after collagenase perfusion. After mechanical dispersion, isolated mouse hepatocytes were spherical in shape and existed as individual cells; many (80 to 85%) were binucleated under phase contrast light microscopy. By electron microscopy, cells appeared morphologically similar in cytoplasmic constitution to that seen in intact nonaltered liver cells.","ISSN":"0073-5655","author":[{"family":"Klaunig","given":"James E."},{"family":"Goldblatt","given":"Peter J."},{"family":"Hinton","given":"David E."},{"family":"Lipsky","given":"Michael M."},{"family":"Chacko","given":"Jacob"},{"family":"Trump","given":"Benjamin F."}],"issued":{"date-parts":[["1981"]]}}},{"id":2822,"uris":["http://zotero.org/users/2628971/items/ZCMCDE29"],"uri":["http://zotero.org/users/2628971/items/ZCMCDE29"],"itemData":{"id":2822,"type":"article-journal","title":"Improved isolation of murine hepatocytes for in vitro malaria liver stage studies","container-title":"Malaria Journal","page":"169","volume":"6","source":"BioMed Central","abstract":"Primary hepatocyte cultures are a valuable tool for the understanding of cellular and molecular phenomena occurring during malaria liver stage. This paper describes an improved perfusion/dissociation procedure to isolate hepatocytes from mouse liver that is suitable for malaria studies and allows reproducible preparation of primary hepatocytes with consistent cell yields and controlled purity.","DOI":"10.1186/1475-2875-6-169","ISSN":"1475-2875","journalAbbreviation":"Malaria Journal","author":[{"family":"Gonçalves","given":"Lígia A."},{"family":"Vigário","given":"Ana M."},{"family":"Penha-Gonçalves","given":"Carlos"}],"issued":{"date-parts":[["2007",12,20]]}}}],"schema":"https://github.com/citation-style-language/schema/raw/master/csl-citation.json"} </w:instrText>
      </w:r>
      <w:r w:rsidRPr="008B3AD6">
        <w:fldChar w:fldCharType="end"/>
      </w:r>
      <w:r w:rsidR="00025067">
        <w:t xml:space="preserve"> </w:t>
      </w:r>
      <w:r w:rsidR="00812605" w:rsidRPr="008B3AD6">
        <w:t xml:space="preserve"> </w:t>
      </w:r>
      <w:r w:rsidRPr="008B3AD6">
        <w:t>. Their viability was as</w:t>
      </w:r>
      <w:r w:rsidR="00D60343" w:rsidRPr="008B3AD6">
        <w:t>sessed using trypan blue. The viability</w:t>
      </w:r>
      <w:r w:rsidRPr="008B3AD6">
        <w:t xml:space="preserve"> levels, as well as the numbers of recovered hepatocytes, are shown in </w:t>
      </w:r>
      <w:r w:rsidR="0048657A" w:rsidRPr="008B3AD6">
        <w:rPr>
          <w:b/>
        </w:rPr>
        <w:fldChar w:fldCharType="begin"/>
      </w:r>
      <w:r w:rsidR="0048657A" w:rsidRPr="008B3AD6">
        <w:rPr>
          <w:b/>
        </w:rPr>
        <w:instrText xml:space="preserve"> REF _Ref518931998  \* MERGEFORMAT </w:instrText>
      </w:r>
      <w:r w:rsidR="0048657A" w:rsidRPr="008B3AD6">
        <w:rPr>
          <w:b/>
        </w:rPr>
        <w:fldChar w:fldCharType="separate"/>
      </w:r>
      <w:r w:rsidR="00E5551E" w:rsidRPr="00E5551E">
        <w:rPr>
          <w:b/>
        </w:rPr>
        <w:t xml:space="preserve">Figure </w:t>
      </w:r>
      <w:r w:rsidR="00E5551E" w:rsidRPr="00E5551E">
        <w:rPr>
          <w:b/>
          <w:noProof/>
        </w:rPr>
        <w:t>3.7</w:t>
      </w:r>
      <w:r w:rsidR="0048657A" w:rsidRPr="008B3AD6">
        <w:rPr>
          <w:b/>
          <w:noProof/>
        </w:rPr>
        <w:fldChar w:fldCharType="end"/>
      </w:r>
      <w:r w:rsidRPr="008B3AD6">
        <w:t>. For the sample cohort, the average level of pa</w:t>
      </w:r>
      <w:r w:rsidR="00D60343" w:rsidRPr="008B3AD6">
        <w:t>renchymal viability was 14.98%</w:t>
      </w:r>
      <w:r w:rsidR="0055611A" w:rsidRPr="008B3AD6">
        <w:t>,</w:t>
      </w:r>
      <w:r w:rsidR="00D60343" w:rsidRPr="008B3AD6">
        <w:t xml:space="preserve"> an unacceptably low level of cell survival compared to published levels. </w:t>
      </w:r>
      <w:r w:rsidR="00931413" w:rsidRPr="008B3AD6">
        <w:t>Thus,</w:t>
      </w:r>
      <w:r w:rsidRPr="008B3AD6">
        <w:t xml:space="preserve"> going forward parenchymal cells were not included in future analyses.</w:t>
      </w:r>
    </w:p>
    <w:p w14:paraId="7A6A5A4C" w14:textId="77777777" w:rsidR="00206787" w:rsidRPr="008B3AD6" w:rsidRDefault="00206787" w:rsidP="009154C0">
      <w:pPr>
        <w:spacing w:line="360" w:lineRule="auto"/>
        <w:jc w:val="both"/>
      </w:pPr>
    </w:p>
    <w:p w14:paraId="31B0FF48" w14:textId="08991179" w:rsidR="00101122" w:rsidRPr="008B3AD6" w:rsidRDefault="00101122" w:rsidP="009154C0">
      <w:pPr>
        <w:spacing w:line="360" w:lineRule="auto"/>
        <w:jc w:val="both"/>
      </w:pPr>
    </w:p>
    <w:p w14:paraId="766DDD1A" w14:textId="24D99271" w:rsidR="009154C0" w:rsidRPr="008B3AD6" w:rsidRDefault="0055611A" w:rsidP="009154C0">
      <w:pPr>
        <w:spacing w:line="360" w:lineRule="auto"/>
        <w:jc w:val="both"/>
      </w:pPr>
      <w:r w:rsidRPr="008B3AD6">
        <w:lastRenderedPageBreak/>
        <w:t xml:space="preserve">Concluding, we have developed an optimised </w:t>
      </w:r>
      <w:r w:rsidR="00A32111">
        <w:t>AmB</w:t>
      </w:r>
      <w:r w:rsidRPr="008B3AD6">
        <w:t xml:space="preserve"> detection method for both tissue and cell samples by LC-MS</w:t>
      </w:r>
      <w:r w:rsidR="006C2ED9">
        <w:t>/MS</w:t>
      </w:r>
      <w:r w:rsidRPr="008B3AD6">
        <w:t xml:space="preserve">. It was determined that for the analysis of </w:t>
      </w:r>
      <w:r w:rsidR="00206787">
        <w:rPr>
          <w:noProof/>
        </w:rPr>
        <mc:AlternateContent>
          <mc:Choice Requires="wps">
            <w:drawing>
              <wp:anchor distT="0" distB="0" distL="114300" distR="114300" simplePos="0" relativeHeight="251459584" behindDoc="0" locked="0" layoutInCell="1" allowOverlap="1" wp14:anchorId="36023108" wp14:editId="0F97E580">
                <wp:simplePos x="0" y="0"/>
                <wp:positionH relativeFrom="column">
                  <wp:posOffset>22860</wp:posOffset>
                </wp:positionH>
                <wp:positionV relativeFrom="paragraph">
                  <wp:posOffset>2994025</wp:posOffset>
                </wp:positionV>
                <wp:extent cx="5399405" cy="1050290"/>
                <wp:effectExtent l="0" t="0" r="0" b="3810"/>
                <wp:wrapTopAndBottom/>
                <wp:docPr id="600" name="Text Box 600"/>
                <wp:cNvGraphicFramePr/>
                <a:graphic xmlns:a="http://schemas.openxmlformats.org/drawingml/2006/main">
                  <a:graphicData uri="http://schemas.microsoft.com/office/word/2010/wordprocessingShape">
                    <wps:wsp>
                      <wps:cNvSpPr txBox="1"/>
                      <wps:spPr>
                        <a:xfrm>
                          <a:off x="0" y="0"/>
                          <a:ext cx="5399405" cy="1050290"/>
                        </a:xfrm>
                        <a:prstGeom prst="rect">
                          <a:avLst/>
                        </a:prstGeom>
                        <a:solidFill>
                          <a:prstClr val="white"/>
                        </a:solidFill>
                        <a:ln>
                          <a:noFill/>
                        </a:ln>
                      </wps:spPr>
                      <wps:txbx>
                        <w:txbxContent>
                          <w:p w14:paraId="496D4392" w14:textId="7A6F7F65" w:rsidR="00F61130" w:rsidRPr="00CC07A6" w:rsidRDefault="00F61130" w:rsidP="0004454D">
                            <w:pPr>
                              <w:pStyle w:val="Caption"/>
                              <w:spacing w:line="360" w:lineRule="auto"/>
                              <w:jc w:val="both"/>
                              <w:rPr>
                                <w:b/>
                                <w:noProof/>
                                <w:sz w:val="20"/>
                                <w:szCs w:val="20"/>
                              </w:rPr>
                            </w:pPr>
                            <w:bookmarkStart w:id="263" w:name="_Ref518931998"/>
                            <w:bookmarkStart w:id="264" w:name="_Toc525227198"/>
                            <w:bookmarkStart w:id="265" w:name="_Toc536814137"/>
                            <w:r w:rsidRPr="00CC07A6">
                              <w:rPr>
                                <w:b/>
                                <w:sz w:val="20"/>
                                <w:szCs w:val="20"/>
                              </w:rPr>
                              <w:t xml:space="preserve">Figure </w:t>
                            </w:r>
                            <w:r>
                              <w:rPr>
                                <w:b/>
                                <w:sz w:val="20"/>
                                <w:szCs w:val="20"/>
                              </w:rPr>
                              <w:fldChar w:fldCharType="begin"/>
                            </w:r>
                            <w:r>
                              <w:rPr>
                                <w:b/>
                                <w:sz w:val="20"/>
                                <w:szCs w:val="20"/>
                              </w:rPr>
                              <w:instrText xml:space="preserve"> STYLEREF 1 \s </w:instrText>
                            </w:r>
                            <w:r>
                              <w:rPr>
                                <w:b/>
                                <w:sz w:val="20"/>
                                <w:szCs w:val="20"/>
                              </w:rPr>
                              <w:fldChar w:fldCharType="separate"/>
                            </w:r>
                            <w:r>
                              <w:rPr>
                                <w:b/>
                                <w:noProof/>
                                <w:sz w:val="20"/>
                                <w:szCs w:val="20"/>
                              </w:rPr>
                              <w:t>3</w:t>
                            </w:r>
                            <w:r>
                              <w:rPr>
                                <w:b/>
                                <w:sz w:val="20"/>
                                <w:szCs w:val="20"/>
                              </w:rPr>
                              <w:fldChar w:fldCharType="end"/>
                            </w:r>
                            <w:r>
                              <w:rPr>
                                <w:b/>
                                <w:sz w:val="20"/>
                                <w:szCs w:val="20"/>
                              </w:rPr>
                              <w:t>.</w:t>
                            </w:r>
                            <w:r>
                              <w:rPr>
                                <w:b/>
                                <w:sz w:val="20"/>
                                <w:szCs w:val="20"/>
                              </w:rPr>
                              <w:fldChar w:fldCharType="begin"/>
                            </w:r>
                            <w:r>
                              <w:rPr>
                                <w:b/>
                                <w:sz w:val="20"/>
                                <w:szCs w:val="20"/>
                              </w:rPr>
                              <w:instrText xml:space="preserve"> SEQ Figure \* ARABIC \s 1 </w:instrText>
                            </w:r>
                            <w:r>
                              <w:rPr>
                                <w:b/>
                                <w:sz w:val="20"/>
                                <w:szCs w:val="20"/>
                              </w:rPr>
                              <w:fldChar w:fldCharType="separate"/>
                            </w:r>
                            <w:r>
                              <w:rPr>
                                <w:b/>
                                <w:noProof/>
                                <w:sz w:val="20"/>
                                <w:szCs w:val="20"/>
                              </w:rPr>
                              <w:t>7</w:t>
                            </w:r>
                            <w:r>
                              <w:rPr>
                                <w:b/>
                                <w:sz w:val="20"/>
                                <w:szCs w:val="20"/>
                              </w:rPr>
                              <w:fldChar w:fldCharType="end"/>
                            </w:r>
                            <w:bookmarkEnd w:id="263"/>
                            <w:r w:rsidRPr="00CC07A6">
                              <w:rPr>
                                <w:b/>
                                <w:sz w:val="20"/>
                                <w:szCs w:val="20"/>
                              </w:rPr>
                              <w:t xml:space="preserve"> - Parenchymal Cell Abundance and Viability Post-Purification. </w:t>
                            </w:r>
                            <w:r w:rsidRPr="00CC07A6">
                              <w:rPr>
                                <w:sz w:val="20"/>
                                <w:szCs w:val="20"/>
                              </w:rPr>
                              <w:t xml:space="preserve">Cell number and viability of parenchymal cells purified from livers using </w:t>
                            </w:r>
                            <w:r>
                              <w:rPr>
                                <w:sz w:val="20"/>
                                <w:szCs w:val="20"/>
                              </w:rPr>
                              <w:t>the</w:t>
                            </w:r>
                            <w:r w:rsidRPr="00CC07A6">
                              <w:rPr>
                                <w:sz w:val="20"/>
                                <w:szCs w:val="20"/>
                              </w:rPr>
                              <w:t xml:space="preserve"> updated digestion protocol (</w:t>
                            </w:r>
                            <w:r>
                              <w:rPr>
                                <w:sz w:val="20"/>
                                <w:szCs w:val="20"/>
                              </w:rPr>
                              <w:t xml:space="preserve">Digestion protocol 2 (Section </w:t>
                            </w:r>
                            <w:r>
                              <w:rPr>
                                <w:sz w:val="20"/>
                                <w:szCs w:val="20"/>
                              </w:rPr>
                              <w:fldChar w:fldCharType="begin"/>
                            </w:r>
                            <w:r>
                              <w:rPr>
                                <w:sz w:val="20"/>
                                <w:szCs w:val="20"/>
                              </w:rPr>
                              <w:instrText xml:space="preserve"> REF _Ref518492280 \n </w:instrText>
                            </w:r>
                            <w:r>
                              <w:rPr>
                                <w:sz w:val="20"/>
                                <w:szCs w:val="20"/>
                              </w:rPr>
                              <w:fldChar w:fldCharType="separate"/>
                            </w:r>
                            <w:r>
                              <w:rPr>
                                <w:sz w:val="20"/>
                                <w:szCs w:val="20"/>
                              </w:rPr>
                              <w:t>2.5</w:t>
                            </w:r>
                            <w:r>
                              <w:rPr>
                                <w:sz w:val="20"/>
                                <w:szCs w:val="20"/>
                              </w:rPr>
                              <w:fldChar w:fldCharType="end"/>
                            </w:r>
                            <w:r>
                              <w:rPr>
                                <w:sz w:val="20"/>
                                <w:szCs w:val="20"/>
                              </w:rPr>
                              <w:t>)</w:t>
                            </w:r>
                            <w:r w:rsidRPr="00CC07A6">
                              <w:rPr>
                                <w:sz w:val="20"/>
                                <w:szCs w:val="20"/>
                              </w:rPr>
                              <w:t>). Data represents median banded by the upper and lower quartile, top whisker is maximum value, bottom whisker is minimum value (n = 8 biological replicates</w:t>
                            </w:r>
                            <w:r>
                              <w:rPr>
                                <w:sz w:val="20"/>
                                <w:szCs w:val="20"/>
                              </w:rPr>
                              <w:t xml:space="preserve"> from 1 experiment</w:t>
                            </w:r>
                            <w:r w:rsidRPr="00CC07A6">
                              <w:rPr>
                                <w:sz w:val="20"/>
                                <w:szCs w:val="20"/>
                              </w:rPr>
                              <w:t>).</w:t>
                            </w:r>
                            <w:bookmarkEnd w:id="264"/>
                            <w:bookmarkEnd w:id="265"/>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36023108" id="Text Box 600" o:spid="_x0000_s1048" type="#_x0000_t202" style="position:absolute;left:0;text-align:left;margin-left:1.8pt;margin-top:235.75pt;width:425.15pt;height:82.7pt;z-index:2514595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BMhBnNgIAAG0EAAAOAAAAZHJzL2Uyb0RvYy54bWysVFFv2yAQfp+0/4B4X+xkS7VEcaosVaZJ&#13;&#10;VVspmfpMMMRIwDEgsbNfvwPHadftadoLPu6Og+/77ry47YwmJ+GDAlvR8aikRFgOtbKHin7fbT58&#13;&#10;piREZmumwYqKnkWgt8v37xatm4sJNKBr4QkWsWHeuoo2Mbp5UQTeCMPCCJywGJTgDYu49Yei9qzF&#13;&#10;6kYXk7K8KVrwtfPARQjoveuDdJnrSyl4fJQyiEh0RfFtMa8+r/u0FssFmx88c43il2ewf3iFYcri&#13;&#10;pddSdywycvTqj1JGcQ8BZBxxMAVIqbjIGBDNuHyDZtswJzIWJCe4K03h/5XlD6cnT1Rd0ZsS+bHM&#13;&#10;oEg70UXyBTqSfMhQ68IcE7cOU2OHAVR68Ad0JuCd9CZ9ERLBONY6X/lN5Tg6px9ns0/llBKOsXE5&#13;&#10;LSezXL94Oe58iF8FGJKMinoUMPPKTvch4lMwdUhJtwXQqt4ordMmBdbakxNDsdtGRZEeiSd+y9I2&#13;&#10;5VpIp/pw8hQJY48lWbHbd5mVyWQAuof6jPg99D0UHN8ovPCehfjEPDYNQsZBiI+4SA1tReFiUdKA&#13;&#10;//k3f8pHLTFKSYtNWNHw48i8oER/s6hy6tjB8IOxHwx7NGtAqGMcMceziQd81IMpPZhnnI9VugVD&#13;&#10;zHK8q6JxMNexHwWcLy5Wq5yEfelYvLdbx1Ppgdhd98y8u8gSUdEHGNqTzd+o0+f2NK+OEaTK0iVi&#13;&#10;exYvfGNPZ30u85eG5vU+Z738JZa/AAAA//8DAFBLAwQUAAYACAAAACEAI7p55eMAAAAOAQAADwAA&#13;&#10;AGRycy9kb3ducmV2LnhtbExPy07DMBC8I/EP1iJxQdRpQ9M2jVNBQ29w6EM9u7FJIuJ1ZDtN+vcs&#13;&#10;J7iMNJrdeWSb0bTsqp1vLAqYTiJgGkurGqwEnI675yUwHyQq2VrUAm7awya/v8tkquyAe309hIqR&#13;&#10;CfpUCqhD6FLOfVlrI/3EdhpJ+7LOyEDUVVw5OZC5afksihJuZIOUUMtOb2tdfh96IyApXD/scftU&#13;&#10;nN4/5GdXzc5vt7MQjw9jsSZ4XQMLegx/H/C7gfpDTsUutkflWSsgTuhQwMtiOgdG+nIer4BdKCFO&#13;&#10;VsDzjP+fkf8AAAD//wMAUEsBAi0AFAAGAAgAAAAhALaDOJL+AAAA4QEAABMAAAAAAAAAAAAAAAAA&#13;&#10;AAAAAFtDb250ZW50X1R5cGVzXS54bWxQSwECLQAUAAYACAAAACEAOP0h/9YAAACUAQAACwAAAAAA&#13;&#10;AAAAAAAAAAAvAQAAX3JlbHMvLnJlbHNQSwECLQAUAAYACAAAACEAwTIQZzYCAABtBAAADgAAAAAA&#13;&#10;AAAAAAAAAAAuAgAAZHJzL2Uyb0RvYy54bWxQSwECLQAUAAYACAAAACEAI7p55eMAAAAOAQAADwAA&#13;&#10;AAAAAAAAAAAAAACQBAAAZHJzL2Rvd25yZXYueG1sUEsFBgAAAAAEAAQA8wAAAKAFAAAAAA==&#13;&#10;" stroked="f">
                <v:textbox inset="0,0,0,0">
                  <w:txbxContent>
                    <w:p w14:paraId="496D4392" w14:textId="7A6F7F65" w:rsidR="00F61130" w:rsidRPr="00CC07A6" w:rsidRDefault="00F61130" w:rsidP="0004454D">
                      <w:pPr>
                        <w:pStyle w:val="Caption"/>
                        <w:spacing w:line="360" w:lineRule="auto"/>
                        <w:jc w:val="both"/>
                        <w:rPr>
                          <w:b/>
                          <w:noProof/>
                          <w:sz w:val="20"/>
                          <w:szCs w:val="20"/>
                        </w:rPr>
                      </w:pPr>
                      <w:bookmarkStart w:id="266" w:name="_Ref518931998"/>
                      <w:bookmarkStart w:id="267" w:name="_Toc525227198"/>
                      <w:bookmarkStart w:id="268" w:name="_Toc536814137"/>
                      <w:r w:rsidRPr="00CC07A6">
                        <w:rPr>
                          <w:b/>
                          <w:sz w:val="20"/>
                          <w:szCs w:val="20"/>
                        </w:rPr>
                        <w:t xml:space="preserve">Figure </w:t>
                      </w:r>
                      <w:r>
                        <w:rPr>
                          <w:b/>
                          <w:sz w:val="20"/>
                          <w:szCs w:val="20"/>
                        </w:rPr>
                        <w:fldChar w:fldCharType="begin"/>
                      </w:r>
                      <w:r>
                        <w:rPr>
                          <w:b/>
                          <w:sz w:val="20"/>
                          <w:szCs w:val="20"/>
                        </w:rPr>
                        <w:instrText xml:space="preserve"> STYLEREF 1 \s </w:instrText>
                      </w:r>
                      <w:r>
                        <w:rPr>
                          <w:b/>
                          <w:sz w:val="20"/>
                          <w:szCs w:val="20"/>
                        </w:rPr>
                        <w:fldChar w:fldCharType="separate"/>
                      </w:r>
                      <w:r>
                        <w:rPr>
                          <w:b/>
                          <w:noProof/>
                          <w:sz w:val="20"/>
                          <w:szCs w:val="20"/>
                        </w:rPr>
                        <w:t>3</w:t>
                      </w:r>
                      <w:r>
                        <w:rPr>
                          <w:b/>
                          <w:sz w:val="20"/>
                          <w:szCs w:val="20"/>
                        </w:rPr>
                        <w:fldChar w:fldCharType="end"/>
                      </w:r>
                      <w:r>
                        <w:rPr>
                          <w:b/>
                          <w:sz w:val="20"/>
                          <w:szCs w:val="20"/>
                        </w:rPr>
                        <w:t>.</w:t>
                      </w:r>
                      <w:r>
                        <w:rPr>
                          <w:b/>
                          <w:sz w:val="20"/>
                          <w:szCs w:val="20"/>
                        </w:rPr>
                        <w:fldChar w:fldCharType="begin"/>
                      </w:r>
                      <w:r>
                        <w:rPr>
                          <w:b/>
                          <w:sz w:val="20"/>
                          <w:szCs w:val="20"/>
                        </w:rPr>
                        <w:instrText xml:space="preserve"> SEQ Figure \* ARABIC \s 1 </w:instrText>
                      </w:r>
                      <w:r>
                        <w:rPr>
                          <w:b/>
                          <w:sz w:val="20"/>
                          <w:szCs w:val="20"/>
                        </w:rPr>
                        <w:fldChar w:fldCharType="separate"/>
                      </w:r>
                      <w:r>
                        <w:rPr>
                          <w:b/>
                          <w:noProof/>
                          <w:sz w:val="20"/>
                          <w:szCs w:val="20"/>
                        </w:rPr>
                        <w:t>7</w:t>
                      </w:r>
                      <w:r>
                        <w:rPr>
                          <w:b/>
                          <w:sz w:val="20"/>
                          <w:szCs w:val="20"/>
                        </w:rPr>
                        <w:fldChar w:fldCharType="end"/>
                      </w:r>
                      <w:bookmarkEnd w:id="266"/>
                      <w:r w:rsidRPr="00CC07A6">
                        <w:rPr>
                          <w:b/>
                          <w:sz w:val="20"/>
                          <w:szCs w:val="20"/>
                        </w:rPr>
                        <w:t xml:space="preserve"> - Parenchymal Cell Abundance and Viability Post-Purification. </w:t>
                      </w:r>
                      <w:r w:rsidRPr="00CC07A6">
                        <w:rPr>
                          <w:sz w:val="20"/>
                          <w:szCs w:val="20"/>
                        </w:rPr>
                        <w:t xml:space="preserve">Cell number and viability of parenchymal cells purified from livers using </w:t>
                      </w:r>
                      <w:r>
                        <w:rPr>
                          <w:sz w:val="20"/>
                          <w:szCs w:val="20"/>
                        </w:rPr>
                        <w:t>the</w:t>
                      </w:r>
                      <w:r w:rsidRPr="00CC07A6">
                        <w:rPr>
                          <w:sz w:val="20"/>
                          <w:szCs w:val="20"/>
                        </w:rPr>
                        <w:t xml:space="preserve"> updated digestion protocol (</w:t>
                      </w:r>
                      <w:r>
                        <w:rPr>
                          <w:sz w:val="20"/>
                          <w:szCs w:val="20"/>
                        </w:rPr>
                        <w:t xml:space="preserve">Digestion protocol 2 (Section </w:t>
                      </w:r>
                      <w:r>
                        <w:rPr>
                          <w:sz w:val="20"/>
                          <w:szCs w:val="20"/>
                        </w:rPr>
                        <w:fldChar w:fldCharType="begin"/>
                      </w:r>
                      <w:r>
                        <w:rPr>
                          <w:sz w:val="20"/>
                          <w:szCs w:val="20"/>
                        </w:rPr>
                        <w:instrText xml:space="preserve"> REF _Ref518492280 \n </w:instrText>
                      </w:r>
                      <w:r>
                        <w:rPr>
                          <w:sz w:val="20"/>
                          <w:szCs w:val="20"/>
                        </w:rPr>
                        <w:fldChar w:fldCharType="separate"/>
                      </w:r>
                      <w:r>
                        <w:rPr>
                          <w:sz w:val="20"/>
                          <w:szCs w:val="20"/>
                        </w:rPr>
                        <w:t>2.5</w:t>
                      </w:r>
                      <w:r>
                        <w:rPr>
                          <w:sz w:val="20"/>
                          <w:szCs w:val="20"/>
                        </w:rPr>
                        <w:fldChar w:fldCharType="end"/>
                      </w:r>
                      <w:r>
                        <w:rPr>
                          <w:sz w:val="20"/>
                          <w:szCs w:val="20"/>
                        </w:rPr>
                        <w:t>)</w:t>
                      </w:r>
                      <w:r w:rsidRPr="00CC07A6">
                        <w:rPr>
                          <w:sz w:val="20"/>
                          <w:szCs w:val="20"/>
                        </w:rPr>
                        <w:t>). Data represents median banded by the upper and lower quartile, top whisker is maximum value, bottom whisker is minimum value (n = 8 biological replicates</w:t>
                      </w:r>
                      <w:r>
                        <w:rPr>
                          <w:sz w:val="20"/>
                          <w:szCs w:val="20"/>
                        </w:rPr>
                        <w:t xml:space="preserve"> from 1 experiment</w:t>
                      </w:r>
                      <w:r w:rsidRPr="00CC07A6">
                        <w:rPr>
                          <w:sz w:val="20"/>
                          <w:szCs w:val="20"/>
                        </w:rPr>
                        <w:t>).</w:t>
                      </w:r>
                      <w:bookmarkEnd w:id="267"/>
                      <w:bookmarkEnd w:id="268"/>
                    </w:p>
                  </w:txbxContent>
                </v:textbox>
                <w10:wrap type="topAndBottom"/>
              </v:shape>
            </w:pict>
          </mc:Fallback>
        </mc:AlternateContent>
      </w:r>
      <w:r w:rsidR="00206787">
        <w:rPr>
          <w:noProof/>
        </w:rPr>
        <w:drawing>
          <wp:anchor distT="0" distB="0" distL="114300" distR="114300" simplePos="0" relativeHeight="251458560" behindDoc="0" locked="0" layoutInCell="1" allowOverlap="1" wp14:anchorId="5BD29205" wp14:editId="514C275B">
            <wp:simplePos x="0" y="0"/>
            <wp:positionH relativeFrom="column">
              <wp:posOffset>1194435</wp:posOffset>
            </wp:positionH>
            <wp:positionV relativeFrom="paragraph">
              <wp:posOffset>0</wp:posOffset>
            </wp:positionV>
            <wp:extent cx="3059430" cy="2879586"/>
            <wp:effectExtent l="0" t="0" r="1270" b="3810"/>
            <wp:wrapTopAndBottom/>
            <wp:docPr id="599" name="Picture 5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9" name="Picture 599"/>
                    <pic:cNvPicPr>
                      <a:picLocks noChangeAspect="1"/>
                    </pic:cNvPicPr>
                  </pic:nvPicPr>
                  <pic:blipFill>
                    <a:blip r:embed="rId38">
                      <a:extLst>
                        <a:ext uri="{28A0092B-C50C-407E-A947-70E740481C1C}">
                          <a14:useLocalDpi xmlns:a14="http://schemas.microsoft.com/office/drawing/2010/main" val="0"/>
                        </a:ext>
                      </a:extLst>
                    </a:blip>
                    <a:stretch>
                      <a:fillRect/>
                    </a:stretch>
                  </pic:blipFill>
                  <pic:spPr>
                    <a:xfrm>
                      <a:off x="0" y="0"/>
                      <a:ext cx="3059430" cy="2879586"/>
                    </a:xfrm>
                    <a:prstGeom prst="rect">
                      <a:avLst/>
                    </a:prstGeom>
                  </pic:spPr>
                </pic:pic>
              </a:graphicData>
            </a:graphic>
          </wp:anchor>
        </w:drawing>
      </w:r>
      <w:r w:rsidR="00A32111">
        <w:t>Am</w:t>
      </w:r>
      <w:r w:rsidRPr="008B3AD6">
        <w:t>B in cellular populations that 1x10</w:t>
      </w:r>
      <w:r w:rsidRPr="008B3AD6">
        <w:rPr>
          <w:vertAlign w:val="superscript"/>
        </w:rPr>
        <w:t>6</w:t>
      </w:r>
      <w:r w:rsidRPr="008B3AD6">
        <w:t xml:space="preserve"> - 1x10</w:t>
      </w:r>
      <w:r w:rsidRPr="008B3AD6">
        <w:rPr>
          <w:vertAlign w:val="superscript"/>
        </w:rPr>
        <w:t>7</w:t>
      </w:r>
      <w:r w:rsidRPr="008B3AD6">
        <w:t xml:space="preserve"> cells should be used. These populations should be disrupted using repeated freeze-thaw cycles and the cell lysate samples should then undergo two extractions. Low parenchymal viability upon extraction reduces confidence in using these cells for investigative purposes</w:t>
      </w:r>
      <w:r w:rsidR="001A5E3E" w:rsidRPr="008B3AD6">
        <w:t xml:space="preserve"> and so instead their accumulation will be estimated by deduction of the total hepatic leukocyte accumulation from the total liver accumulation</w:t>
      </w:r>
      <w:r w:rsidRPr="008B3AD6">
        <w:t>.</w:t>
      </w:r>
    </w:p>
    <w:p w14:paraId="6FC81F0F" w14:textId="77777777" w:rsidR="009154C0" w:rsidRPr="008B3AD6" w:rsidRDefault="009154C0" w:rsidP="009154C0">
      <w:pPr>
        <w:spacing w:line="360" w:lineRule="auto"/>
        <w:jc w:val="both"/>
      </w:pPr>
    </w:p>
    <w:p w14:paraId="6B5C82F3" w14:textId="77777777" w:rsidR="009154C0" w:rsidRPr="008B3AD6" w:rsidRDefault="009154C0" w:rsidP="00C975CA">
      <w:pPr>
        <w:pStyle w:val="Heading3"/>
      </w:pPr>
      <w:bookmarkStart w:id="269" w:name="_Ref518135898"/>
      <w:bookmarkStart w:id="270" w:name="_Toc3716099"/>
      <w:r w:rsidRPr="008B3AD6">
        <w:t>Initial characterisation of hepatic Amphotericin B accumulation</w:t>
      </w:r>
      <w:bookmarkEnd w:id="269"/>
      <w:bookmarkEnd w:id="270"/>
    </w:p>
    <w:p w14:paraId="452278B6" w14:textId="1FD517B2" w:rsidR="00E30F4E" w:rsidRPr="008B3AD6" w:rsidRDefault="0055611A" w:rsidP="00E30F4E">
      <w:pPr>
        <w:spacing w:line="360" w:lineRule="auto"/>
        <w:jc w:val="both"/>
        <w:sectPr w:rsidR="00E30F4E" w:rsidRPr="008B3AD6" w:rsidSect="00F61130">
          <w:pgSz w:w="11900" w:h="16840"/>
          <w:pgMar w:top="1134" w:right="851" w:bottom="1134" w:left="2268" w:header="709" w:footer="709" w:gutter="0"/>
          <w:cols w:space="708"/>
          <w:docGrid w:linePitch="360"/>
        </w:sectPr>
      </w:pPr>
      <w:r w:rsidRPr="008B3AD6">
        <w:t xml:space="preserve">To characterise hepatic </w:t>
      </w:r>
      <w:r w:rsidR="00A32111">
        <w:t>AmB</w:t>
      </w:r>
      <w:r w:rsidRPr="008B3AD6">
        <w:t xml:space="preserve"> accumulation and distribution we initially focused on a 12h post-treatment of C57BL/6 mice with 10 mg/kg AmBisome, a time point showing high total hepatic </w:t>
      </w:r>
      <w:r w:rsidR="00A32111">
        <w:t>AmB</w:t>
      </w:r>
      <w:r w:rsidRPr="008B3AD6">
        <w:t xml:space="preserve"> accumulation in previous studies (Voak et al., 2017). Liver sections were collected for whole tissue analysis (see Section </w:t>
      </w:r>
      <w:r w:rsidR="008B3AD6" w:rsidRPr="008B3AD6">
        <w:fldChar w:fldCharType="begin"/>
      </w:r>
      <w:r w:rsidR="008B3AD6" w:rsidRPr="008B3AD6">
        <w:instrText xml:space="preserve"> REF _Ref519021124 \n </w:instrText>
      </w:r>
      <w:r w:rsidR="008B3AD6">
        <w:instrText xml:space="preserve"> \* MERGEFORMAT </w:instrText>
      </w:r>
      <w:r w:rsidR="008B3AD6" w:rsidRPr="008B3AD6">
        <w:fldChar w:fldCharType="separate"/>
      </w:r>
      <w:r w:rsidR="00031DCA">
        <w:t>2.11</w:t>
      </w:r>
      <w:r w:rsidR="008B3AD6" w:rsidRPr="008B3AD6">
        <w:fldChar w:fldCharType="end"/>
      </w:r>
      <w:r w:rsidRPr="008B3AD6">
        <w:t xml:space="preserve">) and the remaining liver was processed for cell isolation (see Section </w:t>
      </w:r>
      <w:r w:rsidR="008B3AD6" w:rsidRPr="008B3AD6">
        <w:fldChar w:fldCharType="begin"/>
      </w:r>
      <w:r w:rsidR="008B3AD6" w:rsidRPr="008B3AD6">
        <w:instrText xml:space="preserve"> REF _Ref518492280 \n </w:instrText>
      </w:r>
      <w:r w:rsidR="008B3AD6">
        <w:instrText xml:space="preserve"> \* MERGEFORMAT </w:instrText>
      </w:r>
      <w:r w:rsidR="008B3AD6" w:rsidRPr="008B3AD6">
        <w:fldChar w:fldCharType="separate"/>
      </w:r>
      <w:r w:rsidR="00031DCA">
        <w:t>2.5</w:t>
      </w:r>
      <w:r w:rsidR="008B3AD6" w:rsidRPr="008B3AD6">
        <w:fldChar w:fldCharType="end"/>
      </w:r>
      <w:r w:rsidRPr="008B3AD6">
        <w:t xml:space="preserve">). </w:t>
      </w:r>
      <w:r w:rsidRPr="008B3AD6">
        <w:rPr>
          <w:b/>
        </w:rPr>
        <w:fldChar w:fldCharType="begin"/>
      </w:r>
      <w:r w:rsidRPr="008B3AD6">
        <w:rPr>
          <w:b/>
        </w:rPr>
        <w:instrText xml:space="preserve"> REF _Ref518932073  \* MERGEFORMAT </w:instrText>
      </w:r>
      <w:r w:rsidRPr="008B3AD6">
        <w:rPr>
          <w:b/>
        </w:rPr>
        <w:fldChar w:fldCharType="separate"/>
      </w:r>
      <w:r w:rsidR="00E5551E" w:rsidRPr="00E5551E">
        <w:rPr>
          <w:b/>
        </w:rPr>
        <w:t xml:space="preserve">Figure </w:t>
      </w:r>
      <w:r w:rsidR="00E5551E" w:rsidRPr="00E5551E">
        <w:rPr>
          <w:b/>
          <w:noProof/>
        </w:rPr>
        <w:t>3.8</w:t>
      </w:r>
      <w:r w:rsidRPr="008B3AD6">
        <w:rPr>
          <w:b/>
          <w:noProof/>
        </w:rPr>
        <w:fldChar w:fldCharType="end"/>
      </w:r>
      <w:r w:rsidRPr="008B3AD6">
        <w:t xml:space="preserve"> shows the fluorescence activated flow cytometry (FACS) staining and gating strategy that allowed for the identification of lymphoid and myeloid cells (including neutrophils, Kupffer cells, dendritic cells and monocytes), as described in Sections </w:t>
      </w:r>
      <w:r w:rsidR="008B3AD6" w:rsidRPr="008B3AD6">
        <w:fldChar w:fldCharType="begin"/>
      </w:r>
      <w:r w:rsidR="008B3AD6" w:rsidRPr="008B3AD6">
        <w:instrText xml:space="preserve"> REF _Ref519021213 \n </w:instrText>
      </w:r>
      <w:r w:rsidR="008B3AD6">
        <w:instrText xml:space="preserve"> \* MERGEFORMAT </w:instrText>
      </w:r>
      <w:r w:rsidR="008B3AD6" w:rsidRPr="008B3AD6">
        <w:fldChar w:fldCharType="separate"/>
      </w:r>
      <w:r w:rsidR="00031DCA">
        <w:t>2.8</w:t>
      </w:r>
      <w:r w:rsidR="008B3AD6" w:rsidRPr="008B3AD6">
        <w:fldChar w:fldCharType="end"/>
      </w:r>
      <w:r w:rsidRPr="008B3AD6">
        <w:t xml:space="preserve"> and </w:t>
      </w:r>
      <w:r w:rsidR="008B3AD6" w:rsidRPr="008B3AD6">
        <w:fldChar w:fldCharType="begin"/>
      </w:r>
      <w:r w:rsidR="008B3AD6" w:rsidRPr="008B3AD6">
        <w:instrText xml:space="preserve"> REF _Ref519021223 \n </w:instrText>
      </w:r>
      <w:r w:rsidR="008B3AD6">
        <w:instrText xml:space="preserve"> \* MERGEFORMAT </w:instrText>
      </w:r>
      <w:r w:rsidR="008B3AD6" w:rsidRPr="008B3AD6">
        <w:fldChar w:fldCharType="separate"/>
      </w:r>
      <w:r w:rsidR="00031DCA">
        <w:t>2.10</w:t>
      </w:r>
      <w:r w:rsidR="008B3AD6" w:rsidRPr="008B3AD6">
        <w:fldChar w:fldCharType="end"/>
      </w:r>
    </w:p>
    <w:p w14:paraId="571891E5" w14:textId="59501906" w:rsidR="009154C0" w:rsidRPr="008B3AD6" w:rsidRDefault="00206787" w:rsidP="00E30F4E">
      <w:pPr>
        <w:spacing w:line="360" w:lineRule="auto"/>
        <w:jc w:val="both"/>
      </w:pPr>
      <w:r>
        <w:rPr>
          <w:noProof/>
        </w:rPr>
        <w:lastRenderedPageBreak/>
        <mc:AlternateContent>
          <mc:Choice Requires="wps">
            <w:drawing>
              <wp:anchor distT="0" distB="0" distL="114300" distR="114300" simplePos="0" relativeHeight="252033024" behindDoc="0" locked="0" layoutInCell="1" allowOverlap="1" wp14:anchorId="3E563B50" wp14:editId="718EAF50">
                <wp:simplePos x="0" y="0"/>
                <wp:positionH relativeFrom="column">
                  <wp:posOffset>-48688</wp:posOffset>
                </wp:positionH>
                <wp:positionV relativeFrom="paragraph">
                  <wp:posOffset>4412685</wp:posOffset>
                </wp:positionV>
                <wp:extent cx="9337040" cy="784225"/>
                <wp:effectExtent l="0" t="0" r="0" b="3175"/>
                <wp:wrapTopAndBottom/>
                <wp:docPr id="654" name="Text Box 654"/>
                <wp:cNvGraphicFramePr/>
                <a:graphic xmlns:a="http://schemas.openxmlformats.org/drawingml/2006/main">
                  <a:graphicData uri="http://schemas.microsoft.com/office/word/2010/wordprocessingShape">
                    <wps:wsp>
                      <wps:cNvSpPr txBox="1"/>
                      <wps:spPr>
                        <a:xfrm>
                          <a:off x="0" y="0"/>
                          <a:ext cx="9337040" cy="784225"/>
                        </a:xfrm>
                        <a:prstGeom prst="rect">
                          <a:avLst/>
                        </a:prstGeom>
                        <a:solidFill>
                          <a:prstClr val="white"/>
                        </a:solidFill>
                        <a:ln>
                          <a:noFill/>
                        </a:ln>
                      </wps:spPr>
                      <wps:txbx>
                        <w:txbxContent>
                          <w:p w14:paraId="5CB975C0" w14:textId="202FE4F0" w:rsidR="00F61130" w:rsidRPr="00B23FF8" w:rsidRDefault="00F61130" w:rsidP="0004454D">
                            <w:pPr>
                              <w:pStyle w:val="Caption"/>
                              <w:spacing w:line="360" w:lineRule="auto"/>
                              <w:jc w:val="both"/>
                              <w:rPr>
                                <w:i/>
                                <w:noProof/>
                                <w:sz w:val="20"/>
                                <w:szCs w:val="20"/>
                              </w:rPr>
                            </w:pPr>
                            <w:bookmarkStart w:id="271" w:name="_Ref518932073"/>
                            <w:bookmarkStart w:id="272" w:name="_Toc525227199"/>
                            <w:bookmarkStart w:id="273" w:name="_Toc536814138"/>
                            <w:r w:rsidRPr="00E30F4E">
                              <w:rPr>
                                <w:b/>
                                <w:sz w:val="20"/>
                                <w:szCs w:val="20"/>
                              </w:rPr>
                              <w:t xml:space="preserve">Figure </w:t>
                            </w:r>
                            <w:r>
                              <w:rPr>
                                <w:b/>
                                <w:sz w:val="20"/>
                                <w:szCs w:val="20"/>
                              </w:rPr>
                              <w:fldChar w:fldCharType="begin"/>
                            </w:r>
                            <w:r>
                              <w:rPr>
                                <w:b/>
                                <w:sz w:val="20"/>
                                <w:szCs w:val="20"/>
                              </w:rPr>
                              <w:instrText xml:space="preserve"> STYLEREF 1 \s </w:instrText>
                            </w:r>
                            <w:r>
                              <w:rPr>
                                <w:b/>
                                <w:sz w:val="20"/>
                                <w:szCs w:val="20"/>
                              </w:rPr>
                              <w:fldChar w:fldCharType="separate"/>
                            </w:r>
                            <w:r>
                              <w:rPr>
                                <w:b/>
                                <w:noProof/>
                                <w:sz w:val="20"/>
                                <w:szCs w:val="20"/>
                              </w:rPr>
                              <w:t>3</w:t>
                            </w:r>
                            <w:r>
                              <w:rPr>
                                <w:b/>
                                <w:sz w:val="20"/>
                                <w:szCs w:val="20"/>
                              </w:rPr>
                              <w:fldChar w:fldCharType="end"/>
                            </w:r>
                            <w:r>
                              <w:rPr>
                                <w:b/>
                                <w:sz w:val="20"/>
                                <w:szCs w:val="20"/>
                              </w:rPr>
                              <w:t>.</w:t>
                            </w:r>
                            <w:r>
                              <w:rPr>
                                <w:b/>
                                <w:sz w:val="20"/>
                                <w:szCs w:val="20"/>
                              </w:rPr>
                              <w:fldChar w:fldCharType="begin"/>
                            </w:r>
                            <w:r>
                              <w:rPr>
                                <w:b/>
                                <w:sz w:val="20"/>
                                <w:szCs w:val="20"/>
                              </w:rPr>
                              <w:instrText xml:space="preserve"> SEQ Figure \* ARABIC \s 1 </w:instrText>
                            </w:r>
                            <w:r>
                              <w:rPr>
                                <w:b/>
                                <w:sz w:val="20"/>
                                <w:szCs w:val="20"/>
                              </w:rPr>
                              <w:fldChar w:fldCharType="separate"/>
                            </w:r>
                            <w:r>
                              <w:rPr>
                                <w:b/>
                                <w:noProof/>
                                <w:sz w:val="20"/>
                                <w:szCs w:val="20"/>
                              </w:rPr>
                              <w:t>8</w:t>
                            </w:r>
                            <w:r>
                              <w:rPr>
                                <w:b/>
                                <w:sz w:val="20"/>
                                <w:szCs w:val="20"/>
                              </w:rPr>
                              <w:fldChar w:fldCharType="end"/>
                            </w:r>
                            <w:bookmarkEnd w:id="271"/>
                            <w:r w:rsidRPr="00E30F4E">
                              <w:rPr>
                                <w:b/>
                                <w:sz w:val="20"/>
                                <w:szCs w:val="20"/>
                              </w:rPr>
                              <w:t xml:space="preserve"> - Initial Gating Strategy to identify subsets of hepatic </w:t>
                            </w:r>
                            <w:r>
                              <w:rPr>
                                <w:b/>
                                <w:sz w:val="20"/>
                                <w:szCs w:val="20"/>
                              </w:rPr>
                              <w:t>leukocytes</w:t>
                            </w:r>
                            <w:r w:rsidRPr="00E30F4E">
                              <w:rPr>
                                <w:b/>
                                <w:sz w:val="20"/>
                                <w:szCs w:val="20"/>
                              </w:rPr>
                              <w:t>.</w:t>
                            </w:r>
                            <w:r w:rsidRPr="00E30F4E">
                              <w:rPr>
                                <w:sz w:val="20"/>
                                <w:szCs w:val="20"/>
                              </w:rPr>
                              <w:t xml:space="preserve"> Gating strategy used to quantify </w:t>
                            </w:r>
                            <w:r>
                              <w:rPr>
                                <w:sz w:val="20"/>
                                <w:szCs w:val="20"/>
                              </w:rPr>
                              <w:t>leukocyte</w:t>
                            </w:r>
                            <w:r w:rsidRPr="00E30F4E">
                              <w:rPr>
                                <w:sz w:val="20"/>
                                <w:szCs w:val="20"/>
                              </w:rPr>
                              <w:t xml:space="preserve"> subsets (Lymphoid cells, neutrophils, dendritic cells, Kupffer cells and monocytes) from the liver of </w:t>
                            </w:r>
                            <w:r w:rsidRPr="00E30F4E">
                              <w:rPr>
                                <w:i/>
                                <w:sz w:val="20"/>
                                <w:szCs w:val="20"/>
                              </w:rPr>
                              <w:t>L. donovani</w:t>
                            </w:r>
                            <w:r w:rsidRPr="00E30F4E">
                              <w:rPr>
                                <w:sz w:val="20"/>
                                <w:szCs w:val="20"/>
                              </w:rPr>
                              <w:t xml:space="preserve"> infected mice. Subsets were all characterised on the basis of being CD45+ live single cells. Data </w:t>
                            </w:r>
                            <w:r>
                              <w:rPr>
                                <w:sz w:val="20"/>
                                <w:szCs w:val="20"/>
                              </w:rPr>
                              <w:t>are</w:t>
                            </w:r>
                            <w:r w:rsidRPr="00E30F4E">
                              <w:rPr>
                                <w:sz w:val="20"/>
                                <w:szCs w:val="20"/>
                              </w:rPr>
                              <w:t xml:space="preserve"> representative of a Day 28 post-infection purified liver leukocyte population.</w:t>
                            </w:r>
                            <w:r>
                              <w:rPr>
                                <w:sz w:val="20"/>
                                <w:szCs w:val="20"/>
                              </w:rPr>
                              <w:t xml:space="preserve"> This gating strategy utilised staining protocol 1 (Section </w:t>
                            </w:r>
                            <w:r>
                              <w:rPr>
                                <w:sz w:val="20"/>
                                <w:szCs w:val="20"/>
                              </w:rPr>
                              <w:fldChar w:fldCharType="begin"/>
                            </w:r>
                            <w:r>
                              <w:rPr>
                                <w:sz w:val="20"/>
                                <w:szCs w:val="20"/>
                              </w:rPr>
                              <w:instrText xml:space="preserve"> REF _Ref519021276 \n </w:instrText>
                            </w:r>
                            <w:r>
                              <w:rPr>
                                <w:sz w:val="20"/>
                                <w:szCs w:val="20"/>
                              </w:rPr>
                              <w:fldChar w:fldCharType="separate"/>
                            </w:r>
                            <w:r>
                              <w:rPr>
                                <w:sz w:val="20"/>
                                <w:szCs w:val="20"/>
                              </w:rPr>
                              <w:t>2.8</w:t>
                            </w:r>
                            <w:r>
                              <w:rPr>
                                <w:sz w:val="20"/>
                                <w:szCs w:val="20"/>
                              </w:rPr>
                              <w:fldChar w:fldCharType="end"/>
                            </w:r>
                            <w:r>
                              <w:rPr>
                                <w:sz w:val="20"/>
                                <w:szCs w:val="20"/>
                              </w:rPr>
                              <w:t>).</w:t>
                            </w:r>
                            <w:bookmarkEnd w:id="272"/>
                            <w:r>
                              <w:rPr>
                                <w:sz w:val="20"/>
                                <w:szCs w:val="20"/>
                              </w:rPr>
                              <w:t xml:space="preserve"> </w:t>
                            </w:r>
                            <w:r>
                              <w:rPr>
                                <w:i/>
                                <w:sz w:val="20"/>
                                <w:szCs w:val="20"/>
                              </w:rPr>
                              <w:t>Addendum 3/1/19: The singlet gate shown does not discriminate singlets, however comparison of the downstream proportions against a traditional singlet gate (FSC-A vs FSC-H) shows there is little (&lt;2.5%) change in any subsequent populations.</w:t>
                            </w:r>
                            <w:bookmarkEnd w:id="273"/>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E563B50" id="Text Box 654" o:spid="_x0000_s1049" type="#_x0000_t202" style="position:absolute;left:0;text-align:left;margin-left:-3.85pt;margin-top:347.45pt;width:735.2pt;height:61.75pt;z-index:2520330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WUKUuNAIAAGwEAAAOAAAAZHJzL2Uyb0RvYy54bWysVE1v2zAMvQ/YfxB0X5yvfsyIU2QpMgwo&#13;&#10;2gLJ0LMiy7EASdQkJXb260fJdtp1Ow27yBRJUXrvkV7ctVqRk3BeginoZDSmRBgOpTSHgn7fbT7d&#13;&#10;UuIDMyVTYERBz8LTu+XHD4vG5mIKNahSOIJFjM8bW9A6BJtnmee10MyPwAqDwQqcZgG37pCVjjVY&#13;&#10;XatsOh5fZw240jrgwnv03ndBukz1q0rw8FRVXgSiCopvC2l1ad3HNVsuWH5wzNaS989g//AKzaTB&#13;&#10;Sy+l7llg5OjkH6W05A48VGHEQWdQVZKLhAHRTMbv0GxrZkXCguR4e6HJ/7+y/PH07IgsC3p9NafE&#13;&#10;MI0i7UQbyBdoSfQhQ431OSZuLaaGFgOo9OD36IzA28rp+EVIBOPI9fnCbyzH0fl5NrsZzzHEMXZz&#13;&#10;O59Or2KZ7PW0dT58FaBJNArqUL9EKzs9+NClDinxMg9KlhupVNzEwFo5cmKodVPLIPriv2UpE3MN&#13;&#10;xFNdwejJIsQOSrRCu28TKdPZgHMP5RnhO+hayFu+kXjhA/PhmTnsGYSFcxCecKkUNAWF3qKkBvfz&#13;&#10;b/6Yj1JilJIGe7Cg/seROUGJ+mZQ5Niwg+EGYz8Y5qjXgFAnOGGWJxMPuKAGs3KgX3A8VvEWDDHD&#13;&#10;8a6ChsFch24ScLy4WK1SEralZeHBbC2PpQdid+0Lc7aXJaCgjzB0J8vfqdPlJn3s6hiQ6iRdJLZj&#13;&#10;secbWzqJ349fnJm3+5T1+pNY/gIAAP//AwBQSwMEFAAGAAgAAAAhAKZJSNPmAAAAEAEAAA8AAABk&#13;&#10;cnMvZG93bnJldi54bWxMTz1vwjAQ3SvxH6xD6lKBA7VCCLkgRNuhXVBTlm4mNnHa2I5sB9J/XzO1&#13;&#10;y0l37937KLaj7shFOt9ag7CYJ0Ckqa1oTYNw/HiZZUB84EbwzhqJ8CM9bMvJXcFzYa/mXV6q0JAo&#13;&#10;YnzOEVQIfU6pr5XU3M9tL03EztZpHuLqGiocv0Zx3dFlkqRU89ZEB8V7uVey/q4GjXBgnwf1MJyf&#13;&#10;33bs0b0eh3361VSI99PxaRPHbgMkyDH8fcCtQ8wPZQx2soMRnnQIs9UqMhHSNVsDuRFYuoynE0K2&#13;&#10;yBjQsqD/i5S/AAAA//8DAFBLAQItABQABgAIAAAAIQC2gziS/gAAAOEBAAATAAAAAAAAAAAAAAAA&#13;&#10;AAAAAABbQ29udGVudF9UeXBlc10ueG1sUEsBAi0AFAAGAAgAAAAhADj9If/WAAAAlAEAAAsAAAAA&#13;&#10;AAAAAAAAAAAALwEAAF9yZWxzLy5yZWxzUEsBAi0AFAAGAAgAAAAhANZQpS40AgAAbAQAAA4AAAAA&#13;&#10;AAAAAAAAAAAALgIAAGRycy9lMm9Eb2MueG1sUEsBAi0AFAAGAAgAAAAhAKZJSNPmAAAAEAEAAA8A&#13;&#10;AAAAAAAAAAAAAAAAjgQAAGRycy9kb3ducmV2LnhtbFBLBQYAAAAABAAEAPMAAAChBQAAAAA=&#13;&#10;" stroked="f">
                <v:textbox style="mso-fit-shape-to-text:t" inset="0,0,0,0">
                  <w:txbxContent>
                    <w:p w14:paraId="5CB975C0" w14:textId="202FE4F0" w:rsidR="00F61130" w:rsidRPr="00B23FF8" w:rsidRDefault="00F61130" w:rsidP="0004454D">
                      <w:pPr>
                        <w:pStyle w:val="Caption"/>
                        <w:spacing w:line="360" w:lineRule="auto"/>
                        <w:jc w:val="both"/>
                        <w:rPr>
                          <w:i/>
                          <w:noProof/>
                          <w:sz w:val="20"/>
                          <w:szCs w:val="20"/>
                        </w:rPr>
                      </w:pPr>
                      <w:bookmarkStart w:id="274" w:name="_Ref518932073"/>
                      <w:bookmarkStart w:id="275" w:name="_Toc525227199"/>
                      <w:bookmarkStart w:id="276" w:name="_Toc536814138"/>
                      <w:r w:rsidRPr="00E30F4E">
                        <w:rPr>
                          <w:b/>
                          <w:sz w:val="20"/>
                          <w:szCs w:val="20"/>
                        </w:rPr>
                        <w:t xml:space="preserve">Figure </w:t>
                      </w:r>
                      <w:r>
                        <w:rPr>
                          <w:b/>
                          <w:sz w:val="20"/>
                          <w:szCs w:val="20"/>
                        </w:rPr>
                        <w:fldChar w:fldCharType="begin"/>
                      </w:r>
                      <w:r>
                        <w:rPr>
                          <w:b/>
                          <w:sz w:val="20"/>
                          <w:szCs w:val="20"/>
                        </w:rPr>
                        <w:instrText xml:space="preserve"> STYLEREF 1 \s </w:instrText>
                      </w:r>
                      <w:r>
                        <w:rPr>
                          <w:b/>
                          <w:sz w:val="20"/>
                          <w:szCs w:val="20"/>
                        </w:rPr>
                        <w:fldChar w:fldCharType="separate"/>
                      </w:r>
                      <w:r>
                        <w:rPr>
                          <w:b/>
                          <w:noProof/>
                          <w:sz w:val="20"/>
                          <w:szCs w:val="20"/>
                        </w:rPr>
                        <w:t>3</w:t>
                      </w:r>
                      <w:r>
                        <w:rPr>
                          <w:b/>
                          <w:sz w:val="20"/>
                          <w:szCs w:val="20"/>
                        </w:rPr>
                        <w:fldChar w:fldCharType="end"/>
                      </w:r>
                      <w:r>
                        <w:rPr>
                          <w:b/>
                          <w:sz w:val="20"/>
                          <w:szCs w:val="20"/>
                        </w:rPr>
                        <w:t>.</w:t>
                      </w:r>
                      <w:r>
                        <w:rPr>
                          <w:b/>
                          <w:sz w:val="20"/>
                          <w:szCs w:val="20"/>
                        </w:rPr>
                        <w:fldChar w:fldCharType="begin"/>
                      </w:r>
                      <w:r>
                        <w:rPr>
                          <w:b/>
                          <w:sz w:val="20"/>
                          <w:szCs w:val="20"/>
                        </w:rPr>
                        <w:instrText xml:space="preserve"> SEQ Figure \* ARABIC \s 1 </w:instrText>
                      </w:r>
                      <w:r>
                        <w:rPr>
                          <w:b/>
                          <w:sz w:val="20"/>
                          <w:szCs w:val="20"/>
                        </w:rPr>
                        <w:fldChar w:fldCharType="separate"/>
                      </w:r>
                      <w:r>
                        <w:rPr>
                          <w:b/>
                          <w:noProof/>
                          <w:sz w:val="20"/>
                          <w:szCs w:val="20"/>
                        </w:rPr>
                        <w:t>8</w:t>
                      </w:r>
                      <w:r>
                        <w:rPr>
                          <w:b/>
                          <w:sz w:val="20"/>
                          <w:szCs w:val="20"/>
                        </w:rPr>
                        <w:fldChar w:fldCharType="end"/>
                      </w:r>
                      <w:bookmarkEnd w:id="274"/>
                      <w:r w:rsidRPr="00E30F4E">
                        <w:rPr>
                          <w:b/>
                          <w:sz w:val="20"/>
                          <w:szCs w:val="20"/>
                        </w:rPr>
                        <w:t xml:space="preserve"> - Initial Gating Strategy to identify subsets of hepatic </w:t>
                      </w:r>
                      <w:r>
                        <w:rPr>
                          <w:b/>
                          <w:sz w:val="20"/>
                          <w:szCs w:val="20"/>
                        </w:rPr>
                        <w:t>leukocytes</w:t>
                      </w:r>
                      <w:r w:rsidRPr="00E30F4E">
                        <w:rPr>
                          <w:b/>
                          <w:sz w:val="20"/>
                          <w:szCs w:val="20"/>
                        </w:rPr>
                        <w:t>.</w:t>
                      </w:r>
                      <w:r w:rsidRPr="00E30F4E">
                        <w:rPr>
                          <w:sz w:val="20"/>
                          <w:szCs w:val="20"/>
                        </w:rPr>
                        <w:t xml:space="preserve"> Gating strategy used to quantify </w:t>
                      </w:r>
                      <w:r>
                        <w:rPr>
                          <w:sz w:val="20"/>
                          <w:szCs w:val="20"/>
                        </w:rPr>
                        <w:t>leukocyte</w:t>
                      </w:r>
                      <w:r w:rsidRPr="00E30F4E">
                        <w:rPr>
                          <w:sz w:val="20"/>
                          <w:szCs w:val="20"/>
                        </w:rPr>
                        <w:t xml:space="preserve"> subsets (Lymphoid cells, neutrophils, dendritic cells, Kupffer cells and monocytes) from the liver of </w:t>
                      </w:r>
                      <w:r w:rsidRPr="00E30F4E">
                        <w:rPr>
                          <w:i/>
                          <w:sz w:val="20"/>
                          <w:szCs w:val="20"/>
                        </w:rPr>
                        <w:t>L. donovani</w:t>
                      </w:r>
                      <w:r w:rsidRPr="00E30F4E">
                        <w:rPr>
                          <w:sz w:val="20"/>
                          <w:szCs w:val="20"/>
                        </w:rPr>
                        <w:t xml:space="preserve"> infected mice. Subsets were all characterised on the basis of being CD45+ live single cells. Data </w:t>
                      </w:r>
                      <w:r>
                        <w:rPr>
                          <w:sz w:val="20"/>
                          <w:szCs w:val="20"/>
                        </w:rPr>
                        <w:t>are</w:t>
                      </w:r>
                      <w:r w:rsidRPr="00E30F4E">
                        <w:rPr>
                          <w:sz w:val="20"/>
                          <w:szCs w:val="20"/>
                        </w:rPr>
                        <w:t xml:space="preserve"> representative of a Day 28 post-infection purified liver leukocyte population.</w:t>
                      </w:r>
                      <w:r>
                        <w:rPr>
                          <w:sz w:val="20"/>
                          <w:szCs w:val="20"/>
                        </w:rPr>
                        <w:t xml:space="preserve"> This gating strategy utilised staining protocol 1 (Section </w:t>
                      </w:r>
                      <w:r>
                        <w:rPr>
                          <w:sz w:val="20"/>
                          <w:szCs w:val="20"/>
                        </w:rPr>
                        <w:fldChar w:fldCharType="begin"/>
                      </w:r>
                      <w:r>
                        <w:rPr>
                          <w:sz w:val="20"/>
                          <w:szCs w:val="20"/>
                        </w:rPr>
                        <w:instrText xml:space="preserve"> REF _Ref519021276 \n </w:instrText>
                      </w:r>
                      <w:r>
                        <w:rPr>
                          <w:sz w:val="20"/>
                          <w:szCs w:val="20"/>
                        </w:rPr>
                        <w:fldChar w:fldCharType="separate"/>
                      </w:r>
                      <w:r>
                        <w:rPr>
                          <w:sz w:val="20"/>
                          <w:szCs w:val="20"/>
                        </w:rPr>
                        <w:t>2.8</w:t>
                      </w:r>
                      <w:r>
                        <w:rPr>
                          <w:sz w:val="20"/>
                          <w:szCs w:val="20"/>
                        </w:rPr>
                        <w:fldChar w:fldCharType="end"/>
                      </w:r>
                      <w:r>
                        <w:rPr>
                          <w:sz w:val="20"/>
                          <w:szCs w:val="20"/>
                        </w:rPr>
                        <w:t>).</w:t>
                      </w:r>
                      <w:bookmarkEnd w:id="275"/>
                      <w:r>
                        <w:rPr>
                          <w:sz w:val="20"/>
                          <w:szCs w:val="20"/>
                        </w:rPr>
                        <w:t xml:space="preserve"> </w:t>
                      </w:r>
                      <w:r>
                        <w:rPr>
                          <w:i/>
                          <w:sz w:val="20"/>
                          <w:szCs w:val="20"/>
                        </w:rPr>
                        <w:t>Addendum 3/1/19: The singlet gate shown does not discriminate singlets, however comparison of the downstream proportions against a traditional singlet gate (FSC-A vs FSC-H) shows there is little (&lt;2.5%) change in any subsequent populations.</w:t>
                      </w:r>
                      <w:bookmarkEnd w:id="276"/>
                    </w:p>
                  </w:txbxContent>
                </v:textbox>
                <w10:wrap type="topAndBottom"/>
              </v:shape>
            </w:pict>
          </mc:Fallback>
        </mc:AlternateContent>
      </w:r>
      <w:r>
        <w:rPr>
          <w:noProof/>
        </w:rPr>
        <w:drawing>
          <wp:anchor distT="0" distB="0" distL="114300" distR="114300" simplePos="0" relativeHeight="252034048" behindDoc="0" locked="0" layoutInCell="1" allowOverlap="1" wp14:anchorId="70DCCF79" wp14:editId="09E8876D">
            <wp:simplePos x="0" y="0"/>
            <wp:positionH relativeFrom="column">
              <wp:posOffset>-240030</wp:posOffset>
            </wp:positionH>
            <wp:positionV relativeFrom="paragraph">
              <wp:posOffset>351155</wp:posOffset>
            </wp:positionV>
            <wp:extent cx="9719945" cy="3968178"/>
            <wp:effectExtent l="0" t="0" r="0" b="0"/>
            <wp:wrapTopAndBottom/>
            <wp:docPr id="163" name="Picture 4">
              <a:extLst xmlns:a="http://schemas.openxmlformats.org/drawingml/2006/main">
                <a:ext uri="{FF2B5EF4-FFF2-40B4-BE49-F238E27FC236}">
                  <a16:creationId xmlns:a16="http://schemas.microsoft.com/office/drawing/2014/main" id="{4879D989-8FD0-6C4D-B8AF-53A1EBA7D21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Picture 4">
                      <a:extLst>
                        <a:ext uri="{FF2B5EF4-FFF2-40B4-BE49-F238E27FC236}">
                          <a16:creationId xmlns:a16="http://schemas.microsoft.com/office/drawing/2014/main" id="{4879D989-8FD0-6C4D-B8AF-53A1EBA7D210}"/>
                        </a:ext>
                      </a:extLst>
                    </pic:cNvPr>
                    <pic:cNvPicPr>
                      <a:picLocks noChangeAspect="1"/>
                    </pic:cNvPicPr>
                  </pic:nvPicPr>
                  <pic:blipFill>
                    <a:blip r:embed="rId39">
                      <a:extLst>
                        <a:ext uri="{28A0092B-C50C-407E-A947-70E740481C1C}">
                          <a14:useLocalDpi xmlns:a14="http://schemas.microsoft.com/office/drawing/2010/main" val="0"/>
                        </a:ext>
                      </a:extLst>
                    </a:blip>
                    <a:stretch>
                      <a:fillRect/>
                    </a:stretch>
                  </pic:blipFill>
                  <pic:spPr>
                    <a:xfrm>
                      <a:off x="0" y="0"/>
                      <a:ext cx="9719945" cy="3968178"/>
                    </a:xfrm>
                    <a:prstGeom prst="rect">
                      <a:avLst/>
                    </a:prstGeom>
                  </pic:spPr>
                </pic:pic>
              </a:graphicData>
            </a:graphic>
          </wp:anchor>
        </w:drawing>
      </w:r>
    </w:p>
    <w:p w14:paraId="32C2C056" w14:textId="4230043D" w:rsidR="00E30F4E" w:rsidRPr="008B3AD6" w:rsidRDefault="00E30F4E" w:rsidP="009154C0">
      <w:pPr>
        <w:spacing w:line="360" w:lineRule="auto"/>
        <w:jc w:val="both"/>
        <w:sectPr w:rsidR="00E30F4E" w:rsidRPr="008B3AD6" w:rsidSect="00E30F4E">
          <w:pgSz w:w="16840" w:h="11900" w:orient="landscape"/>
          <w:pgMar w:top="851" w:right="1134" w:bottom="2268" w:left="1134" w:header="709" w:footer="709" w:gutter="0"/>
          <w:cols w:space="708"/>
          <w:docGrid w:linePitch="360"/>
        </w:sectPr>
      </w:pPr>
    </w:p>
    <w:p w14:paraId="09B30940" w14:textId="374D9F14" w:rsidR="00931413" w:rsidRPr="008B3AD6" w:rsidRDefault="00931413" w:rsidP="00931413">
      <w:pPr>
        <w:spacing w:line="360" w:lineRule="auto"/>
        <w:jc w:val="both"/>
      </w:pPr>
      <w:r w:rsidRPr="008B3AD6">
        <w:lastRenderedPageBreak/>
        <w:t xml:space="preserve">To begin characterising the cellular distribution of </w:t>
      </w:r>
      <w:r w:rsidR="00A32111">
        <w:t>AmB</w:t>
      </w:r>
      <w:r w:rsidRPr="008B3AD6">
        <w:t xml:space="preserve">, mice were infected with </w:t>
      </w:r>
      <w:r w:rsidRPr="008B3AD6">
        <w:rPr>
          <w:i/>
        </w:rPr>
        <w:t>L. donovani</w:t>
      </w:r>
      <w:r w:rsidRPr="008B3AD6">
        <w:t xml:space="preserve"> and treated with AmBisome at 28 days post-infection. After 12h, liver samples were taken (150 </w:t>
      </w:r>
      <w:r w:rsidRPr="008B3AD6">
        <w:sym w:font="Symbol" w:char="F0B1"/>
      </w:r>
      <w:r w:rsidRPr="008B3AD6">
        <w:t xml:space="preserve"> 30 mg) and the remaining liver was then digested</w:t>
      </w:r>
      <w:r w:rsidR="00D219FA">
        <w:t>, using digestion protocol 1,</w:t>
      </w:r>
      <w:r w:rsidRPr="008B3AD6">
        <w:t xml:space="preserve"> to recover leukocytes (see Section </w:t>
      </w:r>
      <w:r w:rsidR="008B3AD6" w:rsidRPr="008B3AD6">
        <w:fldChar w:fldCharType="begin"/>
      </w:r>
      <w:r w:rsidR="008B3AD6" w:rsidRPr="008B3AD6">
        <w:instrText xml:space="preserve"> REF _Ref518492280 \n </w:instrText>
      </w:r>
      <w:r w:rsidR="008B3AD6">
        <w:instrText xml:space="preserve"> \* MERGEFORMAT </w:instrText>
      </w:r>
      <w:r w:rsidR="008B3AD6" w:rsidRPr="008B3AD6">
        <w:fldChar w:fldCharType="separate"/>
      </w:r>
      <w:r w:rsidR="00031DCA">
        <w:t>2.5</w:t>
      </w:r>
      <w:r w:rsidR="008B3AD6" w:rsidRPr="008B3AD6">
        <w:fldChar w:fldCharType="end"/>
      </w:r>
      <w:r w:rsidRPr="008B3AD6">
        <w:t xml:space="preserve">). These liver samples and aliquots of leukocytes were then processed for </w:t>
      </w:r>
      <w:r w:rsidR="00A32111">
        <w:t>AmB</w:t>
      </w:r>
      <w:r w:rsidRPr="008B3AD6">
        <w:t xml:space="preserve"> extraction as detailed in Section </w:t>
      </w:r>
      <w:r w:rsidR="008B3AD6" w:rsidRPr="008B3AD6">
        <w:fldChar w:fldCharType="begin"/>
      </w:r>
      <w:r w:rsidR="008B3AD6" w:rsidRPr="008B3AD6">
        <w:instrText xml:space="preserve"> REF _Ref521692121 \n </w:instrText>
      </w:r>
      <w:r w:rsidR="008B3AD6">
        <w:instrText xml:space="preserve"> \* MERGEFORMAT </w:instrText>
      </w:r>
      <w:r w:rsidR="008B3AD6" w:rsidRPr="008B3AD6">
        <w:fldChar w:fldCharType="separate"/>
      </w:r>
      <w:r w:rsidR="00031DCA">
        <w:t>2.12</w:t>
      </w:r>
      <w:r w:rsidR="008B3AD6" w:rsidRPr="008B3AD6">
        <w:fldChar w:fldCharType="end"/>
      </w:r>
      <w:r w:rsidRPr="008B3AD6">
        <w:t>.</w:t>
      </w:r>
    </w:p>
    <w:p w14:paraId="347681B7" w14:textId="77777777" w:rsidR="00931413" w:rsidRPr="008B3AD6" w:rsidRDefault="00931413" w:rsidP="00931413">
      <w:pPr>
        <w:spacing w:line="360" w:lineRule="auto"/>
        <w:jc w:val="both"/>
      </w:pPr>
    </w:p>
    <w:p w14:paraId="415B1C6D" w14:textId="54B6FCAD" w:rsidR="00931413" w:rsidRPr="008B3AD6" w:rsidRDefault="00A32111" w:rsidP="00931413">
      <w:pPr>
        <w:spacing w:line="360" w:lineRule="auto"/>
        <w:jc w:val="both"/>
      </w:pPr>
      <w:r>
        <w:t>AmB</w:t>
      </w:r>
      <w:r w:rsidR="00931413" w:rsidRPr="008B3AD6">
        <w:t xml:space="preserve"> was detectable in all of the liver samples  analysed (</w:t>
      </w:r>
      <w:r w:rsidR="0074700A">
        <w:rPr>
          <w:b/>
        </w:rPr>
        <w:fldChar w:fldCharType="begin"/>
      </w:r>
      <w:r w:rsidR="0074700A">
        <w:rPr>
          <w:b/>
        </w:rPr>
        <w:instrText xml:space="preserve"> REF _Ref518932093  \* MERGEFORMAT </w:instrText>
      </w:r>
      <w:r w:rsidR="0074700A">
        <w:rPr>
          <w:b/>
        </w:rPr>
        <w:fldChar w:fldCharType="separate"/>
      </w:r>
      <w:r w:rsidR="00E5551E" w:rsidRPr="00E5551E">
        <w:rPr>
          <w:b/>
        </w:rPr>
        <w:t xml:space="preserve">Figure </w:t>
      </w:r>
      <w:r w:rsidR="00E5551E" w:rsidRPr="00E5551E">
        <w:rPr>
          <w:b/>
          <w:noProof/>
        </w:rPr>
        <w:t>3.9</w:t>
      </w:r>
      <w:r w:rsidR="0074700A">
        <w:rPr>
          <w:b/>
          <w:noProof/>
        </w:rPr>
        <w:fldChar w:fldCharType="end"/>
      </w:r>
      <w:r w:rsidR="00931413" w:rsidRPr="008B3AD6">
        <w:rPr>
          <w:b/>
        </w:rPr>
        <w:t>A</w:t>
      </w:r>
      <w:r w:rsidR="00931413" w:rsidRPr="008B3AD6">
        <w:t>) and these values were transformed to estimate drug accumulation in the whole liver (</w:t>
      </w:r>
      <w:r w:rsidR="0074700A">
        <w:rPr>
          <w:b/>
        </w:rPr>
        <w:fldChar w:fldCharType="begin"/>
      </w:r>
      <w:r w:rsidR="0074700A">
        <w:rPr>
          <w:b/>
        </w:rPr>
        <w:instrText xml:space="preserve"> REF _Ref518932093  \* MERGEFORMAT </w:instrText>
      </w:r>
      <w:r w:rsidR="0074700A">
        <w:rPr>
          <w:b/>
        </w:rPr>
        <w:fldChar w:fldCharType="separate"/>
      </w:r>
      <w:r w:rsidR="00E5551E" w:rsidRPr="00E5551E">
        <w:rPr>
          <w:b/>
        </w:rPr>
        <w:t xml:space="preserve">Figure </w:t>
      </w:r>
      <w:r w:rsidR="00E5551E" w:rsidRPr="00E5551E">
        <w:rPr>
          <w:b/>
          <w:noProof/>
        </w:rPr>
        <w:t>3.9</w:t>
      </w:r>
      <w:r w:rsidR="0074700A">
        <w:rPr>
          <w:b/>
          <w:noProof/>
        </w:rPr>
        <w:fldChar w:fldCharType="end"/>
      </w:r>
      <w:r w:rsidR="00931413" w:rsidRPr="008B3AD6">
        <w:rPr>
          <w:b/>
        </w:rPr>
        <w:t>A</w:t>
      </w:r>
      <w:r w:rsidR="00931413" w:rsidRPr="008B3AD6">
        <w:t xml:space="preserve">) by scaling the sample weight to the whole liver weight. For example, for a liver weight of 1.938 g and liver sample of 0.157 g, a scaling factor of 12.34 is generated. This approach has previously been employed in pharmacokinetic studies (Proffitt et al., 1991; Voak et al., 2017). On average the accumulation of </w:t>
      </w:r>
      <w:r>
        <w:t>AmB</w:t>
      </w:r>
      <w:r w:rsidR="00931413" w:rsidRPr="008B3AD6">
        <w:t xml:space="preserve"> within the total liver was found to be 54.57 </w:t>
      </w:r>
      <w:r w:rsidR="00931413" w:rsidRPr="008B3AD6">
        <w:sym w:font="Symbol" w:char="F0B1"/>
      </w:r>
      <w:r w:rsidR="00931413" w:rsidRPr="008B3AD6">
        <w:t xml:space="preserve"> 17.43 </w:t>
      </w:r>
      <w:r w:rsidR="00931413" w:rsidRPr="008B3AD6">
        <w:sym w:font="Symbol" w:char="F06D"/>
      </w:r>
      <w:r w:rsidR="00931413" w:rsidRPr="008B3AD6">
        <w:t xml:space="preserve">g, representing an average liver retention of 28% of the injected dose. These data demonstrate that the liver accumulates significant </w:t>
      </w:r>
      <w:r>
        <w:t>AmB</w:t>
      </w:r>
      <w:r w:rsidR="00931413" w:rsidRPr="008B3AD6">
        <w:t xml:space="preserve"> in an </w:t>
      </w:r>
      <w:r w:rsidR="00931413" w:rsidRPr="008B3AD6">
        <w:rPr>
          <w:i/>
        </w:rPr>
        <w:t xml:space="preserve">L. donovani </w:t>
      </w:r>
      <w:r w:rsidR="00931413" w:rsidRPr="008B3AD6">
        <w:t xml:space="preserve">infected mouse, recapitulating previous observations </w:t>
      </w:r>
      <w:r w:rsidR="00931413" w:rsidRPr="008B3AD6">
        <w:rPr>
          <w:noProof/>
        </w:rPr>
        <w:fldChar w:fldCharType="begin"/>
      </w:r>
      <w:r w:rsidR="00025067">
        <w:rPr>
          <w:noProof/>
        </w:rPr>
        <w:instrText xml:space="preserve"> ADDIN ZOTERO_ITEM CSL_CITATION {"citationID":"bvtdKt2f","properties":{"formattedCitation":"(Voak et al. 2017c)","plainCitation":"(Voak et al. 2017c)","noteIndex":0},"citationItems":[{"id":2507,"uris":["http://zotero.org/users/2628971/items/W2SGM4SR"],"uri":["http://zotero.org/users/2628971/items/W2SGM4SR"],"itemData":{"id":2507,"type":"article-journal","title":"Pharmacodynamics and Biodistribution of Single-Dose Liposomal Amphotericin B at Different Stages of Experimental Visceral Leishmaniasis","container-title":"Antimicrobial Agents and Chemotherapy","volume":"61","issue":"9","source":"PubMed","abstract":"Visceral leishmaniasis is a neglected tropical disease that causes significant morbidity and mortality worldwide. Characterization of the pharmacokinetics and pharmacodynamics of antileishmanial drugs in preclinical models is important for drug development and use. Here we investigated the pharmacodynamics and drug distribution of liposomal amphotericin B (AmBisome) inLeishmania donovani-infected BALB/c mice at three different dose levels and two different time points after infection. We additionally compared drug levels in plasma, liver, and spleen in infected and uninfected BALB/c mice over time. At the highest administered dose of 10 mg/kg AmBisome, &gt;90% parasite inhibition was observed within 2 days after drug administration, consistent with drug distribution from blood to tissue within 24 h and a fast rate of kill. Decreased drug potency was observed in the spleen when AmBisome was administered on day 35 after infection, compared to day 14 after infection. Amphotericin B concentrations and total drug amounts per organ were lower in liver and spleen when AmBisome was administered at the advanced stage of infection and compared to those in uninfected BALB/c mice. However, the magnitude of difference was lower when total drug amounts per organ were estimated. Differences were also noted in drug distribution toL. donovani-infected livers and spleens. Taken together, our data suggest that organ enlargement and other pathophysiological factors cause infection- and organ-specific drug distribution and elimination after administration of single-dose AmBisome toL. donovani-infected mice. Plasma drug levels were not reflective of changes in drug levels in tissues.","DOI":"10.1128/AAC.00497-17","ISSN":"1098-6596","note":"PMID: 28630200\nPMCID: PMC5571318","journalAbbreviation":"Antimicrob. Agents Chemother.","language":"eng","author":[{"family":"Voak","given":"Andrew A."},{"family":"Harris","given":"Andy"},{"family":"Qaiser","given":"Zeeshan"},{"family":"Croft","given":"Simon L."},{"family":"Seifert","given":"Karin"}],"issued":{"date-parts":[["2017",9]]}}}],"schema":"https://github.com/citation-style-language/schema/raw/master/csl-citation.json"} </w:instrText>
      </w:r>
      <w:r w:rsidR="00931413" w:rsidRPr="008B3AD6">
        <w:rPr>
          <w:noProof/>
        </w:rPr>
        <w:fldChar w:fldCharType="separate"/>
      </w:r>
      <w:r w:rsidR="00025067">
        <w:rPr>
          <w:noProof/>
        </w:rPr>
        <w:t>(Voak et al. 2017)</w:t>
      </w:r>
      <w:r w:rsidR="00931413" w:rsidRPr="008B3AD6">
        <w:rPr>
          <w:noProof/>
        </w:rPr>
        <w:fldChar w:fldCharType="end"/>
      </w:r>
      <w:r w:rsidR="00931413" w:rsidRPr="008B3AD6">
        <w:t>.</w:t>
      </w:r>
    </w:p>
    <w:p w14:paraId="5F5E5E5B" w14:textId="77777777" w:rsidR="00931413" w:rsidRPr="008B3AD6" w:rsidRDefault="00931413" w:rsidP="00931413">
      <w:pPr>
        <w:spacing w:line="360" w:lineRule="auto"/>
        <w:jc w:val="both"/>
      </w:pPr>
    </w:p>
    <w:p w14:paraId="23397889" w14:textId="6E9B116B" w:rsidR="00DD6D4C" w:rsidRPr="008B3AD6" w:rsidRDefault="00931413" w:rsidP="00931413">
      <w:pPr>
        <w:spacing w:line="360" w:lineRule="auto"/>
        <w:jc w:val="both"/>
      </w:pPr>
      <w:r w:rsidRPr="008B3AD6">
        <w:t xml:space="preserve">The analysis of leukocytes yielded detection of </w:t>
      </w:r>
      <w:r w:rsidR="00A32111">
        <w:t>AmB</w:t>
      </w:r>
      <w:r w:rsidRPr="008B3AD6">
        <w:t xml:space="preserve"> in all samples (</w:t>
      </w:r>
      <w:r w:rsidRPr="008B3AD6">
        <w:rPr>
          <w:b/>
        </w:rPr>
        <w:fldChar w:fldCharType="begin"/>
      </w:r>
      <w:r w:rsidRPr="008B3AD6">
        <w:rPr>
          <w:b/>
        </w:rPr>
        <w:instrText xml:space="preserve"> REF _Ref518932093  \* MERGEFORMAT </w:instrText>
      </w:r>
      <w:r w:rsidRPr="008B3AD6">
        <w:rPr>
          <w:b/>
        </w:rPr>
        <w:fldChar w:fldCharType="separate"/>
      </w:r>
      <w:r w:rsidR="00E5551E" w:rsidRPr="00E5551E">
        <w:rPr>
          <w:b/>
        </w:rPr>
        <w:t xml:space="preserve">Figure </w:t>
      </w:r>
      <w:r w:rsidR="00E5551E" w:rsidRPr="00E5551E">
        <w:rPr>
          <w:b/>
          <w:noProof/>
        </w:rPr>
        <w:t>3.9</w:t>
      </w:r>
      <w:r w:rsidRPr="008B3AD6">
        <w:rPr>
          <w:b/>
        </w:rPr>
        <w:fldChar w:fldCharType="end"/>
      </w:r>
      <w:r w:rsidRPr="008B3AD6">
        <w:rPr>
          <w:b/>
        </w:rPr>
        <w:t>B</w:t>
      </w:r>
      <w:r w:rsidRPr="008B3AD6">
        <w:t>) and these values were also scaled to determine drug uptake by the total hepatic leukocyte population (</w:t>
      </w:r>
      <w:r w:rsidR="0074700A">
        <w:rPr>
          <w:b/>
        </w:rPr>
        <w:fldChar w:fldCharType="begin"/>
      </w:r>
      <w:r w:rsidR="0074700A">
        <w:rPr>
          <w:b/>
        </w:rPr>
        <w:instrText xml:space="preserve"> REF _Ref518932093  \* MERGEFORMAT </w:instrText>
      </w:r>
      <w:r w:rsidR="0074700A">
        <w:rPr>
          <w:b/>
        </w:rPr>
        <w:fldChar w:fldCharType="separate"/>
      </w:r>
      <w:r w:rsidR="00E5551E" w:rsidRPr="00E5551E">
        <w:rPr>
          <w:b/>
        </w:rPr>
        <w:t xml:space="preserve">Figure </w:t>
      </w:r>
      <w:r w:rsidR="00E5551E" w:rsidRPr="00E5551E">
        <w:rPr>
          <w:b/>
          <w:noProof/>
        </w:rPr>
        <w:t>3.9</w:t>
      </w:r>
      <w:r w:rsidR="0074700A">
        <w:rPr>
          <w:b/>
          <w:noProof/>
        </w:rPr>
        <w:fldChar w:fldCharType="end"/>
      </w:r>
      <w:r w:rsidRPr="008B3AD6">
        <w:rPr>
          <w:b/>
        </w:rPr>
        <w:t>B</w:t>
      </w:r>
      <w:r w:rsidRPr="008B3AD6">
        <w:t xml:space="preserve">). Five leukocyte samples were extracted per experiment, over 3 independent infection experiments, and the absolute population numbers captured. On average there were 99.18 </w:t>
      </w:r>
      <w:r w:rsidRPr="008B3AD6">
        <w:sym w:font="Symbol" w:char="F0B1"/>
      </w:r>
      <w:r w:rsidRPr="008B3AD6">
        <w:t xml:space="preserve"> 43.20 x 10</w:t>
      </w:r>
      <w:r w:rsidRPr="008B3AD6">
        <w:rPr>
          <w:vertAlign w:val="superscript"/>
        </w:rPr>
        <w:t xml:space="preserve">6 </w:t>
      </w:r>
      <w:r w:rsidRPr="008B3AD6">
        <w:t>hepatic leukocytes recovered and per 1x10</w:t>
      </w:r>
      <w:r w:rsidRPr="008B3AD6">
        <w:rPr>
          <w:vertAlign w:val="superscript"/>
        </w:rPr>
        <w:t>6</w:t>
      </w:r>
      <w:r w:rsidRPr="008B3AD6">
        <w:t xml:space="preserve"> leukocytes an average of 0.07 </w:t>
      </w:r>
      <w:r w:rsidRPr="008B3AD6">
        <w:sym w:font="Symbol" w:char="F0B1"/>
      </w:r>
      <w:r w:rsidRPr="008B3AD6">
        <w:t xml:space="preserve"> 0.03 </w:t>
      </w:r>
      <w:r w:rsidRPr="008B3AD6">
        <w:sym w:font="Symbol" w:char="F06D"/>
      </w:r>
      <w:r w:rsidRPr="008B3AD6">
        <w:t xml:space="preserve">g of </w:t>
      </w:r>
      <w:r w:rsidR="00A32111">
        <w:t>AmB</w:t>
      </w:r>
      <w:r w:rsidRPr="008B3AD6">
        <w:t xml:space="preserve"> was detected, resulting in an average total population accumulation of 7.26 </w:t>
      </w:r>
      <w:r w:rsidRPr="008B3AD6">
        <w:sym w:font="Symbol" w:char="F0B1"/>
      </w:r>
      <w:r w:rsidRPr="008B3AD6">
        <w:t xml:space="preserve"> 4.93 </w:t>
      </w:r>
      <w:r w:rsidRPr="008B3AD6">
        <w:sym w:font="Symbol" w:char="F06D"/>
      </w:r>
      <w:r w:rsidRPr="008B3AD6">
        <w:t xml:space="preserve">g. Hence, the majority of the hepatic </w:t>
      </w:r>
      <w:r w:rsidR="00A32111">
        <w:t>AmB</w:t>
      </w:r>
      <w:r w:rsidRPr="008B3AD6">
        <w:t xml:space="preserve"> is not located within leukocytes at 12h post-treatment. Given that </w:t>
      </w:r>
      <w:r w:rsidRPr="008B3AD6">
        <w:rPr>
          <w:i/>
        </w:rPr>
        <w:t>Leishmania</w:t>
      </w:r>
      <w:r w:rsidRPr="008B3AD6">
        <w:t xml:space="preserve"> </w:t>
      </w:r>
      <w:r w:rsidR="006C2ED9">
        <w:t xml:space="preserve">predominantly </w:t>
      </w:r>
      <w:r w:rsidRPr="008B3AD6">
        <w:t>reside within leu</w:t>
      </w:r>
      <w:r w:rsidR="006C2ED9">
        <w:t>k</w:t>
      </w:r>
      <w:r w:rsidRPr="008B3AD6">
        <w:t>ocytes, this substantial off target accumulation represents a novel finding.</w:t>
      </w:r>
    </w:p>
    <w:p w14:paraId="11FBC0D0" w14:textId="27F3C427" w:rsidR="009154C0" w:rsidRPr="008B3AD6" w:rsidRDefault="009154C0" w:rsidP="00DD6D4C">
      <w:pPr>
        <w:spacing w:line="360" w:lineRule="auto"/>
        <w:jc w:val="both"/>
      </w:pPr>
    </w:p>
    <w:p w14:paraId="308FCD99" w14:textId="2179B573" w:rsidR="00B513E4" w:rsidRPr="008B3AD6" w:rsidRDefault="006C2ED9" w:rsidP="00B513E4">
      <w:pPr>
        <w:spacing w:line="360" w:lineRule="auto"/>
        <w:jc w:val="both"/>
      </w:pPr>
      <w:r>
        <w:rPr>
          <w:noProof/>
        </w:rPr>
        <w:lastRenderedPageBreak/>
        <mc:AlternateContent>
          <mc:Choice Requires="wps">
            <w:drawing>
              <wp:anchor distT="0" distB="0" distL="114300" distR="114300" simplePos="0" relativeHeight="252142592" behindDoc="0" locked="0" layoutInCell="1" allowOverlap="1" wp14:anchorId="4ADAB342" wp14:editId="38A021B6">
                <wp:simplePos x="0" y="0"/>
                <wp:positionH relativeFrom="column">
                  <wp:posOffset>0</wp:posOffset>
                </wp:positionH>
                <wp:positionV relativeFrom="paragraph">
                  <wp:posOffset>2961130</wp:posOffset>
                </wp:positionV>
                <wp:extent cx="5575300" cy="1558290"/>
                <wp:effectExtent l="0" t="0" r="0" b="3810"/>
                <wp:wrapTopAndBottom/>
                <wp:docPr id="660" name="Text Box 660"/>
                <wp:cNvGraphicFramePr/>
                <a:graphic xmlns:a="http://schemas.openxmlformats.org/drawingml/2006/main">
                  <a:graphicData uri="http://schemas.microsoft.com/office/word/2010/wordprocessingShape">
                    <wps:wsp>
                      <wps:cNvSpPr txBox="1"/>
                      <wps:spPr>
                        <a:xfrm>
                          <a:off x="0" y="0"/>
                          <a:ext cx="5575300" cy="1558290"/>
                        </a:xfrm>
                        <a:prstGeom prst="rect">
                          <a:avLst/>
                        </a:prstGeom>
                        <a:solidFill>
                          <a:prstClr val="white"/>
                        </a:solidFill>
                        <a:ln>
                          <a:noFill/>
                        </a:ln>
                      </wps:spPr>
                      <wps:txbx>
                        <w:txbxContent>
                          <w:p w14:paraId="7D4EAEBC" w14:textId="09E60753" w:rsidR="00F61130" w:rsidRPr="00CE37DB" w:rsidRDefault="00F61130" w:rsidP="006F30B9">
                            <w:pPr>
                              <w:pStyle w:val="Caption"/>
                              <w:spacing w:line="360" w:lineRule="auto"/>
                              <w:jc w:val="both"/>
                              <w:rPr>
                                <w:noProof/>
                                <w:sz w:val="20"/>
                                <w:szCs w:val="20"/>
                              </w:rPr>
                            </w:pPr>
                            <w:bookmarkStart w:id="277" w:name="_Ref534367991"/>
                            <w:bookmarkStart w:id="278" w:name="_Ref518932093"/>
                            <w:bookmarkStart w:id="279" w:name="_Toc525227200"/>
                            <w:bookmarkStart w:id="280" w:name="_Toc536814139"/>
                            <w:r w:rsidRPr="002E714B">
                              <w:rPr>
                                <w:b/>
                                <w:sz w:val="20"/>
                                <w:szCs w:val="20"/>
                              </w:rPr>
                              <w:t xml:space="preserve">Figure </w:t>
                            </w:r>
                            <w:r>
                              <w:rPr>
                                <w:b/>
                                <w:sz w:val="20"/>
                                <w:szCs w:val="20"/>
                              </w:rPr>
                              <w:fldChar w:fldCharType="begin"/>
                            </w:r>
                            <w:r>
                              <w:rPr>
                                <w:b/>
                                <w:sz w:val="20"/>
                                <w:szCs w:val="20"/>
                              </w:rPr>
                              <w:instrText xml:space="preserve"> STYLEREF 1 \s </w:instrText>
                            </w:r>
                            <w:r>
                              <w:rPr>
                                <w:b/>
                                <w:sz w:val="20"/>
                                <w:szCs w:val="20"/>
                              </w:rPr>
                              <w:fldChar w:fldCharType="separate"/>
                            </w:r>
                            <w:r>
                              <w:rPr>
                                <w:b/>
                                <w:noProof/>
                                <w:sz w:val="20"/>
                                <w:szCs w:val="20"/>
                              </w:rPr>
                              <w:t>3</w:t>
                            </w:r>
                            <w:r>
                              <w:rPr>
                                <w:b/>
                                <w:sz w:val="20"/>
                                <w:szCs w:val="20"/>
                              </w:rPr>
                              <w:fldChar w:fldCharType="end"/>
                            </w:r>
                            <w:r>
                              <w:rPr>
                                <w:b/>
                                <w:sz w:val="20"/>
                                <w:szCs w:val="20"/>
                              </w:rPr>
                              <w:t>.</w:t>
                            </w:r>
                            <w:r>
                              <w:rPr>
                                <w:b/>
                                <w:sz w:val="20"/>
                                <w:szCs w:val="20"/>
                              </w:rPr>
                              <w:fldChar w:fldCharType="begin"/>
                            </w:r>
                            <w:r>
                              <w:rPr>
                                <w:b/>
                                <w:sz w:val="20"/>
                                <w:szCs w:val="20"/>
                              </w:rPr>
                              <w:instrText xml:space="preserve"> SEQ Figure \* ARABIC \s 1 </w:instrText>
                            </w:r>
                            <w:r>
                              <w:rPr>
                                <w:b/>
                                <w:sz w:val="20"/>
                                <w:szCs w:val="20"/>
                              </w:rPr>
                              <w:fldChar w:fldCharType="separate"/>
                            </w:r>
                            <w:r>
                              <w:rPr>
                                <w:b/>
                                <w:noProof/>
                                <w:sz w:val="20"/>
                                <w:szCs w:val="20"/>
                              </w:rPr>
                              <w:t>9</w:t>
                            </w:r>
                            <w:r>
                              <w:rPr>
                                <w:b/>
                                <w:sz w:val="20"/>
                                <w:szCs w:val="20"/>
                              </w:rPr>
                              <w:fldChar w:fldCharType="end"/>
                            </w:r>
                            <w:bookmarkEnd w:id="277"/>
                            <w:bookmarkEnd w:id="278"/>
                            <w:r w:rsidRPr="002E714B">
                              <w:rPr>
                                <w:b/>
                                <w:sz w:val="20"/>
                                <w:szCs w:val="20"/>
                              </w:rPr>
                              <w:t xml:space="preserve"> - Initial LC-MS Analysis of Liver and Hepatic </w:t>
                            </w:r>
                            <w:r>
                              <w:rPr>
                                <w:b/>
                                <w:sz w:val="20"/>
                                <w:szCs w:val="20"/>
                              </w:rPr>
                              <w:t>Leukocytes</w:t>
                            </w:r>
                            <w:r w:rsidRPr="002E714B">
                              <w:rPr>
                                <w:b/>
                                <w:sz w:val="20"/>
                                <w:szCs w:val="20"/>
                              </w:rPr>
                              <w:t>.</w:t>
                            </w:r>
                            <w:r w:rsidRPr="002E714B">
                              <w:rPr>
                                <w:sz w:val="20"/>
                                <w:szCs w:val="20"/>
                              </w:rPr>
                              <w:t xml:space="preserve"> </w:t>
                            </w:r>
                            <w:r>
                              <w:rPr>
                                <w:sz w:val="20"/>
                                <w:szCs w:val="20"/>
                              </w:rPr>
                              <w:t>Samples</w:t>
                            </w:r>
                            <w:r w:rsidRPr="002E714B">
                              <w:rPr>
                                <w:sz w:val="20"/>
                                <w:szCs w:val="20"/>
                              </w:rPr>
                              <w:t xml:space="preserve"> of liver (A - left) and </w:t>
                            </w:r>
                            <w:r>
                              <w:rPr>
                                <w:sz w:val="20"/>
                                <w:szCs w:val="20"/>
                              </w:rPr>
                              <w:t>leucocytes</w:t>
                            </w:r>
                            <w:r w:rsidRPr="002E714B">
                              <w:rPr>
                                <w:sz w:val="20"/>
                                <w:szCs w:val="20"/>
                              </w:rPr>
                              <w:t xml:space="preserve"> (B - left) from </w:t>
                            </w:r>
                            <w:r>
                              <w:rPr>
                                <w:sz w:val="20"/>
                                <w:szCs w:val="20"/>
                              </w:rPr>
                              <w:t xml:space="preserve">mice infected with </w:t>
                            </w:r>
                            <w:r>
                              <w:rPr>
                                <w:i/>
                                <w:sz w:val="20"/>
                                <w:szCs w:val="20"/>
                              </w:rPr>
                              <w:t>L</w:t>
                            </w:r>
                            <w:r w:rsidRPr="002E714B">
                              <w:rPr>
                                <w:i/>
                                <w:sz w:val="20"/>
                                <w:szCs w:val="20"/>
                              </w:rPr>
                              <w:t>. donovani</w:t>
                            </w:r>
                            <w:r w:rsidRPr="001339F2">
                              <w:rPr>
                                <w:sz w:val="20"/>
                                <w:szCs w:val="20"/>
                              </w:rPr>
                              <w:t xml:space="preserve"> for 28 days and treated 12h previously with</w:t>
                            </w:r>
                            <w:r>
                              <w:rPr>
                                <w:i/>
                                <w:sz w:val="20"/>
                                <w:szCs w:val="20"/>
                              </w:rPr>
                              <w:t xml:space="preserve"> </w:t>
                            </w:r>
                            <w:r w:rsidRPr="002E714B">
                              <w:rPr>
                                <w:sz w:val="20"/>
                                <w:szCs w:val="20"/>
                              </w:rPr>
                              <w:t>10mg/kg</w:t>
                            </w:r>
                            <w:r>
                              <w:rPr>
                                <w:sz w:val="20"/>
                                <w:szCs w:val="20"/>
                              </w:rPr>
                              <w:t xml:space="preserve"> AmBisome w</w:t>
                            </w:r>
                            <w:r w:rsidRPr="002E714B">
                              <w:rPr>
                                <w:sz w:val="20"/>
                                <w:szCs w:val="20"/>
                              </w:rPr>
                              <w:t xml:space="preserve">ere </w:t>
                            </w:r>
                            <w:r>
                              <w:rPr>
                                <w:sz w:val="20"/>
                                <w:szCs w:val="20"/>
                              </w:rPr>
                              <w:t xml:space="preserve">analysed for </w:t>
                            </w:r>
                            <w:r w:rsidRPr="002E714B">
                              <w:rPr>
                                <w:sz w:val="20"/>
                                <w:szCs w:val="20"/>
                              </w:rPr>
                              <w:t xml:space="preserve">Amphotericin B </w:t>
                            </w:r>
                            <w:r>
                              <w:rPr>
                                <w:sz w:val="20"/>
                                <w:szCs w:val="20"/>
                              </w:rPr>
                              <w:t xml:space="preserve">content </w:t>
                            </w:r>
                            <w:r w:rsidRPr="002E714B">
                              <w:rPr>
                                <w:sz w:val="20"/>
                                <w:szCs w:val="20"/>
                              </w:rPr>
                              <w:t xml:space="preserve">using LC-MS. </w:t>
                            </w:r>
                            <w:r>
                              <w:rPr>
                                <w:sz w:val="20"/>
                                <w:szCs w:val="20"/>
                              </w:rPr>
                              <w:t>Data are shown per sample and after normalisation for total live weight or leucocyte population size</w:t>
                            </w:r>
                            <w:r w:rsidRPr="002E714B">
                              <w:rPr>
                                <w:sz w:val="20"/>
                                <w:szCs w:val="20"/>
                              </w:rPr>
                              <w:t xml:space="preserve">. Data represents mean </w:t>
                            </w:r>
                            <w:r w:rsidRPr="002E714B">
                              <w:rPr>
                                <w:sz w:val="20"/>
                                <w:szCs w:val="20"/>
                              </w:rPr>
                              <w:sym w:font="Symbol" w:char="F0B1"/>
                            </w:r>
                            <w:r w:rsidRPr="002E714B">
                              <w:rPr>
                                <w:sz w:val="20"/>
                                <w:szCs w:val="20"/>
                              </w:rPr>
                              <w:t xml:space="preserve"> SD (Liver: n = 5 from </w:t>
                            </w:r>
                            <w:r>
                              <w:rPr>
                                <w:sz w:val="20"/>
                                <w:szCs w:val="20"/>
                              </w:rPr>
                              <w:t>one</w:t>
                            </w:r>
                            <w:r w:rsidRPr="002E714B">
                              <w:rPr>
                                <w:sz w:val="20"/>
                                <w:szCs w:val="20"/>
                              </w:rPr>
                              <w:t xml:space="preserve"> infection experiment; </w:t>
                            </w:r>
                            <w:r>
                              <w:rPr>
                                <w:sz w:val="20"/>
                                <w:szCs w:val="20"/>
                              </w:rPr>
                              <w:t>Leukocytes</w:t>
                            </w:r>
                            <w:r w:rsidRPr="002E714B">
                              <w:rPr>
                                <w:sz w:val="20"/>
                                <w:szCs w:val="20"/>
                              </w:rPr>
                              <w:t>: n = 15 from</w:t>
                            </w:r>
                            <w:r>
                              <w:rPr>
                                <w:sz w:val="20"/>
                                <w:szCs w:val="20"/>
                              </w:rPr>
                              <w:t xml:space="preserve"> three independent </w:t>
                            </w:r>
                            <w:r w:rsidRPr="002E714B">
                              <w:rPr>
                                <w:sz w:val="20"/>
                                <w:szCs w:val="20"/>
                              </w:rPr>
                              <w:t>infection experiments).</w:t>
                            </w:r>
                            <w:r>
                              <w:rPr>
                                <w:sz w:val="20"/>
                                <w:szCs w:val="20"/>
                              </w:rPr>
                              <w:t xml:space="preserve"> Samples were processed using digestion protocol 1 and the column extraction method.</w:t>
                            </w:r>
                            <w:bookmarkEnd w:id="279"/>
                            <w:bookmarkEnd w:id="280"/>
                            <w:r>
                              <w:rPr>
                                <w:sz w:val="20"/>
                                <w:szCs w:val="20"/>
                              </w:rPr>
                              <w:t xml:space="preserve"> </w:t>
                            </w:r>
                          </w:p>
                          <w:p w14:paraId="4B0F7CB8" w14:textId="52D2D553" w:rsidR="00F61130" w:rsidRPr="002E714B" w:rsidRDefault="00F61130" w:rsidP="0004454D">
                            <w:pPr>
                              <w:pStyle w:val="Caption"/>
                              <w:spacing w:line="360" w:lineRule="auto"/>
                              <w:jc w:val="both"/>
                              <w:rPr>
                                <w:noProof/>
                                <w:sz w:val="20"/>
                                <w:szCs w:val="20"/>
                              </w:rPr>
                            </w:pPr>
                          </w:p>
                          <w:p w14:paraId="0715A3C6" w14:textId="319A4558" w:rsidR="00F61130" w:rsidRPr="002E714B" w:rsidRDefault="00F61130" w:rsidP="0004454D">
                            <w:pPr>
                              <w:pStyle w:val="Caption"/>
                              <w:spacing w:line="360" w:lineRule="auto"/>
                              <w:jc w:val="both"/>
                              <w:rPr>
                                <w:b/>
                                <w:noProof/>
                                <w:sz w:val="20"/>
                                <w:szCs w:val="20"/>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4ADAB342" id="Text Box 660" o:spid="_x0000_s1050" type="#_x0000_t202" style="position:absolute;left:0;text-align:left;margin-left:0;margin-top:233.15pt;width:439pt;height:122.7pt;z-index:2521425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kKIKxNgIAAG0EAAAOAAAAZHJzL2Uyb0RvYy54bWysVFFv0zAQfkfiP1h+Z2kLHaNqOpVOQ0jT&#13;&#10;NmlFe3Ydp7Hk+IztNhm/ns9Os8HgCfHinO/OZ3/fd5flZd8adlQ+aLIln55NOFNWUqXtvuTfttfv&#13;&#10;LjgLUdhKGLKq5E8q8MvV2zfLzi3UjBoylfIMRWxYdK7kTYxuURRBNqoV4YycsgjW5FsRsfX7ovKi&#13;&#10;Q/XWFLPJ5LzoyFfOk1QhwHs1BPkq169rJeNdXQcVmSk53hbz6vO6S2uxWorF3gvXaHl6hviHV7RC&#13;&#10;W1z6XOpKRMEOXv9RqtXSU6A6nklqC6prLVXGADTTySs0D41wKmMBOcE90xT+X1l5e7z3TFclPz8H&#13;&#10;P1a0EGmr+sg+U8+SDwx1LiyQ+OCQGnsEoPToD3Am4H3t2/QFJIY4aj0985vKSTjn84/z9xOEJGLT&#13;&#10;+fxi9inXL16OOx/iF0UtS0bJPQTMvIrjTYh4ClLHlHRbIKOra21M2qTAxnh2FBC7a3RU6ZE48VuW&#13;&#10;sSnXUjo1hJOnSBgHLMmK/a7PrMw+jEB3VD0Bv6ehh4KT1xoX3ogQ74VH0wAXBiHeYakNdSWnk8VZ&#13;&#10;Q/7H3/wpH1oiylmHJix5+H4QXnFmvlqojJJxNPxo7EbDHtoNAeoUI+ZkNnHARzOataf2EfOxTrcg&#13;&#10;JKzEXSWPo7mJwyhgvqRar3MS+tKJeGMfnEylR2K3/aPw7iRLhKK3NLanWLxSZ8gdaF4fItU6S5eI&#13;&#10;HVg88Y2ezvqc5i8Nza/7nPXyl1j9BAAA//8DAFBLAwQUAAYACAAAACEAIlqztOMAAAANAQAADwAA&#13;&#10;AGRycy9kb3ducmV2LnhtbEyPwU7DMBBE70j8g7WVuCDqpKAkSuNU0MANDi1Vz25skqjxOrKdJv17&#13;&#10;lhO9rLQ7mtl5xWY2Pbto5zuLAuJlBExjbVWHjYDD98dTBswHiUr2FrWAq/awKe/vCpkrO+FOX/ah&#13;&#10;YRSCPpcC2hCGnHNft9pIv7SDRtJ+rDMy0OoarpycKNz0fBVFCTeyQ/rQykFvW12f96MRkFRunHa4&#13;&#10;fawO75/ya2hWx7frUYiHxVytabyugQU9h38H/DFQfyip2MmOqDzrBRBNEPCSJM/ASM7SjC4nAWkc&#13;&#10;p8DLgt9SlL8AAAD//wMAUEsBAi0AFAAGAAgAAAAhALaDOJL+AAAA4QEAABMAAAAAAAAAAAAAAAAA&#13;&#10;AAAAAFtDb250ZW50X1R5cGVzXS54bWxQSwECLQAUAAYACAAAACEAOP0h/9YAAACUAQAACwAAAAAA&#13;&#10;AAAAAAAAAAAvAQAAX3JlbHMvLnJlbHNQSwECLQAUAAYACAAAACEAJCiCsTYCAABtBAAADgAAAAAA&#13;&#10;AAAAAAAAAAAuAgAAZHJzL2Uyb0RvYy54bWxQSwECLQAUAAYACAAAACEAIlqztOMAAAANAQAADwAA&#13;&#10;AAAAAAAAAAAAAACQBAAAZHJzL2Rvd25yZXYueG1sUEsFBgAAAAAEAAQA8wAAAKAFAAAAAA==&#13;&#10;" stroked="f">
                <v:textbox inset="0,0,0,0">
                  <w:txbxContent>
                    <w:p w14:paraId="7D4EAEBC" w14:textId="09E60753" w:rsidR="00F61130" w:rsidRPr="00CE37DB" w:rsidRDefault="00F61130" w:rsidP="006F30B9">
                      <w:pPr>
                        <w:pStyle w:val="Caption"/>
                        <w:spacing w:line="360" w:lineRule="auto"/>
                        <w:jc w:val="both"/>
                        <w:rPr>
                          <w:noProof/>
                          <w:sz w:val="20"/>
                          <w:szCs w:val="20"/>
                        </w:rPr>
                      </w:pPr>
                      <w:bookmarkStart w:id="281" w:name="_Ref534367991"/>
                      <w:bookmarkStart w:id="282" w:name="_Ref518932093"/>
                      <w:bookmarkStart w:id="283" w:name="_Toc525227200"/>
                      <w:bookmarkStart w:id="284" w:name="_Toc536814139"/>
                      <w:r w:rsidRPr="002E714B">
                        <w:rPr>
                          <w:b/>
                          <w:sz w:val="20"/>
                          <w:szCs w:val="20"/>
                        </w:rPr>
                        <w:t xml:space="preserve">Figure </w:t>
                      </w:r>
                      <w:r>
                        <w:rPr>
                          <w:b/>
                          <w:sz w:val="20"/>
                          <w:szCs w:val="20"/>
                        </w:rPr>
                        <w:fldChar w:fldCharType="begin"/>
                      </w:r>
                      <w:r>
                        <w:rPr>
                          <w:b/>
                          <w:sz w:val="20"/>
                          <w:szCs w:val="20"/>
                        </w:rPr>
                        <w:instrText xml:space="preserve"> STYLEREF 1 \s </w:instrText>
                      </w:r>
                      <w:r>
                        <w:rPr>
                          <w:b/>
                          <w:sz w:val="20"/>
                          <w:szCs w:val="20"/>
                        </w:rPr>
                        <w:fldChar w:fldCharType="separate"/>
                      </w:r>
                      <w:r>
                        <w:rPr>
                          <w:b/>
                          <w:noProof/>
                          <w:sz w:val="20"/>
                          <w:szCs w:val="20"/>
                        </w:rPr>
                        <w:t>3</w:t>
                      </w:r>
                      <w:r>
                        <w:rPr>
                          <w:b/>
                          <w:sz w:val="20"/>
                          <w:szCs w:val="20"/>
                        </w:rPr>
                        <w:fldChar w:fldCharType="end"/>
                      </w:r>
                      <w:r>
                        <w:rPr>
                          <w:b/>
                          <w:sz w:val="20"/>
                          <w:szCs w:val="20"/>
                        </w:rPr>
                        <w:t>.</w:t>
                      </w:r>
                      <w:r>
                        <w:rPr>
                          <w:b/>
                          <w:sz w:val="20"/>
                          <w:szCs w:val="20"/>
                        </w:rPr>
                        <w:fldChar w:fldCharType="begin"/>
                      </w:r>
                      <w:r>
                        <w:rPr>
                          <w:b/>
                          <w:sz w:val="20"/>
                          <w:szCs w:val="20"/>
                        </w:rPr>
                        <w:instrText xml:space="preserve"> SEQ Figure \* ARABIC \s 1 </w:instrText>
                      </w:r>
                      <w:r>
                        <w:rPr>
                          <w:b/>
                          <w:sz w:val="20"/>
                          <w:szCs w:val="20"/>
                        </w:rPr>
                        <w:fldChar w:fldCharType="separate"/>
                      </w:r>
                      <w:r>
                        <w:rPr>
                          <w:b/>
                          <w:noProof/>
                          <w:sz w:val="20"/>
                          <w:szCs w:val="20"/>
                        </w:rPr>
                        <w:t>9</w:t>
                      </w:r>
                      <w:r>
                        <w:rPr>
                          <w:b/>
                          <w:sz w:val="20"/>
                          <w:szCs w:val="20"/>
                        </w:rPr>
                        <w:fldChar w:fldCharType="end"/>
                      </w:r>
                      <w:bookmarkEnd w:id="281"/>
                      <w:bookmarkEnd w:id="282"/>
                      <w:r w:rsidRPr="002E714B">
                        <w:rPr>
                          <w:b/>
                          <w:sz w:val="20"/>
                          <w:szCs w:val="20"/>
                        </w:rPr>
                        <w:t xml:space="preserve"> - Initial LC-MS Analysis of Liver and Hepatic </w:t>
                      </w:r>
                      <w:r>
                        <w:rPr>
                          <w:b/>
                          <w:sz w:val="20"/>
                          <w:szCs w:val="20"/>
                        </w:rPr>
                        <w:t>Leukocytes</w:t>
                      </w:r>
                      <w:r w:rsidRPr="002E714B">
                        <w:rPr>
                          <w:b/>
                          <w:sz w:val="20"/>
                          <w:szCs w:val="20"/>
                        </w:rPr>
                        <w:t>.</w:t>
                      </w:r>
                      <w:r w:rsidRPr="002E714B">
                        <w:rPr>
                          <w:sz w:val="20"/>
                          <w:szCs w:val="20"/>
                        </w:rPr>
                        <w:t xml:space="preserve"> </w:t>
                      </w:r>
                      <w:r>
                        <w:rPr>
                          <w:sz w:val="20"/>
                          <w:szCs w:val="20"/>
                        </w:rPr>
                        <w:t>Samples</w:t>
                      </w:r>
                      <w:r w:rsidRPr="002E714B">
                        <w:rPr>
                          <w:sz w:val="20"/>
                          <w:szCs w:val="20"/>
                        </w:rPr>
                        <w:t xml:space="preserve"> of liver (A - left) and </w:t>
                      </w:r>
                      <w:r>
                        <w:rPr>
                          <w:sz w:val="20"/>
                          <w:szCs w:val="20"/>
                        </w:rPr>
                        <w:t>leucocytes</w:t>
                      </w:r>
                      <w:r w:rsidRPr="002E714B">
                        <w:rPr>
                          <w:sz w:val="20"/>
                          <w:szCs w:val="20"/>
                        </w:rPr>
                        <w:t xml:space="preserve"> (B - left) from </w:t>
                      </w:r>
                      <w:r>
                        <w:rPr>
                          <w:sz w:val="20"/>
                          <w:szCs w:val="20"/>
                        </w:rPr>
                        <w:t xml:space="preserve">mice infected with </w:t>
                      </w:r>
                      <w:r>
                        <w:rPr>
                          <w:i/>
                          <w:sz w:val="20"/>
                          <w:szCs w:val="20"/>
                        </w:rPr>
                        <w:t>L</w:t>
                      </w:r>
                      <w:r w:rsidRPr="002E714B">
                        <w:rPr>
                          <w:i/>
                          <w:sz w:val="20"/>
                          <w:szCs w:val="20"/>
                        </w:rPr>
                        <w:t>. donovani</w:t>
                      </w:r>
                      <w:r w:rsidRPr="001339F2">
                        <w:rPr>
                          <w:sz w:val="20"/>
                          <w:szCs w:val="20"/>
                        </w:rPr>
                        <w:t xml:space="preserve"> for 28 days and treated 12h previously with</w:t>
                      </w:r>
                      <w:r>
                        <w:rPr>
                          <w:i/>
                          <w:sz w:val="20"/>
                          <w:szCs w:val="20"/>
                        </w:rPr>
                        <w:t xml:space="preserve"> </w:t>
                      </w:r>
                      <w:r w:rsidRPr="002E714B">
                        <w:rPr>
                          <w:sz w:val="20"/>
                          <w:szCs w:val="20"/>
                        </w:rPr>
                        <w:t>10mg/kg</w:t>
                      </w:r>
                      <w:r>
                        <w:rPr>
                          <w:sz w:val="20"/>
                          <w:szCs w:val="20"/>
                        </w:rPr>
                        <w:t xml:space="preserve"> AmBisome w</w:t>
                      </w:r>
                      <w:r w:rsidRPr="002E714B">
                        <w:rPr>
                          <w:sz w:val="20"/>
                          <w:szCs w:val="20"/>
                        </w:rPr>
                        <w:t xml:space="preserve">ere </w:t>
                      </w:r>
                      <w:r>
                        <w:rPr>
                          <w:sz w:val="20"/>
                          <w:szCs w:val="20"/>
                        </w:rPr>
                        <w:t xml:space="preserve">analysed for </w:t>
                      </w:r>
                      <w:r w:rsidRPr="002E714B">
                        <w:rPr>
                          <w:sz w:val="20"/>
                          <w:szCs w:val="20"/>
                        </w:rPr>
                        <w:t xml:space="preserve">Amphotericin B </w:t>
                      </w:r>
                      <w:r>
                        <w:rPr>
                          <w:sz w:val="20"/>
                          <w:szCs w:val="20"/>
                        </w:rPr>
                        <w:t xml:space="preserve">content </w:t>
                      </w:r>
                      <w:r w:rsidRPr="002E714B">
                        <w:rPr>
                          <w:sz w:val="20"/>
                          <w:szCs w:val="20"/>
                        </w:rPr>
                        <w:t xml:space="preserve">using LC-MS. </w:t>
                      </w:r>
                      <w:r>
                        <w:rPr>
                          <w:sz w:val="20"/>
                          <w:szCs w:val="20"/>
                        </w:rPr>
                        <w:t>Data are shown per sample and after normalisation for total live weight or leucocyte population size</w:t>
                      </w:r>
                      <w:r w:rsidRPr="002E714B">
                        <w:rPr>
                          <w:sz w:val="20"/>
                          <w:szCs w:val="20"/>
                        </w:rPr>
                        <w:t xml:space="preserve">. Data represents mean </w:t>
                      </w:r>
                      <w:r w:rsidRPr="002E714B">
                        <w:rPr>
                          <w:sz w:val="20"/>
                          <w:szCs w:val="20"/>
                        </w:rPr>
                        <w:sym w:font="Symbol" w:char="F0B1"/>
                      </w:r>
                      <w:r w:rsidRPr="002E714B">
                        <w:rPr>
                          <w:sz w:val="20"/>
                          <w:szCs w:val="20"/>
                        </w:rPr>
                        <w:t xml:space="preserve"> SD (Liver: n = 5 from </w:t>
                      </w:r>
                      <w:r>
                        <w:rPr>
                          <w:sz w:val="20"/>
                          <w:szCs w:val="20"/>
                        </w:rPr>
                        <w:t>one</w:t>
                      </w:r>
                      <w:r w:rsidRPr="002E714B">
                        <w:rPr>
                          <w:sz w:val="20"/>
                          <w:szCs w:val="20"/>
                        </w:rPr>
                        <w:t xml:space="preserve"> infection experiment; </w:t>
                      </w:r>
                      <w:r>
                        <w:rPr>
                          <w:sz w:val="20"/>
                          <w:szCs w:val="20"/>
                        </w:rPr>
                        <w:t>Leukocytes</w:t>
                      </w:r>
                      <w:r w:rsidRPr="002E714B">
                        <w:rPr>
                          <w:sz w:val="20"/>
                          <w:szCs w:val="20"/>
                        </w:rPr>
                        <w:t>: n = 15 from</w:t>
                      </w:r>
                      <w:r>
                        <w:rPr>
                          <w:sz w:val="20"/>
                          <w:szCs w:val="20"/>
                        </w:rPr>
                        <w:t xml:space="preserve"> three independent </w:t>
                      </w:r>
                      <w:r w:rsidRPr="002E714B">
                        <w:rPr>
                          <w:sz w:val="20"/>
                          <w:szCs w:val="20"/>
                        </w:rPr>
                        <w:t>infection experiments).</w:t>
                      </w:r>
                      <w:r>
                        <w:rPr>
                          <w:sz w:val="20"/>
                          <w:szCs w:val="20"/>
                        </w:rPr>
                        <w:t xml:space="preserve"> Samples were processed using digestion protocol 1 and the column extraction method.</w:t>
                      </w:r>
                      <w:bookmarkEnd w:id="283"/>
                      <w:bookmarkEnd w:id="284"/>
                      <w:r>
                        <w:rPr>
                          <w:sz w:val="20"/>
                          <w:szCs w:val="20"/>
                        </w:rPr>
                        <w:t xml:space="preserve"> </w:t>
                      </w:r>
                    </w:p>
                    <w:p w14:paraId="4B0F7CB8" w14:textId="52D2D553" w:rsidR="00F61130" w:rsidRPr="002E714B" w:rsidRDefault="00F61130" w:rsidP="0004454D">
                      <w:pPr>
                        <w:pStyle w:val="Caption"/>
                        <w:spacing w:line="360" w:lineRule="auto"/>
                        <w:jc w:val="both"/>
                        <w:rPr>
                          <w:noProof/>
                          <w:sz w:val="20"/>
                          <w:szCs w:val="20"/>
                        </w:rPr>
                      </w:pPr>
                    </w:p>
                    <w:p w14:paraId="0715A3C6" w14:textId="319A4558" w:rsidR="00F61130" w:rsidRPr="002E714B" w:rsidRDefault="00F61130" w:rsidP="0004454D">
                      <w:pPr>
                        <w:pStyle w:val="Caption"/>
                        <w:spacing w:line="360" w:lineRule="auto"/>
                        <w:jc w:val="both"/>
                        <w:rPr>
                          <w:b/>
                          <w:noProof/>
                          <w:sz w:val="20"/>
                          <w:szCs w:val="20"/>
                        </w:rPr>
                      </w:pPr>
                    </w:p>
                  </w:txbxContent>
                </v:textbox>
                <w10:wrap type="topAndBottom"/>
              </v:shape>
            </w:pict>
          </mc:Fallback>
        </mc:AlternateContent>
      </w:r>
      <w:r>
        <w:rPr>
          <w:noProof/>
        </w:rPr>
        <mc:AlternateContent>
          <mc:Choice Requires="wps">
            <w:drawing>
              <wp:anchor distT="0" distB="0" distL="114300" distR="114300" simplePos="0" relativeHeight="252137472" behindDoc="0" locked="0" layoutInCell="1" allowOverlap="1" wp14:anchorId="3B1DE909" wp14:editId="723A1709">
                <wp:simplePos x="0" y="0"/>
                <wp:positionH relativeFrom="column">
                  <wp:posOffset>673433</wp:posOffset>
                </wp:positionH>
                <wp:positionV relativeFrom="paragraph">
                  <wp:posOffset>2682677</wp:posOffset>
                </wp:positionV>
                <wp:extent cx="4459574" cy="764499"/>
                <wp:effectExtent l="0" t="0" r="0" b="0"/>
                <wp:wrapNone/>
                <wp:docPr id="12" name="Rectangle 12"/>
                <wp:cNvGraphicFramePr/>
                <a:graphic xmlns:a="http://schemas.openxmlformats.org/drawingml/2006/main">
                  <a:graphicData uri="http://schemas.microsoft.com/office/word/2010/wordprocessingShape">
                    <wps:wsp>
                      <wps:cNvSpPr/>
                      <wps:spPr>
                        <a:xfrm>
                          <a:off x="0" y="0"/>
                          <a:ext cx="4459574" cy="764499"/>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11E8D9A" id="Rectangle 12" o:spid="_x0000_s1026" style="position:absolute;margin-left:53.05pt;margin-top:211.25pt;width:351.15pt;height:60.2pt;z-index:2521374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wSAGDkwIAAIYFAAAOAAAAZHJzL2Uyb0RvYy54bWysVE1v2zAMvQ/YfxB0X50ETrsEdYqgRYcB&#13;&#10;RVe0HXpWZCk2IImapMTJfv0oyXa6rthhWA6KKD4+fpjk5dVBK7IXzrdgKjo9m1AiDIe6NduKfn++&#13;&#10;/fSZEh+YqZkCIyp6FJ5erT5+uOzsUsygAVULR5DE+GVnK9qEYJdF4XkjNPNnYIVBpQSnWUDRbYva&#13;&#10;sQ7ZtSpmk8l50YGrrQMuvMfXm6ykq8QvpeDhm5ReBKIqirGFdLp0buJZrC7ZcuuYbVreh8H+IQrN&#13;&#10;WoNOR6obFhjZufYPKt1yBx5kOOOgC5Cy5SLlgNlMJ2+yeWqYFSkXLI63Y5n8/6Pl9/sHR9oav92M&#13;&#10;EsM0fqNHrBozWyUIvmGBOuuXiHuyD66XPF5jtgfpdPzHPMghFfU4FlUcAuH4WJbzxfyipISj7uK8&#13;&#10;LBeLSFqcrK3z4YsATeKlog7dp1qy/Z0PGTpAojMPqq1vW6WSEBtFXCtH9gw/8WY77cl/QykTsQai&#13;&#10;VSaML0VMLKeSbuGoRMQp8ygk1gSDn6VAUjeenDDOhQnTrGpYLbLv+QR/g/chrJRoIozMEv2P3D3B&#13;&#10;gMwkA3eOssdHU5GaeTSe/C2wbDxaJM9gwmisWwPuPQKFWfWeM34oUi5NrNIG6iN2jIM8St7y2xY/&#13;&#10;2x3z4YE5nB2cMtwH4RseUkFXUehvlDTgfr73HvHY0qilpMNZrKj/sWNOUKK+Gmz2xbQs4/AmoZxf&#13;&#10;zFBwrzWb1xqz09eAvTDFzWN5ukZ8UMNVOtAvuDbW0SuqmOHou6I8uEG4DnlH4OLhYr1OMBxYy8Kd&#13;&#10;ebI8kseqxrZ8PrwwZ/veDdj19zDMLVu+aeGMjZYG1rsAsk39faprX28c9tQ4/WKK2+S1nFCn9bn6&#13;&#10;BQAA//8DAFBLAwQUAAYACAAAACEAHEHTQOQAAAAQAQAADwAAAGRycy9kb3ducmV2LnhtbExPO0/D&#13;&#10;MBDekfgP1iGxIGo3SauQxql4CImFgVIhRjc+4qixHcVukvLrOSZYTvp037PczrZjIw6h9U7CciGA&#13;&#10;oau9bl0jYf/+fJsDC1E5rTrvUMIZA2yry4tSFdpP7g3HXWwYmbhQKAkmxr7gPNQGrQoL36Oj35cf&#13;&#10;rIoEh4brQU1kbjueCLHmVrWOEozq8dFgfdydrITXc5q+jDfpcdq3adN+88+HD+OlvL6anzZ07jfA&#13;&#10;Is7xTwG/G6g/VFTs4E9OB9YRFuslUSVkSbICRoxc5Bmwg4RVltwBr0r+f0j1AwAA//8DAFBLAQIt&#13;&#10;ABQABgAIAAAAIQC2gziS/gAAAOEBAAATAAAAAAAAAAAAAAAAAAAAAABbQ29udGVudF9UeXBlc10u&#13;&#10;eG1sUEsBAi0AFAAGAAgAAAAhADj9If/WAAAAlAEAAAsAAAAAAAAAAAAAAAAALwEAAF9yZWxzLy5y&#13;&#10;ZWxzUEsBAi0AFAAGAAgAAAAhALBIAYOTAgAAhgUAAA4AAAAAAAAAAAAAAAAALgIAAGRycy9lMm9E&#13;&#10;b2MueG1sUEsBAi0AFAAGAAgAAAAhABxB00DkAAAAEAEAAA8AAAAAAAAAAAAAAAAA7QQAAGRycy9k&#13;&#10;b3ducmV2LnhtbFBLBQYAAAAABAAEAPMAAAD+BQAAAAA=&#13;&#10;" fillcolor="white [3212]" stroked="f" strokeweight="1pt"/>
            </w:pict>
          </mc:Fallback>
        </mc:AlternateContent>
      </w:r>
      <w:r>
        <w:rPr>
          <w:noProof/>
        </w:rPr>
        <mc:AlternateContent>
          <mc:Choice Requires="wps">
            <w:drawing>
              <wp:anchor distT="0" distB="0" distL="114300" distR="114300" simplePos="0" relativeHeight="252141568" behindDoc="0" locked="0" layoutInCell="1" allowOverlap="1" wp14:anchorId="5A6AD4DE" wp14:editId="39929EE5">
                <wp:simplePos x="0" y="0"/>
                <wp:positionH relativeFrom="column">
                  <wp:posOffset>4067810</wp:posOffset>
                </wp:positionH>
                <wp:positionV relativeFrom="paragraph">
                  <wp:posOffset>2576705</wp:posOffset>
                </wp:positionV>
                <wp:extent cx="1011836" cy="382249"/>
                <wp:effectExtent l="0" t="0" r="4445" b="0"/>
                <wp:wrapNone/>
                <wp:docPr id="184" name="Text Box 184"/>
                <wp:cNvGraphicFramePr/>
                <a:graphic xmlns:a="http://schemas.openxmlformats.org/drawingml/2006/main">
                  <a:graphicData uri="http://schemas.microsoft.com/office/word/2010/wordprocessingShape">
                    <wps:wsp>
                      <wps:cNvSpPr txBox="1"/>
                      <wps:spPr>
                        <a:xfrm>
                          <a:off x="0" y="0"/>
                          <a:ext cx="1011836" cy="382249"/>
                        </a:xfrm>
                        <a:prstGeom prst="rect">
                          <a:avLst/>
                        </a:prstGeom>
                        <a:solidFill>
                          <a:schemeClr val="lt1"/>
                        </a:solidFill>
                        <a:ln w="6350">
                          <a:noFill/>
                        </a:ln>
                      </wps:spPr>
                      <wps:txbx>
                        <w:txbxContent>
                          <w:p w14:paraId="3D831F14" w14:textId="77777777" w:rsidR="00F61130" w:rsidRDefault="00F61130" w:rsidP="006C2ED9">
                            <w:pPr>
                              <w:spacing w:line="240" w:lineRule="auto"/>
                              <w:jc w:val="center"/>
                              <w:rPr>
                                <w:sz w:val="18"/>
                                <w:szCs w:val="18"/>
                              </w:rPr>
                            </w:pPr>
                            <w:r w:rsidRPr="006E0F27">
                              <w:rPr>
                                <w:sz w:val="18"/>
                                <w:szCs w:val="18"/>
                              </w:rPr>
                              <w:t xml:space="preserve">Per </w:t>
                            </w:r>
                            <w:r>
                              <w:rPr>
                                <w:sz w:val="18"/>
                                <w:szCs w:val="18"/>
                              </w:rPr>
                              <w:t>Total</w:t>
                            </w:r>
                          </w:p>
                          <w:p w14:paraId="752869FE" w14:textId="09BD4816" w:rsidR="00F61130" w:rsidRPr="006E0F27" w:rsidRDefault="00F61130" w:rsidP="006C2ED9">
                            <w:pPr>
                              <w:spacing w:line="240" w:lineRule="auto"/>
                              <w:jc w:val="center"/>
                              <w:rPr>
                                <w:sz w:val="18"/>
                                <w:szCs w:val="18"/>
                              </w:rPr>
                            </w:pPr>
                            <w:r>
                              <w:rPr>
                                <w:sz w:val="18"/>
                                <w:szCs w:val="18"/>
                              </w:rPr>
                              <w:t>Leukocytes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6AD4DE" id="Text Box 184" o:spid="_x0000_s1051" type="#_x0000_t202" style="position:absolute;left:0;text-align:left;margin-left:320.3pt;margin-top:202.9pt;width:79.65pt;height:30.1pt;z-index:252141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vy30yPQIAAHUEAAAOAAAAZHJzL2Uyb0RvYy54bWysVFFv2yAQfp+0/4B4X+wkbZRacaosVaZJ&#13;&#10;UVspmfpMMMRImGNAYme/fgeO263b07QXfHDHx33f3Xlx3zWanIXzCkxJx6OcEmE4VMocS/ptv/k0&#13;&#10;p8QHZiqmwYiSXoSn98uPHxatLcQEatCVcARBjC9aW9I6BFtkmee1aJgfgRUGnRJcwwJu3TGrHGsR&#13;&#10;vdHZJM9nWQuusg648B5PH3onXSZ8KQUPT1J6EYguKeYW0urSeohrtlyw4uiYrRW/psH+IYuGKYOP&#13;&#10;vkI9sMDIyak/oBrFHXiQYcShyUBKxUXigGzG+Ts2u5pZkbigON6+yuT/Hyx/PD87oiqs3fyGEsMa&#13;&#10;LNJedIF8ho7EM1Sotb7AwJ3F0NChA6OHc4+HkXgnXRO/SImgH7W+vOob4Xi8lI/H8+mMEo6+6Xwy&#13;&#10;ubmLMNnbbet8+CKgIdEoqcP6JVnZeetDHzqExMc8aFVtlNZpE3tGrLUjZ4bV1iHliOC/RWlD2pLO&#13;&#10;prd5AjYQr/fI2mAukWvPKVqhO3RJncntQPgA1QV1cND3krd8ozDZLfPhmTlsHqSOAxGecJEa8DG4&#13;&#10;WpTU4H787TzGY03RS0mLzVhS//3EnKBEfzVY7di5g+EG4zAY5tSsARmPcdQsTyZecEEPpnTQvOCc&#13;&#10;rOIr6GKG41slDYO5Dv1I4JxxsVqlIOxPy8LW7CyP0FHhKP2+e2HOXusTsLKPMLQpK96VqY+NNw2s&#13;&#10;TgGkSjWMwvYqXvXG3k5dcJ3DODy/7lPU299i+RMAAP//AwBQSwMEFAAGAAgAAAAhAIl8UQbnAAAA&#13;&#10;EAEAAA8AAABkcnMvZG93bnJldi54bWxMj09PwzAMxe9IfIfISFwQS0AlW7umE3/EAWkIMdDOWROa&#13;&#10;ssYpTbZ1fHrMCS6WbD8/v1+5GH3H9naIbUAFVxMBzGIdTIuNgve3x8sZsJg0Gt0FtAqONsKiOj0p&#13;&#10;dWHCAV/tfpUaRiYYC63ApdQXnMfaWa/jJPQWafcRBq8TtUPDzaAPZO47fi2E5F63SB+c7u29s/V2&#13;&#10;tfMKZsfs+WItp+vP7uXpzn03X7jcaqXOz8aHOZXbObBkx/R3Ab8MlB8qCrYJOzSRdQpkJiRJFWTi&#13;&#10;hkBIMc3zHNiGJlIK4FXJ/4NUPwAAAP//AwBQSwECLQAUAAYACAAAACEAtoM4kv4AAADhAQAAEwAA&#13;&#10;AAAAAAAAAAAAAAAAAAAAW0NvbnRlbnRfVHlwZXNdLnhtbFBLAQItABQABgAIAAAAIQA4/SH/1gAA&#13;&#10;AJQBAAALAAAAAAAAAAAAAAAAAC8BAABfcmVscy8ucmVsc1BLAQItABQABgAIAAAAIQDvy30yPQIA&#13;&#10;AHUEAAAOAAAAAAAAAAAAAAAAAC4CAABkcnMvZTJvRG9jLnhtbFBLAQItABQABgAIAAAAIQCJfFEG&#13;&#10;5wAAABABAAAPAAAAAAAAAAAAAAAAAJcEAABkcnMvZG93bnJldi54bWxQSwUGAAAAAAQABADzAAAA&#13;&#10;qwUAAAAA&#13;&#10;" fillcolor="white [3201]" stroked="f" strokeweight=".5pt">
                <v:textbox inset="0,0,0,0">
                  <w:txbxContent>
                    <w:p w14:paraId="3D831F14" w14:textId="77777777" w:rsidR="00F61130" w:rsidRDefault="00F61130" w:rsidP="006C2ED9">
                      <w:pPr>
                        <w:spacing w:line="240" w:lineRule="auto"/>
                        <w:jc w:val="center"/>
                        <w:rPr>
                          <w:sz w:val="18"/>
                          <w:szCs w:val="18"/>
                        </w:rPr>
                      </w:pPr>
                      <w:r w:rsidRPr="006E0F27">
                        <w:rPr>
                          <w:sz w:val="18"/>
                          <w:szCs w:val="18"/>
                        </w:rPr>
                        <w:t xml:space="preserve">Per </w:t>
                      </w:r>
                      <w:r>
                        <w:rPr>
                          <w:sz w:val="18"/>
                          <w:szCs w:val="18"/>
                        </w:rPr>
                        <w:t>Total</w:t>
                      </w:r>
                    </w:p>
                    <w:p w14:paraId="752869FE" w14:textId="09BD4816" w:rsidR="00F61130" w:rsidRPr="006E0F27" w:rsidRDefault="00F61130" w:rsidP="006C2ED9">
                      <w:pPr>
                        <w:spacing w:line="240" w:lineRule="auto"/>
                        <w:jc w:val="center"/>
                        <w:rPr>
                          <w:sz w:val="18"/>
                          <w:szCs w:val="18"/>
                        </w:rPr>
                      </w:pPr>
                      <w:r>
                        <w:rPr>
                          <w:sz w:val="18"/>
                          <w:szCs w:val="18"/>
                        </w:rPr>
                        <w:t>Leukocytes</w:t>
                      </w:r>
                    </w:p>
                  </w:txbxContent>
                </v:textbox>
              </v:shape>
            </w:pict>
          </mc:Fallback>
        </mc:AlternateContent>
      </w:r>
      <w:r>
        <w:rPr>
          <w:noProof/>
        </w:rPr>
        <mc:AlternateContent>
          <mc:Choice Requires="wps">
            <w:drawing>
              <wp:anchor distT="0" distB="0" distL="114300" distR="114300" simplePos="0" relativeHeight="252140544" behindDoc="0" locked="0" layoutInCell="1" allowOverlap="1" wp14:anchorId="2816835B" wp14:editId="48E67CF3">
                <wp:simplePos x="0" y="0"/>
                <wp:positionH relativeFrom="column">
                  <wp:posOffset>3229256</wp:posOffset>
                </wp:positionH>
                <wp:positionV relativeFrom="paragraph">
                  <wp:posOffset>2562756</wp:posOffset>
                </wp:positionV>
                <wp:extent cx="1043940" cy="374754"/>
                <wp:effectExtent l="0" t="0" r="0" b="6350"/>
                <wp:wrapNone/>
                <wp:docPr id="183" name="Text Box 183"/>
                <wp:cNvGraphicFramePr/>
                <a:graphic xmlns:a="http://schemas.openxmlformats.org/drawingml/2006/main">
                  <a:graphicData uri="http://schemas.microsoft.com/office/word/2010/wordprocessingShape">
                    <wps:wsp>
                      <wps:cNvSpPr txBox="1"/>
                      <wps:spPr>
                        <a:xfrm>
                          <a:off x="0" y="0"/>
                          <a:ext cx="1043940" cy="374754"/>
                        </a:xfrm>
                        <a:prstGeom prst="rect">
                          <a:avLst/>
                        </a:prstGeom>
                        <a:solidFill>
                          <a:schemeClr val="lt1"/>
                        </a:solidFill>
                        <a:ln w="6350">
                          <a:noFill/>
                        </a:ln>
                      </wps:spPr>
                      <wps:txbx>
                        <w:txbxContent>
                          <w:p w14:paraId="758640D2" w14:textId="3A71BAE4" w:rsidR="00F61130" w:rsidRDefault="00F61130" w:rsidP="006C2ED9">
                            <w:pPr>
                              <w:spacing w:line="240" w:lineRule="auto"/>
                              <w:jc w:val="center"/>
                              <w:rPr>
                                <w:sz w:val="18"/>
                                <w:szCs w:val="18"/>
                              </w:rPr>
                            </w:pPr>
                            <w:r w:rsidRPr="006E0F27">
                              <w:rPr>
                                <w:sz w:val="18"/>
                                <w:szCs w:val="18"/>
                              </w:rPr>
                              <w:t xml:space="preserve">Per </w:t>
                            </w:r>
                            <w:r>
                              <w:rPr>
                                <w:sz w:val="18"/>
                                <w:szCs w:val="18"/>
                              </w:rPr>
                              <w:t>1x10</w:t>
                            </w:r>
                            <w:r>
                              <w:rPr>
                                <w:sz w:val="18"/>
                                <w:szCs w:val="18"/>
                                <w:vertAlign w:val="superscript"/>
                              </w:rPr>
                              <w:t>6</w:t>
                            </w:r>
                          </w:p>
                          <w:p w14:paraId="5695EE03" w14:textId="79ACCECB" w:rsidR="00F61130" w:rsidRPr="006E0F27" w:rsidRDefault="00F61130" w:rsidP="006C2ED9">
                            <w:pPr>
                              <w:spacing w:line="240" w:lineRule="auto"/>
                              <w:jc w:val="center"/>
                              <w:rPr>
                                <w:sz w:val="18"/>
                                <w:szCs w:val="18"/>
                              </w:rPr>
                            </w:pPr>
                            <w:r>
                              <w:rPr>
                                <w:sz w:val="18"/>
                                <w:szCs w:val="18"/>
                              </w:rPr>
                              <w:t>Leukocytes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816835B" id="Text Box 183" o:spid="_x0000_s1052" type="#_x0000_t202" style="position:absolute;left:0;text-align:left;margin-left:254.25pt;margin-top:201.8pt;width:82.2pt;height:29.5pt;z-index:2521405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LNZ1QPgIAAHUEAAAOAAAAZHJzL2Uyb0RvYy54bWysVE1v2zAMvQ/YfxB0X+x8NO2MOEWWIsOA&#13;&#10;oC2QDD0rspQIkEVNUmJnv36UHKddt9Owi0yJ1BPfI+nZfVtrchLOKzAlHQ5ySoThUCmzL+n37erT&#13;&#10;HSU+MFMxDUaU9Cw8vZ9//DBrbCFGcABdCUcQxPiisSU9hGCLLPP8IGrmB2CFQacEV7OAW7fPKsca&#13;&#10;RK91NsrzadaAq6wDLrzH04fOSecJX0rBw5OUXgSiS4q5hbS6tO7ims1nrNg7Zg+KX9Jg/5BFzZTB&#13;&#10;R69QDywwcnTqD6hacQceZBhwqDOQUnGROCCbYf6OzebArEhcUBxvrzL5/wfLH0/PjqgKa3c3psSw&#13;&#10;Gou0FW0gX6Al8QwVaqwvMHBjMTS06MDo/tzjYSTeSlfHL1Ii6Eetz1d9IxyPl/LJ+PMEXRx949vJ&#13;&#10;7c0kwmSvt63z4auAmkSjpA7rl2Rlp7UPXWgfEh/zoFW1UlqnTewZsdSOnBhWW4eUI4L/FqUNaUo6&#13;&#10;Hd/kCdhAvN4ha4O5RK4dp2iFdtcmdUbTnvAOqjPq4KDrJW/5SmGya+bDM3PYPMgPByI84SI14GNw&#13;&#10;sSg5gPv5t/MYjzVFLyUNNmNJ/Y8jc4IS/c1gtWPn9obrjV1vmGO9BGQ8xFGzPJl4wQXdm9JB/YJz&#13;&#10;soivoIsZjm+VNPTmMnQjgXPGxWKRgrA/LQtrs7E8QkeFo/Tb9oU5e6lPwMo+Qt+mrHhXpi423jSw&#13;&#10;OAaQKtUwCtupeNEbezt1wWUO4/C83aeo17/F/BcAAAD//wMAUEsDBBQABgAIAAAAIQCGYv1T5wAA&#13;&#10;ABABAAAPAAAAZHJzL2Rvd25yZXYueG1sTE/LTsMwELwj8Q/WInFBrUNo3ZDGqXiIQyVQRUE9u7GJ&#13;&#10;Q+N1iN025etZTnBZaXdm51EsBteyg+lD41HC9TgBZrDyusFawvvb0ygDFqJCrVqPRsLJBFiU52eF&#13;&#10;yrU/4qs5rGPNSARDriTYGLuc81BZ41QY+84gYR++dyrS2tdc9+pI4q7laZII7lSD5GBVZx6sqXbr&#13;&#10;vZOQnSYvVxsx23y2q+W9/a6/8HmnpLy8GB7nNO7mwKIZ4t8H/Hag/FBSsK3fow6slTBNsilRJUyS&#13;&#10;GwGMGGKW3gLb0kWkAnhZ8P9Fyh8AAAD//wMAUEsBAi0AFAAGAAgAAAAhALaDOJL+AAAA4QEAABMA&#13;&#10;AAAAAAAAAAAAAAAAAAAAAFtDb250ZW50X1R5cGVzXS54bWxQSwECLQAUAAYACAAAACEAOP0h/9YA&#13;&#10;AACUAQAACwAAAAAAAAAAAAAAAAAvAQAAX3JlbHMvLnJlbHNQSwECLQAUAAYACAAAACEAyzWdUD4C&#13;&#10;AAB1BAAADgAAAAAAAAAAAAAAAAAuAgAAZHJzL2Uyb0RvYy54bWxQSwECLQAUAAYACAAAACEAhmL9&#13;&#10;U+cAAAAQAQAADwAAAAAAAAAAAAAAAACYBAAAZHJzL2Rvd25yZXYueG1sUEsFBgAAAAAEAAQA8wAA&#13;&#10;AKwFAAAAAA==&#13;&#10;" fillcolor="white [3201]" stroked="f" strokeweight=".5pt">
                <v:textbox inset="0,0,0,0">
                  <w:txbxContent>
                    <w:p w14:paraId="758640D2" w14:textId="3A71BAE4" w:rsidR="00F61130" w:rsidRDefault="00F61130" w:rsidP="006C2ED9">
                      <w:pPr>
                        <w:spacing w:line="240" w:lineRule="auto"/>
                        <w:jc w:val="center"/>
                        <w:rPr>
                          <w:sz w:val="18"/>
                          <w:szCs w:val="18"/>
                        </w:rPr>
                      </w:pPr>
                      <w:r w:rsidRPr="006E0F27">
                        <w:rPr>
                          <w:sz w:val="18"/>
                          <w:szCs w:val="18"/>
                        </w:rPr>
                        <w:t xml:space="preserve">Per </w:t>
                      </w:r>
                      <w:r>
                        <w:rPr>
                          <w:sz w:val="18"/>
                          <w:szCs w:val="18"/>
                        </w:rPr>
                        <w:t>1x10</w:t>
                      </w:r>
                      <w:r>
                        <w:rPr>
                          <w:sz w:val="18"/>
                          <w:szCs w:val="18"/>
                          <w:vertAlign w:val="superscript"/>
                        </w:rPr>
                        <w:t>6</w:t>
                      </w:r>
                    </w:p>
                    <w:p w14:paraId="5695EE03" w14:textId="79ACCECB" w:rsidR="00F61130" w:rsidRPr="006E0F27" w:rsidRDefault="00F61130" w:rsidP="006C2ED9">
                      <w:pPr>
                        <w:spacing w:line="240" w:lineRule="auto"/>
                        <w:jc w:val="center"/>
                        <w:rPr>
                          <w:sz w:val="18"/>
                          <w:szCs w:val="18"/>
                        </w:rPr>
                      </w:pPr>
                      <w:r>
                        <w:rPr>
                          <w:sz w:val="18"/>
                          <w:szCs w:val="18"/>
                        </w:rPr>
                        <w:t>Leukocytes</w:t>
                      </w:r>
                    </w:p>
                  </w:txbxContent>
                </v:textbox>
              </v:shape>
            </w:pict>
          </mc:Fallback>
        </mc:AlternateContent>
      </w:r>
      <w:r>
        <w:rPr>
          <w:noProof/>
        </w:rPr>
        <mc:AlternateContent>
          <mc:Choice Requires="wps">
            <w:drawing>
              <wp:anchor distT="0" distB="0" distL="114300" distR="114300" simplePos="0" relativeHeight="252138496" behindDoc="0" locked="0" layoutInCell="1" allowOverlap="1" wp14:anchorId="355D738D" wp14:editId="4D54543D">
                <wp:simplePos x="0" y="0"/>
                <wp:positionH relativeFrom="column">
                  <wp:posOffset>1136015</wp:posOffset>
                </wp:positionH>
                <wp:positionV relativeFrom="paragraph">
                  <wp:posOffset>2531745</wp:posOffset>
                </wp:positionV>
                <wp:extent cx="561975" cy="299720"/>
                <wp:effectExtent l="0" t="0" r="0" b="5080"/>
                <wp:wrapNone/>
                <wp:docPr id="150" name="Text Box 150"/>
                <wp:cNvGraphicFramePr/>
                <a:graphic xmlns:a="http://schemas.openxmlformats.org/drawingml/2006/main">
                  <a:graphicData uri="http://schemas.microsoft.com/office/word/2010/wordprocessingShape">
                    <wps:wsp>
                      <wps:cNvSpPr txBox="1"/>
                      <wps:spPr>
                        <a:xfrm>
                          <a:off x="0" y="0"/>
                          <a:ext cx="561975" cy="299720"/>
                        </a:xfrm>
                        <a:prstGeom prst="rect">
                          <a:avLst/>
                        </a:prstGeom>
                        <a:solidFill>
                          <a:schemeClr val="lt1"/>
                        </a:solidFill>
                        <a:ln w="6350">
                          <a:noFill/>
                        </a:ln>
                      </wps:spPr>
                      <wps:txbx>
                        <w:txbxContent>
                          <w:p w14:paraId="6F575D3F" w14:textId="77777777" w:rsidR="00F61130" w:rsidRDefault="00F61130" w:rsidP="006C2ED9">
                            <w:pPr>
                              <w:spacing w:line="240" w:lineRule="auto"/>
                              <w:jc w:val="center"/>
                              <w:rPr>
                                <w:sz w:val="18"/>
                                <w:szCs w:val="18"/>
                              </w:rPr>
                            </w:pPr>
                            <w:r w:rsidRPr="006E0F27">
                              <w:rPr>
                                <w:sz w:val="18"/>
                                <w:szCs w:val="18"/>
                              </w:rPr>
                              <w:t>P</w:t>
                            </w:r>
                            <w:r>
                              <w:rPr>
                                <w:sz w:val="18"/>
                                <w:szCs w:val="18"/>
                              </w:rPr>
                              <w:t>er Liver</w:t>
                            </w:r>
                          </w:p>
                          <w:p w14:paraId="46658813" w14:textId="73FA95F2" w:rsidR="00F61130" w:rsidRPr="006E0F27" w:rsidRDefault="00F61130" w:rsidP="006C2ED9">
                            <w:pPr>
                              <w:spacing w:line="240" w:lineRule="auto"/>
                              <w:jc w:val="center"/>
                              <w:rPr>
                                <w:sz w:val="18"/>
                                <w:szCs w:val="18"/>
                              </w:rPr>
                            </w:pPr>
                            <w:r>
                              <w:rPr>
                                <w:sz w:val="18"/>
                                <w:szCs w:val="18"/>
                              </w:rPr>
                              <w:t>Sample</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5D738D" id="Text Box 150" o:spid="_x0000_s1053" type="#_x0000_t202" style="position:absolute;left:0;text-align:left;margin-left:89.45pt;margin-top:199.35pt;width:44.25pt;height:23.6pt;z-index:252138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4nAD2PQIAAHYEAAAOAAAAZHJzL2Uyb0RvYy54bWysVMFu2zAMvQ/YPwi6r04ytF2COkWWosOA&#13;&#10;oi3QDj0rstwYkEWNUmJ3X78nOU63bqdhF5kiKZLvkfTFZd9asTccGnKlnJ5MpDBOU9W451J+e7z+&#13;&#10;8EmKEJWrlCVnSvligrxcvn930fmFmdGWbGVYIIgLi86XchujXxRF0FvTqnBC3jgYa+JWRVz5uahY&#13;&#10;dYje2mI2mZwVHXHlmbQJAdqrwSiXOX5dGx3v6jqYKGwpUVvMJ+dzk85ieaEWz6z8ttGHMtQ/VNGq&#13;&#10;xiHpMdSVikrsuPkjVNtopkB1PNHUFlTXjTYZA9BMJ2/QPGyVNxkLyAn+SFP4f2H17f6eRVOhd6fg&#13;&#10;x6kWTXo0fRSfqRdJB4Y6HxZwfPBwjT0M8B71AcoEvK+5TV9AErAj1suR3xROQ3l6Np2fn0qhYZrN&#13;&#10;5+ezHL14few5xC+GWpGEUjLal1lV+5sQUQhcR5eUK5BtquvG2nxJI2PWlsVeodk25hLx4jcv60RX&#13;&#10;yrOPAJYeOUrPh8jWIUGCOkBKUuw3fSZndj7i3VD1AhqYhlEKXl83KPZGhXivGLMD5NiHeIejtoRk&#13;&#10;dJCk2BL/+Js++aOlsErRYRZLGb7vFBsp7FeHZqfBHQUehc0ouF27JiCeYtO8ziIecLSjWDO1T1iT&#13;&#10;VcoCk3IauUqpI4+XdRx2AoumzWqV3TCgXsUb9+B1Cp7oSuQ/9k+K/aFDEa29pXFO1eJNowbfgejV&#13;&#10;LlLd5C4magceD4xjuHNzD4uYtufXe/Z6/V0sfwIAAP//AwBQSwMEFAAGAAgAAAAhAI+8Z9niAAAA&#13;&#10;EAEAAA8AAABkcnMvZG93bnJldi54bWxMTztPwzAQ3pH4D9YhsVGnJTSPxqkqUBc2ChSxufERR43t&#13;&#10;yHbT9N9zTGU56dN9z2o9mZ6N6EPnrID5LAGGtnGqs62Aj/ftQw4sRGmV7J1FARcMsK5vbypZKne2&#13;&#10;bzjuYsvIxIZSCtAxDiXnodFoZJi5AS39fpw3MhL0LVdensnc9HyRJEtuZGcpQcsBnzU2x93JCIij&#13;&#10;36fbzeTVZa9f5dHMv767TyHu76aXFZ3NCljEKV4V8LeB+kNNxQ7uZFVgPeEsL4gq4LHIM2DEWCyz&#13;&#10;FNhBQJo+FcDriv8fUv8CAAD//wMAUEsBAi0AFAAGAAgAAAAhALaDOJL+AAAA4QEAABMAAAAAAAAA&#13;&#10;AAAAAAAAAAAAAFtDb250ZW50X1R5cGVzXS54bWxQSwECLQAUAAYACAAAACEAOP0h/9YAAACUAQAA&#13;&#10;CwAAAAAAAAAAAAAAAAAvAQAAX3JlbHMvLnJlbHNQSwECLQAUAAYACAAAACEA+JwA9j0CAAB2BAAA&#13;&#10;DgAAAAAAAAAAAAAAAAAuAgAAZHJzL2Uyb0RvYy54bWxQSwECLQAUAAYACAAAACEAj7xn2eIAAAAQ&#13;&#10;AQAADwAAAAAAAAAAAAAAAACXBAAAZHJzL2Rvd25yZXYueG1sUEsFBgAAAAAEAAQA8wAAAKYFAAAA&#13;&#10;AA==&#13;&#10;" fillcolor="white [3201]" stroked="f" strokeweight=".5pt">
                <v:textbox inset="0,0,0,0">
                  <w:txbxContent>
                    <w:p w14:paraId="6F575D3F" w14:textId="77777777" w:rsidR="00F61130" w:rsidRDefault="00F61130" w:rsidP="006C2ED9">
                      <w:pPr>
                        <w:spacing w:line="240" w:lineRule="auto"/>
                        <w:jc w:val="center"/>
                        <w:rPr>
                          <w:sz w:val="18"/>
                          <w:szCs w:val="18"/>
                        </w:rPr>
                      </w:pPr>
                      <w:r w:rsidRPr="006E0F27">
                        <w:rPr>
                          <w:sz w:val="18"/>
                          <w:szCs w:val="18"/>
                        </w:rPr>
                        <w:t>P</w:t>
                      </w:r>
                      <w:r>
                        <w:rPr>
                          <w:sz w:val="18"/>
                          <w:szCs w:val="18"/>
                        </w:rPr>
                        <w:t>er Liver</w:t>
                      </w:r>
                    </w:p>
                    <w:p w14:paraId="46658813" w14:textId="73FA95F2" w:rsidR="00F61130" w:rsidRPr="006E0F27" w:rsidRDefault="00F61130" w:rsidP="006C2ED9">
                      <w:pPr>
                        <w:spacing w:line="240" w:lineRule="auto"/>
                        <w:jc w:val="center"/>
                        <w:rPr>
                          <w:sz w:val="18"/>
                          <w:szCs w:val="18"/>
                        </w:rPr>
                      </w:pPr>
                      <w:r>
                        <w:rPr>
                          <w:sz w:val="18"/>
                          <w:szCs w:val="18"/>
                        </w:rPr>
                        <w:t>Sample</w:t>
                      </w:r>
                    </w:p>
                  </w:txbxContent>
                </v:textbox>
              </v:shape>
            </w:pict>
          </mc:Fallback>
        </mc:AlternateContent>
      </w:r>
      <w:r>
        <w:rPr>
          <w:noProof/>
        </w:rPr>
        <mc:AlternateContent>
          <mc:Choice Requires="wps">
            <w:drawing>
              <wp:anchor distT="0" distB="0" distL="114300" distR="114300" simplePos="0" relativeHeight="252139520" behindDoc="0" locked="0" layoutInCell="1" allowOverlap="1" wp14:anchorId="0B9E086A" wp14:editId="37307975">
                <wp:simplePos x="0" y="0"/>
                <wp:positionH relativeFrom="column">
                  <wp:posOffset>1864995</wp:posOffset>
                </wp:positionH>
                <wp:positionV relativeFrom="paragraph">
                  <wp:posOffset>2531745</wp:posOffset>
                </wp:positionV>
                <wp:extent cx="734060" cy="359410"/>
                <wp:effectExtent l="0" t="0" r="2540" b="0"/>
                <wp:wrapNone/>
                <wp:docPr id="182" name="Text Box 182"/>
                <wp:cNvGraphicFramePr/>
                <a:graphic xmlns:a="http://schemas.openxmlformats.org/drawingml/2006/main">
                  <a:graphicData uri="http://schemas.microsoft.com/office/word/2010/wordprocessingShape">
                    <wps:wsp>
                      <wps:cNvSpPr txBox="1"/>
                      <wps:spPr>
                        <a:xfrm>
                          <a:off x="0" y="0"/>
                          <a:ext cx="734060" cy="359410"/>
                        </a:xfrm>
                        <a:prstGeom prst="rect">
                          <a:avLst/>
                        </a:prstGeom>
                        <a:solidFill>
                          <a:schemeClr val="lt1"/>
                        </a:solidFill>
                        <a:ln w="6350">
                          <a:noFill/>
                        </a:ln>
                      </wps:spPr>
                      <wps:txbx>
                        <w:txbxContent>
                          <w:p w14:paraId="0C070F02" w14:textId="77777777" w:rsidR="00F61130" w:rsidRDefault="00F61130" w:rsidP="006C2ED9">
                            <w:pPr>
                              <w:spacing w:line="240" w:lineRule="auto"/>
                              <w:jc w:val="center"/>
                              <w:rPr>
                                <w:sz w:val="18"/>
                                <w:szCs w:val="18"/>
                              </w:rPr>
                            </w:pPr>
                            <w:r w:rsidRPr="006E0F27">
                              <w:rPr>
                                <w:sz w:val="18"/>
                                <w:szCs w:val="18"/>
                              </w:rPr>
                              <w:t>P</w:t>
                            </w:r>
                            <w:r>
                              <w:rPr>
                                <w:sz w:val="18"/>
                                <w:szCs w:val="18"/>
                              </w:rPr>
                              <w:t>er Whole</w:t>
                            </w:r>
                          </w:p>
                          <w:p w14:paraId="2285466B" w14:textId="2CB08C67" w:rsidR="00F61130" w:rsidRPr="006E0F27" w:rsidRDefault="00F61130" w:rsidP="006C2ED9">
                            <w:pPr>
                              <w:spacing w:line="240" w:lineRule="auto"/>
                              <w:jc w:val="center"/>
                              <w:rPr>
                                <w:sz w:val="18"/>
                                <w:szCs w:val="18"/>
                              </w:rPr>
                            </w:pPr>
                            <w:r w:rsidRPr="006E0F27">
                              <w:rPr>
                                <w:sz w:val="18"/>
                                <w:szCs w:val="18"/>
                              </w:rPr>
                              <w:t>Liver</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9E086A" id="Text Box 182" o:spid="_x0000_s1054" type="#_x0000_t202" style="position:absolute;left:0;text-align:left;margin-left:146.85pt;margin-top:199.35pt;width:57.8pt;height:28.3pt;z-index:252139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VO0wnPQIAAHQEAAAOAAAAZHJzL2Uyb0RvYy54bWysVE1v2zAMvQ/YfxB0X+0kbZcZdYqsRYcB&#13;&#10;RVsgHXpWZDk2IIuapMTufv2e5Ljdup2GXWSKpPjxHumLy6HT7KCcb8mUfHaSc6aMpKo1u5J/e7z5&#13;&#10;sOTMB2Eqocmokj8rzy9X799d9LZQc2pIV8oxBDG+6G3JmxBskWVeNqoT/oSsMjDW5DoRcHW7rHKi&#13;&#10;R/ROZ/M8P896cpV1JJX30F6PRr5K8etayXBf114FpkuO2kI6XTq38cxWF6LYOWGbVh7LEP9QRSda&#13;&#10;g6Qvoa5FEGzv2j9Cda105KkOJ5K6jOq6lSr1gG5m+ZtuNo2wKvUCcLx9gcn/v7Dy7vDgWFuBu+Wc&#13;&#10;MyM6kPSohsA+08CiDgj11hdw3Fi4hgEGeE96D2VsfKhdF79oicEOrJ9f8I3hJJQfF6f5OSwSpsXZ&#13;&#10;p9NZwj97fWydD18UdSwKJXegL6EqDrc+oBC4Ti4xlyfdVjet1ukSR0ZdaccOAmTrkErEi9+8tGF9&#13;&#10;yc8XZ3kKbCg+HyNrgwSx1bGlKIVhOyRw5sup3y1Vz4DB0ThK3sqbFsXeCh8ehMPsoD/sQ7jHUWtC&#13;&#10;MjpKnDXkfvxNH/1BKayc9ZjFkvvve+EUZ/qrAdlxcCfBTcJ2Esy+uyJ0PMOmWZlEPHBBT2LtqHvC&#13;&#10;mqxjFpiEkchV8jCJV2HcCKyZVOt1csJ4WhFuzcbKGDoiHKF/HJ6Es0d+Aoi9o2lKRfGGptE3vjS0&#13;&#10;3geq28RhBHZE8Yg3RjtRe1zDuDu/3pPX689i9RMAAP//AwBQSwMEFAAGAAgAAAAhAPR90SXmAAAA&#13;&#10;EAEAAA8AAABkcnMvZG93bnJldi54bWxMT8lOwzAQvSPxD9YgcUHUoemSpHEqFnGoBEIU1LMbmzjU&#13;&#10;HofYbVO+nuEEl9EbzZu3lMvBWXbQfWg9CrgZJcA01l612Ah4f3u8zoCFKFFJ61ELOOkAy+r8rJSF&#13;&#10;8kd81Yd1bBiJYCikABNjV3AeaqOdDCPfaaTbh++djLT2DVe9PJK4s3ycJDPuZIvkYGSn742ud+u9&#13;&#10;E5CdJs9Xm9l882lfVnfmu/nCp50U4vJieFjQuF0Ai3qIfx/w24HyQ0XBtn6PKjArYJync6IKSPOM&#13;&#10;ADEmSZ4C2xKYTlPgVcn/F6l+AAAA//8DAFBLAQItABQABgAIAAAAIQC2gziS/gAAAOEBAAATAAAA&#13;&#10;AAAAAAAAAAAAAAAAAABbQ29udGVudF9UeXBlc10ueG1sUEsBAi0AFAAGAAgAAAAhADj9If/WAAAA&#13;&#10;lAEAAAsAAAAAAAAAAAAAAAAALwEAAF9yZWxzLy5yZWxzUEsBAi0AFAAGAAgAAAAhAJU7TCc9AgAA&#13;&#10;dAQAAA4AAAAAAAAAAAAAAAAALgIAAGRycy9lMm9Eb2MueG1sUEsBAi0AFAAGAAgAAAAhAPR90SXm&#13;&#10;AAAAEAEAAA8AAAAAAAAAAAAAAAAAlwQAAGRycy9kb3ducmV2LnhtbFBLBQYAAAAABAAEAPMAAACq&#13;&#10;BQAAAAA=&#13;&#10;" fillcolor="white [3201]" stroked="f" strokeweight=".5pt">
                <v:textbox inset="0,0,0,0">
                  <w:txbxContent>
                    <w:p w14:paraId="0C070F02" w14:textId="77777777" w:rsidR="00F61130" w:rsidRDefault="00F61130" w:rsidP="006C2ED9">
                      <w:pPr>
                        <w:spacing w:line="240" w:lineRule="auto"/>
                        <w:jc w:val="center"/>
                        <w:rPr>
                          <w:sz w:val="18"/>
                          <w:szCs w:val="18"/>
                        </w:rPr>
                      </w:pPr>
                      <w:r w:rsidRPr="006E0F27">
                        <w:rPr>
                          <w:sz w:val="18"/>
                          <w:szCs w:val="18"/>
                        </w:rPr>
                        <w:t>P</w:t>
                      </w:r>
                      <w:r>
                        <w:rPr>
                          <w:sz w:val="18"/>
                          <w:szCs w:val="18"/>
                        </w:rPr>
                        <w:t>er Whole</w:t>
                      </w:r>
                    </w:p>
                    <w:p w14:paraId="2285466B" w14:textId="2CB08C67" w:rsidR="00F61130" w:rsidRPr="006E0F27" w:rsidRDefault="00F61130" w:rsidP="006C2ED9">
                      <w:pPr>
                        <w:spacing w:line="240" w:lineRule="auto"/>
                        <w:jc w:val="center"/>
                        <w:rPr>
                          <w:sz w:val="18"/>
                          <w:szCs w:val="18"/>
                        </w:rPr>
                      </w:pPr>
                      <w:r w:rsidRPr="006E0F27">
                        <w:rPr>
                          <w:sz w:val="18"/>
                          <w:szCs w:val="18"/>
                        </w:rPr>
                        <w:t>Liver</w:t>
                      </w:r>
                    </w:p>
                  </w:txbxContent>
                </v:textbox>
              </v:shape>
            </w:pict>
          </mc:Fallback>
        </mc:AlternateContent>
      </w:r>
      <w:r w:rsidR="00031DCA">
        <w:rPr>
          <w:noProof/>
        </w:rPr>
        <w:drawing>
          <wp:anchor distT="0" distB="0" distL="114300" distR="114300" simplePos="0" relativeHeight="252007424" behindDoc="0" locked="0" layoutInCell="1" allowOverlap="1" wp14:anchorId="73C44C4E" wp14:editId="59B05A6A">
            <wp:simplePos x="0" y="0"/>
            <wp:positionH relativeFrom="column">
              <wp:posOffset>494946</wp:posOffset>
            </wp:positionH>
            <wp:positionV relativeFrom="paragraph">
              <wp:posOffset>13557</wp:posOffset>
            </wp:positionV>
            <wp:extent cx="4607404" cy="3593613"/>
            <wp:effectExtent l="0" t="0" r="3175" b="635"/>
            <wp:wrapTopAndBottom/>
            <wp:docPr id="657" name="Picture 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7" name="Picture 657"/>
                    <pic:cNvPicPr>
                      <a:picLocks noChangeAspect="1"/>
                    </pic:cNvPicPr>
                  </pic:nvPicPr>
                  <pic:blipFill>
                    <a:blip r:embed="rId40">
                      <a:extLst>
                        <a:ext uri="{28A0092B-C50C-407E-A947-70E740481C1C}">
                          <a14:useLocalDpi xmlns:a14="http://schemas.microsoft.com/office/drawing/2010/main" val="0"/>
                        </a:ext>
                      </a:extLst>
                    </a:blip>
                    <a:stretch>
                      <a:fillRect/>
                    </a:stretch>
                  </pic:blipFill>
                  <pic:spPr>
                    <a:xfrm>
                      <a:off x="0" y="0"/>
                      <a:ext cx="4607404" cy="3593613"/>
                    </a:xfrm>
                    <a:prstGeom prst="rect">
                      <a:avLst/>
                    </a:prstGeom>
                  </pic:spPr>
                </pic:pic>
              </a:graphicData>
            </a:graphic>
          </wp:anchor>
        </w:drawing>
      </w:r>
      <w:r w:rsidR="00031DCA">
        <w:rPr>
          <w:noProof/>
        </w:rPr>
        <mc:AlternateContent>
          <mc:Choice Requires="wps">
            <w:drawing>
              <wp:anchor distT="0" distB="0" distL="114300" distR="114300" simplePos="0" relativeHeight="252008448" behindDoc="0" locked="0" layoutInCell="1" allowOverlap="1" wp14:anchorId="233505DE" wp14:editId="5D897756">
                <wp:simplePos x="0" y="0"/>
                <wp:positionH relativeFrom="column">
                  <wp:posOffset>541825</wp:posOffset>
                </wp:positionH>
                <wp:positionV relativeFrom="paragraph">
                  <wp:posOffset>85992</wp:posOffset>
                </wp:positionV>
                <wp:extent cx="813553" cy="362140"/>
                <wp:effectExtent l="0" t="0" r="0" b="0"/>
                <wp:wrapTopAndBottom/>
                <wp:docPr id="658" name="Text Box 658"/>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wps:cNvSpPr>
                      <wps:spPr>
                        <a:xfrm>
                          <a:off x="0" y="0"/>
                          <a:ext cx="813553" cy="362140"/>
                        </a:xfrm>
                        <a:prstGeom prst="rect">
                          <a:avLst/>
                        </a:prstGeom>
                        <a:noFill/>
                        <a:ln w="6350">
                          <a:noFill/>
                        </a:ln>
                      </wps:spPr>
                      <wps:txbx>
                        <w:txbxContent>
                          <w:p w14:paraId="7C0CA593" w14:textId="77777777" w:rsidR="00F61130" w:rsidRDefault="00F61130" w:rsidP="002E714B">
                            <w: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33505DE" id="Text Box 658" o:spid="_x0000_s1055" type="#_x0000_t202" style="position:absolute;left:0;text-align:left;margin-left:42.65pt;margin-top:6.75pt;width:64.05pt;height:28.5pt;z-index:2520084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9iNNMRwIAAIgEAAAOAAAAZHJzL2Uyb0RvYy54bWysVMtu2zAQvBfoPxC81/IzTQTLgesgRQEj&#13;&#10;CWAXOdMUZQmVuCxJR0q/vkPKdoy0p6IXasl9z+xqfts1NXtR1lWkMz4aDDlTWlJe6X3Gv2/vP11z&#13;&#10;5rzQuahJq4y/KsdvFx8/zFuTqjGVVOfKMgTRLm1NxkvvTZokTpaqEW5ARmkoC7KN8LjafZJb0SJ6&#13;&#10;Uyfj4fAqacnmxpJUzuH1rlfyRYxfFEr6x6JwyrM646jNx9PGcxfOZDEX6d4KU1byWIb4hyoaUWkk&#13;&#10;PYe6E16wg63+CNVU0pKjwg8kNQkVRSVV7AHdjIbvutmUwqjYC8Bx5gyT+39h5cPLk2VVnvGrGajS&#13;&#10;ogFJW9V59oU6Ft6AUGtcCsONganvoADTsVtn1iR/OKZpVQq9V0tngHjQwiu5cOtjOAQIIHWFbcIX&#13;&#10;7TPEAi+vZy5CaonH69FkNptwJqGaXI1H08hV8uZsrPNfFTUsCBm3SBxrEi9r50N6kZ5MQi5N91Vd&#13;&#10;R7przVr0O5kNo8NZA49aH+vuSw0d+G7XRYDGNycsdpS/AgpL/Tg5I+8rFLEWzj8Ji/lBR9gJ/4ij&#13;&#10;qAnJ6ChxVpL99bf3YA9aoeWsxTxm3P08CKs4q79pEH4zmgIC5uNlOvs8xsVeanaXGn1oVoSRH2H7&#13;&#10;jIxisPf1SSwsNc9YnWXICpXQErkz7k/iyvdbgtWTarmMRhhZI/xab4w8TUCAeNs9C2uOPHgQ+ECn&#13;&#10;yRXpOzp6256Q5cFTUUWuAtA9qkf8Me6RwuNqhn26vEertx/I4jcAAAD//wMAUEsDBBQABgAIAAAA&#13;&#10;IQDH4VLW5AAAAA0BAAAPAAAAZHJzL2Rvd25yZXYueG1sTE89T8MwEN2R+A/WIbFRpwmBKI1TVUEV&#13;&#10;EqJDS5duTuwmUe1ziN028Os5JlhOunvv3kexnKxhFz363qGA+SwCprFxqsdWwP5j/ZAB80Giksah&#13;&#10;FvClPSzL25tC5spdcasvu9AyEkGfSwFdCEPOuW86baWfuUEjYUc3WhloHVuuRnklcWt4HEVP3Moe&#13;&#10;yaGTg6463Zx2ZyvgrVpv5LaObfZtqtf342r43B9SIe7vppcFjdUCWNBT+PuA3w6UH0oKVrszKs+M&#13;&#10;gCxNiEn3JAVGeDxPHoHVAp6jFHhZ8P8tyh8AAAD//wMAUEsBAi0AFAAGAAgAAAAhALaDOJL+AAAA&#13;&#10;4QEAABMAAAAAAAAAAAAAAAAAAAAAAFtDb250ZW50X1R5cGVzXS54bWxQSwECLQAUAAYACAAAACEA&#13;&#10;OP0h/9YAAACUAQAACwAAAAAAAAAAAAAAAAAvAQAAX3JlbHMvLnJlbHNQSwECLQAUAAYACAAAACEA&#13;&#10;/YjTTEcCAACIBAAADgAAAAAAAAAAAAAAAAAuAgAAZHJzL2Uyb0RvYy54bWxQSwECLQAUAAYACAAA&#13;&#10;ACEAx+FS1uQAAAANAQAADwAAAAAAAAAAAAAAAAChBAAAZHJzL2Rvd25yZXYueG1sUEsFBgAAAAAE&#13;&#10;AAQA8wAAALIFAAAAAA==&#13;&#10;" filled="f" stroked="f" strokeweight=".5pt">
                <o:lock v:ext="edit" aspectratio="t"/>
                <v:textbox>
                  <w:txbxContent>
                    <w:p w14:paraId="7C0CA593" w14:textId="77777777" w:rsidR="00F61130" w:rsidRDefault="00F61130" w:rsidP="002E714B">
                      <w:r>
                        <w:t>A</w:t>
                      </w:r>
                    </w:p>
                  </w:txbxContent>
                </v:textbox>
                <w10:wrap type="topAndBottom"/>
              </v:shape>
            </w:pict>
          </mc:Fallback>
        </mc:AlternateContent>
      </w:r>
      <w:r w:rsidR="00031DCA">
        <w:rPr>
          <w:noProof/>
        </w:rPr>
        <mc:AlternateContent>
          <mc:Choice Requires="wps">
            <w:drawing>
              <wp:anchor distT="0" distB="0" distL="114300" distR="114300" simplePos="0" relativeHeight="252009472" behindDoc="0" locked="0" layoutInCell="1" allowOverlap="1" wp14:anchorId="552B4C1B" wp14:editId="7DB40E7B">
                <wp:simplePos x="0" y="0"/>
                <wp:positionH relativeFrom="column">
                  <wp:posOffset>2763185</wp:posOffset>
                </wp:positionH>
                <wp:positionV relativeFrom="paragraph">
                  <wp:posOffset>85992</wp:posOffset>
                </wp:positionV>
                <wp:extent cx="814289" cy="362544"/>
                <wp:effectExtent l="0" t="0" r="0" b="0"/>
                <wp:wrapTopAndBottom/>
                <wp:docPr id="659" name="Text Box 659"/>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wps:cNvSpPr>
                      <wps:spPr>
                        <a:xfrm>
                          <a:off x="0" y="0"/>
                          <a:ext cx="814289" cy="362544"/>
                        </a:xfrm>
                        <a:prstGeom prst="rect">
                          <a:avLst/>
                        </a:prstGeom>
                        <a:noFill/>
                        <a:ln w="6350">
                          <a:noFill/>
                        </a:ln>
                      </wps:spPr>
                      <wps:txbx>
                        <w:txbxContent>
                          <w:p w14:paraId="7E4A7F36" w14:textId="77777777" w:rsidR="00F61130" w:rsidRDefault="00F61130" w:rsidP="002E714B">
                            <w: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52B4C1B" id="Text Box 659" o:spid="_x0000_s1056" type="#_x0000_t202" style="position:absolute;left:0;text-align:left;margin-left:217.55pt;margin-top:6.75pt;width:64.1pt;height:28.55pt;z-index:2520094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1USvXRgIAAIgEAAAOAAAAZHJzL2Uyb0RvYy54bWysVEuP2jAQvlfqf7B8L+FdNiKsKCuqSmh3&#13;&#10;Jaj2bBybRHU8rm1I6K/v2AkPbXuqenHseXzz+GYyf2wqRU7CuhJ0Rge9PiVCc8hLfcjo993604wS&#13;&#10;55nOmQItMnoWjj4uPn6Y1yYVQyhA5cISBNEurU1GC+9NmiSOF6JirgdGaFRKsBXz+LSHJLesRvRK&#13;&#10;JcN+f5rUYHNjgQvnUPrUKuki4kspuH+R0glPVEYxNx9PG899OJPFnKUHy0xR8i4N9g9ZVKzUGPQK&#13;&#10;9cQ8I0db/gFVldyCA+l7HKoEpCy5iDVgNYP+u2q2BTMi1oLNcebaJvf/YPnz6dWSMs/odPJAiWYV&#13;&#10;krQTjSdfoCFBhh2qjUvRcGvQ1DeoQKZjtc5sgP9wRMOqYPogls5gx4MWvZI7txbDIUBoUiNtFb5Y&#13;&#10;PkEs5OV85SKE5iicDcbDGWbEUTWaDifjccS8ORvr/FcBFQmXjFoMHHNip43zITxLLyYhloZ1qVSk&#13;&#10;W2lSY72jST86XDXooXSXd5tqqMA3+yY2aBSnJYj2kJ+xFRbacXKGr0tMYsOcf2UW5wcrwp3wL3hI&#13;&#10;BRgMuhslBdhff5MHe6QVtZTUOI8ZdT+PzApK1DeNhD8MxuMwwPExnnwe4sPea/b3Gn2sVoAjP8Dt&#13;&#10;Mzxeg71Xl6u0UL3h6ixDVFQxzTF2Rv3luvLtluDqcbFcRiMcWcP8Rm8Nv0xAaPGueWPWdDx4JPAZ&#13;&#10;LpPL0nd0tLYtIcujB1lGrm5d7fqP4x4p7FYz7NP9O1rdfiCL3wAAAP//AwBQSwMEFAAGAAgAAAAh&#13;&#10;AL7Ozo/kAAAADgEAAA8AAABkcnMvZG93bnJldi54bWxMT01Pg0AQvZv4HzZj4s0uLYINZWkaTGNi&#13;&#10;9NDai7eB3QKRnUV226K/3vGkl5dM3pv3ka8n24uzGX3nSMF8FoEwVDvdUaPg8La9W4LwAUlj78go&#13;&#10;+DIe1sX1VY6ZdhfamfM+NIJNyGeooA1hyKT0dWss+pkbDDF3dKPFwOfYSD3ihc1tLxdRlEqLHXFC&#13;&#10;i4MpW1N/7E9WwXO5fcVdtbDL7758ejluhs/De6LU7c30uGLYrEAEM4W/D/jdwP2h4GKVO5H2oldw&#13;&#10;HydzljIRJyBYkKRxDKJS8BClIItc/p9R/AAAAP//AwBQSwECLQAUAAYACAAAACEAtoM4kv4AAADh&#13;&#10;AQAAEwAAAAAAAAAAAAAAAAAAAAAAW0NvbnRlbnRfVHlwZXNdLnhtbFBLAQItABQABgAIAAAAIQA4&#13;&#10;/SH/1gAAAJQBAAALAAAAAAAAAAAAAAAAAC8BAABfcmVscy8ucmVsc1BLAQItABQABgAIAAAAIQD1&#13;&#10;USvXRgIAAIgEAAAOAAAAAAAAAAAAAAAAAC4CAABkcnMvZTJvRG9jLnhtbFBLAQItABQABgAIAAAA&#13;&#10;IQC+zs6P5AAAAA4BAAAPAAAAAAAAAAAAAAAAAKAEAABkcnMvZG93bnJldi54bWxQSwUGAAAAAAQA&#13;&#10;BADzAAAAsQUAAAAA&#13;&#10;" filled="f" stroked="f" strokeweight=".5pt">
                <o:lock v:ext="edit" aspectratio="t"/>
                <v:textbox>
                  <w:txbxContent>
                    <w:p w14:paraId="7E4A7F36" w14:textId="77777777" w:rsidR="00F61130" w:rsidRDefault="00F61130" w:rsidP="002E714B">
                      <w:r>
                        <w:t>B</w:t>
                      </w:r>
                    </w:p>
                  </w:txbxContent>
                </v:textbox>
                <w10:wrap type="topAndBottom"/>
              </v:shape>
            </w:pict>
          </mc:Fallback>
        </mc:AlternateContent>
      </w:r>
      <w:r w:rsidR="00931413" w:rsidRPr="008B3AD6">
        <w:t xml:space="preserve">To further assess </w:t>
      </w:r>
      <w:r w:rsidR="00A32111">
        <w:t>AmB</w:t>
      </w:r>
      <w:r w:rsidR="00931413" w:rsidRPr="008B3AD6">
        <w:t xml:space="preserve"> distribution within leukocytes, the population was divided into its two main component families: myeloid and lymphoid cells. Leukocytes were isolated from the livers of day 28-infected mice treated 12 hrs previously with AmBisome. They were then processed for FACS and sorted using the strategy described in </w:t>
      </w:r>
      <w:r w:rsidR="00931413" w:rsidRPr="008B3AD6">
        <w:rPr>
          <w:b/>
        </w:rPr>
        <w:fldChar w:fldCharType="begin"/>
      </w:r>
      <w:r w:rsidR="00931413" w:rsidRPr="008B3AD6">
        <w:rPr>
          <w:b/>
        </w:rPr>
        <w:instrText xml:space="preserve"> REF _Ref518932073  \* MERGEFORMAT </w:instrText>
      </w:r>
      <w:r w:rsidR="00931413" w:rsidRPr="008B3AD6">
        <w:rPr>
          <w:b/>
        </w:rPr>
        <w:fldChar w:fldCharType="separate"/>
      </w:r>
      <w:r w:rsidR="00E5551E" w:rsidRPr="00E5551E">
        <w:rPr>
          <w:b/>
        </w:rPr>
        <w:t xml:space="preserve">Figure </w:t>
      </w:r>
      <w:r w:rsidR="00E5551E" w:rsidRPr="00E5551E">
        <w:rPr>
          <w:b/>
          <w:noProof/>
        </w:rPr>
        <w:t>3.8</w:t>
      </w:r>
      <w:r w:rsidR="00931413" w:rsidRPr="008B3AD6">
        <w:rPr>
          <w:b/>
          <w:noProof/>
        </w:rPr>
        <w:fldChar w:fldCharType="end"/>
      </w:r>
      <w:r w:rsidR="00931413" w:rsidRPr="008B3AD6">
        <w:rPr>
          <w:noProof/>
        </w:rPr>
        <w:t xml:space="preserve"> (see Sections </w:t>
      </w:r>
      <w:r w:rsidR="00931413" w:rsidRPr="008B3AD6">
        <w:rPr>
          <w:noProof/>
        </w:rPr>
        <w:fldChar w:fldCharType="begin"/>
      </w:r>
      <w:r w:rsidR="00931413" w:rsidRPr="008B3AD6">
        <w:rPr>
          <w:noProof/>
        </w:rPr>
        <w:instrText xml:space="preserve"> REF _Ref519021529 \n </w:instrText>
      </w:r>
      <w:r w:rsidR="008B3AD6">
        <w:rPr>
          <w:noProof/>
        </w:rPr>
        <w:instrText xml:space="preserve"> \* MERGEFORMAT </w:instrText>
      </w:r>
      <w:r w:rsidR="00931413" w:rsidRPr="008B3AD6">
        <w:rPr>
          <w:noProof/>
        </w:rPr>
        <w:fldChar w:fldCharType="separate"/>
      </w:r>
      <w:r w:rsidR="00E5551E">
        <w:rPr>
          <w:noProof/>
        </w:rPr>
        <w:t>2.8</w:t>
      </w:r>
      <w:r w:rsidR="00931413" w:rsidRPr="008B3AD6">
        <w:rPr>
          <w:noProof/>
        </w:rPr>
        <w:fldChar w:fldCharType="end"/>
      </w:r>
      <w:r w:rsidR="00931413" w:rsidRPr="008B3AD6">
        <w:rPr>
          <w:noProof/>
        </w:rPr>
        <w:t xml:space="preserve"> and </w:t>
      </w:r>
      <w:r w:rsidR="00931413" w:rsidRPr="008B3AD6">
        <w:rPr>
          <w:noProof/>
        </w:rPr>
        <w:fldChar w:fldCharType="begin"/>
      </w:r>
      <w:r w:rsidR="00931413" w:rsidRPr="008B3AD6">
        <w:rPr>
          <w:noProof/>
        </w:rPr>
        <w:instrText xml:space="preserve"> REF _Ref519021531 \n </w:instrText>
      </w:r>
      <w:r w:rsidR="008B3AD6">
        <w:rPr>
          <w:noProof/>
        </w:rPr>
        <w:instrText xml:space="preserve"> \* MERGEFORMAT </w:instrText>
      </w:r>
      <w:r w:rsidR="00931413" w:rsidRPr="008B3AD6">
        <w:rPr>
          <w:noProof/>
        </w:rPr>
        <w:fldChar w:fldCharType="separate"/>
      </w:r>
      <w:r w:rsidR="00E5551E">
        <w:rPr>
          <w:noProof/>
        </w:rPr>
        <w:t>2.10</w:t>
      </w:r>
      <w:r w:rsidR="00931413" w:rsidRPr="008B3AD6">
        <w:rPr>
          <w:noProof/>
        </w:rPr>
        <w:fldChar w:fldCharType="end"/>
      </w:r>
      <w:r w:rsidR="00931413" w:rsidRPr="008B3AD6">
        <w:rPr>
          <w:noProof/>
        </w:rPr>
        <w:t>)</w:t>
      </w:r>
      <w:r w:rsidR="00931413" w:rsidRPr="008B3AD6">
        <w:t>. For the cell sorting, 8 mice were pooled resulting in a total pooled hepatic leukocyte count of 3x10</w:t>
      </w:r>
      <w:r w:rsidR="00931413" w:rsidRPr="008B3AD6">
        <w:rPr>
          <w:vertAlign w:val="superscript"/>
        </w:rPr>
        <w:t>8</w:t>
      </w:r>
      <w:r w:rsidR="00931413" w:rsidRPr="008B3AD6">
        <w:t xml:space="preserve"> which was sorted to collect lymphoid and myeloid cells and then neutrophils, monocytes, dendritic cells </w:t>
      </w:r>
      <w:r>
        <w:t xml:space="preserve">(DCs) </w:t>
      </w:r>
      <w:r w:rsidR="00931413" w:rsidRPr="008B3AD6">
        <w:t xml:space="preserve">and </w:t>
      </w:r>
      <w:r>
        <w:t>KCs</w:t>
      </w:r>
      <w:r w:rsidR="00931413" w:rsidRPr="008B3AD6">
        <w:t>. Due to limitations in cell recovery, bulk lymphoid and myeloid cell fractions could be analysed by LC-MS</w:t>
      </w:r>
      <w:r>
        <w:t>/MS</w:t>
      </w:r>
      <w:r w:rsidR="00931413" w:rsidRPr="008B3AD6">
        <w:t xml:space="preserve"> using 10</w:t>
      </w:r>
      <w:r w:rsidR="00931413" w:rsidRPr="008B3AD6">
        <w:rPr>
          <w:vertAlign w:val="superscript"/>
        </w:rPr>
        <w:t>6</w:t>
      </w:r>
      <w:r w:rsidR="00931413" w:rsidRPr="008B3AD6">
        <w:t xml:space="preserve"> cells per sample, whereas for sub-populations 10</w:t>
      </w:r>
      <w:r w:rsidR="00931413" w:rsidRPr="008B3AD6">
        <w:rPr>
          <w:vertAlign w:val="superscript"/>
        </w:rPr>
        <w:t>5</w:t>
      </w:r>
      <w:r w:rsidR="00931413" w:rsidRPr="008B3AD6">
        <w:t xml:space="preserve"> cells were analysed.</w:t>
      </w:r>
    </w:p>
    <w:p w14:paraId="1CA4B089" w14:textId="77777777" w:rsidR="00931413" w:rsidRPr="008B3AD6" w:rsidRDefault="00931413" w:rsidP="00B513E4">
      <w:pPr>
        <w:spacing w:line="360" w:lineRule="auto"/>
      </w:pPr>
    </w:p>
    <w:p w14:paraId="7D48A646" w14:textId="6E01040B" w:rsidR="00F968CD" w:rsidRPr="008B3AD6" w:rsidRDefault="00F968CD" w:rsidP="00F968CD">
      <w:pPr>
        <w:spacing w:line="360" w:lineRule="auto"/>
        <w:jc w:val="both"/>
      </w:pPr>
      <w:r w:rsidRPr="008B3AD6">
        <w:t>1x10</w:t>
      </w:r>
      <w:r w:rsidRPr="008B3AD6">
        <w:rPr>
          <w:vertAlign w:val="superscript"/>
        </w:rPr>
        <w:t>6</w:t>
      </w:r>
      <w:r w:rsidRPr="008B3AD6">
        <w:t xml:space="preserve"> myeloid cells contained 0.176 </w:t>
      </w:r>
      <w:r w:rsidRPr="008B3AD6">
        <w:sym w:font="Symbol" w:char="F0B1"/>
      </w:r>
      <w:r w:rsidRPr="008B3AD6">
        <w:t xml:space="preserve"> 0.06 </w:t>
      </w:r>
      <w:r w:rsidRPr="008B3AD6">
        <w:sym w:font="Symbol" w:char="F06D"/>
      </w:r>
      <w:r w:rsidR="006C2ED9">
        <w:t xml:space="preserve">g </w:t>
      </w:r>
      <w:r w:rsidR="006C2ED9" w:rsidRPr="008B3AD6">
        <w:t>of</w:t>
      </w:r>
      <w:r w:rsidRPr="008B3AD6">
        <w:t xml:space="preserve"> </w:t>
      </w:r>
      <w:r w:rsidR="00A32111">
        <w:t>AmB</w:t>
      </w:r>
      <w:r w:rsidRPr="008B3AD6">
        <w:t xml:space="preserve"> as compared to 0.014 </w:t>
      </w:r>
      <w:r w:rsidRPr="008B3AD6">
        <w:sym w:font="Symbol" w:char="F0B1"/>
      </w:r>
      <w:r w:rsidRPr="008B3AD6">
        <w:t xml:space="preserve"> 0.003 </w:t>
      </w:r>
      <w:r w:rsidRPr="008B3AD6">
        <w:sym w:font="Symbol" w:char="F06D"/>
      </w:r>
      <w:r w:rsidR="00E5551E">
        <w:t xml:space="preserve">g </w:t>
      </w:r>
      <w:r w:rsidR="00E5551E" w:rsidRPr="008B3AD6">
        <w:t>in</w:t>
      </w:r>
      <w:r w:rsidRPr="008B3AD6">
        <w:t xml:space="preserve"> 1x10</w:t>
      </w:r>
      <w:r w:rsidRPr="008B3AD6">
        <w:rPr>
          <w:vertAlign w:val="superscript"/>
        </w:rPr>
        <w:t>6</w:t>
      </w:r>
      <w:r w:rsidRPr="008B3AD6">
        <w:t xml:space="preserve"> lymphoid cells (p = 0.0357). Thus, myeloid cells accumulated ~13</w:t>
      </w:r>
      <w:r w:rsidR="006C2ED9">
        <w:t>-fold</w:t>
      </w:r>
      <w:r w:rsidRPr="008B3AD6">
        <w:t xml:space="preserve"> more </w:t>
      </w:r>
      <w:r w:rsidR="00A32111">
        <w:t>AmB</w:t>
      </w:r>
      <w:r w:rsidRPr="008B3AD6">
        <w:t xml:space="preserve"> than lymphoid cells on a cell-per -cell basis (</w:t>
      </w:r>
      <w:r w:rsidRPr="008B3AD6">
        <w:rPr>
          <w:b/>
        </w:rPr>
        <w:fldChar w:fldCharType="begin"/>
      </w:r>
      <w:r w:rsidRPr="008B3AD6">
        <w:rPr>
          <w:b/>
        </w:rPr>
        <w:instrText xml:space="preserve"> REF _Ref518932222  \* MERGEFORMAT </w:instrText>
      </w:r>
      <w:r w:rsidRPr="008B3AD6">
        <w:rPr>
          <w:b/>
        </w:rPr>
        <w:fldChar w:fldCharType="separate"/>
      </w:r>
      <w:r w:rsidR="00E5551E" w:rsidRPr="00E5551E">
        <w:rPr>
          <w:b/>
        </w:rPr>
        <w:t xml:space="preserve">Figure </w:t>
      </w:r>
      <w:r w:rsidR="00E5551E" w:rsidRPr="00E5551E">
        <w:rPr>
          <w:b/>
          <w:noProof/>
        </w:rPr>
        <w:t>3.10</w:t>
      </w:r>
      <w:r w:rsidRPr="008B3AD6">
        <w:rPr>
          <w:b/>
          <w:noProof/>
        </w:rPr>
        <w:fldChar w:fldCharType="end"/>
      </w:r>
      <w:r w:rsidRPr="008B3AD6">
        <w:rPr>
          <w:b/>
        </w:rPr>
        <w:t>A</w:t>
      </w:r>
      <w:r w:rsidRPr="008B3AD6">
        <w:t>).</w:t>
      </w:r>
    </w:p>
    <w:p w14:paraId="520FD378" w14:textId="58F9CD12" w:rsidR="00B513E4" w:rsidRPr="008B3AD6" w:rsidRDefault="00B513E4" w:rsidP="00B513E4">
      <w:pPr>
        <w:spacing w:line="360" w:lineRule="auto"/>
      </w:pPr>
      <w:r w:rsidRPr="008B3AD6">
        <w:t xml:space="preserve"> </w:t>
      </w:r>
    </w:p>
    <w:p w14:paraId="1F823471" w14:textId="57917D27" w:rsidR="00F136FF" w:rsidRPr="008B3AD6" w:rsidRDefault="00031DCA" w:rsidP="009154C0">
      <w:pPr>
        <w:spacing w:line="360" w:lineRule="auto"/>
        <w:jc w:val="both"/>
      </w:pPr>
      <w:r>
        <w:rPr>
          <w:noProof/>
        </w:rPr>
        <w:lastRenderedPageBreak/>
        <mc:AlternateContent>
          <mc:Choice Requires="wps">
            <w:drawing>
              <wp:anchor distT="0" distB="0" distL="114300" distR="114300" simplePos="0" relativeHeight="251481088" behindDoc="0" locked="0" layoutInCell="1" allowOverlap="1" wp14:anchorId="3993C726" wp14:editId="7F9C88A1">
                <wp:simplePos x="0" y="0"/>
                <wp:positionH relativeFrom="column">
                  <wp:posOffset>59011</wp:posOffset>
                </wp:positionH>
                <wp:positionV relativeFrom="paragraph">
                  <wp:posOffset>45454</wp:posOffset>
                </wp:positionV>
                <wp:extent cx="814070" cy="362585"/>
                <wp:effectExtent l="0" t="0" r="0" b="0"/>
                <wp:wrapSquare wrapText="bothSides"/>
                <wp:docPr id="665" name="Text Box 66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wps:cNvSpPr>
                      <wps:spPr>
                        <a:xfrm>
                          <a:off x="0" y="0"/>
                          <a:ext cx="814070" cy="362585"/>
                        </a:xfrm>
                        <a:prstGeom prst="rect">
                          <a:avLst/>
                        </a:prstGeom>
                        <a:noFill/>
                        <a:ln w="6350">
                          <a:noFill/>
                        </a:ln>
                      </wps:spPr>
                      <wps:txbx>
                        <w:txbxContent>
                          <w:p w14:paraId="63BE984E" w14:textId="77777777" w:rsidR="00F61130" w:rsidRPr="00F136FF" w:rsidRDefault="00F61130" w:rsidP="00F136FF">
                            <w:r w:rsidRPr="00F136FF">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993C726" id="Text Box 665" o:spid="_x0000_s1057" type="#_x0000_t202" style="position:absolute;left:0;text-align:left;margin-left:4.65pt;margin-top:3.6pt;width:64.1pt;height:28.55pt;z-index:2514810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R3VgeRAIAAIgEAAAOAAAAZHJzL2Uyb0RvYy54bWysVEuP2yAQvlfqf0DcGzvPTa04qzSrVJWi&#13;&#10;3ZWSas8EQ2wVMxRI7PTXd8B5adtT1QuG+eb9zXj22NaKHIV1Feic9nspJUJzKCq9z+n37erTlBLn&#13;&#10;mS6YAi1yehKOPs4/fpg1JhMDKEEVwhJ0ol3WmJyW3pssSRwvRc1cD4zQCEqwNfP4tPuksKxB77VK&#13;&#10;Bmk6SRqwhbHAhXMofepAOo/+pRTcv0jphCcqp5ibj6eN5y6cyXzGsr1lpqz4OQ32D1nUrNIY9Orq&#13;&#10;iXlGDrb6w1VdcQsOpO9xqBOQsuIi1oDV9NN31WxKZkSsBZvjzLVN7v+55c/HV0uqIqeTyZgSzWok&#13;&#10;aStaT75AS4IMO9QYl6HixqCqbxFApmO1zqyB/3BEw7Jkei8WzmDHA4pWyZ1Z58Ohg9CkVto6fLF8&#13;&#10;gr6Ql9OVixCao3DaH6UPiHCEhpPBeBozSW7Gxjr/VUBNwiWnFgPHnNhx7XwIz7KLSoilYVUpFelW&#13;&#10;mjRY73CcRoMrghZKn/PuUg0V+HbXxgYNY1VBtIPihK2w0I2TM3xVYRJr5vwrszg/mDfuhH/BQyrA&#13;&#10;YHC+UVKC/fU3edBHWhGlpMF5zKn7eWBWUKK+aST8c380CgMcH6PxwwAf9h7Z3SP6UC8BR76P22d4&#13;&#10;vAZ9ry5XaaF+w9VZhKgIMc0xdk795br03Zbg6nGxWEQlHFnD/FpvDL9MQGjxtn1j1px58EjgM1wm&#13;&#10;l2Xv6Oh0O0IWBw+yilzdunruP457pPC8mmGf7t9R6/YDmf8GAAD//wMAUEsDBBQABgAIAAAAIQD3&#13;&#10;DZyW4gAAAAsBAAAPAAAAZHJzL2Rvd25yZXYueG1sTE/LTsMwELwj8Q/WInGjDgl9kGZTVUEVEoJD&#13;&#10;Sy/cNrGbRMTrELtt4OtxT3BZaTSPnclWo+nESQ+utYxwP4lAaK6sarlG2L9v7hYgnCdW1FnWCN/a&#13;&#10;wSq/vsooVfbMW33a+VqEEHYpITTe96mUrmq0ITexvebAHexgyAc41FINdA7hppNxFM2koZbDh4Z6&#13;&#10;XTS6+twdDcJLsXmjbRmbxU9XPL8e1v3X/mOKeHszPi3DWS9BeD36PwdcNoT+kIdipT2ycqJDeEyC&#13;&#10;EGEeg7iwyXwKokSYPSQg80z+35D/AgAA//8DAFBLAQItABQABgAIAAAAIQC2gziS/gAAAOEBAAAT&#13;&#10;AAAAAAAAAAAAAAAAAAAAAABbQ29udGVudF9UeXBlc10ueG1sUEsBAi0AFAAGAAgAAAAhADj9If/W&#13;&#10;AAAAlAEAAAsAAAAAAAAAAAAAAAAALwEAAF9yZWxzLy5yZWxzUEsBAi0AFAAGAAgAAAAhAJHdWB5E&#13;&#10;AgAAiAQAAA4AAAAAAAAAAAAAAAAALgIAAGRycy9lMm9Eb2MueG1sUEsBAi0AFAAGAAgAAAAhAPcN&#13;&#10;nJbiAAAACwEAAA8AAAAAAAAAAAAAAAAAngQAAGRycy9kb3ducmV2LnhtbFBLBQYAAAAABAAEAPMA&#13;&#10;AACtBQAAAAA=&#13;&#10;" filled="f" stroked="f" strokeweight=".5pt">
                <o:lock v:ext="edit" aspectratio="t"/>
                <v:textbox>
                  <w:txbxContent>
                    <w:p w14:paraId="63BE984E" w14:textId="77777777" w:rsidR="00F61130" w:rsidRPr="00F136FF" w:rsidRDefault="00F61130" w:rsidP="00F136FF">
                      <w:r w:rsidRPr="00F136FF">
                        <w:t>A</w:t>
                      </w:r>
                    </w:p>
                  </w:txbxContent>
                </v:textbox>
                <w10:wrap type="square"/>
              </v:shape>
            </w:pict>
          </mc:Fallback>
        </mc:AlternateContent>
      </w:r>
      <w:r>
        <w:rPr>
          <w:noProof/>
        </w:rPr>
        <mc:AlternateContent>
          <mc:Choice Requires="wps">
            <w:drawing>
              <wp:anchor distT="0" distB="0" distL="114300" distR="114300" simplePos="0" relativeHeight="251482112" behindDoc="0" locked="0" layoutInCell="1" allowOverlap="1" wp14:anchorId="037B2401" wp14:editId="333283BF">
                <wp:simplePos x="0" y="0"/>
                <wp:positionH relativeFrom="column">
                  <wp:posOffset>2453868</wp:posOffset>
                </wp:positionH>
                <wp:positionV relativeFrom="paragraph">
                  <wp:posOffset>45454</wp:posOffset>
                </wp:positionV>
                <wp:extent cx="814705" cy="363220"/>
                <wp:effectExtent l="0" t="0" r="0" b="0"/>
                <wp:wrapSquare wrapText="bothSides"/>
                <wp:docPr id="666" name="Text Box 666"/>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wps:cNvSpPr>
                      <wps:spPr>
                        <a:xfrm>
                          <a:off x="0" y="0"/>
                          <a:ext cx="814705" cy="363220"/>
                        </a:xfrm>
                        <a:prstGeom prst="rect">
                          <a:avLst/>
                        </a:prstGeom>
                        <a:noFill/>
                        <a:ln w="6350">
                          <a:noFill/>
                        </a:ln>
                      </wps:spPr>
                      <wps:txbx>
                        <w:txbxContent>
                          <w:p w14:paraId="0AFD147B" w14:textId="77777777" w:rsidR="00F61130" w:rsidRPr="00F136FF" w:rsidRDefault="00F61130" w:rsidP="00F136FF">
                            <w:r w:rsidRPr="00F136FF">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37B2401" id="Text Box 666" o:spid="_x0000_s1058" type="#_x0000_t202" style="position:absolute;left:0;text-align:left;margin-left:193.2pt;margin-top:3.6pt;width:64.15pt;height:28.6pt;z-index:2514821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cmpNzRwIAAIgEAAAOAAAAZHJzL2Uyb0RvYy54bWysVEuP2jAQvlfqf7B8LwnP3UaEFWVFVQnt&#13;&#10;rgTVno1jk6ixx7UNCf31HTuERdueql6csef9fTOZP7SqJidhXQU6p8NBSonQHIpKH3L6fbf+dE+J&#13;&#10;80wXrAYtcnoWjj4sPn6YNyYTIyihLoQlGES7rDE5Lb03WZI4XgrF3ACM0KiUYBXzeLWHpLCsweiq&#13;&#10;TkZpOksasIWxwIVz+PrYKekixpdScP8spROe1DnF2nw8bTz34UwWc5YdLDNlxS9lsH+oQrFKY9Jr&#13;&#10;qEfmGTna6o9QquIWHEg/4KASkLLiIvaA3QzTd91sS2ZE7AXBceYKk/t/YfnT6cWSqsjpbDajRDOF&#13;&#10;JO1E68kXaEl4Q4Qa4zI03Bo09S0qkOnYrTMb4D8c0bAqmT6IpTOIeNCiV3Lj1sVwGCCA1Eqrwhfb&#13;&#10;JxgLeTlfuQipOT7eDyd36ZQSjqrxbDwaRa6SN2djnf8qQJEg5NRi4lgTO22cD+lZ1puEXBrWVV1H&#13;&#10;umtNGux3PE2jw1WDHrW+1N2VGjrw7b6NAI1HPRZ7KM4IhYVunJzh6wqL2DDnX5jF+cGOcCf8Mx6y&#13;&#10;BkwGF4mSEuyvv70He6QVtZQ0OI85dT+PzApK6m8aCf88nEzCAMfLZHqHeBB7q9nfavRRrQBHfojb&#13;&#10;Z3gUg72ve1FaUK+4OsuQFVVMc8ydU9+LK99tCa4eF8tlNMKRNcxv9NbwfgICxLv2lVlz4cEjgU/Q&#13;&#10;Ty7L3tHR2XaELI8eZBW5CkB3qF7wx3GPFF5WM+zT7T1avf1AFr8BAAD//wMAUEsDBBQABgAIAAAA&#13;&#10;IQD/hlYg5AAAAA0BAAAPAAAAZHJzL2Rvd25yZXYueG1sTE9NS8NAEL0L/odlBG9205imIc2mlEgR&#13;&#10;xB5ae/E2yU6T4H7E7LaN/nrXk14GHu9j3ivWk1bsQqPrrREwn0XAyDRW9qYVcHzbPmTAnEcjUVlD&#13;&#10;Ar7Iwbq8vSkwl/Zq9nQ5+JaFEONyFNB5P+Scu6YjjW5mBzKBO9lRow9wbLkc8RrCteJxFKVcY2/C&#13;&#10;hw4HqjpqPg5nLeCl2u5wX8c6+1bV8+tpM3we3xdC3N9NT6twNitgnib/54DfDaE/lKFYbc9GOqYE&#13;&#10;PGZpEqQCljGwwC/myRJYLSBNEuBlwf+vKH8AAAD//wMAUEsBAi0AFAAGAAgAAAAhALaDOJL+AAAA&#13;&#10;4QEAABMAAAAAAAAAAAAAAAAAAAAAAFtDb250ZW50X1R5cGVzXS54bWxQSwECLQAUAAYACAAAACEA&#13;&#10;OP0h/9YAAACUAQAACwAAAAAAAAAAAAAAAAAvAQAAX3JlbHMvLnJlbHNQSwECLQAUAAYACAAAACEA&#13;&#10;HJqTc0cCAACIBAAADgAAAAAAAAAAAAAAAAAuAgAAZHJzL2Uyb0RvYy54bWxQSwECLQAUAAYACAAA&#13;&#10;ACEA/4ZWIOQAAAANAQAADwAAAAAAAAAAAAAAAAChBAAAZHJzL2Rvd25yZXYueG1sUEsFBgAAAAAE&#13;&#10;AAQA8wAAALIFAAAAAA==&#13;&#10;" filled="f" stroked="f" strokeweight=".5pt">
                <o:lock v:ext="edit" aspectratio="t"/>
                <v:textbox>
                  <w:txbxContent>
                    <w:p w14:paraId="0AFD147B" w14:textId="77777777" w:rsidR="00F61130" w:rsidRPr="00F136FF" w:rsidRDefault="00F61130" w:rsidP="00F136FF">
                      <w:r w:rsidRPr="00F136FF">
                        <w:t>B</w:t>
                      </w:r>
                    </w:p>
                  </w:txbxContent>
                </v:textbox>
                <w10:wrap type="square"/>
              </v:shape>
            </w:pict>
          </mc:Fallback>
        </mc:AlternateContent>
      </w:r>
      <w:r>
        <w:rPr>
          <w:noProof/>
        </w:rPr>
        <w:drawing>
          <wp:anchor distT="0" distB="0" distL="114300" distR="114300" simplePos="0" relativeHeight="251479040" behindDoc="0" locked="0" layoutInCell="1" allowOverlap="1" wp14:anchorId="16A6A4F5" wp14:editId="33F50896">
            <wp:simplePos x="0" y="0"/>
            <wp:positionH relativeFrom="column">
              <wp:posOffset>-4785</wp:posOffset>
            </wp:positionH>
            <wp:positionV relativeFrom="paragraph">
              <wp:posOffset>2924</wp:posOffset>
            </wp:positionV>
            <wp:extent cx="5575935" cy="3569335"/>
            <wp:effectExtent l="0" t="0" r="0" b="0"/>
            <wp:wrapSquare wrapText="bothSides"/>
            <wp:docPr id="663" name="Picture 6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3" name="Picture 663"/>
                    <pic:cNvPicPr>
                      <a:picLocks noChangeAspect="1"/>
                    </pic:cNvPicPr>
                  </pic:nvPicPr>
                  <pic:blipFill>
                    <a:blip r:embed="rId41">
                      <a:extLst>
                        <a:ext uri="{28A0092B-C50C-407E-A947-70E740481C1C}">
                          <a14:useLocalDpi xmlns:a14="http://schemas.microsoft.com/office/drawing/2010/main" val="0"/>
                        </a:ext>
                      </a:extLst>
                    </a:blip>
                    <a:stretch>
                      <a:fillRect/>
                    </a:stretch>
                  </pic:blipFill>
                  <pic:spPr>
                    <a:xfrm>
                      <a:off x="0" y="0"/>
                      <a:ext cx="5575935" cy="3569335"/>
                    </a:xfrm>
                    <a:prstGeom prst="rect">
                      <a:avLst/>
                    </a:prstGeom>
                  </pic:spPr>
                </pic:pic>
              </a:graphicData>
            </a:graphic>
          </wp:anchor>
        </w:drawing>
      </w:r>
      <w:r w:rsidR="004A105D">
        <w:rPr>
          <w:noProof/>
        </w:rPr>
        <mc:AlternateContent>
          <mc:Choice Requires="wps">
            <w:drawing>
              <wp:anchor distT="0" distB="0" distL="114300" distR="114300" simplePos="0" relativeHeight="251483136" behindDoc="0" locked="0" layoutInCell="1" allowOverlap="1" wp14:anchorId="4EB4BECF" wp14:editId="5A571FEF">
                <wp:simplePos x="0" y="0"/>
                <wp:positionH relativeFrom="column">
                  <wp:posOffset>0</wp:posOffset>
                </wp:positionH>
                <wp:positionV relativeFrom="paragraph">
                  <wp:posOffset>3576320</wp:posOffset>
                </wp:positionV>
                <wp:extent cx="5575935" cy="1644650"/>
                <wp:effectExtent l="0" t="0" r="0" b="6350"/>
                <wp:wrapSquare wrapText="bothSides"/>
                <wp:docPr id="667" name="Text Box 667"/>
                <wp:cNvGraphicFramePr/>
                <a:graphic xmlns:a="http://schemas.openxmlformats.org/drawingml/2006/main">
                  <a:graphicData uri="http://schemas.microsoft.com/office/word/2010/wordprocessingShape">
                    <wps:wsp>
                      <wps:cNvSpPr txBox="1"/>
                      <wps:spPr>
                        <a:xfrm>
                          <a:off x="0" y="0"/>
                          <a:ext cx="5575935" cy="1644650"/>
                        </a:xfrm>
                        <a:prstGeom prst="rect">
                          <a:avLst/>
                        </a:prstGeom>
                        <a:solidFill>
                          <a:prstClr val="white"/>
                        </a:solidFill>
                        <a:ln>
                          <a:noFill/>
                        </a:ln>
                      </wps:spPr>
                      <wps:txbx>
                        <w:txbxContent>
                          <w:p w14:paraId="4A5DBD4B" w14:textId="2488079C" w:rsidR="00F61130" w:rsidRPr="00CE37DB" w:rsidRDefault="00F61130" w:rsidP="006F30B9">
                            <w:pPr>
                              <w:pStyle w:val="Caption"/>
                              <w:spacing w:line="360" w:lineRule="auto"/>
                              <w:jc w:val="both"/>
                              <w:rPr>
                                <w:noProof/>
                                <w:sz w:val="20"/>
                                <w:szCs w:val="20"/>
                              </w:rPr>
                            </w:pPr>
                            <w:bookmarkStart w:id="285" w:name="_Ref518932222"/>
                            <w:bookmarkStart w:id="286" w:name="_Toc525227201"/>
                            <w:bookmarkStart w:id="287" w:name="_Toc536814140"/>
                            <w:r w:rsidRPr="00F136FF">
                              <w:rPr>
                                <w:b/>
                                <w:color w:val="auto"/>
                                <w:sz w:val="20"/>
                                <w:szCs w:val="20"/>
                              </w:rPr>
                              <w:t xml:space="preserve">Figure </w:t>
                            </w:r>
                            <w:r>
                              <w:rPr>
                                <w:b/>
                                <w:color w:val="auto"/>
                                <w:sz w:val="20"/>
                                <w:szCs w:val="20"/>
                              </w:rPr>
                              <w:fldChar w:fldCharType="begin"/>
                            </w:r>
                            <w:r>
                              <w:rPr>
                                <w:b/>
                                <w:color w:val="auto"/>
                                <w:sz w:val="20"/>
                                <w:szCs w:val="20"/>
                              </w:rPr>
                              <w:instrText xml:space="preserve"> STYLEREF 1 \s </w:instrText>
                            </w:r>
                            <w:r>
                              <w:rPr>
                                <w:b/>
                                <w:color w:val="auto"/>
                                <w:sz w:val="20"/>
                                <w:szCs w:val="20"/>
                              </w:rPr>
                              <w:fldChar w:fldCharType="separate"/>
                            </w:r>
                            <w:r>
                              <w:rPr>
                                <w:b/>
                                <w:noProof/>
                                <w:color w:val="auto"/>
                                <w:sz w:val="20"/>
                                <w:szCs w:val="20"/>
                              </w:rPr>
                              <w:t>3</w:t>
                            </w:r>
                            <w:r>
                              <w:rPr>
                                <w:b/>
                                <w:color w:val="auto"/>
                                <w:sz w:val="20"/>
                                <w:szCs w:val="20"/>
                              </w:rPr>
                              <w:fldChar w:fldCharType="end"/>
                            </w:r>
                            <w:r>
                              <w:rPr>
                                <w:b/>
                                <w:color w:val="auto"/>
                                <w:sz w:val="20"/>
                                <w:szCs w:val="20"/>
                              </w:rPr>
                              <w:t>.</w:t>
                            </w:r>
                            <w:r>
                              <w:rPr>
                                <w:b/>
                                <w:color w:val="auto"/>
                                <w:sz w:val="20"/>
                                <w:szCs w:val="20"/>
                              </w:rPr>
                              <w:fldChar w:fldCharType="begin"/>
                            </w:r>
                            <w:r>
                              <w:rPr>
                                <w:b/>
                                <w:color w:val="auto"/>
                                <w:sz w:val="20"/>
                                <w:szCs w:val="20"/>
                              </w:rPr>
                              <w:instrText xml:space="preserve"> SEQ Figure \* ARABIC \s 1 </w:instrText>
                            </w:r>
                            <w:r>
                              <w:rPr>
                                <w:b/>
                                <w:color w:val="auto"/>
                                <w:sz w:val="20"/>
                                <w:szCs w:val="20"/>
                              </w:rPr>
                              <w:fldChar w:fldCharType="separate"/>
                            </w:r>
                            <w:r>
                              <w:rPr>
                                <w:b/>
                                <w:noProof/>
                                <w:color w:val="auto"/>
                                <w:sz w:val="20"/>
                                <w:szCs w:val="20"/>
                              </w:rPr>
                              <w:t>10</w:t>
                            </w:r>
                            <w:r>
                              <w:rPr>
                                <w:b/>
                                <w:color w:val="auto"/>
                                <w:sz w:val="20"/>
                                <w:szCs w:val="20"/>
                              </w:rPr>
                              <w:fldChar w:fldCharType="end"/>
                            </w:r>
                            <w:bookmarkEnd w:id="285"/>
                            <w:r w:rsidRPr="00F136FF">
                              <w:rPr>
                                <w:b/>
                                <w:color w:val="auto"/>
                                <w:sz w:val="20"/>
                                <w:szCs w:val="20"/>
                              </w:rPr>
                              <w:t xml:space="preserve"> - </w:t>
                            </w:r>
                            <w:r>
                              <w:rPr>
                                <w:b/>
                                <w:color w:val="auto"/>
                                <w:sz w:val="20"/>
                                <w:szCs w:val="20"/>
                              </w:rPr>
                              <w:t xml:space="preserve">Uptake of Amphotericin B by myeloid and lymphoid cells in AmBisome-treated </w:t>
                            </w:r>
                            <w:r w:rsidRPr="00FD7E05">
                              <w:rPr>
                                <w:b/>
                                <w:i/>
                                <w:color w:val="auto"/>
                                <w:sz w:val="20"/>
                                <w:szCs w:val="20"/>
                              </w:rPr>
                              <w:t>L. donovani</w:t>
                            </w:r>
                            <w:r>
                              <w:rPr>
                                <w:b/>
                                <w:color w:val="auto"/>
                                <w:sz w:val="20"/>
                                <w:szCs w:val="20"/>
                              </w:rPr>
                              <w:t xml:space="preserve">-infected mice. </w:t>
                            </w:r>
                            <w:r>
                              <w:rPr>
                                <w:color w:val="auto"/>
                                <w:sz w:val="20"/>
                                <w:szCs w:val="20"/>
                              </w:rPr>
                              <w:t xml:space="preserve"> </w:t>
                            </w:r>
                            <w:r w:rsidRPr="00F136FF">
                              <w:rPr>
                                <w:color w:val="auto"/>
                                <w:sz w:val="20"/>
                                <w:szCs w:val="20"/>
                              </w:rPr>
                              <w:t>1x10</w:t>
                            </w:r>
                            <w:r w:rsidRPr="00F136FF">
                              <w:rPr>
                                <w:color w:val="auto"/>
                                <w:sz w:val="20"/>
                                <w:szCs w:val="20"/>
                                <w:vertAlign w:val="superscript"/>
                              </w:rPr>
                              <w:t>6</w:t>
                            </w:r>
                            <w:r w:rsidRPr="00F136FF">
                              <w:rPr>
                                <w:color w:val="auto"/>
                                <w:sz w:val="20"/>
                                <w:szCs w:val="20"/>
                              </w:rPr>
                              <w:t xml:space="preserve"> myeloid and lymphoid cells (A) and 1x10</w:t>
                            </w:r>
                            <w:r w:rsidRPr="00F136FF">
                              <w:rPr>
                                <w:color w:val="auto"/>
                                <w:sz w:val="20"/>
                                <w:szCs w:val="20"/>
                                <w:vertAlign w:val="superscript"/>
                              </w:rPr>
                              <w:t>5</w:t>
                            </w:r>
                            <w:r w:rsidRPr="00F136FF">
                              <w:rPr>
                                <w:color w:val="auto"/>
                                <w:sz w:val="20"/>
                                <w:szCs w:val="20"/>
                              </w:rPr>
                              <w:t xml:space="preserve"> dendritic cells, Kupffer cells and monocytes (B) from </w:t>
                            </w:r>
                            <w:r>
                              <w:rPr>
                                <w:color w:val="auto"/>
                                <w:sz w:val="20"/>
                                <w:szCs w:val="20"/>
                              </w:rPr>
                              <w:t xml:space="preserve">AmBisome-treated </w:t>
                            </w:r>
                            <w:r w:rsidRPr="00F136FF">
                              <w:rPr>
                                <w:color w:val="auto"/>
                                <w:sz w:val="20"/>
                                <w:szCs w:val="20"/>
                              </w:rPr>
                              <w:t>[10mg/kg, 12hrs post-treatment] day</w:t>
                            </w:r>
                            <w:r>
                              <w:rPr>
                                <w:color w:val="auto"/>
                                <w:sz w:val="20"/>
                                <w:szCs w:val="20"/>
                              </w:rPr>
                              <w:t xml:space="preserve"> 28 infected mice </w:t>
                            </w:r>
                            <w:r w:rsidRPr="00F136FF">
                              <w:rPr>
                                <w:color w:val="auto"/>
                                <w:sz w:val="20"/>
                                <w:szCs w:val="20"/>
                              </w:rPr>
                              <w:t xml:space="preserve">were </w:t>
                            </w:r>
                            <w:r>
                              <w:rPr>
                                <w:color w:val="auto"/>
                                <w:sz w:val="20"/>
                                <w:szCs w:val="20"/>
                              </w:rPr>
                              <w:t xml:space="preserve">analysed for </w:t>
                            </w:r>
                            <w:r w:rsidRPr="00F136FF">
                              <w:rPr>
                                <w:color w:val="auto"/>
                                <w:sz w:val="20"/>
                                <w:szCs w:val="20"/>
                              </w:rPr>
                              <w:t xml:space="preserve">Amphotericin B using LC-MS. Data represents mean </w:t>
                            </w:r>
                            <w:r w:rsidRPr="00F136FF">
                              <w:rPr>
                                <w:color w:val="auto"/>
                                <w:sz w:val="20"/>
                                <w:szCs w:val="20"/>
                              </w:rPr>
                              <w:sym w:font="Symbol" w:char="F0B1"/>
                            </w:r>
                            <w:r w:rsidRPr="00F136FF">
                              <w:rPr>
                                <w:color w:val="auto"/>
                                <w:sz w:val="20"/>
                                <w:szCs w:val="20"/>
                              </w:rPr>
                              <w:t xml:space="preserve"> SEM (n = 3-5 technical replicates pooled from 8 mice in 1 infection experiment)</w:t>
                            </w:r>
                            <w:r>
                              <w:rPr>
                                <w:color w:val="auto"/>
                                <w:sz w:val="20"/>
                                <w:szCs w:val="20"/>
                              </w:rPr>
                              <w:t>. D</w:t>
                            </w:r>
                            <w:r w:rsidRPr="00F136FF">
                              <w:rPr>
                                <w:color w:val="auto"/>
                                <w:sz w:val="20"/>
                                <w:szCs w:val="20"/>
                              </w:rPr>
                              <w:t>ata from (A) was analysed using a Mann-Whitney test and data from (B) was analysed using Dunn’s Multiple Comparison Test.</w:t>
                            </w:r>
                            <w:r>
                              <w:rPr>
                                <w:color w:val="auto"/>
                                <w:sz w:val="20"/>
                                <w:szCs w:val="20"/>
                              </w:rPr>
                              <w:t xml:space="preserve"> These samples were processed using digestion and staining protocol 1 </w:t>
                            </w:r>
                            <w:r>
                              <w:rPr>
                                <w:sz w:val="20"/>
                                <w:szCs w:val="20"/>
                              </w:rPr>
                              <w:t>and the column extraction method.</w:t>
                            </w:r>
                            <w:bookmarkEnd w:id="286"/>
                            <w:bookmarkEnd w:id="287"/>
                          </w:p>
                          <w:p w14:paraId="0CE7962C" w14:textId="325A3987" w:rsidR="00F61130" w:rsidRPr="00F136FF" w:rsidRDefault="00F61130" w:rsidP="0004454D">
                            <w:pPr>
                              <w:pStyle w:val="Caption"/>
                              <w:spacing w:line="360" w:lineRule="auto"/>
                              <w:jc w:val="both"/>
                              <w:rPr>
                                <w:b/>
                                <w:noProof/>
                                <w:color w:val="auto"/>
                                <w:sz w:val="20"/>
                                <w:szCs w:val="20"/>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4EB4BECF" id="Text Box 667" o:spid="_x0000_s1059" type="#_x0000_t202" style="position:absolute;left:0;text-align:left;margin-left:0;margin-top:281.6pt;width:439.05pt;height:129.5pt;z-index:2514831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Kd/1NwIAAG0EAAAOAAAAZHJzL2Uyb0RvYy54bWysVMFuGjEQvVfqP1i+l4UQSItYIkpEVQkl&#13;&#10;kaDK2Xht1pLtcW3DLv36jr0sadOeql6845nx2O+9mZ3ft0aTk/BBgS3paDCkRFgOlbKHkn7brT98&#13;&#10;pCREZiumwYqSnkWg94v37+aNm4kbqEFXwhMsYsOscSWtY3Szogi8FoaFAThhMSjBGxZx6w9F5VmD&#13;&#10;1Y0ubobDadGAr5wHLkJA70MXpItcX0rB45OUQUSiS4pvi3n1ed2ntVjM2ezgmasVvzyD/cMrDFMW&#13;&#10;L72WemCRkaNXf5QyinsIIOOAgylASsVFxoBoRsM3aLY1cyJjQXKCu9IU/l9Z/nh69kRVJZ1O7yix&#13;&#10;zKBIO9FG8hlaknzIUOPCDBO3DlNjiwFUuvcHdCbgrfQmfRESwThyfb7ym8pxdE4md5NP4wklHGOj&#13;&#10;6e3tdJIVKF6POx/iFwGGJKOkHgXMvLLTJkR8Cqb2Kem2AFpVa6V12qTASntyYih2U6so0iPxxG9Z&#13;&#10;2qZcC+lUF06eImHssCQrtvs2szIe90D3UJ0Rv4euh4Lja4UXbliIz8xj0yBkHIT4hIvU0JQULhYl&#13;&#10;Nfgff/OnfNQSo5Q02IQlDd+PzAtK9FeLKqeO7Q3fG/vesEezAoQ6whFzPJt4wEfdm9KDecH5WKZb&#13;&#10;MMQsx7tKGntzFbtRwPniYrnMSdiXjsWN3TqeSvfE7toX5t1FloiKPkLfnmz2Rp0ut6N5eYwgVZYu&#13;&#10;EduxeOEbezrrc5m/NDS/7nPW619i8RMAAP//AwBQSwMEFAAGAAgAAAAhAB14LXriAAAADQEAAA8A&#13;&#10;AABkcnMvZG93bnJldi54bWxMj8FOwzAQRO9I/IO1SFxQ69SIEKVxKmjgBoeWqmc3dpOIeB3ZTpP+&#13;&#10;PcsJLqtdjWZ2XrGZbc8uxofOoYTVMgFmsHa6w0bC4et9kQELUaFWvUMj4WoCbMrbm0Ll2k24M5d9&#13;&#10;bBiFYMiVhDbGIec81K2xKizdYJC0s/NWRTp9w7VXE4XbnoskSblVHdKHVg1m25r6ez9aCWnlx2mH&#13;&#10;24fq8PahPodGHF+vRynv7+ZqTeNlDSyaOf454JeB+kNJxU5uRB1YL4FoooSn9FEAIzl7zlbATrQI&#13;&#10;IYCXBf9PUf4AAAD//wMAUEsBAi0AFAAGAAgAAAAhALaDOJL+AAAA4QEAABMAAAAAAAAAAAAAAAAA&#13;&#10;AAAAAFtDb250ZW50X1R5cGVzXS54bWxQSwECLQAUAAYACAAAACEAOP0h/9YAAACUAQAACwAAAAAA&#13;&#10;AAAAAAAAAAAvAQAAX3JlbHMvLnJlbHNQSwECLQAUAAYACAAAACEABSnf9TcCAABtBAAADgAAAAAA&#13;&#10;AAAAAAAAAAAuAgAAZHJzL2Uyb0RvYy54bWxQSwECLQAUAAYACAAAACEAHXgteuIAAAANAQAADwAA&#13;&#10;AAAAAAAAAAAAAACRBAAAZHJzL2Rvd25yZXYueG1sUEsFBgAAAAAEAAQA8wAAAKAFAAAAAA==&#13;&#10;" stroked="f">
                <v:textbox inset="0,0,0,0">
                  <w:txbxContent>
                    <w:p w14:paraId="4A5DBD4B" w14:textId="2488079C" w:rsidR="00F61130" w:rsidRPr="00CE37DB" w:rsidRDefault="00F61130" w:rsidP="006F30B9">
                      <w:pPr>
                        <w:pStyle w:val="Caption"/>
                        <w:spacing w:line="360" w:lineRule="auto"/>
                        <w:jc w:val="both"/>
                        <w:rPr>
                          <w:noProof/>
                          <w:sz w:val="20"/>
                          <w:szCs w:val="20"/>
                        </w:rPr>
                      </w:pPr>
                      <w:bookmarkStart w:id="288" w:name="_Ref518932222"/>
                      <w:bookmarkStart w:id="289" w:name="_Toc525227201"/>
                      <w:bookmarkStart w:id="290" w:name="_Toc536814140"/>
                      <w:r w:rsidRPr="00F136FF">
                        <w:rPr>
                          <w:b/>
                          <w:color w:val="auto"/>
                          <w:sz w:val="20"/>
                          <w:szCs w:val="20"/>
                        </w:rPr>
                        <w:t xml:space="preserve">Figure </w:t>
                      </w:r>
                      <w:r>
                        <w:rPr>
                          <w:b/>
                          <w:color w:val="auto"/>
                          <w:sz w:val="20"/>
                          <w:szCs w:val="20"/>
                        </w:rPr>
                        <w:fldChar w:fldCharType="begin"/>
                      </w:r>
                      <w:r>
                        <w:rPr>
                          <w:b/>
                          <w:color w:val="auto"/>
                          <w:sz w:val="20"/>
                          <w:szCs w:val="20"/>
                        </w:rPr>
                        <w:instrText xml:space="preserve"> STYLEREF 1 \s </w:instrText>
                      </w:r>
                      <w:r>
                        <w:rPr>
                          <w:b/>
                          <w:color w:val="auto"/>
                          <w:sz w:val="20"/>
                          <w:szCs w:val="20"/>
                        </w:rPr>
                        <w:fldChar w:fldCharType="separate"/>
                      </w:r>
                      <w:r>
                        <w:rPr>
                          <w:b/>
                          <w:noProof/>
                          <w:color w:val="auto"/>
                          <w:sz w:val="20"/>
                          <w:szCs w:val="20"/>
                        </w:rPr>
                        <w:t>3</w:t>
                      </w:r>
                      <w:r>
                        <w:rPr>
                          <w:b/>
                          <w:color w:val="auto"/>
                          <w:sz w:val="20"/>
                          <w:szCs w:val="20"/>
                        </w:rPr>
                        <w:fldChar w:fldCharType="end"/>
                      </w:r>
                      <w:r>
                        <w:rPr>
                          <w:b/>
                          <w:color w:val="auto"/>
                          <w:sz w:val="20"/>
                          <w:szCs w:val="20"/>
                        </w:rPr>
                        <w:t>.</w:t>
                      </w:r>
                      <w:r>
                        <w:rPr>
                          <w:b/>
                          <w:color w:val="auto"/>
                          <w:sz w:val="20"/>
                          <w:szCs w:val="20"/>
                        </w:rPr>
                        <w:fldChar w:fldCharType="begin"/>
                      </w:r>
                      <w:r>
                        <w:rPr>
                          <w:b/>
                          <w:color w:val="auto"/>
                          <w:sz w:val="20"/>
                          <w:szCs w:val="20"/>
                        </w:rPr>
                        <w:instrText xml:space="preserve"> SEQ Figure \* ARABIC \s 1 </w:instrText>
                      </w:r>
                      <w:r>
                        <w:rPr>
                          <w:b/>
                          <w:color w:val="auto"/>
                          <w:sz w:val="20"/>
                          <w:szCs w:val="20"/>
                        </w:rPr>
                        <w:fldChar w:fldCharType="separate"/>
                      </w:r>
                      <w:r>
                        <w:rPr>
                          <w:b/>
                          <w:noProof/>
                          <w:color w:val="auto"/>
                          <w:sz w:val="20"/>
                          <w:szCs w:val="20"/>
                        </w:rPr>
                        <w:t>10</w:t>
                      </w:r>
                      <w:r>
                        <w:rPr>
                          <w:b/>
                          <w:color w:val="auto"/>
                          <w:sz w:val="20"/>
                          <w:szCs w:val="20"/>
                        </w:rPr>
                        <w:fldChar w:fldCharType="end"/>
                      </w:r>
                      <w:bookmarkEnd w:id="288"/>
                      <w:r w:rsidRPr="00F136FF">
                        <w:rPr>
                          <w:b/>
                          <w:color w:val="auto"/>
                          <w:sz w:val="20"/>
                          <w:szCs w:val="20"/>
                        </w:rPr>
                        <w:t xml:space="preserve"> - </w:t>
                      </w:r>
                      <w:r>
                        <w:rPr>
                          <w:b/>
                          <w:color w:val="auto"/>
                          <w:sz w:val="20"/>
                          <w:szCs w:val="20"/>
                        </w:rPr>
                        <w:t xml:space="preserve">Uptake of Amphotericin B by myeloid and lymphoid cells in AmBisome-treated </w:t>
                      </w:r>
                      <w:r w:rsidRPr="00FD7E05">
                        <w:rPr>
                          <w:b/>
                          <w:i/>
                          <w:color w:val="auto"/>
                          <w:sz w:val="20"/>
                          <w:szCs w:val="20"/>
                        </w:rPr>
                        <w:t>L. donovani</w:t>
                      </w:r>
                      <w:r>
                        <w:rPr>
                          <w:b/>
                          <w:color w:val="auto"/>
                          <w:sz w:val="20"/>
                          <w:szCs w:val="20"/>
                        </w:rPr>
                        <w:t xml:space="preserve">-infected mice. </w:t>
                      </w:r>
                      <w:r>
                        <w:rPr>
                          <w:color w:val="auto"/>
                          <w:sz w:val="20"/>
                          <w:szCs w:val="20"/>
                        </w:rPr>
                        <w:t xml:space="preserve"> </w:t>
                      </w:r>
                      <w:r w:rsidRPr="00F136FF">
                        <w:rPr>
                          <w:color w:val="auto"/>
                          <w:sz w:val="20"/>
                          <w:szCs w:val="20"/>
                        </w:rPr>
                        <w:t>1x10</w:t>
                      </w:r>
                      <w:r w:rsidRPr="00F136FF">
                        <w:rPr>
                          <w:color w:val="auto"/>
                          <w:sz w:val="20"/>
                          <w:szCs w:val="20"/>
                          <w:vertAlign w:val="superscript"/>
                        </w:rPr>
                        <w:t>6</w:t>
                      </w:r>
                      <w:r w:rsidRPr="00F136FF">
                        <w:rPr>
                          <w:color w:val="auto"/>
                          <w:sz w:val="20"/>
                          <w:szCs w:val="20"/>
                        </w:rPr>
                        <w:t xml:space="preserve"> myeloid and lymphoid cells (A) and 1x10</w:t>
                      </w:r>
                      <w:r w:rsidRPr="00F136FF">
                        <w:rPr>
                          <w:color w:val="auto"/>
                          <w:sz w:val="20"/>
                          <w:szCs w:val="20"/>
                          <w:vertAlign w:val="superscript"/>
                        </w:rPr>
                        <w:t>5</w:t>
                      </w:r>
                      <w:r w:rsidRPr="00F136FF">
                        <w:rPr>
                          <w:color w:val="auto"/>
                          <w:sz w:val="20"/>
                          <w:szCs w:val="20"/>
                        </w:rPr>
                        <w:t xml:space="preserve"> dendritic cells, Kupffer cells and monocytes (B) from </w:t>
                      </w:r>
                      <w:r>
                        <w:rPr>
                          <w:color w:val="auto"/>
                          <w:sz w:val="20"/>
                          <w:szCs w:val="20"/>
                        </w:rPr>
                        <w:t xml:space="preserve">AmBisome-treated </w:t>
                      </w:r>
                      <w:r w:rsidRPr="00F136FF">
                        <w:rPr>
                          <w:color w:val="auto"/>
                          <w:sz w:val="20"/>
                          <w:szCs w:val="20"/>
                        </w:rPr>
                        <w:t>[10mg/kg, 12hrs post-treatment] day</w:t>
                      </w:r>
                      <w:r>
                        <w:rPr>
                          <w:color w:val="auto"/>
                          <w:sz w:val="20"/>
                          <w:szCs w:val="20"/>
                        </w:rPr>
                        <w:t xml:space="preserve"> 28 infected mice </w:t>
                      </w:r>
                      <w:r w:rsidRPr="00F136FF">
                        <w:rPr>
                          <w:color w:val="auto"/>
                          <w:sz w:val="20"/>
                          <w:szCs w:val="20"/>
                        </w:rPr>
                        <w:t xml:space="preserve">were </w:t>
                      </w:r>
                      <w:r>
                        <w:rPr>
                          <w:color w:val="auto"/>
                          <w:sz w:val="20"/>
                          <w:szCs w:val="20"/>
                        </w:rPr>
                        <w:t xml:space="preserve">analysed for </w:t>
                      </w:r>
                      <w:r w:rsidRPr="00F136FF">
                        <w:rPr>
                          <w:color w:val="auto"/>
                          <w:sz w:val="20"/>
                          <w:szCs w:val="20"/>
                        </w:rPr>
                        <w:t xml:space="preserve">Amphotericin B using LC-MS. Data represents mean </w:t>
                      </w:r>
                      <w:r w:rsidRPr="00F136FF">
                        <w:rPr>
                          <w:color w:val="auto"/>
                          <w:sz w:val="20"/>
                          <w:szCs w:val="20"/>
                        </w:rPr>
                        <w:sym w:font="Symbol" w:char="F0B1"/>
                      </w:r>
                      <w:r w:rsidRPr="00F136FF">
                        <w:rPr>
                          <w:color w:val="auto"/>
                          <w:sz w:val="20"/>
                          <w:szCs w:val="20"/>
                        </w:rPr>
                        <w:t xml:space="preserve"> SEM (n = 3-5 technical replicates pooled from 8 mice in 1 infection experiment)</w:t>
                      </w:r>
                      <w:r>
                        <w:rPr>
                          <w:color w:val="auto"/>
                          <w:sz w:val="20"/>
                          <w:szCs w:val="20"/>
                        </w:rPr>
                        <w:t>. D</w:t>
                      </w:r>
                      <w:r w:rsidRPr="00F136FF">
                        <w:rPr>
                          <w:color w:val="auto"/>
                          <w:sz w:val="20"/>
                          <w:szCs w:val="20"/>
                        </w:rPr>
                        <w:t>ata from (A) was analysed using a Mann-Whitney test and data from (B) was analysed using Dunn’s Multiple Comparison Test.</w:t>
                      </w:r>
                      <w:r>
                        <w:rPr>
                          <w:color w:val="auto"/>
                          <w:sz w:val="20"/>
                          <w:szCs w:val="20"/>
                        </w:rPr>
                        <w:t xml:space="preserve"> These samples were processed using digestion and staining protocol 1 </w:t>
                      </w:r>
                      <w:r>
                        <w:rPr>
                          <w:sz w:val="20"/>
                          <w:szCs w:val="20"/>
                        </w:rPr>
                        <w:t>and the column extraction method.</w:t>
                      </w:r>
                      <w:bookmarkEnd w:id="289"/>
                      <w:bookmarkEnd w:id="290"/>
                    </w:p>
                    <w:p w14:paraId="0CE7962C" w14:textId="325A3987" w:rsidR="00F61130" w:rsidRPr="00F136FF" w:rsidRDefault="00F61130" w:rsidP="0004454D">
                      <w:pPr>
                        <w:pStyle w:val="Caption"/>
                        <w:spacing w:line="360" w:lineRule="auto"/>
                        <w:jc w:val="both"/>
                        <w:rPr>
                          <w:b/>
                          <w:noProof/>
                          <w:color w:val="auto"/>
                          <w:sz w:val="20"/>
                          <w:szCs w:val="20"/>
                        </w:rPr>
                      </w:pPr>
                    </w:p>
                  </w:txbxContent>
                </v:textbox>
                <w10:wrap type="square"/>
              </v:shape>
            </w:pict>
          </mc:Fallback>
        </mc:AlternateContent>
      </w:r>
    </w:p>
    <w:p w14:paraId="787611AB" w14:textId="190BFD4D" w:rsidR="009154C0" w:rsidRPr="008B3AD6" w:rsidRDefault="00F968CD" w:rsidP="009154C0">
      <w:pPr>
        <w:spacing w:line="360" w:lineRule="auto"/>
        <w:jc w:val="both"/>
      </w:pPr>
      <w:r w:rsidRPr="008B3AD6">
        <w:t>Myeloid cells were further flow sorted to isolate neutrophils, DC, KCs and monocytes (</w:t>
      </w:r>
      <w:r w:rsidR="0074700A">
        <w:rPr>
          <w:b/>
        </w:rPr>
        <w:fldChar w:fldCharType="begin"/>
      </w:r>
      <w:r w:rsidR="0074700A">
        <w:rPr>
          <w:b/>
        </w:rPr>
        <w:instrText xml:space="preserve"> REF _Ref518932073  \* MERGEFORMAT </w:instrText>
      </w:r>
      <w:r w:rsidR="0074700A">
        <w:rPr>
          <w:b/>
        </w:rPr>
        <w:fldChar w:fldCharType="separate"/>
      </w:r>
      <w:r w:rsidR="00031DCA" w:rsidRPr="00031DCA">
        <w:rPr>
          <w:b/>
        </w:rPr>
        <w:t xml:space="preserve">Figure </w:t>
      </w:r>
      <w:r w:rsidR="00031DCA" w:rsidRPr="00031DCA">
        <w:rPr>
          <w:b/>
          <w:noProof/>
        </w:rPr>
        <w:t>3.8</w:t>
      </w:r>
      <w:r w:rsidR="0074700A">
        <w:rPr>
          <w:b/>
          <w:noProof/>
        </w:rPr>
        <w:fldChar w:fldCharType="end"/>
      </w:r>
      <w:r w:rsidRPr="008B3AD6">
        <w:t>)</w:t>
      </w:r>
      <w:r w:rsidR="00D918C4">
        <w:t>, however post-sort purity analysis was not performed for these samples</w:t>
      </w:r>
      <w:r w:rsidRPr="008B3AD6">
        <w:t>. Neutrophils were excluded from LC-MS</w:t>
      </w:r>
      <w:r w:rsidR="00D0291A">
        <w:t>/MS</w:t>
      </w:r>
      <w:r w:rsidRPr="008B3AD6">
        <w:t xml:space="preserve"> analysis due to insufficient cell numbers. </w:t>
      </w:r>
      <w:r w:rsidR="00D0291A">
        <w:t>DCs</w:t>
      </w:r>
      <w:r w:rsidRPr="008B3AD6">
        <w:t xml:space="preserve">, monocytes and </w:t>
      </w:r>
      <w:r w:rsidR="00D0291A">
        <w:t>KCs</w:t>
      </w:r>
      <w:r w:rsidRPr="008B3AD6">
        <w:t xml:space="preserve"> </w:t>
      </w:r>
      <w:r w:rsidR="00E5551E" w:rsidRPr="008B3AD6">
        <w:t>contained 0.012</w:t>
      </w:r>
      <w:r w:rsidRPr="008B3AD6">
        <w:t xml:space="preserve"> </w:t>
      </w:r>
      <w:r w:rsidRPr="008B3AD6">
        <w:sym w:font="Symbol" w:char="F0B1"/>
      </w:r>
      <w:r w:rsidRPr="008B3AD6">
        <w:t xml:space="preserve"> 0.004 </w:t>
      </w:r>
      <w:r w:rsidRPr="008B3AD6">
        <w:sym w:font="Symbol" w:char="F06D"/>
      </w:r>
      <w:r w:rsidRPr="008B3AD6">
        <w:t xml:space="preserve">g, 0.013ug </w:t>
      </w:r>
      <w:r w:rsidRPr="008B3AD6">
        <w:sym w:font="Symbol" w:char="F0B1"/>
      </w:r>
      <w:r w:rsidRPr="008B3AD6">
        <w:t xml:space="preserve"> 0.004 </w:t>
      </w:r>
      <w:r w:rsidRPr="008B3AD6">
        <w:sym w:font="Symbol" w:char="F06D"/>
      </w:r>
      <w:r w:rsidRPr="008B3AD6">
        <w:t xml:space="preserve">g and 0.013 </w:t>
      </w:r>
      <w:r w:rsidRPr="008B3AD6">
        <w:sym w:font="Symbol" w:char="F0B1"/>
      </w:r>
      <w:r w:rsidRPr="008B3AD6">
        <w:t xml:space="preserve"> 0.004 </w:t>
      </w:r>
      <w:r w:rsidRPr="008B3AD6">
        <w:sym w:font="Symbol" w:char="F06D"/>
      </w:r>
      <w:r w:rsidRPr="008B3AD6">
        <w:t xml:space="preserve">g of </w:t>
      </w:r>
      <w:r w:rsidR="00A32111">
        <w:t>AmB</w:t>
      </w:r>
      <w:r w:rsidRPr="008B3AD6">
        <w:t xml:space="preserve">, respectively. There was no statistically significant difference between the accumulation in these subsets suggesting that on a cell-for-cell basis the accumulation of </w:t>
      </w:r>
      <w:r w:rsidR="00A32111">
        <w:t>AmB</w:t>
      </w:r>
      <w:r w:rsidRPr="008B3AD6">
        <w:t xml:space="preserve"> by these myeloid subsets is relatively homogenous.</w:t>
      </w:r>
      <w:r w:rsidR="00E54D0A" w:rsidRPr="008B3AD6">
        <w:t xml:space="preserve"> </w:t>
      </w:r>
      <w:r w:rsidR="009154C0" w:rsidRPr="008B3AD6">
        <w:t xml:space="preserve"> </w:t>
      </w:r>
    </w:p>
    <w:p w14:paraId="3E10AD58" w14:textId="480A06F1" w:rsidR="00F968CD" w:rsidRPr="008B3AD6" w:rsidRDefault="00F968CD">
      <w:pPr>
        <w:spacing w:line="240" w:lineRule="auto"/>
      </w:pPr>
      <w:r w:rsidRPr="008B3AD6">
        <w:br w:type="page"/>
      </w:r>
    </w:p>
    <w:p w14:paraId="21BD1F5A" w14:textId="7CE8563D" w:rsidR="009154C0" w:rsidRPr="008B3AD6" w:rsidRDefault="00F968CD" w:rsidP="00C975CA">
      <w:pPr>
        <w:pStyle w:val="Heading3"/>
      </w:pPr>
      <w:bookmarkStart w:id="291" w:name="_Ref521953533"/>
      <w:bookmarkStart w:id="292" w:name="_Toc3716100"/>
      <w:r w:rsidRPr="008B3AD6">
        <w:lastRenderedPageBreak/>
        <w:t>Kinetics of</w:t>
      </w:r>
      <w:r w:rsidR="009154C0" w:rsidRPr="008B3AD6">
        <w:t xml:space="preserve"> hepatic Amphotericin B accumulation and distribution</w:t>
      </w:r>
      <w:bookmarkEnd w:id="291"/>
      <w:bookmarkEnd w:id="292"/>
    </w:p>
    <w:p w14:paraId="75896FDE" w14:textId="06C4FBD8" w:rsidR="005B5E74" w:rsidRPr="008B3AD6" w:rsidRDefault="005B5E74" w:rsidP="005B5E74">
      <w:pPr>
        <w:spacing w:line="360" w:lineRule="auto"/>
        <w:jc w:val="both"/>
      </w:pPr>
      <w:r w:rsidRPr="008B3AD6">
        <w:t xml:space="preserve">The accumulation and distribution of </w:t>
      </w:r>
      <w:r w:rsidR="00A32111">
        <w:t>AmB</w:t>
      </w:r>
      <w:r w:rsidRPr="008B3AD6">
        <w:t xml:space="preserve"> within the whole liver, and within isolated hepatic leukocytes and leukocyte subsets was then determined over time after AmBisome treatment in mice infected with </w:t>
      </w:r>
      <w:r w:rsidRPr="008B3AD6">
        <w:rPr>
          <w:i/>
        </w:rPr>
        <w:t>L. donovani</w:t>
      </w:r>
      <w:r w:rsidRPr="008B3AD6">
        <w:t xml:space="preserve"> for 28 days.  </w:t>
      </w:r>
    </w:p>
    <w:p w14:paraId="34958EB6" w14:textId="77777777" w:rsidR="005B5E74" w:rsidRPr="008B3AD6" w:rsidRDefault="005B5E74" w:rsidP="005B5E74">
      <w:pPr>
        <w:spacing w:line="360" w:lineRule="auto"/>
        <w:jc w:val="both"/>
      </w:pPr>
    </w:p>
    <w:p w14:paraId="6890A7B8" w14:textId="012DE903" w:rsidR="005B5E74" w:rsidRPr="008B3AD6" w:rsidRDefault="005B5E74" w:rsidP="005B5E74">
      <w:pPr>
        <w:spacing w:line="360" w:lineRule="auto"/>
        <w:jc w:val="both"/>
      </w:pPr>
      <w:r w:rsidRPr="008B3AD6">
        <w:t>To mitigate the low yields initially encountered, an additional antibody (anti-Ly6C) was added to the FACS panel (</w:t>
      </w:r>
      <w:r w:rsidRPr="008B3AD6">
        <w:rPr>
          <w:b/>
        </w:rPr>
        <w:fldChar w:fldCharType="begin"/>
      </w:r>
      <w:r w:rsidRPr="008B3AD6">
        <w:rPr>
          <w:b/>
        </w:rPr>
        <w:instrText xml:space="preserve"> REF _Ref518932440  \* MERGEFORMAT </w:instrText>
      </w:r>
      <w:r w:rsidRPr="008B3AD6">
        <w:rPr>
          <w:b/>
        </w:rPr>
        <w:fldChar w:fldCharType="separate"/>
      </w:r>
      <w:r w:rsidR="00E5551E" w:rsidRPr="00E5551E">
        <w:rPr>
          <w:b/>
        </w:rPr>
        <w:t xml:space="preserve">Figure </w:t>
      </w:r>
      <w:r w:rsidR="00E5551E" w:rsidRPr="00E5551E">
        <w:rPr>
          <w:b/>
          <w:noProof/>
        </w:rPr>
        <w:t>3.11</w:t>
      </w:r>
      <w:r w:rsidRPr="008B3AD6">
        <w:rPr>
          <w:b/>
          <w:noProof/>
        </w:rPr>
        <w:fldChar w:fldCharType="end"/>
      </w:r>
      <w:r w:rsidRPr="00B23FF8">
        <w:rPr>
          <w:noProof/>
        </w:rPr>
        <w:t>;</w:t>
      </w:r>
      <w:r w:rsidRPr="008B3AD6">
        <w:rPr>
          <w:b/>
          <w:noProof/>
        </w:rPr>
        <w:t xml:space="preserve"> S</w:t>
      </w:r>
      <w:r w:rsidRPr="008B3AD6">
        <w:t xml:space="preserve">ection </w:t>
      </w:r>
      <w:r w:rsidR="008B3AD6" w:rsidRPr="008B3AD6">
        <w:fldChar w:fldCharType="begin"/>
      </w:r>
      <w:r w:rsidR="008B3AD6" w:rsidRPr="008B3AD6">
        <w:instrText xml:space="preserve"> REF _Ref519021688 \n </w:instrText>
      </w:r>
      <w:r w:rsidR="008B3AD6">
        <w:instrText xml:space="preserve"> \* MERGEFORMAT </w:instrText>
      </w:r>
      <w:r w:rsidR="008B3AD6" w:rsidRPr="008B3AD6">
        <w:fldChar w:fldCharType="separate"/>
      </w:r>
      <w:r w:rsidR="00E5551E">
        <w:t>2.8</w:t>
      </w:r>
      <w:r w:rsidR="008B3AD6" w:rsidRPr="008B3AD6">
        <w:fldChar w:fldCharType="end"/>
      </w:r>
      <w:r w:rsidRPr="008B3AD6">
        <w:t xml:space="preserve">) to allow for a better identification of monocytes. </w:t>
      </w:r>
      <w:r w:rsidR="00D0291A">
        <w:t>KCs</w:t>
      </w:r>
      <w:r w:rsidRPr="008B3AD6">
        <w:t xml:space="preserve"> and </w:t>
      </w:r>
      <w:r w:rsidR="00D0291A">
        <w:t>DCs</w:t>
      </w:r>
      <w:r w:rsidRPr="008B3AD6">
        <w:t xml:space="preserve"> were also pooled</w:t>
      </w:r>
      <w:r w:rsidR="00D0291A">
        <w:t xml:space="preserve"> (referred to as KCs &amp; DCs)</w:t>
      </w:r>
      <w:r w:rsidRPr="008B3AD6">
        <w:t xml:space="preserve">. In addition, lymphoid cells, neutrophils, monocytes and </w:t>
      </w:r>
      <w:r w:rsidR="00D0291A">
        <w:t>KCs &amp; DCs</w:t>
      </w:r>
      <w:r w:rsidRPr="008B3AD6">
        <w:t xml:space="preserve"> were sorted simultaneously. To ensure accurate sorting, isotype controls were used (</w:t>
      </w:r>
      <w:r w:rsidRPr="008B3AD6">
        <w:rPr>
          <w:b/>
        </w:rPr>
        <w:fldChar w:fldCharType="begin"/>
      </w:r>
      <w:r w:rsidRPr="008B3AD6">
        <w:rPr>
          <w:b/>
        </w:rPr>
        <w:instrText xml:space="preserve"> REF _Ref518932440  \* MERGEFORMAT </w:instrText>
      </w:r>
      <w:r w:rsidRPr="008B3AD6">
        <w:rPr>
          <w:b/>
        </w:rPr>
        <w:fldChar w:fldCharType="separate"/>
      </w:r>
      <w:r w:rsidR="00E5551E" w:rsidRPr="00E5551E">
        <w:rPr>
          <w:b/>
        </w:rPr>
        <w:t xml:space="preserve">Figure </w:t>
      </w:r>
      <w:r w:rsidR="00E5551E" w:rsidRPr="00E5551E">
        <w:rPr>
          <w:b/>
          <w:noProof/>
        </w:rPr>
        <w:t>3.11</w:t>
      </w:r>
      <w:r w:rsidRPr="008B3AD6">
        <w:rPr>
          <w:b/>
          <w:noProof/>
        </w:rPr>
        <w:fldChar w:fldCharType="end"/>
      </w:r>
      <w:r w:rsidRPr="008B3AD6">
        <w:rPr>
          <w:b/>
        </w:rPr>
        <w:t>B</w:t>
      </w:r>
      <w:r w:rsidRPr="008B3AD6">
        <w:t>) to set sort gates.</w:t>
      </w:r>
    </w:p>
    <w:p w14:paraId="107F2240" w14:textId="77777777" w:rsidR="005B5E74" w:rsidRPr="008B3AD6" w:rsidRDefault="005B5E74" w:rsidP="005B5E74">
      <w:pPr>
        <w:spacing w:line="360" w:lineRule="auto"/>
        <w:jc w:val="both"/>
      </w:pPr>
    </w:p>
    <w:p w14:paraId="7851B402" w14:textId="28380D5E" w:rsidR="005B5E74" w:rsidRPr="008B3AD6" w:rsidRDefault="005B5E74" w:rsidP="005B5E74">
      <w:pPr>
        <w:spacing w:line="360" w:lineRule="auto"/>
        <w:jc w:val="both"/>
      </w:pPr>
      <w:r w:rsidRPr="008B3AD6">
        <w:t xml:space="preserve">Following sorting, </w:t>
      </w:r>
      <w:r w:rsidR="00D0291A">
        <w:t xml:space="preserve">an </w:t>
      </w:r>
      <w:r w:rsidR="000377F6">
        <w:t>aliquot</w:t>
      </w:r>
      <w:r w:rsidR="00D0291A">
        <w:t xml:space="preserve"> from each sorted</w:t>
      </w:r>
      <w:r w:rsidRPr="008B3AD6">
        <w:t xml:space="preserve"> population was re-analysed to ascertain sample purity. Our results showed purity levels in the sorted populations, from </w:t>
      </w:r>
      <w:r w:rsidR="00860D6D" w:rsidRPr="008B3AD6">
        <w:rPr>
          <w:b/>
        </w:rPr>
        <w:fldChar w:fldCharType="begin"/>
      </w:r>
      <w:r w:rsidR="00860D6D" w:rsidRPr="008B3AD6">
        <w:rPr>
          <w:b/>
        </w:rPr>
        <w:instrText xml:space="preserve"> REF _Ref518932440  \* MERGEFORMAT </w:instrText>
      </w:r>
      <w:r w:rsidR="00860D6D" w:rsidRPr="008B3AD6">
        <w:rPr>
          <w:b/>
        </w:rPr>
        <w:fldChar w:fldCharType="separate"/>
      </w:r>
      <w:r w:rsidR="00E5551E" w:rsidRPr="00E5551E">
        <w:rPr>
          <w:b/>
        </w:rPr>
        <w:t xml:space="preserve">Figure </w:t>
      </w:r>
      <w:r w:rsidR="00E5551E" w:rsidRPr="00E5551E">
        <w:rPr>
          <w:b/>
          <w:noProof/>
        </w:rPr>
        <w:t>3.11</w:t>
      </w:r>
      <w:r w:rsidR="00860D6D" w:rsidRPr="008B3AD6">
        <w:rPr>
          <w:b/>
          <w:noProof/>
        </w:rPr>
        <w:fldChar w:fldCharType="end"/>
      </w:r>
      <w:r w:rsidRPr="008B3AD6">
        <w:rPr>
          <w:b/>
        </w:rPr>
        <w:t>C</w:t>
      </w:r>
      <w:r w:rsidR="000377F6">
        <w:t>, were 99.4%, 75.6%, 88% and</w:t>
      </w:r>
      <w:r w:rsidRPr="008B3AD6">
        <w:t xml:space="preserve"> 91% at 1 hour post-treatment for lymphoid cells, neutrophils, monocytes and </w:t>
      </w:r>
      <w:r w:rsidR="00D0291A">
        <w:t>KCs &amp; DCs</w:t>
      </w:r>
      <w:r w:rsidRPr="008B3AD6">
        <w:t xml:space="preserve"> respectively. Some cells did appear outside the specified gate, most likely due lower emissions due to repeated fluorophore stimulation </w:t>
      </w:r>
      <w:r w:rsidRPr="008B3AD6">
        <w:fldChar w:fldCharType="begin"/>
      </w:r>
      <w:r w:rsidR="00E664D4" w:rsidRPr="008B3AD6">
        <w:instrText xml:space="preserve"> ADDIN ZOTERO_ITEM CSL_CITATION {"citationID":"83zU6XHu","properties":{"formattedCitation":"(Shapiro 2005)","plainCitation":"(Shapiro 2005)","noteIndex":0},"citationItems":[{"id":2929,"uris":["http://zotero.org/users/2628971/items/W3WS5X5A"],"uri":["http://zotero.org/users/2628971/items/W3WS5X5A"],"itemData":{"id":2929,"type":"book","title":"Practical Flow Cytometry","publisher":"John Wiley &amp; Sons","number-of-pages":"733","source":"Google Books","abstract":"From the reviews of the 3rd Edition... \"The standard reference for anyone interested in understanding flow cytometry technology.\" American Journal of Clinical Oncology \"...one of the most valuable of its genre and...addressed to a wide audience?written in such an attractive way, being both informative and stimulating.\" Trends in Cell Biology This reference explains the science and discusses the vast biomedical applications of quantitative analytical cytology using laser-activated detection and cell sorting. Now in its fourth edition, this text has been expanded to provide full coverage of the broad spectrum of applications in molecular biology and biotechnology today. New to this edition are chapters on automated analysis of array technologies, compensation, high-speed sorting, reporter molecules, and multiplex and apoptosis assays, along with fully updated and revised references and a list of suppliers.","ISBN":"978-0-471-43403-0","note":"Google-Books-ID: JhSyimPKuJwC","language":"en","author":[{"family":"Shapiro","given":"Howard M."}],"issued":{"date-parts":[["2005",2,25]]}}}],"schema":"https://github.com/citation-style-language/schema/raw/master/csl-citation.json"} </w:instrText>
      </w:r>
      <w:r w:rsidRPr="008B3AD6">
        <w:fldChar w:fldCharType="separate"/>
      </w:r>
      <w:r w:rsidR="00025067">
        <w:rPr>
          <w:lang w:val="en-US"/>
        </w:rPr>
        <w:t>(Shapiro 2005)</w:t>
      </w:r>
      <w:r w:rsidRPr="008B3AD6">
        <w:fldChar w:fldCharType="end"/>
      </w:r>
      <w:r w:rsidRPr="008B3AD6">
        <w:t xml:space="preserve">. Additionally, analysis of </w:t>
      </w:r>
      <w:r w:rsidR="00F968CD" w:rsidRPr="008B3AD6">
        <w:t>cytospin</w:t>
      </w:r>
      <w:r w:rsidRPr="008B3AD6">
        <w:t xml:space="preserve"> preparations confirmed</w:t>
      </w:r>
      <w:r w:rsidR="00F968CD" w:rsidRPr="008B3AD6">
        <w:t xml:space="preserve"> the</w:t>
      </w:r>
      <w:r w:rsidRPr="008B3AD6">
        <w:t xml:space="preserve"> identity of the sorted cell samples by morphology (</w:t>
      </w:r>
      <w:r w:rsidRPr="008B3AD6">
        <w:rPr>
          <w:b/>
        </w:rPr>
        <w:t>Figure 3.11D</w:t>
      </w:r>
      <w:r w:rsidRPr="008B3AD6">
        <w:t>).</w:t>
      </w:r>
      <w:r w:rsidR="00830117">
        <w:t xml:space="preserve"> Purity levels for subsequent time points were not recorded, instead it was assumed that similar levels of purity would be achieved in all subsequent sorts.</w:t>
      </w:r>
    </w:p>
    <w:p w14:paraId="0F59A9D7" w14:textId="52A74185" w:rsidR="009154C0" w:rsidRPr="008B3AD6" w:rsidRDefault="009154C0" w:rsidP="009154C0">
      <w:pPr>
        <w:spacing w:line="360" w:lineRule="auto"/>
        <w:jc w:val="both"/>
      </w:pPr>
    </w:p>
    <w:p w14:paraId="67D18431" w14:textId="047D3B22" w:rsidR="009D2352" w:rsidRPr="008B3AD6" w:rsidRDefault="009D2352">
      <w:pPr>
        <w:spacing w:line="240" w:lineRule="auto"/>
      </w:pPr>
      <w:r w:rsidRPr="008B3AD6">
        <w:br w:type="page"/>
      </w:r>
    </w:p>
    <w:p w14:paraId="53522DB7" w14:textId="40AA5E02" w:rsidR="009D2352" w:rsidRPr="008B3AD6" w:rsidRDefault="00830117">
      <w:pPr>
        <w:spacing w:line="240" w:lineRule="auto"/>
      </w:pPr>
      <w:r>
        <w:rPr>
          <w:noProof/>
        </w:rPr>
        <w:lastRenderedPageBreak/>
        <mc:AlternateContent>
          <mc:Choice Requires="wps">
            <w:drawing>
              <wp:anchor distT="0" distB="0" distL="114300" distR="114300" simplePos="0" relativeHeight="251504640" behindDoc="1" locked="0" layoutInCell="1" allowOverlap="1" wp14:anchorId="0FA420B7" wp14:editId="5B70EB90">
                <wp:simplePos x="0" y="0"/>
                <wp:positionH relativeFrom="column">
                  <wp:posOffset>-393433</wp:posOffset>
                </wp:positionH>
                <wp:positionV relativeFrom="paragraph">
                  <wp:posOffset>7232784</wp:posOffset>
                </wp:positionV>
                <wp:extent cx="6021705" cy="2406315"/>
                <wp:effectExtent l="0" t="0" r="10795" b="6985"/>
                <wp:wrapNone/>
                <wp:docPr id="728" name="Text Box 728"/>
                <wp:cNvGraphicFramePr/>
                <a:graphic xmlns:a="http://schemas.openxmlformats.org/drawingml/2006/main">
                  <a:graphicData uri="http://schemas.microsoft.com/office/word/2010/wordprocessingShape">
                    <wps:wsp>
                      <wps:cNvSpPr txBox="1"/>
                      <wps:spPr>
                        <a:xfrm>
                          <a:off x="0" y="0"/>
                          <a:ext cx="6021705" cy="2406315"/>
                        </a:xfrm>
                        <a:prstGeom prst="rect">
                          <a:avLst/>
                        </a:prstGeom>
                        <a:noFill/>
                        <a:ln>
                          <a:noFill/>
                        </a:ln>
                      </wps:spPr>
                      <wps:txbx>
                        <w:txbxContent>
                          <w:p w14:paraId="3E74F743" w14:textId="1A6274F9" w:rsidR="00F61130" w:rsidRPr="00881879" w:rsidRDefault="00F61130" w:rsidP="0095758B">
                            <w:pPr>
                              <w:pStyle w:val="Caption"/>
                              <w:spacing w:line="360" w:lineRule="auto"/>
                              <w:jc w:val="both"/>
                              <w:rPr>
                                <w:sz w:val="20"/>
                                <w:szCs w:val="20"/>
                              </w:rPr>
                            </w:pPr>
                            <w:bookmarkStart w:id="293" w:name="_Ref518932440"/>
                            <w:bookmarkStart w:id="294" w:name="_Toc525227202"/>
                            <w:bookmarkStart w:id="295" w:name="_Toc536814141"/>
                            <w:r w:rsidRPr="00881879">
                              <w:rPr>
                                <w:b/>
                                <w:sz w:val="20"/>
                                <w:szCs w:val="20"/>
                              </w:rPr>
                              <w:t xml:space="preserve">Figure </w:t>
                            </w:r>
                            <w:r>
                              <w:rPr>
                                <w:b/>
                                <w:sz w:val="20"/>
                                <w:szCs w:val="20"/>
                              </w:rPr>
                              <w:fldChar w:fldCharType="begin"/>
                            </w:r>
                            <w:r>
                              <w:rPr>
                                <w:b/>
                                <w:sz w:val="20"/>
                                <w:szCs w:val="20"/>
                              </w:rPr>
                              <w:instrText xml:space="preserve"> STYLEREF 1 \s </w:instrText>
                            </w:r>
                            <w:r>
                              <w:rPr>
                                <w:b/>
                                <w:sz w:val="20"/>
                                <w:szCs w:val="20"/>
                              </w:rPr>
                              <w:fldChar w:fldCharType="separate"/>
                            </w:r>
                            <w:r>
                              <w:rPr>
                                <w:b/>
                                <w:noProof/>
                                <w:sz w:val="20"/>
                                <w:szCs w:val="20"/>
                              </w:rPr>
                              <w:t>3</w:t>
                            </w:r>
                            <w:r>
                              <w:rPr>
                                <w:b/>
                                <w:sz w:val="20"/>
                                <w:szCs w:val="20"/>
                              </w:rPr>
                              <w:fldChar w:fldCharType="end"/>
                            </w:r>
                            <w:r>
                              <w:rPr>
                                <w:b/>
                                <w:sz w:val="20"/>
                                <w:szCs w:val="20"/>
                              </w:rPr>
                              <w:t>.</w:t>
                            </w:r>
                            <w:r>
                              <w:rPr>
                                <w:b/>
                                <w:sz w:val="20"/>
                                <w:szCs w:val="20"/>
                              </w:rPr>
                              <w:fldChar w:fldCharType="begin"/>
                            </w:r>
                            <w:r>
                              <w:rPr>
                                <w:b/>
                                <w:sz w:val="20"/>
                                <w:szCs w:val="20"/>
                              </w:rPr>
                              <w:instrText xml:space="preserve"> SEQ Figure \* ARABIC \s 1 </w:instrText>
                            </w:r>
                            <w:r>
                              <w:rPr>
                                <w:b/>
                                <w:sz w:val="20"/>
                                <w:szCs w:val="20"/>
                              </w:rPr>
                              <w:fldChar w:fldCharType="separate"/>
                            </w:r>
                            <w:r>
                              <w:rPr>
                                <w:b/>
                                <w:noProof/>
                                <w:sz w:val="20"/>
                                <w:szCs w:val="20"/>
                              </w:rPr>
                              <w:t>11</w:t>
                            </w:r>
                            <w:r>
                              <w:rPr>
                                <w:b/>
                                <w:sz w:val="20"/>
                                <w:szCs w:val="20"/>
                              </w:rPr>
                              <w:fldChar w:fldCharType="end"/>
                            </w:r>
                            <w:bookmarkEnd w:id="293"/>
                            <w:r w:rsidRPr="00881879">
                              <w:rPr>
                                <w:b/>
                                <w:sz w:val="20"/>
                                <w:szCs w:val="20"/>
                              </w:rPr>
                              <w:t xml:space="preserve"> – Updated Gating Strategy to identify subsets of hepatic </w:t>
                            </w:r>
                            <w:r>
                              <w:rPr>
                                <w:b/>
                                <w:sz w:val="20"/>
                                <w:szCs w:val="20"/>
                              </w:rPr>
                              <w:t>leukocytes</w:t>
                            </w:r>
                            <w:r w:rsidRPr="00881879">
                              <w:rPr>
                                <w:b/>
                                <w:sz w:val="20"/>
                                <w:szCs w:val="20"/>
                              </w:rPr>
                              <w:t xml:space="preserve"> and validation of Fluorescence Activated Cell Sorting. </w:t>
                            </w:r>
                            <w:r w:rsidRPr="00881879">
                              <w:rPr>
                                <w:sz w:val="20"/>
                                <w:szCs w:val="20"/>
                              </w:rPr>
                              <w:t xml:space="preserve">New gating strategy (A) used to quantify </w:t>
                            </w:r>
                            <w:r>
                              <w:rPr>
                                <w:sz w:val="20"/>
                                <w:szCs w:val="20"/>
                              </w:rPr>
                              <w:t>leukocyte</w:t>
                            </w:r>
                            <w:r w:rsidRPr="00881879">
                              <w:rPr>
                                <w:sz w:val="20"/>
                                <w:szCs w:val="20"/>
                              </w:rPr>
                              <w:t xml:space="preserve"> subsets (Lymphoid cells, neutrophils, monocytes and dendritic &amp; Kupffer cells) from the liver of </w:t>
                            </w:r>
                            <w:r w:rsidRPr="00881879">
                              <w:rPr>
                                <w:i/>
                                <w:sz w:val="20"/>
                                <w:szCs w:val="20"/>
                              </w:rPr>
                              <w:t>L. donovani</w:t>
                            </w:r>
                            <w:r w:rsidRPr="00881879">
                              <w:rPr>
                                <w:sz w:val="20"/>
                                <w:szCs w:val="20"/>
                              </w:rPr>
                              <w:t xml:space="preserve"> infected mice with addition of Ly6C for better distinction of monocytes. Subsets were all characterised on the basis of being CD45</w:t>
                            </w:r>
                            <w:r w:rsidRPr="000377F6">
                              <w:rPr>
                                <w:sz w:val="20"/>
                                <w:szCs w:val="20"/>
                                <w:vertAlign w:val="superscript"/>
                              </w:rPr>
                              <w:t>+</w:t>
                            </w:r>
                            <w:r w:rsidRPr="00881879">
                              <w:rPr>
                                <w:sz w:val="20"/>
                                <w:szCs w:val="20"/>
                              </w:rPr>
                              <w:t xml:space="preserve"> live single cells. Isotype controls (B) for antibodies used as subset classifiers (TCR</w:t>
                            </w:r>
                            <w:r w:rsidRPr="00881879">
                              <w:rPr>
                                <w:sz w:val="20"/>
                                <w:szCs w:val="20"/>
                              </w:rPr>
                              <w:sym w:font="Symbol" w:char="F062"/>
                            </w:r>
                            <w:r w:rsidRPr="00881879">
                              <w:rPr>
                                <w:sz w:val="20"/>
                                <w:szCs w:val="20"/>
                              </w:rPr>
                              <w:t>, B220, NK1.1, CD11b, Ly6C, CD11c and F4/80) were run against experimental samples. After sorting aliquots from each sorted sam</w:t>
                            </w:r>
                            <w:r>
                              <w:rPr>
                                <w:sz w:val="20"/>
                                <w:szCs w:val="20"/>
                              </w:rPr>
                              <w:t>ple were taken and either re-ru</w:t>
                            </w:r>
                            <w:r w:rsidRPr="00881879">
                              <w:rPr>
                                <w:sz w:val="20"/>
                                <w:szCs w:val="20"/>
                              </w:rPr>
                              <w:t xml:space="preserve">n through the cell sorter (C), for post-sort purity checking, or spun onto a slide and stained (D), for morphological </w:t>
                            </w:r>
                            <w:r>
                              <w:rPr>
                                <w:sz w:val="20"/>
                                <w:szCs w:val="20"/>
                              </w:rPr>
                              <w:t>identification</w:t>
                            </w:r>
                            <w:r w:rsidRPr="00881879">
                              <w:rPr>
                                <w:sz w:val="20"/>
                                <w:szCs w:val="20"/>
                              </w:rPr>
                              <w:t xml:space="preserve">. Data </w:t>
                            </w:r>
                            <w:r>
                              <w:rPr>
                                <w:sz w:val="20"/>
                                <w:szCs w:val="20"/>
                              </w:rPr>
                              <w:t>are</w:t>
                            </w:r>
                            <w:r w:rsidRPr="00881879">
                              <w:rPr>
                                <w:sz w:val="20"/>
                                <w:szCs w:val="20"/>
                              </w:rPr>
                              <w:t xml:space="preserve"> representative of an AmBisome treated Day 28 post-infection purified hepatic leukocyte population.</w:t>
                            </w:r>
                            <w:r>
                              <w:rPr>
                                <w:sz w:val="20"/>
                                <w:szCs w:val="20"/>
                              </w:rPr>
                              <w:t xml:space="preserve"> This data were generated using digestion and staining protocol 2.</w:t>
                            </w:r>
                            <w:bookmarkEnd w:id="294"/>
                            <w:r>
                              <w:rPr>
                                <w:sz w:val="20"/>
                                <w:szCs w:val="20"/>
                              </w:rPr>
                              <w:t xml:space="preserve"> </w:t>
                            </w:r>
                            <w:r>
                              <w:rPr>
                                <w:i/>
                                <w:sz w:val="20"/>
                                <w:szCs w:val="20"/>
                              </w:rPr>
                              <w:t>Addendum 3/1/19: The singlet gate shown does not discriminate singlets, however comparison of the downstream proportions against a traditional singlet gate (FSC-A vs FSC-H) shows there is little (&lt;0.6%) change in any subsequent populations.</w:t>
                            </w:r>
                            <w:bookmarkEnd w:id="295"/>
                          </w:p>
                          <w:p w14:paraId="5B54D197" w14:textId="7720C00F" w:rsidR="00F61130" w:rsidRPr="00881879" w:rsidRDefault="00F61130" w:rsidP="0095758B">
                            <w:pPr>
                              <w:pStyle w:val="Caption"/>
                              <w:spacing w:line="360" w:lineRule="auto"/>
                              <w:jc w:val="both"/>
                              <w:rPr>
                                <w:noProof/>
                                <w:sz w:val="20"/>
                                <w:szCs w:val="20"/>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FA420B7" id="Text Box 728" o:spid="_x0000_s1060" type="#_x0000_t202" style="position:absolute;margin-left:-31pt;margin-top:569.5pt;width:474.15pt;height:189.45pt;z-index:-2518118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CxePXIgIAAEUEAAAOAAAAZHJzL2Uyb0RvYy54bWysU8Fu2zAMvQ/YPwi6L3bSNi2MOEXWIsOA&#13;&#10;oC2QDD0rspQYsESNUmJnXz9KjtOt22nYRaZJ6lF8fJzdd6ZhR4W+Blvy8SjnTFkJVW13Jf+2WX66&#13;&#10;48wHYSvRgFUlPynP7+cfP8xaV6gJ7KGpFDICsb5oXcn3Ibgiy7zcKyP8CJyyFNSARgT6xV1WoWgJ&#13;&#10;3TTZJM+nWQtYOQSpvCfvYx/k84SvtZLhWWuvAmtKTm8L6cR0buOZzWei2KFw+1qenyH+4RVG1JaK&#13;&#10;XqAeRRDsgPUfUKaWCB50GEkwGWhdS5V6oG7G+btu1nvhVOqFyPHuQpP/f7Dy6fiCrK5KfjuhUVlh&#13;&#10;aEgb1QX2GToWfcRQ63xBiWtHqaGjAE168HtyxsY7jSZ+qSVGceL6dOE3wklyTvPJ+Da/4UxSbHKd&#13;&#10;T6/GNxEne7vu0IcvCgyLRsmRBph4FceVD33qkBKrWVjWTZOG2NjfHIQZPVl8e//GaIVu26Vur66H&#13;&#10;BrZQnagvhF4b3sllTbVXwocXgSQGaoUEHp7p0A20JYezxdke8Mff/DGfZkRRzloSV8n994NAxVnz&#13;&#10;1dL0ohIHAwdjOxj2YB6A9Dqm1XEymXQBQzOYGsG8ku4XsQqFhJVUq+RhMB9CL3HaG6kWi5REenMi&#13;&#10;rOzayQgdyYpMbrpXge5Md6BJPcEgO1G8Y73P7WleHALoOo0kEtuzeOabtJqGet6ruAy//qest+2f&#13;&#10;/wQAAP//AwBQSwMEFAAGAAgAAAAhAAp9unnlAAAAEgEAAA8AAABkcnMvZG93bnJldi54bWxMT0tv&#13;&#10;gzAMvk/af4g8abc20GoMKKGq9jhNmkrZYcdAUohKHEbSlv37eaftYtn+7O9RbGc7sIuevHEoIF5G&#13;&#10;wDS2ThnsBHzUr4sUmA8SlRwcagHf2sO2vL0pZK7cFSt9OYSOEQn6XAroQxhzzn3bayv90o0aCTu6&#13;&#10;ycpA49RxNckrkduBr6Io4VYaJIVejvqp1+3pcLYCdp9YvZiv92ZfHStT11mEb8lJiPu7+XlDZbcB&#13;&#10;FvQc/j7gNwP5h5KMNe6MyrNBwCJZUaBAQLzOqKOTNE3WwBpaPcSPGfCy4P+jlD8AAAD//wMAUEsB&#13;&#10;Ai0AFAAGAAgAAAAhALaDOJL+AAAA4QEAABMAAAAAAAAAAAAAAAAAAAAAAFtDb250ZW50X1R5cGVz&#13;&#10;XS54bWxQSwECLQAUAAYACAAAACEAOP0h/9YAAACUAQAACwAAAAAAAAAAAAAAAAAvAQAAX3JlbHMv&#13;&#10;LnJlbHNQSwECLQAUAAYACAAAACEAgsXj1yICAABFBAAADgAAAAAAAAAAAAAAAAAuAgAAZHJzL2Uy&#13;&#10;b0RvYy54bWxQSwECLQAUAAYACAAAACEACn26eeUAAAASAQAADwAAAAAAAAAAAAAAAAB8BAAAZHJz&#13;&#10;L2Rvd25yZXYueG1sUEsFBgAAAAAEAAQA8wAAAI4FAAAAAA==&#13;&#10;" filled="f" stroked="f">
                <v:textbox inset="0,0,0,0">
                  <w:txbxContent>
                    <w:p w14:paraId="3E74F743" w14:textId="1A6274F9" w:rsidR="00F61130" w:rsidRPr="00881879" w:rsidRDefault="00F61130" w:rsidP="0095758B">
                      <w:pPr>
                        <w:pStyle w:val="Caption"/>
                        <w:spacing w:line="360" w:lineRule="auto"/>
                        <w:jc w:val="both"/>
                        <w:rPr>
                          <w:sz w:val="20"/>
                          <w:szCs w:val="20"/>
                        </w:rPr>
                      </w:pPr>
                      <w:bookmarkStart w:id="296" w:name="_Ref518932440"/>
                      <w:bookmarkStart w:id="297" w:name="_Toc525227202"/>
                      <w:bookmarkStart w:id="298" w:name="_Toc536814141"/>
                      <w:r w:rsidRPr="00881879">
                        <w:rPr>
                          <w:b/>
                          <w:sz w:val="20"/>
                          <w:szCs w:val="20"/>
                        </w:rPr>
                        <w:t xml:space="preserve">Figure </w:t>
                      </w:r>
                      <w:r>
                        <w:rPr>
                          <w:b/>
                          <w:sz w:val="20"/>
                          <w:szCs w:val="20"/>
                        </w:rPr>
                        <w:fldChar w:fldCharType="begin"/>
                      </w:r>
                      <w:r>
                        <w:rPr>
                          <w:b/>
                          <w:sz w:val="20"/>
                          <w:szCs w:val="20"/>
                        </w:rPr>
                        <w:instrText xml:space="preserve"> STYLEREF 1 \s </w:instrText>
                      </w:r>
                      <w:r>
                        <w:rPr>
                          <w:b/>
                          <w:sz w:val="20"/>
                          <w:szCs w:val="20"/>
                        </w:rPr>
                        <w:fldChar w:fldCharType="separate"/>
                      </w:r>
                      <w:r>
                        <w:rPr>
                          <w:b/>
                          <w:noProof/>
                          <w:sz w:val="20"/>
                          <w:szCs w:val="20"/>
                        </w:rPr>
                        <w:t>3</w:t>
                      </w:r>
                      <w:r>
                        <w:rPr>
                          <w:b/>
                          <w:sz w:val="20"/>
                          <w:szCs w:val="20"/>
                        </w:rPr>
                        <w:fldChar w:fldCharType="end"/>
                      </w:r>
                      <w:r>
                        <w:rPr>
                          <w:b/>
                          <w:sz w:val="20"/>
                          <w:szCs w:val="20"/>
                        </w:rPr>
                        <w:t>.</w:t>
                      </w:r>
                      <w:r>
                        <w:rPr>
                          <w:b/>
                          <w:sz w:val="20"/>
                          <w:szCs w:val="20"/>
                        </w:rPr>
                        <w:fldChar w:fldCharType="begin"/>
                      </w:r>
                      <w:r>
                        <w:rPr>
                          <w:b/>
                          <w:sz w:val="20"/>
                          <w:szCs w:val="20"/>
                        </w:rPr>
                        <w:instrText xml:space="preserve"> SEQ Figure \* ARABIC \s 1 </w:instrText>
                      </w:r>
                      <w:r>
                        <w:rPr>
                          <w:b/>
                          <w:sz w:val="20"/>
                          <w:szCs w:val="20"/>
                        </w:rPr>
                        <w:fldChar w:fldCharType="separate"/>
                      </w:r>
                      <w:r>
                        <w:rPr>
                          <w:b/>
                          <w:noProof/>
                          <w:sz w:val="20"/>
                          <w:szCs w:val="20"/>
                        </w:rPr>
                        <w:t>11</w:t>
                      </w:r>
                      <w:r>
                        <w:rPr>
                          <w:b/>
                          <w:sz w:val="20"/>
                          <w:szCs w:val="20"/>
                        </w:rPr>
                        <w:fldChar w:fldCharType="end"/>
                      </w:r>
                      <w:bookmarkEnd w:id="296"/>
                      <w:r w:rsidRPr="00881879">
                        <w:rPr>
                          <w:b/>
                          <w:sz w:val="20"/>
                          <w:szCs w:val="20"/>
                        </w:rPr>
                        <w:t xml:space="preserve"> – Updated Gating Strategy to identify subsets of hepatic </w:t>
                      </w:r>
                      <w:r>
                        <w:rPr>
                          <w:b/>
                          <w:sz w:val="20"/>
                          <w:szCs w:val="20"/>
                        </w:rPr>
                        <w:t>leukocytes</w:t>
                      </w:r>
                      <w:r w:rsidRPr="00881879">
                        <w:rPr>
                          <w:b/>
                          <w:sz w:val="20"/>
                          <w:szCs w:val="20"/>
                        </w:rPr>
                        <w:t xml:space="preserve"> and validation of Fluorescence Activated Cell Sorting. </w:t>
                      </w:r>
                      <w:r w:rsidRPr="00881879">
                        <w:rPr>
                          <w:sz w:val="20"/>
                          <w:szCs w:val="20"/>
                        </w:rPr>
                        <w:t xml:space="preserve">New gating strategy (A) used to quantify </w:t>
                      </w:r>
                      <w:r>
                        <w:rPr>
                          <w:sz w:val="20"/>
                          <w:szCs w:val="20"/>
                        </w:rPr>
                        <w:t>leukocyte</w:t>
                      </w:r>
                      <w:r w:rsidRPr="00881879">
                        <w:rPr>
                          <w:sz w:val="20"/>
                          <w:szCs w:val="20"/>
                        </w:rPr>
                        <w:t xml:space="preserve"> subsets (Lymphoid cells, neutrophils, monocytes and dendritic &amp; Kupffer cells) from the liver of </w:t>
                      </w:r>
                      <w:r w:rsidRPr="00881879">
                        <w:rPr>
                          <w:i/>
                          <w:sz w:val="20"/>
                          <w:szCs w:val="20"/>
                        </w:rPr>
                        <w:t>L. donovani</w:t>
                      </w:r>
                      <w:r w:rsidRPr="00881879">
                        <w:rPr>
                          <w:sz w:val="20"/>
                          <w:szCs w:val="20"/>
                        </w:rPr>
                        <w:t xml:space="preserve"> infected mice with addition of Ly6C for better distinction of monocytes. Subsets were all characterised on the basis of being CD45</w:t>
                      </w:r>
                      <w:r w:rsidRPr="000377F6">
                        <w:rPr>
                          <w:sz w:val="20"/>
                          <w:szCs w:val="20"/>
                          <w:vertAlign w:val="superscript"/>
                        </w:rPr>
                        <w:t>+</w:t>
                      </w:r>
                      <w:r w:rsidRPr="00881879">
                        <w:rPr>
                          <w:sz w:val="20"/>
                          <w:szCs w:val="20"/>
                        </w:rPr>
                        <w:t xml:space="preserve"> live single cells. Isotype controls (B) for antibodies used as subset classifiers (TCR</w:t>
                      </w:r>
                      <w:r w:rsidRPr="00881879">
                        <w:rPr>
                          <w:sz w:val="20"/>
                          <w:szCs w:val="20"/>
                        </w:rPr>
                        <w:sym w:font="Symbol" w:char="F062"/>
                      </w:r>
                      <w:r w:rsidRPr="00881879">
                        <w:rPr>
                          <w:sz w:val="20"/>
                          <w:szCs w:val="20"/>
                        </w:rPr>
                        <w:t>, B220, NK1.1, CD11b, Ly6C, CD11c and F4/80) were run against experimental samples. After sorting aliquots from each sorted sam</w:t>
                      </w:r>
                      <w:r>
                        <w:rPr>
                          <w:sz w:val="20"/>
                          <w:szCs w:val="20"/>
                        </w:rPr>
                        <w:t>ple were taken and either re-ru</w:t>
                      </w:r>
                      <w:r w:rsidRPr="00881879">
                        <w:rPr>
                          <w:sz w:val="20"/>
                          <w:szCs w:val="20"/>
                        </w:rPr>
                        <w:t xml:space="preserve">n through the cell sorter (C), for post-sort purity checking, or spun onto a slide and stained (D), for morphological </w:t>
                      </w:r>
                      <w:r>
                        <w:rPr>
                          <w:sz w:val="20"/>
                          <w:szCs w:val="20"/>
                        </w:rPr>
                        <w:t>identification</w:t>
                      </w:r>
                      <w:r w:rsidRPr="00881879">
                        <w:rPr>
                          <w:sz w:val="20"/>
                          <w:szCs w:val="20"/>
                        </w:rPr>
                        <w:t xml:space="preserve">. Data </w:t>
                      </w:r>
                      <w:r>
                        <w:rPr>
                          <w:sz w:val="20"/>
                          <w:szCs w:val="20"/>
                        </w:rPr>
                        <w:t>are</w:t>
                      </w:r>
                      <w:r w:rsidRPr="00881879">
                        <w:rPr>
                          <w:sz w:val="20"/>
                          <w:szCs w:val="20"/>
                        </w:rPr>
                        <w:t xml:space="preserve"> representative of an AmBisome treated Day 28 post-infection purified hepatic leukocyte population.</w:t>
                      </w:r>
                      <w:r>
                        <w:rPr>
                          <w:sz w:val="20"/>
                          <w:szCs w:val="20"/>
                        </w:rPr>
                        <w:t xml:space="preserve"> This data were generated using digestion and staining protocol 2.</w:t>
                      </w:r>
                      <w:bookmarkEnd w:id="297"/>
                      <w:r>
                        <w:rPr>
                          <w:sz w:val="20"/>
                          <w:szCs w:val="20"/>
                        </w:rPr>
                        <w:t xml:space="preserve"> </w:t>
                      </w:r>
                      <w:r>
                        <w:rPr>
                          <w:i/>
                          <w:sz w:val="20"/>
                          <w:szCs w:val="20"/>
                        </w:rPr>
                        <w:t>Addendum 3/1/19: The singlet gate shown does not discriminate singlets, however comparison of the downstream proportions against a traditional singlet gate (FSC-A vs FSC-H) shows there is little (&lt;0.6%) change in any subsequent populations.</w:t>
                      </w:r>
                      <w:bookmarkEnd w:id="298"/>
                    </w:p>
                    <w:p w14:paraId="5B54D197" w14:textId="7720C00F" w:rsidR="00F61130" w:rsidRPr="00881879" w:rsidRDefault="00F61130" w:rsidP="0095758B">
                      <w:pPr>
                        <w:pStyle w:val="Caption"/>
                        <w:spacing w:line="360" w:lineRule="auto"/>
                        <w:jc w:val="both"/>
                        <w:rPr>
                          <w:noProof/>
                          <w:sz w:val="20"/>
                          <w:szCs w:val="20"/>
                        </w:rPr>
                      </w:pPr>
                    </w:p>
                  </w:txbxContent>
                </v:textbox>
              </v:shape>
            </w:pict>
          </mc:Fallback>
        </mc:AlternateContent>
      </w:r>
      <w:r w:rsidR="00031DCA">
        <w:rPr>
          <w:noProof/>
        </w:rPr>
        <mc:AlternateContent>
          <mc:Choice Requires="wps">
            <w:drawing>
              <wp:anchor distT="0" distB="0" distL="114300" distR="114300" simplePos="0" relativeHeight="251500544" behindDoc="0" locked="0" layoutInCell="1" allowOverlap="1" wp14:anchorId="345C8F4D" wp14:editId="1609E80E">
                <wp:simplePos x="0" y="0"/>
                <wp:positionH relativeFrom="column">
                  <wp:posOffset>269024</wp:posOffset>
                </wp:positionH>
                <wp:positionV relativeFrom="paragraph">
                  <wp:posOffset>-539337</wp:posOffset>
                </wp:positionV>
                <wp:extent cx="339427" cy="211090"/>
                <wp:effectExtent l="0" t="0" r="3810" b="5080"/>
                <wp:wrapNone/>
                <wp:docPr id="723" name="Text Box 723"/>
                <wp:cNvGraphicFramePr/>
                <a:graphic xmlns:a="http://schemas.openxmlformats.org/drawingml/2006/main">
                  <a:graphicData uri="http://schemas.microsoft.com/office/word/2010/wordprocessingShape">
                    <wps:wsp>
                      <wps:cNvSpPr txBox="1"/>
                      <wps:spPr>
                        <a:xfrm>
                          <a:off x="0" y="0"/>
                          <a:ext cx="339427" cy="211090"/>
                        </a:xfrm>
                        <a:prstGeom prst="rect">
                          <a:avLst/>
                        </a:prstGeom>
                        <a:noFill/>
                        <a:ln w="6350">
                          <a:noFill/>
                        </a:ln>
                      </wps:spPr>
                      <wps:txbx>
                        <w:txbxContent>
                          <w:p w14:paraId="465A01A9" w14:textId="40020078" w:rsidR="00F61130" w:rsidRDefault="00F61130" w:rsidP="00881879">
                            <w:pPr>
                              <w:spacing w:line="240" w:lineRule="auto"/>
                              <w:jc w:val="center"/>
                            </w:pPr>
                            <w:r>
                              <w:t>A</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345C8F4D" id="Text Box 723" o:spid="_x0000_s1061" type="#_x0000_t202" style="position:absolute;margin-left:21.2pt;margin-top:-42.45pt;width:26.75pt;height:16.6pt;z-index:2515005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viWQtLAIAAE4EAAAOAAAAZHJzL2Uyb0RvYy54bWysVE1v2zAMvQ/YfxB0X5yP9cuIU2QtMgwI&#13;&#10;2gLJ0LMiS7EBS9QoJXb260fJcTp0Ow27yBRJUXzvUZ7fd6ZhR4W+BlvwyWjMmbISytruC/59u/p0&#13;&#10;y5kPwpaiAasKflKe3y8+fpi3LldTqKApFTIqYn3euoJXIbg8y7yslBF+BE5ZCmpAIwJtcZ+VKFqq&#13;&#10;bppsOh5fZy1g6RCk8p68j32QL1J9rZUMz1p7FVhTcOotpBXTuotrtpiLfI/CVbU8tyH+oQsjakuX&#13;&#10;Xko9iiDYAes/SplaInjQYSTBZKB1LVXCQGgm43doNpVwKmEhcry70OT/X1n5dHxBVpcFv5nOOLPC&#13;&#10;kEhb1QX2BToWfcRQ63xOiRtHqaGjACk9+D05I/BOo4lfgsQoTlyfLvzGcpKcs9nd5+kNZ5JC08lk&#13;&#10;fJf4z94OO/ThqwLDolFwJPkSq+K49oEaodQhJd5lYVU3TZKwsawt+PXsapwOXCJ0orF0MELoW41W&#13;&#10;6HZdAj27GnDsoDwRPIR+RLyTq5qaWAsfXgTSTBAimvPwTItugC6Ds8VZBfjzb/6YT1JRlLOWZqzg&#13;&#10;/sdBoOKs+WZJxDiQg4GDsRsMezAPQGM7oRfkZDLpAIZmMDWCeaXxX8ZbKCSspLsKLgMOm4fQzzo9&#13;&#10;IKmWy5RGg+dEWNuNk7F4JDKSuu1eBboz84Eke4Jh/kT+ToA+t5dgeQig66ROpLbn8cw4DW0S7fzA&#13;&#10;4qv4fZ+y3n4Di18AAAD//wMAUEsDBBQABgAIAAAAIQD6de144wAAAA4BAAAPAAAAZHJzL2Rvd25y&#13;&#10;ZXYueG1sTE/NTsMwDL4j8Q6RkbhtaacOtq7phECMgQQSGw+QtV7TtXGqJuvK22NOcLFl+/P3k61H&#13;&#10;24oBe187UhBPIxBIhStrqhR87Z8nCxA+aCp16wgVfKOHdX59lem0dBf6xGEXKsEk5FOtwITQpVL6&#13;&#10;wqDVfuo6JL4dXW914LGvZNnrC5PbVs6i6E5aXRMrGN3ho8Gi2Z2tgk19jPcfQ1N1pnl92bxt30/b&#13;&#10;U1Dq9mZ8WnF5WIEIOIa/D/jNwP4hZ2MHd6bSi1ZBMksYqWCySJYgGLCccz/wYh7fg8wz+T9G/gMA&#13;&#10;AP//AwBQSwECLQAUAAYACAAAACEAtoM4kv4AAADhAQAAEwAAAAAAAAAAAAAAAAAAAAAAW0NvbnRl&#13;&#10;bnRfVHlwZXNdLnhtbFBLAQItABQABgAIAAAAIQA4/SH/1gAAAJQBAAALAAAAAAAAAAAAAAAAAC8B&#13;&#10;AABfcmVscy8ucmVsc1BLAQItABQABgAIAAAAIQBviWQtLAIAAE4EAAAOAAAAAAAAAAAAAAAAAC4C&#13;&#10;AABkcnMvZTJvRG9jLnhtbFBLAQItABQABgAIAAAAIQD6de144wAAAA4BAAAPAAAAAAAAAAAAAAAA&#13;&#10;AIYEAABkcnMvZG93bnJldi54bWxQSwUGAAAAAAQABADzAAAAlgUAAAAA&#13;&#10;" filled="f" stroked="f" strokeweight=".5pt">
                <v:textbox inset="0,0,0,0">
                  <w:txbxContent>
                    <w:p w14:paraId="465A01A9" w14:textId="40020078" w:rsidR="00F61130" w:rsidRDefault="00F61130" w:rsidP="00881879">
                      <w:pPr>
                        <w:spacing w:line="240" w:lineRule="auto"/>
                        <w:jc w:val="center"/>
                      </w:pPr>
                      <w:r>
                        <w:t>A</w:t>
                      </w:r>
                    </w:p>
                  </w:txbxContent>
                </v:textbox>
              </v:shape>
            </w:pict>
          </mc:Fallback>
        </mc:AlternateContent>
      </w:r>
      <w:r w:rsidR="00031DCA">
        <w:rPr>
          <w:noProof/>
        </w:rPr>
        <mc:AlternateContent>
          <mc:Choice Requires="wps">
            <w:drawing>
              <wp:anchor distT="0" distB="0" distL="114300" distR="114300" simplePos="0" relativeHeight="251501568" behindDoc="0" locked="0" layoutInCell="1" allowOverlap="1" wp14:anchorId="2B2BEA55" wp14:editId="1518146A">
                <wp:simplePos x="0" y="0"/>
                <wp:positionH relativeFrom="column">
                  <wp:posOffset>261029</wp:posOffset>
                </wp:positionH>
                <wp:positionV relativeFrom="paragraph">
                  <wp:posOffset>1758760</wp:posOffset>
                </wp:positionV>
                <wp:extent cx="339427" cy="211088"/>
                <wp:effectExtent l="0" t="0" r="3810" b="5080"/>
                <wp:wrapNone/>
                <wp:docPr id="724" name="Text Box 724"/>
                <wp:cNvGraphicFramePr/>
                <a:graphic xmlns:a="http://schemas.openxmlformats.org/drawingml/2006/main">
                  <a:graphicData uri="http://schemas.microsoft.com/office/word/2010/wordprocessingShape">
                    <wps:wsp>
                      <wps:cNvSpPr txBox="1"/>
                      <wps:spPr>
                        <a:xfrm>
                          <a:off x="0" y="0"/>
                          <a:ext cx="339427" cy="211088"/>
                        </a:xfrm>
                        <a:prstGeom prst="rect">
                          <a:avLst/>
                        </a:prstGeom>
                        <a:noFill/>
                        <a:ln w="6350">
                          <a:noFill/>
                        </a:ln>
                      </wps:spPr>
                      <wps:txbx>
                        <w:txbxContent>
                          <w:p w14:paraId="546F84A6" w14:textId="2EC4B3AB" w:rsidR="00F61130" w:rsidRDefault="00F61130" w:rsidP="00881879">
                            <w:pPr>
                              <w:spacing w:line="240" w:lineRule="auto"/>
                              <w:jc w:val="center"/>
                            </w:pPr>
                            <w:r>
                              <w:t>B</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2B2BEA55" id="Text Box 724" o:spid="_x0000_s1062" type="#_x0000_t202" style="position:absolute;margin-left:20.55pt;margin-top:138.5pt;width:26.75pt;height:16.6pt;z-index:2515015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UitOUKgIAAEwEAAAOAAAAZHJzL2Uyb0RvYy54bWysVFFv2jAQfp+0/2D5fSRAR1lEqFgrpkmo&#13;&#10;rQRTn41jk0i2z7MNCfv1OzuEVt2epr2Yy9357r7vPrO467QiJ+F8A6ak41FOiTAcqsYcSvpjt/40&#13;&#10;p8QHZiqmwIiSnoWnd8uPHxatLcQEalCVcASLGF+0tqR1CLbIMs9roZkfgRUGgxKcZgE/3SGrHGux&#13;&#10;ulbZJM9nWQuusg648B69D32QLlN9KQUPT1J6EYgqKc4W0unSuY9ntlyw4uCYrRt+GYP9wxSaNQab&#13;&#10;Xks9sMDI0TV/lNINd+BBhhEHnYGUDRcJA6IZ5+/QbGtmRcKC5Hh7pcn/v7L88fTsSFOV9HZyQ4lh&#13;&#10;Gpe0E10gX6Ej0YcMtdYXmLi1mBo6DOCmB79HZwTeSafjL0IiGEeuz1d+YzmOzun0y83klhKOocl4&#13;&#10;nM/nsUr2etk6H74J0CQaJXW4vsQqO2186FOHlNjLwLpRKq1QGdKWdDb9nKcL1wgWVwZ7RAj9qNEK&#13;&#10;3b5LoKezAcceqjPCc9BLxFu+bnCIDfPhmTnUBCJCnYcnPKQCbAYXi5Ia3K+/+WM+rgqjlLSosZL6&#13;&#10;n0fmBCXqu8ElRkEOhhuM/WCYo74HlO0YX5DlycQLLqjBlA70C8p/FbtgiBmOvUoaBvM+9ErH58PF&#13;&#10;apWSUHaWhY3ZWh5LRxojpbvuhTl74T3gwh5hUB8r3tHf5/YLWB0DyCbtJhLbs3jhGyWbtnt5XvFN&#13;&#10;vP1OWa9/AsvfAAAA//8DAFBLAwQUAAYACAAAACEA21vxTOMAAAAOAQAADwAAAGRycy9kb3ducmV2&#13;&#10;LnhtbEyPS0/DMBCE70j8B2uRuFE7oWohzaZCFG48C0hwc2KTRPgR2U4a/j3LCS4rrXZmdr5yO1vD&#13;&#10;Jh1i7x1CthDAtGu86l2L8Ppye3YBLCbplDTeaYRvHWFbHR+VslD+4J71tE8toxAXC4nQpTQUnMem&#13;&#10;01bGhR+0o9unD1YmWkPLVZAHCreG50KsuJW9ow+dHPR1p5uv/WgRzHsMd7VIH9OuvU9Pj3x8u8ke&#13;&#10;EE9P5t2GxtUGWNJz+nPALwP1h4qK1X50KjKDsMwyUiLk6zWBkeByuQJWI5xnIgdelfw/RvUDAAD/&#13;&#10;/wMAUEsBAi0AFAAGAAgAAAAhALaDOJL+AAAA4QEAABMAAAAAAAAAAAAAAAAAAAAAAFtDb250ZW50&#13;&#10;X1R5cGVzXS54bWxQSwECLQAUAAYACAAAACEAOP0h/9YAAACUAQAACwAAAAAAAAAAAAAAAAAvAQAA&#13;&#10;X3JlbHMvLnJlbHNQSwECLQAUAAYACAAAACEA1IrTlCoCAABMBAAADgAAAAAAAAAAAAAAAAAuAgAA&#13;&#10;ZHJzL2Uyb0RvYy54bWxQSwECLQAUAAYACAAAACEA21vxTOMAAAAOAQAADwAAAAAAAAAAAAAAAACE&#13;&#10;BAAAZHJzL2Rvd25yZXYueG1sUEsFBgAAAAAEAAQA8wAAAJQFAAAAAA==&#13;&#10;" filled="f" stroked="f" strokeweight=".5pt">
                <v:textbox inset="0,0,0,0">
                  <w:txbxContent>
                    <w:p w14:paraId="546F84A6" w14:textId="2EC4B3AB" w:rsidR="00F61130" w:rsidRDefault="00F61130" w:rsidP="00881879">
                      <w:pPr>
                        <w:spacing w:line="240" w:lineRule="auto"/>
                        <w:jc w:val="center"/>
                      </w:pPr>
                      <w:r>
                        <w:t>B</w:t>
                      </w:r>
                    </w:p>
                  </w:txbxContent>
                </v:textbox>
              </v:shape>
            </w:pict>
          </mc:Fallback>
        </mc:AlternateContent>
      </w:r>
      <w:r w:rsidR="00031DCA">
        <w:rPr>
          <w:noProof/>
        </w:rPr>
        <mc:AlternateContent>
          <mc:Choice Requires="wps">
            <w:drawing>
              <wp:anchor distT="0" distB="0" distL="114300" distR="114300" simplePos="0" relativeHeight="251502592" behindDoc="0" locked="0" layoutInCell="1" allowOverlap="1" wp14:anchorId="60161008" wp14:editId="57D3EA3E">
                <wp:simplePos x="0" y="0"/>
                <wp:positionH relativeFrom="column">
                  <wp:posOffset>269024</wp:posOffset>
                </wp:positionH>
                <wp:positionV relativeFrom="paragraph">
                  <wp:posOffset>3120399</wp:posOffset>
                </wp:positionV>
                <wp:extent cx="339985" cy="211088"/>
                <wp:effectExtent l="0" t="0" r="3175" b="5080"/>
                <wp:wrapNone/>
                <wp:docPr id="725" name="Text Box 725"/>
                <wp:cNvGraphicFramePr/>
                <a:graphic xmlns:a="http://schemas.openxmlformats.org/drawingml/2006/main">
                  <a:graphicData uri="http://schemas.microsoft.com/office/word/2010/wordprocessingShape">
                    <wps:wsp>
                      <wps:cNvSpPr txBox="1"/>
                      <wps:spPr>
                        <a:xfrm>
                          <a:off x="0" y="0"/>
                          <a:ext cx="339985" cy="211088"/>
                        </a:xfrm>
                        <a:prstGeom prst="rect">
                          <a:avLst/>
                        </a:prstGeom>
                        <a:noFill/>
                        <a:ln w="6350">
                          <a:noFill/>
                        </a:ln>
                      </wps:spPr>
                      <wps:txbx>
                        <w:txbxContent>
                          <w:p w14:paraId="36E7D294" w14:textId="6692FBA4" w:rsidR="00F61130" w:rsidRDefault="00F61130" w:rsidP="00881879">
                            <w:pPr>
                              <w:spacing w:line="240" w:lineRule="auto"/>
                              <w:jc w:val="center"/>
                            </w:pPr>
                            <w:r>
                              <w:t>C</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60161008" id="Text Box 725" o:spid="_x0000_s1063" type="#_x0000_t202" style="position:absolute;margin-left:21.2pt;margin-top:245.7pt;width:26.75pt;height:16.6pt;z-index:2515025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5FD3RKQIAAEwEAAAOAAAAZHJzL2Uyb0RvYy54bWysVFFv2jAQfp+0/2D5fSSA2tKIULFWTJNQ&#13;&#10;WwmmPhvHJpFsn2cbEvbrd3YIrbo+VXsxl7vz3X3ffWZ+12lFjsL5BkxJx6OcEmE4VI3Zl/TXdvVt&#13;&#10;RokPzFRMgRElPQlP7xZfv8xbW4gJ1KAq4QgWMb5obUnrEGyRZZ7XQjM/AisMBiU4zQJ+un1WOdZi&#13;&#10;da2ySZ5fZy24yjrgwnv0PvRBukj1pRQ8PEnpRSCqpDhbSKdL5y6e2WLOir1jtm74eQz2iSk0aww2&#13;&#10;vZR6YIGRg2v+KaUb7sCDDCMOOgMpGy4SBkQzzt+h2dTMioQFyfH2QpP/f2X54/HZkaYq6c3kihLD&#13;&#10;NC5pK7pAvkNHog8Zaq0vMHFjMTV0GMBND36Pzgi8k07HX4REMI5cny78xnIcndPp7e0Mu3AMTcbj&#13;&#10;fDaLVbLXy9b58EOAJtEoqcP1JVbZce1DnzqkxF4GVo1SaYXKkLak19OrPF24RLC4MtgjQuhHjVbo&#13;&#10;dl0CPb0ZcOygOiE8B71EvOWrBodYMx+emUNNICLUeXjCQyrAZnC2KKnB/fnIH/NxVRilpEWNldT/&#13;&#10;PjAnKFE/DS4xCnIw3GDsBsMc9D2gbMf4gixPJl5wQQ2mdKBfUP7L2AVDzHDsVdIwmPehVzo+Hy6W&#13;&#10;y5SEsrMsrM3G8lg60hgp3XYvzNkz7wEX9giD+ljxjv4+t1/A8hBANmk3kdiexTPfKNm03fPzim/i&#13;&#10;7XfKev0TWPwFAAD//wMAUEsDBBQABgAIAAAAIQAua1mU4AAAAA4BAAAPAAAAZHJzL2Rvd25yZXYu&#13;&#10;eG1sTE9LT4QwEL6b+B+aMfHmFgi7EZayMa7efK6a6K3QEYh9kLaw+O8dT3qZR+ab71HtFqPZjD4M&#13;&#10;zgpIVwkwtK1Tg+0EvL7cXlwCC1FaJbWzKOAbA+zq05NKlsod7TPOh9gxIrGhlAL6GMeS89D2aGRY&#13;&#10;uREt3T6dNzLS6juuvDwSudE8S5INN3KwpNDLEa97bL8OkxGg34O/a5L4Me+7+/j0yKe3m/RBiPOz&#13;&#10;Zb+lcrUFFnGJfx/wm4H8Q03GGjdZFZgWkGc5IakXKQ0EKNYFsEbAOss3wOuK/49R/wAAAP//AwBQ&#13;&#10;SwECLQAUAAYACAAAACEAtoM4kv4AAADhAQAAEwAAAAAAAAAAAAAAAAAAAAAAW0NvbnRlbnRfVHlw&#13;&#10;ZXNdLnhtbFBLAQItABQABgAIAAAAIQA4/SH/1gAAAJQBAAALAAAAAAAAAAAAAAAAAC8BAABfcmVs&#13;&#10;cy8ucmVsc1BLAQItABQABgAIAAAAIQD5FD3RKQIAAEwEAAAOAAAAAAAAAAAAAAAAAC4CAABkcnMv&#13;&#10;ZTJvRG9jLnhtbFBLAQItABQABgAIAAAAIQAua1mU4AAAAA4BAAAPAAAAAAAAAAAAAAAAAIMEAABk&#13;&#10;cnMvZG93bnJldi54bWxQSwUGAAAAAAQABADzAAAAkAUAAAAA&#13;&#10;" filled="f" stroked="f" strokeweight=".5pt">
                <v:textbox inset="0,0,0,0">
                  <w:txbxContent>
                    <w:p w14:paraId="36E7D294" w14:textId="6692FBA4" w:rsidR="00F61130" w:rsidRDefault="00F61130" w:rsidP="00881879">
                      <w:pPr>
                        <w:spacing w:line="240" w:lineRule="auto"/>
                        <w:jc w:val="center"/>
                      </w:pPr>
                      <w:r>
                        <w:t>C</w:t>
                      </w:r>
                    </w:p>
                  </w:txbxContent>
                </v:textbox>
              </v:shape>
            </w:pict>
          </mc:Fallback>
        </mc:AlternateContent>
      </w:r>
      <w:r w:rsidR="00031DCA">
        <w:rPr>
          <w:noProof/>
        </w:rPr>
        <mc:AlternateContent>
          <mc:Choice Requires="wps">
            <w:drawing>
              <wp:anchor distT="0" distB="0" distL="114300" distR="114300" simplePos="0" relativeHeight="251503616" behindDoc="0" locked="0" layoutInCell="1" allowOverlap="1" wp14:anchorId="50ACAAC1" wp14:editId="77CE2E27">
                <wp:simplePos x="0" y="0"/>
                <wp:positionH relativeFrom="column">
                  <wp:posOffset>269024</wp:posOffset>
                </wp:positionH>
                <wp:positionV relativeFrom="paragraph">
                  <wp:posOffset>4479679</wp:posOffset>
                </wp:positionV>
                <wp:extent cx="339985" cy="211088"/>
                <wp:effectExtent l="0" t="0" r="3175" b="5080"/>
                <wp:wrapNone/>
                <wp:docPr id="726" name="Text Box 726"/>
                <wp:cNvGraphicFramePr/>
                <a:graphic xmlns:a="http://schemas.openxmlformats.org/drawingml/2006/main">
                  <a:graphicData uri="http://schemas.microsoft.com/office/word/2010/wordprocessingShape">
                    <wps:wsp>
                      <wps:cNvSpPr txBox="1"/>
                      <wps:spPr>
                        <a:xfrm>
                          <a:off x="0" y="0"/>
                          <a:ext cx="339985" cy="211088"/>
                        </a:xfrm>
                        <a:prstGeom prst="rect">
                          <a:avLst/>
                        </a:prstGeom>
                        <a:noFill/>
                        <a:ln w="6350">
                          <a:noFill/>
                        </a:ln>
                      </wps:spPr>
                      <wps:txbx>
                        <w:txbxContent>
                          <w:p w14:paraId="77453558" w14:textId="5C2C5E39" w:rsidR="00F61130" w:rsidRDefault="00F61130" w:rsidP="00881879">
                            <w:pPr>
                              <w:spacing w:line="240" w:lineRule="auto"/>
                              <w:jc w:val="center"/>
                            </w:pPr>
                            <w:r>
                              <w:t>D</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50ACAAC1" id="Text Box 726" o:spid="_x0000_s1064" type="#_x0000_t202" style="position:absolute;margin-left:21.2pt;margin-top:352.75pt;width:26.75pt;height:16.6pt;z-index:2515036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BWgN8KAIAAEwEAAAOAAAAZHJzL2Uyb0RvYy54bWysVMGO2jAQvVfqP1i+lwTQUjYirOiuqCqh&#13;&#10;3ZWg2rNxbBLJ9ri2IaFf37FDoNr2VPViJjPjNzNvnlk8dFqRk3C+AVPS8SinRBgOVWMOJf2+W3+a&#13;&#10;U+IDMxVTYERJz8LTh+XHD4vWFmICNahKOIIgxhetLWkdgi2yzPNaaOZHYIXBoASnWcBPd8gqx1pE&#13;&#10;1yqb5Pksa8FV1gEX3qP3qQ/SZcKXUvDwIqUXgaiSYm8hnS6d+3hmywUrDo7ZuuGXNtg/dKFZY7Do&#13;&#10;FeqJBUaOrvkDSjfcgQcZRhx0BlI2XKQZcJpx/m6abc2sSLMgOd5eafL/D5Y/n14daaqSfp7MKDFM&#13;&#10;45J2ogvkC3Qk+pCh1voCE7cWU0OHAdz04PfojIN30un4iyMRjCPX5yu/EY6jczq9v5/fUcIxNBmP&#13;&#10;8/k8omS3y9b58FWAJtEoqcP1JVbZaeNDnzqkxFoG1o1SaYXKkLaks+ldni5cIwiuDNaII/StRit0&#13;&#10;+y4NPU0dRNceqjOO56CXiLd83WATG+bDK3OoCZwIdR5e8JAKsBhcLEpqcD//5o/5uCqMUtKixkrq&#13;&#10;fxyZE5SobwaXGAU5GG4w9oNhjvoRULZjfEGWJxMvuKAGUzrQbyj/VayCIWY41ippGMzH0Csdnw8X&#13;&#10;q1VKQtlZFjZma3mEjjRGSnfdG3P2wnvAhT3DoD5WvKO/z+0XsDoGkE3azY3FC98o2bTdy/OKb+L3&#13;&#10;75R1+xNY/gIAAP//AwBQSwMEFAAGAAgAAAAhACYFVjPjAAAADgEAAA8AAABkcnMvZG93bnJldi54&#13;&#10;bWxMT01PwzAMvSPxHyIjcWPpxsq2rumEGNwYbAMkuKVNaCsSp0rSrvx7zAkuluz3/D7yzWgNG7QP&#13;&#10;rUMB00kCTGPlVIu1gNeXh6slsBAlKmkcagHfOsCmOD/LZabcCQ96OMaakQiGTApoYuwyzkPVaCvD&#13;&#10;xHUaCft03spIq6+58vJE4tbwWZLccCtbJIdGdvqu0dXXsbcCzHvwj2USP4ZtvYv7Z96/3U+fhLi8&#13;&#10;GLdrGrdrYFGP8e8DfjtQfigoWOl6VIEZAfPZnJgCFkmaAiPCKl0BK+lwvVwAL3L+v0bxAwAA//8D&#13;&#10;AFBLAQItABQABgAIAAAAIQC2gziS/gAAAOEBAAATAAAAAAAAAAAAAAAAAAAAAABbQ29udGVudF9U&#13;&#10;eXBlc10ueG1sUEsBAi0AFAAGAAgAAAAhADj9If/WAAAAlAEAAAsAAAAAAAAAAAAAAAAALwEAAF9y&#13;&#10;ZWxzLy5yZWxzUEsBAi0AFAAGAAgAAAAhAAFaA3woAgAATAQAAA4AAAAAAAAAAAAAAAAALgIAAGRy&#13;&#10;cy9lMm9Eb2MueG1sUEsBAi0AFAAGAAgAAAAhACYFVjPjAAAADgEAAA8AAAAAAAAAAAAAAAAAggQA&#13;&#10;AGRycy9kb3ducmV2LnhtbFBLBQYAAAAABAAEAPMAAACSBQAAAAA=&#13;&#10;" filled="f" stroked="f" strokeweight=".5pt">
                <v:textbox inset="0,0,0,0">
                  <w:txbxContent>
                    <w:p w14:paraId="77453558" w14:textId="5C2C5E39" w:rsidR="00F61130" w:rsidRDefault="00F61130" w:rsidP="00881879">
                      <w:pPr>
                        <w:spacing w:line="240" w:lineRule="auto"/>
                        <w:jc w:val="center"/>
                      </w:pPr>
                      <w:r>
                        <w:t>D</w:t>
                      </w:r>
                    </w:p>
                  </w:txbxContent>
                </v:textbox>
              </v:shape>
            </w:pict>
          </mc:Fallback>
        </mc:AlternateContent>
      </w:r>
      <w:r w:rsidR="004A105D">
        <w:rPr>
          <w:noProof/>
        </w:rPr>
        <w:drawing>
          <wp:anchor distT="0" distB="0" distL="114300" distR="114300" simplePos="0" relativeHeight="251112956" behindDoc="0" locked="0" layoutInCell="1" allowOverlap="1" wp14:anchorId="7CC472EA" wp14:editId="3BCD8202">
            <wp:simplePos x="0" y="0"/>
            <wp:positionH relativeFrom="column">
              <wp:posOffset>347980</wp:posOffset>
            </wp:positionH>
            <wp:positionV relativeFrom="paragraph">
              <wp:posOffset>-494868</wp:posOffset>
            </wp:positionV>
            <wp:extent cx="4895850" cy="7704455"/>
            <wp:effectExtent l="0" t="0" r="6350" b="4445"/>
            <wp:wrapNone/>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Picture 176"/>
                    <pic:cNvPicPr>
                      <a:picLocks noChangeAspect="1"/>
                    </pic:cNvPicPr>
                  </pic:nvPicPr>
                  <pic:blipFill>
                    <a:blip r:embed="rId42">
                      <a:extLst>
                        <a:ext uri="{28A0092B-C50C-407E-A947-70E740481C1C}">
                          <a14:useLocalDpi xmlns:a14="http://schemas.microsoft.com/office/drawing/2010/main" val="0"/>
                        </a:ext>
                      </a:extLst>
                    </a:blip>
                    <a:stretch>
                      <a:fillRect/>
                    </a:stretch>
                  </pic:blipFill>
                  <pic:spPr>
                    <a:xfrm>
                      <a:off x="0" y="0"/>
                      <a:ext cx="4895850" cy="7704455"/>
                    </a:xfrm>
                    <a:prstGeom prst="rect">
                      <a:avLst/>
                    </a:prstGeom>
                  </pic:spPr>
                </pic:pic>
              </a:graphicData>
            </a:graphic>
            <wp14:sizeRelH relativeFrom="margin">
              <wp14:pctWidth>0</wp14:pctWidth>
            </wp14:sizeRelH>
            <wp14:sizeRelV relativeFrom="margin">
              <wp14:pctHeight>0</wp14:pctHeight>
            </wp14:sizeRelV>
          </wp:anchor>
        </w:drawing>
      </w:r>
      <w:r w:rsidR="009D2352" w:rsidRPr="008B3AD6">
        <w:br w:type="page"/>
      </w:r>
    </w:p>
    <w:p w14:paraId="74763F8A" w14:textId="7819DA0A" w:rsidR="00E64D0C" w:rsidRPr="008B3AD6" w:rsidRDefault="00E64D0C" w:rsidP="00E64D0C">
      <w:pPr>
        <w:spacing w:line="360" w:lineRule="auto"/>
        <w:jc w:val="both"/>
      </w:pPr>
      <w:r w:rsidRPr="008B3AD6">
        <w:lastRenderedPageBreak/>
        <w:t xml:space="preserve">Total liver tissue was obtained at 1, 12, 24 or 72h post-AmBisome treatment (see Section 2.4) and parasite load was determined (see Section </w:t>
      </w:r>
      <w:fldSimple w:instr=" REF _Ref521758313 \n  \* MERGEFORMAT ">
        <w:r w:rsidR="00031DCA">
          <w:t>2.7</w:t>
        </w:r>
      </w:fldSimple>
      <w:r w:rsidRPr="008B3AD6">
        <w:t xml:space="preserve">). Liver samples (~100mg) were processed for </w:t>
      </w:r>
      <w:r w:rsidR="00A32111">
        <w:t>AmB</w:t>
      </w:r>
      <w:r w:rsidRPr="008B3AD6">
        <w:t xml:space="preserve"> extraction (see Section </w:t>
      </w:r>
      <w:fldSimple w:instr=" REF _Ref518492280 \n  \* MERGEFORMAT ">
        <w:r w:rsidR="00031DCA">
          <w:t>2.5</w:t>
        </w:r>
      </w:fldSimple>
      <w:r w:rsidRPr="008B3AD6">
        <w:t xml:space="preserve">). As in Section </w:t>
      </w:r>
      <w:fldSimple w:instr=" REF _Ref518135898 \n  \* MERGEFORMAT ">
        <w:r w:rsidR="00031DCA">
          <w:t>3.3.2</w:t>
        </w:r>
      </w:fldSimple>
      <w:r w:rsidRPr="008B3AD6">
        <w:t xml:space="preserve">, the total liver </w:t>
      </w:r>
      <w:r w:rsidR="00A32111">
        <w:t>AmB</w:t>
      </w:r>
      <w:r w:rsidRPr="008B3AD6">
        <w:t xml:space="preserve"> content was derived by scaling the sample weight to the total liver weight.</w:t>
      </w:r>
    </w:p>
    <w:p w14:paraId="7770845F" w14:textId="77777777" w:rsidR="00E64D0C" w:rsidRPr="008B3AD6" w:rsidRDefault="00E64D0C" w:rsidP="00E64D0C">
      <w:pPr>
        <w:spacing w:line="360" w:lineRule="auto"/>
        <w:jc w:val="both"/>
      </w:pPr>
    </w:p>
    <w:p w14:paraId="033D89E7" w14:textId="37DC8913" w:rsidR="0094722E" w:rsidRPr="008B3AD6" w:rsidRDefault="00A32111" w:rsidP="00E64D0C">
      <w:pPr>
        <w:spacing w:line="360" w:lineRule="auto"/>
        <w:jc w:val="both"/>
      </w:pPr>
      <w:r>
        <w:t>AmB</w:t>
      </w:r>
      <w:r w:rsidR="00E64D0C" w:rsidRPr="008B3AD6">
        <w:t xml:space="preserve"> was found at level of 48.67 </w:t>
      </w:r>
      <w:r w:rsidR="00E64D0C" w:rsidRPr="008B3AD6">
        <w:sym w:font="Symbol" w:char="F0B1"/>
      </w:r>
      <w:r w:rsidR="00E64D0C" w:rsidRPr="008B3AD6">
        <w:t xml:space="preserve"> 24.28 </w:t>
      </w:r>
      <w:r w:rsidR="00E64D0C" w:rsidRPr="008B3AD6">
        <w:sym w:font="Symbol" w:char="F06D"/>
      </w:r>
      <w:r w:rsidR="00E64D0C" w:rsidRPr="008B3AD6">
        <w:t xml:space="preserve">g, 52.46 </w:t>
      </w:r>
      <w:r w:rsidR="00E64D0C" w:rsidRPr="008B3AD6">
        <w:sym w:font="Symbol" w:char="F0B1"/>
      </w:r>
      <w:r w:rsidR="00E64D0C" w:rsidRPr="008B3AD6">
        <w:t xml:space="preserve"> 11.4 </w:t>
      </w:r>
      <w:r w:rsidR="00E64D0C" w:rsidRPr="008B3AD6">
        <w:sym w:font="Symbol" w:char="F06D"/>
      </w:r>
      <w:r w:rsidR="00E64D0C" w:rsidRPr="008B3AD6">
        <w:t xml:space="preserve">g, 37.67 </w:t>
      </w:r>
      <w:r w:rsidR="00E64D0C" w:rsidRPr="008B3AD6">
        <w:sym w:font="Symbol" w:char="F0B1"/>
      </w:r>
      <w:r w:rsidR="00E64D0C" w:rsidRPr="008B3AD6">
        <w:t xml:space="preserve"> 10.78 </w:t>
      </w:r>
      <w:r w:rsidR="00E64D0C" w:rsidRPr="008B3AD6">
        <w:sym w:font="Symbol" w:char="F06D"/>
      </w:r>
      <w:r w:rsidR="00E64D0C" w:rsidRPr="008B3AD6">
        <w:t xml:space="preserve">g, and 35.61 </w:t>
      </w:r>
      <w:r w:rsidR="00E64D0C" w:rsidRPr="008B3AD6">
        <w:sym w:font="Symbol" w:char="F0B1"/>
      </w:r>
      <w:r w:rsidR="00E64D0C" w:rsidRPr="008B3AD6">
        <w:t xml:space="preserve"> 18.99 </w:t>
      </w:r>
      <w:r w:rsidR="00E64D0C" w:rsidRPr="008B3AD6">
        <w:sym w:font="Symbol" w:char="F06D"/>
      </w:r>
      <w:r w:rsidR="00E64D0C" w:rsidRPr="008B3AD6">
        <w:t>g at 1, 12, 24 and 72h respectively (</w:t>
      </w:r>
      <w:r w:rsidR="0074700A">
        <w:rPr>
          <w:b/>
        </w:rPr>
        <w:fldChar w:fldCharType="begin"/>
      </w:r>
      <w:r w:rsidR="0074700A">
        <w:rPr>
          <w:b/>
        </w:rPr>
        <w:instrText xml:space="preserve"> REF _Ref518932550  \* MERGEFORMAT </w:instrText>
      </w:r>
      <w:r w:rsidR="0074700A">
        <w:rPr>
          <w:b/>
        </w:rPr>
        <w:fldChar w:fldCharType="separate"/>
      </w:r>
      <w:r w:rsidR="00E5551E" w:rsidRPr="00E5551E">
        <w:rPr>
          <w:b/>
        </w:rPr>
        <w:t xml:space="preserve">Figure </w:t>
      </w:r>
      <w:r w:rsidR="00E5551E" w:rsidRPr="00E5551E">
        <w:rPr>
          <w:b/>
          <w:noProof/>
        </w:rPr>
        <w:t>3.12</w:t>
      </w:r>
      <w:r w:rsidR="0074700A">
        <w:rPr>
          <w:b/>
          <w:noProof/>
        </w:rPr>
        <w:fldChar w:fldCharType="end"/>
      </w:r>
      <w:r w:rsidR="00E64D0C" w:rsidRPr="008B3AD6">
        <w:rPr>
          <w:b/>
        </w:rPr>
        <w:t>A)</w:t>
      </w:r>
      <w:r w:rsidR="00E64D0C" w:rsidRPr="008B3AD6">
        <w:t xml:space="preserve">. This represents greater than 17.5% of the injected dose at all time points, again reinforcing the liver as a major accumulator of </w:t>
      </w:r>
      <w:r>
        <w:t>AmB</w:t>
      </w:r>
      <w:r w:rsidR="00E64D0C" w:rsidRPr="008B3AD6">
        <w:t>. Whilst no significant difference was found between time points a trend towards decreasing accumulation over time can be seen, with a</w:t>
      </w:r>
      <w:r w:rsidR="00D0291A">
        <w:t>n on average</w:t>
      </w:r>
      <w:r w:rsidR="00E64D0C" w:rsidRPr="008B3AD6">
        <w:t xml:space="preserve"> 32% decrease from 12h (the peak concentration) to 72h post-treatment. The high level of variability at 1h post-treatment likely accounts for the l</w:t>
      </w:r>
      <w:r w:rsidR="000377F6">
        <w:t>ack of statistical significance (</w:t>
      </w:r>
      <w:r w:rsidR="00E64D0C" w:rsidRPr="008B3AD6">
        <w:t xml:space="preserve">see Section </w:t>
      </w:r>
      <w:r w:rsidR="008B3AD6" w:rsidRPr="008B3AD6">
        <w:fldChar w:fldCharType="begin"/>
      </w:r>
      <w:r w:rsidR="008B3AD6" w:rsidRPr="008B3AD6">
        <w:instrText xml:space="preserve"> REF _Ref521758395 \n </w:instrText>
      </w:r>
      <w:r w:rsidR="008B3AD6">
        <w:instrText xml:space="preserve"> \* MERGEFORMAT </w:instrText>
      </w:r>
      <w:r w:rsidR="008B3AD6" w:rsidRPr="008B3AD6">
        <w:fldChar w:fldCharType="separate"/>
      </w:r>
      <w:r w:rsidR="00E5551E">
        <w:t>3.4</w:t>
      </w:r>
      <w:r w:rsidR="008B3AD6" w:rsidRPr="008B3AD6">
        <w:fldChar w:fldCharType="end"/>
      </w:r>
      <w:r w:rsidR="000377F6">
        <w:t>)</w:t>
      </w:r>
      <w:r w:rsidR="00E64D0C" w:rsidRPr="008B3AD6">
        <w:t xml:space="preserve">. Parasite load in control untreated mice (334.3 </w:t>
      </w:r>
      <w:r w:rsidR="00E64D0C" w:rsidRPr="008B3AD6">
        <w:sym w:font="Symbol" w:char="F0B1"/>
      </w:r>
      <w:r w:rsidR="00E64D0C" w:rsidRPr="008B3AD6">
        <w:t xml:space="preserve"> 139.9 LDU) consecutively decreased at each time point analysed (220.1 </w:t>
      </w:r>
      <w:r w:rsidR="00E64D0C" w:rsidRPr="008B3AD6">
        <w:sym w:font="Symbol" w:char="F0B1"/>
      </w:r>
      <w:r w:rsidR="00E64D0C" w:rsidRPr="008B3AD6">
        <w:t xml:space="preserve"> 116.3 LDU, 101 </w:t>
      </w:r>
      <w:r w:rsidR="00E64D0C" w:rsidRPr="008B3AD6">
        <w:sym w:font="Symbol" w:char="F0B1"/>
      </w:r>
      <w:r w:rsidR="00E64D0C" w:rsidRPr="008B3AD6">
        <w:t xml:space="preserve"> 56.67 LDU, 77.1 </w:t>
      </w:r>
      <w:r w:rsidR="00E64D0C" w:rsidRPr="008B3AD6">
        <w:sym w:font="Symbol" w:char="F0B1"/>
      </w:r>
      <w:r w:rsidR="00E64D0C" w:rsidRPr="008B3AD6">
        <w:t xml:space="preserve"> 32.65 LDU and 23.21 </w:t>
      </w:r>
      <w:r w:rsidR="00E64D0C" w:rsidRPr="008B3AD6">
        <w:sym w:font="Symbol" w:char="F0B1"/>
      </w:r>
      <w:r w:rsidR="00E64D0C" w:rsidRPr="008B3AD6">
        <w:t xml:space="preserve"> 12.87 LDU for 1, 12, 24 and 72 hours respectively), equating to ~93% reduction in the parasite load at 72h  (p</w:t>
      </w:r>
      <w:r w:rsidR="00D0291A">
        <w:t xml:space="preserve"> </w:t>
      </w:r>
      <w:r w:rsidR="00E64D0C" w:rsidRPr="008B3AD6">
        <w:t>&lt; 0.</w:t>
      </w:r>
      <w:r w:rsidR="009D07B9" w:rsidRPr="008B3AD6">
        <w:t>0</w:t>
      </w:r>
      <w:r w:rsidR="009D07B9">
        <w:t>01</w:t>
      </w:r>
      <w:r w:rsidR="009D07B9" w:rsidRPr="008B3AD6">
        <w:t xml:space="preserve"> </w:t>
      </w:r>
      <w:r w:rsidR="00E64D0C" w:rsidRPr="008B3AD6">
        <w:t xml:space="preserve">for 1hr vs. 72hrs; </w:t>
      </w:r>
      <w:r w:rsidR="0074700A">
        <w:rPr>
          <w:b/>
        </w:rPr>
        <w:fldChar w:fldCharType="begin"/>
      </w:r>
      <w:r w:rsidR="0074700A">
        <w:rPr>
          <w:b/>
        </w:rPr>
        <w:instrText xml:space="preserve"> REF _Ref518932550  \* MERGEFORMAT </w:instrText>
      </w:r>
      <w:r w:rsidR="0074700A">
        <w:rPr>
          <w:b/>
        </w:rPr>
        <w:fldChar w:fldCharType="separate"/>
      </w:r>
      <w:r w:rsidR="00E5551E" w:rsidRPr="00E5551E">
        <w:rPr>
          <w:b/>
        </w:rPr>
        <w:t xml:space="preserve">Figure </w:t>
      </w:r>
      <w:r w:rsidR="00E5551E" w:rsidRPr="00E5551E">
        <w:rPr>
          <w:b/>
          <w:noProof/>
        </w:rPr>
        <w:t>3.12</w:t>
      </w:r>
      <w:r w:rsidR="0074700A">
        <w:rPr>
          <w:b/>
          <w:noProof/>
        </w:rPr>
        <w:fldChar w:fldCharType="end"/>
      </w:r>
      <w:r w:rsidR="00E64D0C" w:rsidRPr="008B3AD6">
        <w:rPr>
          <w:b/>
        </w:rPr>
        <w:t>B)</w:t>
      </w:r>
      <w:r w:rsidR="00E64D0C" w:rsidRPr="008B3AD6">
        <w:t>.</w:t>
      </w:r>
    </w:p>
    <w:p w14:paraId="560E20C8" w14:textId="77777777" w:rsidR="00593133" w:rsidRPr="008B3AD6" w:rsidRDefault="00593133" w:rsidP="00593133">
      <w:pPr>
        <w:spacing w:line="360" w:lineRule="auto"/>
        <w:jc w:val="both"/>
      </w:pPr>
    </w:p>
    <w:p w14:paraId="5525D354" w14:textId="30DF57BE" w:rsidR="00593133" w:rsidRPr="008B3AD6" w:rsidRDefault="00E64D0C" w:rsidP="00E64D0C">
      <w:pPr>
        <w:spacing w:line="360" w:lineRule="auto"/>
        <w:jc w:val="both"/>
      </w:pPr>
      <w:r w:rsidRPr="008B3AD6">
        <w:t xml:space="preserve">After characterising the total liver accumulation of </w:t>
      </w:r>
      <w:r w:rsidR="00A32111">
        <w:t>AmB</w:t>
      </w:r>
      <w:r w:rsidRPr="008B3AD6">
        <w:t>, the hepatic leukocyte population was then evaluated. Leu</w:t>
      </w:r>
      <w:r w:rsidR="00D0291A">
        <w:t>k</w:t>
      </w:r>
      <w:r w:rsidRPr="008B3AD6">
        <w:t>ocytes were isolated from livers of day 28 post-infection mice</w:t>
      </w:r>
      <w:r w:rsidR="00D0291A">
        <w:t xml:space="preserve"> </w:t>
      </w:r>
      <w:r w:rsidRPr="008B3AD6">
        <w:t xml:space="preserve">treated for 1, 12, 24 or 72h using density gradient centrifugation followed by fluorescence activated cell sorting (see Section </w:t>
      </w:r>
      <w:r w:rsidR="008B3AD6" w:rsidRPr="008B3AD6">
        <w:fldChar w:fldCharType="begin"/>
      </w:r>
      <w:r w:rsidR="008B3AD6" w:rsidRPr="008B3AD6">
        <w:instrText xml:space="preserve"> REF _Ref521764036 \n </w:instrText>
      </w:r>
      <w:r w:rsidR="008B3AD6">
        <w:instrText xml:space="preserve"> \* MERGEFORMAT </w:instrText>
      </w:r>
      <w:r w:rsidR="008B3AD6" w:rsidRPr="008B3AD6">
        <w:fldChar w:fldCharType="separate"/>
      </w:r>
      <w:r w:rsidR="00E5551E">
        <w:t>2.10</w:t>
      </w:r>
      <w:r w:rsidR="008B3AD6" w:rsidRPr="008B3AD6">
        <w:fldChar w:fldCharType="end"/>
      </w:r>
      <w:r w:rsidRPr="008B3AD6">
        <w:t>). Hepatic leukocytes were identified as live single CD45</w:t>
      </w:r>
      <w:r w:rsidRPr="008B3AD6">
        <w:rPr>
          <w:vertAlign w:val="superscript"/>
        </w:rPr>
        <w:t>+</w:t>
      </w:r>
      <w:r w:rsidRPr="008B3AD6">
        <w:t xml:space="preserve"> cells, as shown in </w:t>
      </w:r>
      <w:r w:rsidRPr="008B3AD6">
        <w:rPr>
          <w:b/>
        </w:rPr>
        <w:fldChar w:fldCharType="begin"/>
      </w:r>
      <w:r w:rsidRPr="008B3AD6">
        <w:rPr>
          <w:b/>
        </w:rPr>
        <w:instrText xml:space="preserve"> REF _Ref518932440  \* MERGEFORMAT </w:instrText>
      </w:r>
      <w:r w:rsidRPr="008B3AD6">
        <w:rPr>
          <w:b/>
        </w:rPr>
        <w:fldChar w:fldCharType="separate"/>
      </w:r>
      <w:r w:rsidR="00E5551E" w:rsidRPr="00E5551E">
        <w:rPr>
          <w:b/>
        </w:rPr>
        <w:t xml:space="preserve">Figure </w:t>
      </w:r>
      <w:r w:rsidR="00E5551E" w:rsidRPr="00E5551E">
        <w:rPr>
          <w:b/>
          <w:noProof/>
        </w:rPr>
        <w:t>3.11</w:t>
      </w:r>
      <w:r w:rsidRPr="008B3AD6">
        <w:rPr>
          <w:b/>
          <w:noProof/>
        </w:rPr>
        <w:fldChar w:fldCharType="end"/>
      </w:r>
      <w:r w:rsidRPr="008B3AD6">
        <w:t>.</w:t>
      </w:r>
      <w:r w:rsidR="00593133" w:rsidRPr="008B3AD6">
        <w:t xml:space="preserve"> </w:t>
      </w:r>
      <w:r w:rsidRPr="008B3AD6">
        <w:t xml:space="preserve">At 1, 12, 24 or 72h post-treatment, the total leukocyte accumulation was 0.0601 </w:t>
      </w:r>
      <w:r w:rsidRPr="008B3AD6">
        <w:sym w:font="Symbol" w:char="F0B1"/>
      </w:r>
      <w:r w:rsidRPr="008B3AD6">
        <w:t xml:space="preserve"> 0.0304 ng, 0.1184 </w:t>
      </w:r>
      <w:r w:rsidRPr="008B3AD6">
        <w:sym w:font="Symbol" w:char="F0B1"/>
      </w:r>
      <w:r w:rsidRPr="008B3AD6">
        <w:t xml:space="preserve"> 0.0285 ng, 0.0885 </w:t>
      </w:r>
      <w:r w:rsidRPr="008B3AD6">
        <w:sym w:font="Symbol" w:char="F0B1"/>
      </w:r>
      <w:r w:rsidRPr="008B3AD6">
        <w:t xml:space="preserve"> 0.0512 ng, and 0.1066 </w:t>
      </w:r>
      <w:r w:rsidRPr="008B3AD6">
        <w:sym w:font="Symbol" w:char="F0B1"/>
      </w:r>
      <w:r w:rsidRPr="008B3AD6">
        <w:t xml:space="preserve"> 0.0554 respectively (</w:t>
      </w:r>
      <w:r w:rsidR="0074700A">
        <w:rPr>
          <w:b/>
        </w:rPr>
        <w:fldChar w:fldCharType="begin"/>
      </w:r>
      <w:r w:rsidR="0074700A">
        <w:rPr>
          <w:b/>
        </w:rPr>
        <w:instrText xml:space="preserve"> REF _Ref518932772  \* MERGEFORMAT </w:instrText>
      </w:r>
      <w:r w:rsidR="0074700A">
        <w:rPr>
          <w:b/>
        </w:rPr>
        <w:fldChar w:fldCharType="separate"/>
      </w:r>
      <w:r w:rsidR="00E5551E" w:rsidRPr="00E5551E">
        <w:rPr>
          <w:b/>
        </w:rPr>
        <w:t xml:space="preserve">Figure </w:t>
      </w:r>
      <w:r w:rsidR="00E5551E" w:rsidRPr="00E5551E">
        <w:rPr>
          <w:b/>
          <w:noProof/>
        </w:rPr>
        <w:t>3.13</w:t>
      </w:r>
      <w:r w:rsidR="0074700A">
        <w:rPr>
          <w:b/>
          <w:noProof/>
        </w:rPr>
        <w:fldChar w:fldCharType="end"/>
      </w:r>
      <w:r w:rsidRPr="008B3AD6">
        <w:rPr>
          <w:b/>
          <w:noProof/>
        </w:rPr>
        <w:t>A</w:t>
      </w:r>
      <w:r w:rsidRPr="008B3AD6">
        <w:t>). No significant differences were seen when comparing time points suggesting that leukocyte drug accumulation is maintained at low levels, despite significant reduction in parasite load (</w:t>
      </w:r>
      <w:r w:rsidR="008B3AD6" w:rsidRPr="008B3AD6">
        <w:rPr>
          <w:b/>
        </w:rPr>
        <w:fldChar w:fldCharType="begin"/>
      </w:r>
      <w:r w:rsidR="008B3AD6" w:rsidRPr="008B3AD6">
        <w:rPr>
          <w:b/>
        </w:rPr>
        <w:instrText xml:space="preserve"> REF _Ref518932550 </w:instrText>
      </w:r>
      <w:r w:rsidR="008B3AD6">
        <w:rPr>
          <w:b/>
        </w:rPr>
        <w:instrText xml:space="preserve"> \* MERGEFORMAT </w:instrText>
      </w:r>
      <w:r w:rsidR="008B3AD6" w:rsidRPr="008B3AD6">
        <w:rPr>
          <w:b/>
        </w:rPr>
        <w:fldChar w:fldCharType="separate"/>
      </w:r>
      <w:r w:rsidR="00E5551E" w:rsidRPr="00E5551E">
        <w:rPr>
          <w:b/>
        </w:rPr>
        <w:t xml:space="preserve">Figure </w:t>
      </w:r>
      <w:r w:rsidR="00E5551E" w:rsidRPr="00E5551E">
        <w:rPr>
          <w:b/>
          <w:noProof/>
        </w:rPr>
        <w:t>3.12</w:t>
      </w:r>
      <w:r w:rsidR="008B3AD6" w:rsidRPr="008B3AD6">
        <w:rPr>
          <w:b/>
          <w:noProof/>
        </w:rPr>
        <w:fldChar w:fldCharType="end"/>
      </w:r>
      <w:r w:rsidRPr="008B3AD6">
        <w:rPr>
          <w:b/>
        </w:rPr>
        <w:t>B</w:t>
      </w:r>
      <w:r w:rsidRPr="008B3AD6">
        <w:t>).</w:t>
      </w:r>
    </w:p>
    <w:p w14:paraId="272920DF" w14:textId="77777777" w:rsidR="00593133" w:rsidRPr="008B3AD6" w:rsidRDefault="00593133" w:rsidP="00593133">
      <w:pPr>
        <w:spacing w:line="360" w:lineRule="auto"/>
        <w:jc w:val="both"/>
      </w:pPr>
    </w:p>
    <w:p w14:paraId="4A37219A" w14:textId="77777777" w:rsidR="00E64D0C" w:rsidRPr="008B3AD6" w:rsidRDefault="00E64D0C" w:rsidP="00593133">
      <w:pPr>
        <w:spacing w:line="360" w:lineRule="auto"/>
        <w:jc w:val="both"/>
      </w:pPr>
    </w:p>
    <w:p w14:paraId="63037E96" w14:textId="77777777" w:rsidR="00E64D0C" w:rsidRPr="008B3AD6" w:rsidRDefault="00E64D0C" w:rsidP="00593133">
      <w:pPr>
        <w:spacing w:line="360" w:lineRule="auto"/>
        <w:jc w:val="both"/>
      </w:pPr>
    </w:p>
    <w:p w14:paraId="0E2D06E0" w14:textId="77777777" w:rsidR="00E64D0C" w:rsidRPr="008B3AD6" w:rsidRDefault="00E64D0C" w:rsidP="00593133">
      <w:pPr>
        <w:spacing w:line="360" w:lineRule="auto"/>
        <w:jc w:val="both"/>
      </w:pPr>
    </w:p>
    <w:p w14:paraId="324EE1B2" w14:textId="77777777" w:rsidR="00E64D0C" w:rsidRPr="008B3AD6" w:rsidRDefault="00E64D0C" w:rsidP="00593133">
      <w:pPr>
        <w:spacing w:line="360" w:lineRule="auto"/>
        <w:jc w:val="both"/>
      </w:pPr>
    </w:p>
    <w:p w14:paraId="6FAB11B5" w14:textId="77777777" w:rsidR="00E64D0C" w:rsidRPr="008B3AD6" w:rsidRDefault="00E64D0C" w:rsidP="00593133">
      <w:pPr>
        <w:spacing w:line="360" w:lineRule="auto"/>
        <w:jc w:val="both"/>
      </w:pPr>
    </w:p>
    <w:p w14:paraId="20C70219" w14:textId="77777777" w:rsidR="00C3358A" w:rsidRPr="008B3AD6" w:rsidRDefault="00C3358A" w:rsidP="00593133">
      <w:pPr>
        <w:spacing w:line="360" w:lineRule="auto"/>
        <w:jc w:val="both"/>
      </w:pPr>
    </w:p>
    <w:p w14:paraId="0A79DC54" w14:textId="77777777" w:rsidR="00C3358A" w:rsidRPr="008B3AD6" w:rsidRDefault="00C3358A" w:rsidP="00593133">
      <w:pPr>
        <w:spacing w:line="360" w:lineRule="auto"/>
        <w:jc w:val="both"/>
      </w:pPr>
    </w:p>
    <w:p w14:paraId="0946A377" w14:textId="3FF75C32" w:rsidR="00C3358A" w:rsidRPr="008B3AD6" w:rsidRDefault="004B102C" w:rsidP="00C3358A">
      <w:pPr>
        <w:spacing w:line="240" w:lineRule="auto"/>
        <w:jc w:val="both"/>
      </w:pPr>
      <w:r>
        <w:rPr>
          <w:noProof/>
        </w:rPr>
        <w:lastRenderedPageBreak/>
        <mc:AlternateContent>
          <mc:Choice Requires="wps">
            <w:drawing>
              <wp:anchor distT="0" distB="0" distL="114300" distR="114300" simplePos="0" relativeHeight="251514880" behindDoc="0" locked="0" layoutInCell="1" allowOverlap="1" wp14:anchorId="6B4F52F5" wp14:editId="3765D26F">
                <wp:simplePos x="0" y="0"/>
                <wp:positionH relativeFrom="column">
                  <wp:posOffset>-273050</wp:posOffset>
                </wp:positionH>
                <wp:positionV relativeFrom="paragraph">
                  <wp:posOffset>1915258</wp:posOffset>
                </wp:positionV>
                <wp:extent cx="5918200" cy="1511935"/>
                <wp:effectExtent l="0" t="0" r="0" b="0"/>
                <wp:wrapTopAndBottom/>
                <wp:docPr id="730" name="Text Box 730"/>
                <wp:cNvGraphicFramePr/>
                <a:graphic xmlns:a="http://schemas.openxmlformats.org/drawingml/2006/main">
                  <a:graphicData uri="http://schemas.microsoft.com/office/word/2010/wordprocessingShape">
                    <wps:wsp>
                      <wps:cNvSpPr txBox="1"/>
                      <wps:spPr>
                        <a:xfrm>
                          <a:off x="0" y="0"/>
                          <a:ext cx="5918200" cy="1511935"/>
                        </a:xfrm>
                        <a:prstGeom prst="rect">
                          <a:avLst/>
                        </a:prstGeom>
                        <a:solidFill>
                          <a:prstClr val="white"/>
                        </a:solidFill>
                        <a:ln>
                          <a:noFill/>
                        </a:ln>
                      </wps:spPr>
                      <wps:txbx>
                        <w:txbxContent>
                          <w:p w14:paraId="2A20DC47" w14:textId="3D73B3CB" w:rsidR="00F61130" w:rsidRPr="00AE22CE" w:rsidRDefault="00F61130" w:rsidP="0094722E">
                            <w:pPr>
                              <w:pStyle w:val="Caption"/>
                              <w:spacing w:line="360" w:lineRule="auto"/>
                              <w:jc w:val="both"/>
                              <w:rPr>
                                <w:sz w:val="20"/>
                                <w:szCs w:val="20"/>
                              </w:rPr>
                            </w:pPr>
                            <w:bookmarkStart w:id="299" w:name="_Ref518932550"/>
                            <w:bookmarkStart w:id="300" w:name="_Toc525227203"/>
                            <w:bookmarkStart w:id="301" w:name="_Toc536814142"/>
                            <w:r w:rsidRPr="00AE22CE">
                              <w:rPr>
                                <w:b/>
                                <w:sz w:val="20"/>
                                <w:szCs w:val="20"/>
                              </w:rPr>
                              <w:t xml:space="preserve">Figure </w:t>
                            </w:r>
                            <w:r>
                              <w:rPr>
                                <w:b/>
                                <w:sz w:val="20"/>
                                <w:szCs w:val="20"/>
                              </w:rPr>
                              <w:fldChar w:fldCharType="begin"/>
                            </w:r>
                            <w:r>
                              <w:rPr>
                                <w:b/>
                                <w:sz w:val="20"/>
                                <w:szCs w:val="20"/>
                              </w:rPr>
                              <w:instrText xml:space="preserve"> STYLEREF 1 \s </w:instrText>
                            </w:r>
                            <w:r>
                              <w:rPr>
                                <w:b/>
                                <w:sz w:val="20"/>
                                <w:szCs w:val="20"/>
                              </w:rPr>
                              <w:fldChar w:fldCharType="separate"/>
                            </w:r>
                            <w:r>
                              <w:rPr>
                                <w:b/>
                                <w:noProof/>
                                <w:sz w:val="20"/>
                                <w:szCs w:val="20"/>
                              </w:rPr>
                              <w:t>3</w:t>
                            </w:r>
                            <w:r>
                              <w:rPr>
                                <w:b/>
                                <w:sz w:val="20"/>
                                <w:szCs w:val="20"/>
                              </w:rPr>
                              <w:fldChar w:fldCharType="end"/>
                            </w:r>
                            <w:r>
                              <w:rPr>
                                <w:b/>
                                <w:sz w:val="20"/>
                                <w:szCs w:val="20"/>
                              </w:rPr>
                              <w:t>.</w:t>
                            </w:r>
                            <w:r>
                              <w:rPr>
                                <w:b/>
                                <w:sz w:val="20"/>
                                <w:szCs w:val="20"/>
                              </w:rPr>
                              <w:fldChar w:fldCharType="begin"/>
                            </w:r>
                            <w:r>
                              <w:rPr>
                                <w:b/>
                                <w:sz w:val="20"/>
                                <w:szCs w:val="20"/>
                              </w:rPr>
                              <w:instrText xml:space="preserve"> SEQ Figure \* ARABIC \s 1 </w:instrText>
                            </w:r>
                            <w:r>
                              <w:rPr>
                                <w:b/>
                                <w:sz w:val="20"/>
                                <w:szCs w:val="20"/>
                              </w:rPr>
                              <w:fldChar w:fldCharType="separate"/>
                            </w:r>
                            <w:r>
                              <w:rPr>
                                <w:b/>
                                <w:noProof/>
                                <w:sz w:val="20"/>
                                <w:szCs w:val="20"/>
                              </w:rPr>
                              <w:t>12</w:t>
                            </w:r>
                            <w:r>
                              <w:rPr>
                                <w:b/>
                                <w:sz w:val="20"/>
                                <w:szCs w:val="20"/>
                              </w:rPr>
                              <w:fldChar w:fldCharType="end"/>
                            </w:r>
                            <w:bookmarkEnd w:id="299"/>
                            <w:r w:rsidRPr="00AE22CE">
                              <w:rPr>
                                <w:b/>
                                <w:sz w:val="20"/>
                                <w:szCs w:val="20"/>
                              </w:rPr>
                              <w:t xml:space="preserve"> – Liver accumulation of Amphotericin B and its effect on hepatic parasite post-treatment.</w:t>
                            </w:r>
                            <w:r w:rsidRPr="00AE22CE">
                              <w:rPr>
                                <w:sz w:val="20"/>
                                <w:szCs w:val="20"/>
                              </w:rPr>
                              <w:t xml:space="preserve"> Livers from Day 28 post-infection mice were collected at either 0, 1, 12, 24 or 72 hours post-AmBisome treatment and small sections (~100mg) were taken for LC-MS</w:t>
                            </w:r>
                            <w:r>
                              <w:rPr>
                                <w:sz w:val="20"/>
                                <w:szCs w:val="20"/>
                              </w:rPr>
                              <w:t>/MS</w:t>
                            </w:r>
                            <w:r w:rsidRPr="00AE22CE">
                              <w:rPr>
                                <w:sz w:val="20"/>
                                <w:szCs w:val="20"/>
                              </w:rPr>
                              <w:t xml:space="preserve"> analysis (A). Additional sections were taken for smear impressions allowing for hepatic parasite burden to be established at each time point (B). Data </w:t>
                            </w:r>
                            <w:r>
                              <w:rPr>
                                <w:sz w:val="20"/>
                                <w:szCs w:val="20"/>
                              </w:rPr>
                              <w:t>are</w:t>
                            </w:r>
                            <w:r w:rsidRPr="00AE22CE">
                              <w:rPr>
                                <w:sz w:val="20"/>
                                <w:szCs w:val="20"/>
                              </w:rPr>
                              <w:t xml:space="preserve"> mean </w:t>
                            </w:r>
                            <w:r w:rsidRPr="00AE22CE">
                              <w:rPr>
                                <w:sz w:val="20"/>
                                <w:szCs w:val="20"/>
                              </w:rPr>
                              <w:sym w:font="Symbol" w:char="F0B1"/>
                            </w:r>
                            <w:r w:rsidRPr="00AE22CE">
                              <w:rPr>
                                <w:sz w:val="20"/>
                                <w:szCs w:val="20"/>
                              </w:rPr>
                              <w:t xml:space="preserve"> SD (n = </w:t>
                            </w:r>
                            <w:r>
                              <w:rPr>
                                <w:sz w:val="20"/>
                                <w:szCs w:val="20"/>
                              </w:rPr>
                              <w:t>6</w:t>
                            </w:r>
                            <w:r w:rsidRPr="00AE22CE">
                              <w:rPr>
                                <w:sz w:val="20"/>
                                <w:szCs w:val="20"/>
                              </w:rPr>
                              <w:t>-8 biological replicates from 1 infection experiment</w:t>
                            </w:r>
                            <w:r>
                              <w:rPr>
                                <w:sz w:val="20"/>
                                <w:szCs w:val="20"/>
                              </w:rPr>
                              <w:t>, 1 mouse = 1 filled circle</w:t>
                            </w:r>
                            <w:r w:rsidRPr="00AE22CE">
                              <w:rPr>
                                <w:sz w:val="20"/>
                                <w:szCs w:val="20"/>
                              </w:rPr>
                              <w:t>), data was analysed using Dunn’s Multiple Comparison Test, p &lt; 0.05: *, p &lt; 0.01: **, p &lt; 0.001: ***.</w:t>
                            </w:r>
                            <w:r>
                              <w:rPr>
                                <w:sz w:val="20"/>
                                <w:szCs w:val="20"/>
                              </w:rPr>
                              <w:t xml:space="preserve"> This data were generated using the column free extraction method.</w:t>
                            </w:r>
                            <w:bookmarkEnd w:id="300"/>
                            <w:bookmarkEnd w:id="301"/>
                          </w:p>
                          <w:p w14:paraId="18FED2E0" w14:textId="31768032" w:rsidR="00F61130" w:rsidRPr="00AE22CE" w:rsidRDefault="00F61130" w:rsidP="0094722E">
                            <w:pPr>
                              <w:pStyle w:val="Caption"/>
                              <w:spacing w:line="360" w:lineRule="auto"/>
                              <w:jc w:val="both"/>
                              <w:rPr>
                                <w:noProof/>
                                <w:sz w:val="20"/>
                                <w:szCs w:val="20"/>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B4F52F5" id="Text Box 730" o:spid="_x0000_s1065" type="#_x0000_t202" style="position:absolute;left:0;text-align:left;margin-left:-21.5pt;margin-top:150.8pt;width:466pt;height:119.05pt;z-index:2515148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3H5alMwIAAG0EAAAOAAAAZHJzL2Uyb0RvYy54bWysVMGO2yAQvVfqPyDujeON0m6sOKs0q1SV&#13;&#10;VrsrJdWeCcYxEjAUSOz06ztgO9tue6p6IcPM8PB7j8nyrtOKnIXzEkxJ88mUEmE4VNIcS/ptv/1w&#13;&#10;S4kPzFRMgRElvQhP71bv3y1bW4gbaEBVwhEEMb5obUmbEGyRZZ43QjM/ASsMFmtwmgXcumNWOdYi&#13;&#10;ulbZzXT6MWvBVdYBF95j9r4v0lXCr2vBw1NdexGIKil+W0irS+shrtlqyYqjY7aRfPgM9g9foZk0&#13;&#10;eOkV6p4FRk5O/gGlJXfgoQ4TDjqDupZcJA7IJp++YbNrmBWJC4rj7VUm//9g+eP52RFZlfTTDPUx&#13;&#10;TKNJe9EF8hk6EnOoUGt9gY07i62hwwI6PeY9JiPxrnY6/iIlgnXEulz1jXAck/NFfoumUcKxls/z&#13;&#10;fDGbR5zs9bh1PnwRoEkMSurQwKQrOz/40LeOLfE2D0pWW6lU3MTCRjlyZmh228ggBvDfupSJvQbi&#13;&#10;qR4wZrLIsecSo9AduqTKbDESPUB1Qf4O+jfkLd9KvPCB+fDMHD4a5IWDEJ5wqRW0JYUhoqQB9+Nv&#13;&#10;+diPXmKVkhYfYUn99xNzghL11aDLCBnGwI3BYQzMSW8AqeY4YpanEA+4oMawdqBfcD7W8RYsMcPx&#13;&#10;rpKGMdyEfhRwvrhYr1MTvkvLwoPZWR6hR2H33QtzdrAloKOPMD5PVrxxp+/tZV6fAtQyWReF7VUc&#13;&#10;9MY3ncwf5i8Oza/71PX6L7H6CQAA//8DAFBLAwQUAAYACAAAACEAdNq7nOUAAAAQAQAADwAAAGRy&#13;&#10;cy9kb3ducmV2LnhtbEyPzU7DMBCE70i8g7VIXFDrtIGQpnEqaOgNDi1Vz25skoh4HdlOk749ywku&#13;&#10;K+3fzHz5ZjIdu2jnW4sCFvMImMbKqhZrAcfP3SwF5oNEJTuLWsBVe9gUtze5zJQdca8vh1AzEkGf&#13;&#10;SQFNCH3Gua8abaSf214j7b6sMzJQ62qunBxJ3HR8GUUJN7JFcmhkr7eNrr4PgxGQlG4Y97h9KI9v&#13;&#10;7/Kjr5en1+tJiPu7qVxTeVkDC3oKfx/wy0D5oaBgZzug8qwTMHuMCSgIiKNFAowu0nRFk7OAp3j1&#13;&#10;DLzI+X+Q4gcAAP//AwBQSwECLQAUAAYACAAAACEAtoM4kv4AAADhAQAAEwAAAAAAAAAAAAAAAAAA&#13;&#10;AAAAW0NvbnRlbnRfVHlwZXNdLnhtbFBLAQItABQABgAIAAAAIQA4/SH/1gAAAJQBAAALAAAAAAAA&#13;&#10;AAAAAAAAAC8BAABfcmVscy8ucmVsc1BLAQItABQABgAIAAAAIQA3H5alMwIAAG0EAAAOAAAAAAAA&#13;&#10;AAAAAAAAAC4CAABkcnMvZTJvRG9jLnhtbFBLAQItABQABgAIAAAAIQB02ruc5QAAABABAAAPAAAA&#13;&#10;AAAAAAAAAAAAAI0EAABkcnMvZG93bnJldi54bWxQSwUGAAAAAAQABADzAAAAnwUAAAAA&#13;&#10;" stroked="f">
                <v:textbox inset="0,0,0,0">
                  <w:txbxContent>
                    <w:p w14:paraId="2A20DC47" w14:textId="3D73B3CB" w:rsidR="00F61130" w:rsidRPr="00AE22CE" w:rsidRDefault="00F61130" w:rsidP="0094722E">
                      <w:pPr>
                        <w:pStyle w:val="Caption"/>
                        <w:spacing w:line="360" w:lineRule="auto"/>
                        <w:jc w:val="both"/>
                        <w:rPr>
                          <w:sz w:val="20"/>
                          <w:szCs w:val="20"/>
                        </w:rPr>
                      </w:pPr>
                      <w:bookmarkStart w:id="302" w:name="_Ref518932550"/>
                      <w:bookmarkStart w:id="303" w:name="_Toc525227203"/>
                      <w:bookmarkStart w:id="304" w:name="_Toc536814142"/>
                      <w:r w:rsidRPr="00AE22CE">
                        <w:rPr>
                          <w:b/>
                          <w:sz w:val="20"/>
                          <w:szCs w:val="20"/>
                        </w:rPr>
                        <w:t xml:space="preserve">Figure </w:t>
                      </w:r>
                      <w:r>
                        <w:rPr>
                          <w:b/>
                          <w:sz w:val="20"/>
                          <w:szCs w:val="20"/>
                        </w:rPr>
                        <w:fldChar w:fldCharType="begin"/>
                      </w:r>
                      <w:r>
                        <w:rPr>
                          <w:b/>
                          <w:sz w:val="20"/>
                          <w:szCs w:val="20"/>
                        </w:rPr>
                        <w:instrText xml:space="preserve"> STYLEREF 1 \s </w:instrText>
                      </w:r>
                      <w:r>
                        <w:rPr>
                          <w:b/>
                          <w:sz w:val="20"/>
                          <w:szCs w:val="20"/>
                        </w:rPr>
                        <w:fldChar w:fldCharType="separate"/>
                      </w:r>
                      <w:r>
                        <w:rPr>
                          <w:b/>
                          <w:noProof/>
                          <w:sz w:val="20"/>
                          <w:szCs w:val="20"/>
                        </w:rPr>
                        <w:t>3</w:t>
                      </w:r>
                      <w:r>
                        <w:rPr>
                          <w:b/>
                          <w:sz w:val="20"/>
                          <w:szCs w:val="20"/>
                        </w:rPr>
                        <w:fldChar w:fldCharType="end"/>
                      </w:r>
                      <w:r>
                        <w:rPr>
                          <w:b/>
                          <w:sz w:val="20"/>
                          <w:szCs w:val="20"/>
                        </w:rPr>
                        <w:t>.</w:t>
                      </w:r>
                      <w:r>
                        <w:rPr>
                          <w:b/>
                          <w:sz w:val="20"/>
                          <w:szCs w:val="20"/>
                        </w:rPr>
                        <w:fldChar w:fldCharType="begin"/>
                      </w:r>
                      <w:r>
                        <w:rPr>
                          <w:b/>
                          <w:sz w:val="20"/>
                          <w:szCs w:val="20"/>
                        </w:rPr>
                        <w:instrText xml:space="preserve"> SEQ Figure \* ARABIC \s 1 </w:instrText>
                      </w:r>
                      <w:r>
                        <w:rPr>
                          <w:b/>
                          <w:sz w:val="20"/>
                          <w:szCs w:val="20"/>
                        </w:rPr>
                        <w:fldChar w:fldCharType="separate"/>
                      </w:r>
                      <w:r>
                        <w:rPr>
                          <w:b/>
                          <w:noProof/>
                          <w:sz w:val="20"/>
                          <w:szCs w:val="20"/>
                        </w:rPr>
                        <w:t>12</w:t>
                      </w:r>
                      <w:r>
                        <w:rPr>
                          <w:b/>
                          <w:sz w:val="20"/>
                          <w:szCs w:val="20"/>
                        </w:rPr>
                        <w:fldChar w:fldCharType="end"/>
                      </w:r>
                      <w:bookmarkEnd w:id="302"/>
                      <w:r w:rsidRPr="00AE22CE">
                        <w:rPr>
                          <w:b/>
                          <w:sz w:val="20"/>
                          <w:szCs w:val="20"/>
                        </w:rPr>
                        <w:t xml:space="preserve"> – Liver accumulation of Amphotericin B and its effect on hepatic parasite post-treatment.</w:t>
                      </w:r>
                      <w:r w:rsidRPr="00AE22CE">
                        <w:rPr>
                          <w:sz w:val="20"/>
                          <w:szCs w:val="20"/>
                        </w:rPr>
                        <w:t xml:space="preserve"> Livers from Day 28 post-infection mice were collected at either 0, 1, 12, 24 or 72 hours post-AmBisome treatment and small sections (~100mg) were taken for LC-MS</w:t>
                      </w:r>
                      <w:r>
                        <w:rPr>
                          <w:sz w:val="20"/>
                          <w:szCs w:val="20"/>
                        </w:rPr>
                        <w:t>/MS</w:t>
                      </w:r>
                      <w:r w:rsidRPr="00AE22CE">
                        <w:rPr>
                          <w:sz w:val="20"/>
                          <w:szCs w:val="20"/>
                        </w:rPr>
                        <w:t xml:space="preserve"> analysis (A). Additional sections were taken for smear impressions allowing for hepatic parasite burden to be established at each time point (B). Data </w:t>
                      </w:r>
                      <w:r>
                        <w:rPr>
                          <w:sz w:val="20"/>
                          <w:szCs w:val="20"/>
                        </w:rPr>
                        <w:t>are</w:t>
                      </w:r>
                      <w:r w:rsidRPr="00AE22CE">
                        <w:rPr>
                          <w:sz w:val="20"/>
                          <w:szCs w:val="20"/>
                        </w:rPr>
                        <w:t xml:space="preserve"> mean </w:t>
                      </w:r>
                      <w:r w:rsidRPr="00AE22CE">
                        <w:rPr>
                          <w:sz w:val="20"/>
                          <w:szCs w:val="20"/>
                        </w:rPr>
                        <w:sym w:font="Symbol" w:char="F0B1"/>
                      </w:r>
                      <w:r w:rsidRPr="00AE22CE">
                        <w:rPr>
                          <w:sz w:val="20"/>
                          <w:szCs w:val="20"/>
                        </w:rPr>
                        <w:t xml:space="preserve"> SD (n = </w:t>
                      </w:r>
                      <w:r>
                        <w:rPr>
                          <w:sz w:val="20"/>
                          <w:szCs w:val="20"/>
                        </w:rPr>
                        <w:t>6</w:t>
                      </w:r>
                      <w:r w:rsidRPr="00AE22CE">
                        <w:rPr>
                          <w:sz w:val="20"/>
                          <w:szCs w:val="20"/>
                        </w:rPr>
                        <w:t>-8 biological replicates from 1 infection experiment</w:t>
                      </w:r>
                      <w:r>
                        <w:rPr>
                          <w:sz w:val="20"/>
                          <w:szCs w:val="20"/>
                        </w:rPr>
                        <w:t>, 1 mouse = 1 filled circle</w:t>
                      </w:r>
                      <w:r w:rsidRPr="00AE22CE">
                        <w:rPr>
                          <w:sz w:val="20"/>
                          <w:szCs w:val="20"/>
                        </w:rPr>
                        <w:t>), data was analysed using Dunn’s Multiple Comparison Test, p &lt; 0.05: *, p &lt; 0.01: **, p &lt; 0.001: ***.</w:t>
                      </w:r>
                      <w:r>
                        <w:rPr>
                          <w:sz w:val="20"/>
                          <w:szCs w:val="20"/>
                        </w:rPr>
                        <w:t xml:space="preserve"> This data were generated using the column free extraction method.</w:t>
                      </w:r>
                      <w:bookmarkEnd w:id="303"/>
                      <w:bookmarkEnd w:id="304"/>
                    </w:p>
                    <w:p w14:paraId="18FED2E0" w14:textId="31768032" w:rsidR="00F61130" w:rsidRPr="00AE22CE" w:rsidRDefault="00F61130" w:rsidP="0094722E">
                      <w:pPr>
                        <w:pStyle w:val="Caption"/>
                        <w:spacing w:line="360" w:lineRule="auto"/>
                        <w:jc w:val="both"/>
                        <w:rPr>
                          <w:noProof/>
                          <w:sz w:val="20"/>
                          <w:szCs w:val="20"/>
                        </w:rPr>
                      </w:pPr>
                    </w:p>
                  </w:txbxContent>
                </v:textbox>
                <w10:wrap type="topAndBottom"/>
              </v:shape>
            </w:pict>
          </mc:Fallback>
        </mc:AlternateContent>
      </w:r>
      <w:r>
        <w:rPr>
          <w:noProof/>
        </w:rPr>
        <w:drawing>
          <wp:anchor distT="0" distB="0" distL="114300" distR="114300" simplePos="0" relativeHeight="251511808" behindDoc="0" locked="0" layoutInCell="1" allowOverlap="1" wp14:anchorId="75CDF192" wp14:editId="35D789E8">
            <wp:simplePos x="0" y="0"/>
            <wp:positionH relativeFrom="column">
              <wp:posOffset>292735</wp:posOffset>
            </wp:positionH>
            <wp:positionV relativeFrom="paragraph">
              <wp:posOffset>537</wp:posOffset>
            </wp:positionV>
            <wp:extent cx="4777105" cy="1971040"/>
            <wp:effectExtent l="0" t="0" r="0" b="0"/>
            <wp:wrapTopAndBottom/>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Picture 126"/>
                    <pic:cNvPicPr>
                      <a:picLocks noChangeAspect="1"/>
                    </pic:cNvPicPr>
                  </pic:nvPicPr>
                  <pic:blipFill>
                    <a:blip r:embed="rId43">
                      <a:extLst>
                        <a:ext uri="{28A0092B-C50C-407E-A947-70E740481C1C}">
                          <a14:useLocalDpi xmlns:a14="http://schemas.microsoft.com/office/drawing/2010/main" val="0"/>
                        </a:ext>
                      </a:extLst>
                    </a:blip>
                    <a:stretch>
                      <a:fillRect/>
                    </a:stretch>
                  </pic:blipFill>
                  <pic:spPr>
                    <a:xfrm>
                      <a:off x="0" y="0"/>
                      <a:ext cx="4777105" cy="1971040"/>
                    </a:xfrm>
                    <a:prstGeom prst="rect">
                      <a:avLst/>
                    </a:prstGeom>
                  </pic:spPr>
                </pic:pic>
              </a:graphicData>
            </a:graphic>
          </wp:anchor>
        </w:drawing>
      </w:r>
      <w:r w:rsidR="00031DCA">
        <w:rPr>
          <w:noProof/>
        </w:rPr>
        <mc:AlternateContent>
          <mc:Choice Requires="wps">
            <w:drawing>
              <wp:anchor distT="0" distB="0" distL="114300" distR="114300" simplePos="0" relativeHeight="251512832" behindDoc="0" locked="0" layoutInCell="1" allowOverlap="1" wp14:anchorId="0FB3CCC2" wp14:editId="21155DC8">
                <wp:simplePos x="0" y="0"/>
                <wp:positionH relativeFrom="column">
                  <wp:posOffset>471711</wp:posOffset>
                </wp:positionH>
                <wp:positionV relativeFrom="paragraph">
                  <wp:posOffset>2924</wp:posOffset>
                </wp:positionV>
                <wp:extent cx="697447" cy="309495"/>
                <wp:effectExtent l="0" t="0" r="0" b="0"/>
                <wp:wrapTopAndBottom/>
                <wp:docPr id="131" name="Text Box 13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wps:cNvSpPr>
                      <wps:spPr>
                        <a:xfrm>
                          <a:off x="0" y="0"/>
                          <a:ext cx="697447" cy="309495"/>
                        </a:xfrm>
                        <a:prstGeom prst="rect">
                          <a:avLst/>
                        </a:prstGeom>
                        <a:noFill/>
                        <a:ln w="6350">
                          <a:noFill/>
                        </a:ln>
                      </wps:spPr>
                      <wps:txbx>
                        <w:txbxContent>
                          <w:p w14:paraId="213F6662" w14:textId="77777777" w:rsidR="00F61130" w:rsidRDefault="00F61130" w:rsidP="0094722E">
                            <w: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FB3CCC2" id="Text Box 131" o:spid="_x0000_s1066" type="#_x0000_t202" style="position:absolute;left:0;text-align:left;margin-left:37.15pt;margin-top:.25pt;width:54.9pt;height:24.35pt;z-index:2515128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VKm6BRgIAAIgEAAAOAAAAZHJzL2Uyb0RvYy54bWysVMlu2zAQvRfoPxC8N7IdJ6kFy4GbwEUB&#13;&#10;IwlgFznTFGUJlTgsSVtKv76PlDekPRW9UOQsb5Y3o+l919Rsr6yrSGd8eDXgTGlJeaW3Gf++Xnz6&#13;&#10;zJnzQueiJq0y/qYcv599/DBtTapGVFKdK8sAol3amoyX3ps0SZwsVSPcFRmloSzINsLjabdJbkUL&#13;&#10;9KZORoPBbdKSzY0lqZyD9LFX8lnELwol/XNROOVZnXHk5uNp47kJZzKbinRrhSkreUhD/EMWjag0&#13;&#10;gp6gHoUXbGerP6CaSlpyVPgrSU1CRVFJFWtANcPBu2pWpTAq1oLmOHNqk/t/sPJp/2JZlYO76yFn&#13;&#10;WjQgaa06z75Qx4IMHWqNS2G4MjD1HRSwjtU6syT5wzFND6XQWzV3Bh0PWnglF249hgNAaFJX2CZ8&#13;&#10;UT4DFnh5O3ERQksIbyd34/EdZxKq68FkPLmJmGdnY53/qqhh4ZJxi8AxJ7FfOh/Ci/RoEmJpWlR1&#13;&#10;HemuNWsR4PpmEB1OGnjU+pB3n2qowHebLjZoHKcliDaUv6EVlvpxckYuKiSxFM6/CIv5QUXYCf+M&#13;&#10;o6gJwehw46wk++tv8mAPWqHlrMU8Ztz93AmrOKu/aRA+GY6RAPPxMb65G+FhLzWbS43eNQ+EkQel&#13;&#10;yC5eg72vj9fCUvOK1ZmHqFAJLRE74/54ffD9lmD1pJrPoxFG1gi/1CsjjxMQWrzuXoU1Bx48CHyi&#13;&#10;4+SK9B0dvW1PyHznqagiV+euHvqPcY8UHlYz7NPlO1qdfyCz3wAAAP//AwBQSwMEFAAGAAgAAAAh&#13;&#10;AG95D6biAAAACwEAAA8AAABkcnMvZG93bnJldi54bWxMT8tOwzAQvCPxD9YicaNOQwohjVNVQRUS&#13;&#10;Koc+Lr058TaJsNchdtvA1+Oe4LLSaB47ky9Go9kZB9dZEjCdRMCQaqs6agTsd6uHFJjzkpTUllDA&#13;&#10;NzpYFLc3ucyUvdAGz1vfsBBCLpMCWu/7jHNXt2ikm9geKXBHOxjpAxwargZ5CeFG8ziKnriRHYUP&#13;&#10;reyxbLH+3J6MgPdy9SE3VWzSH12+rY/L/mt/mAlxfze+zsNZzoF5HP2fA64bQn8oQrHKnkg5pgU8&#13;&#10;J49BKWAG7MqmyRRYJSB5iYEXOf+/ofgFAAD//wMAUEsBAi0AFAAGAAgAAAAhALaDOJL+AAAA4QEA&#13;&#10;ABMAAAAAAAAAAAAAAAAAAAAAAFtDb250ZW50X1R5cGVzXS54bWxQSwECLQAUAAYACAAAACEAOP0h&#13;&#10;/9YAAACUAQAACwAAAAAAAAAAAAAAAAAvAQAAX3JlbHMvLnJlbHNQSwECLQAUAAYACAAAACEAlSpu&#13;&#10;gUYCAACIBAAADgAAAAAAAAAAAAAAAAAuAgAAZHJzL2Uyb0RvYy54bWxQSwECLQAUAAYACAAAACEA&#13;&#10;b3kPpuIAAAALAQAADwAAAAAAAAAAAAAAAACgBAAAZHJzL2Rvd25yZXYueG1sUEsFBgAAAAAEAAQA&#13;&#10;8wAAAK8FAAAAAA==&#13;&#10;" filled="f" stroked="f" strokeweight=".5pt">
                <o:lock v:ext="edit" aspectratio="t"/>
                <v:textbox>
                  <w:txbxContent>
                    <w:p w14:paraId="213F6662" w14:textId="77777777" w:rsidR="00F61130" w:rsidRDefault="00F61130" w:rsidP="0094722E">
                      <w:r>
                        <w:t>A</w:t>
                      </w:r>
                    </w:p>
                  </w:txbxContent>
                </v:textbox>
                <w10:wrap type="topAndBottom"/>
              </v:shape>
            </w:pict>
          </mc:Fallback>
        </mc:AlternateContent>
      </w:r>
      <w:r w:rsidR="00031DCA">
        <w:rPr>
          <w:noProof/>
        </w:rPr>
        <mc:AlternateContent>
          <mc:Choice Requires="wps">
            <w:drawing>
              <wp:anchor distT="0" distB="0" distL="114300" distR="114300" simplePos="0" relativeHeight="251513856" behindDoc="0" locked="0" layoutInCell="1" allowOverlap="1" wp14:anchorId="648EBC02" wp14:editId="4BBB93C7">
                <wp:simplePos x="0" y="0"/>
                <wp:positionH relativeFrom="column">
                  <wp:posOffset>2851671</wp:posOffset>
                </wp:positionH>
                <wp:positionV relativeFrom="paragraph">
                  <wp:posOffset>2924</wp:posOffset>
                </wp:positionV>
                <wp:extent cx="697991" cy="310039"/>
                <wp:effectExtent l="0" t="0" r="0" b="0"/>
                <wp:wrapTopAndBottom/>
                <wp:docPr id="132" name="Text Box 13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wps:cNvSpPr>
                      <wps:spPr>
                        <a:xfrm>
                          <a:off x="0" y="0"/>
                          <a:ext cx="697991" cy="310039"/>
                        </a:xfrm>
                        <a:prstGeom prst="rect">
                          <a:avLst/>
                        </a:prstGeom>
                        <a:noFill/>
                        <a:ln w="6350">
                          <a:noFill/>
                        </a:ln>
                      </wps:spPr>
                      <wps:txbx>
                        <w:txbxContent>
                          <w:p w14:paraId="184771E7" w14:textId="77777777" w:rsidR="00F61130" w:rsidRDefault="00F61130" w:rsidP="0094722E">
                            <w: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48EBC02" id="Text Box 132" o:spid="_x0000_s1067" type="#_x0000_t202" style="position:absolute;left:0;text-align:left;margin-left:224.55pt;margin-top:.25pt;width:54.95pt;height:24.4pt;z-index:2515138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psiCnRQIAAIgEAAAOAAAAZHJzL2Uyb0RvYy54bWysVMtu2zAQvBfoPxC8N5IfSWrBcuA6SFHA&#13;&#10;SAI4Rc40RVlCJS5L0pHSr++Qsh0j7anohSL3vTO7mt/0bcNelHU16ZyPLlLOlJZU1HqX8+9Pd58+&#13;&#10;c+a80IVoSKucvyrHbxYfP8w7k6kxVdQUyjIE0S7rTM4r702WJE5WqhXugozSUJZkW+HxtLuksKJD&#13;&#10;9LZJxml6lXRkC2NJKucgvR2UfBHjl6WS/qEsnfKsyTlq8/G08dyGM1nMRbazwlS1PJQh/qGKVtQa&#13;&#10;SU+hboUXbG/rP0K1tbTkqPQXktqEyrKWKvaAbkbpu242lTAq9gJwnDnB5P5fWHn/8mhZXYC7yZgz&#13;&#10;LVqQ9KR6z75Qz4IMCHXGZTDcGJj6HgpYx26dWZP84ZimVSX0Ti2dAeJBC6/kzG2I4RAggNSXtg1f&#13;&#10;tM8QC7y8nrgIqSWEV7Pr2WzEmYRqMkrTySzGfHM21vmviloWLjm3SBxrEi9r50N6kR1NQi5Nd3XT&#13;&#10;RLobzTokmFym0eGkgUejD3UPpYYOfL/tI0DT2FUQbal4BRSWhnFyRt7VKGItnH8UFvODjrAT/gFH&#13;&#10;2RCS0eHGWUX219/kwR60QstZh3nMufu5F1Zx1nzTIHw2mk7DAMfH9PJ6jIc912zPNXrfrggjDwBR&#13;&#10;XbwGe98cr6Wl9hmrswxZoRJaInfO/fG68sOWYPWkWi6jEUbWCL/WGyOPExAgfuqfhTUHHjwIvKfj&#13;&#10;5IrsHR2D7UDIcu+prCNXb6ge8Me4RwoPqxn26fwdrd5+IIvfAAAA//8DAFBLAwQUAAYACAAAACEA&#13;&#10;WUuPF+QAAAAMAQAADwAAAGRycy9kb3ducmV2LnhtbEyPQU/DMAyF70j7D5EncWPpxorWruk0FU1I&#13;&#10;CA4bu3Bzm6ytaJzSZFvh12NOcLFkP/v5fdlmtJ24mMG3jhTMZxEIQ5XTLdUKjm+7uxUIH5A0do6M&#13;&#10;gi/jYZNPbjJMtbvS3lwOoRZsQj5FBU0IfSqlrxpj0c9cb4i1kxssBm6HWuoBr2xuO7mIogdpsSX+&#13;&#10;0GBvisZUH4ezVfBc7F5xXy7s6rsrnl5O2/7z+B4rdTsdH9dctmsQwYzh7wJ+GTg/5BysdGfSXnQK&#13;&#10;lstkzqsKYhAsx3HCfCXPk3uQeSb/Q+Q/AAAA//8DAFBLAQItABQABgAIAAAAIQC2gziS/gAAAOEB&#13;&#10;AAATAAAAAAAAAAAAAAAAAAAAAABbQ29udGVudF9UeXBlc10ueG1sUEsBAi0AFAAGAAgAAAAhADj9&#13;&#10;If/WAAAAlAEAAAsAAAAAAAAAAAAAAAAALwEAAF9yZWxzLy5yZWxzUEsBAi0AFAAGAAgAAAAhACmy&#13;&#10;IKdFAgAAiAQAAA4AAAAAAAAAAAAAAAAALgIAAGRycy9lMm9Eb2MueG1sUEsBAi0AFAAGAAgAAAAh&#13;&#10;AFlLjxfkAAAADAEAAA8AAAAAAAAAAAAAAAAAnwQAAGRycy9kb3ducmV2LnhtbFBLBQYAAAAABAAE&#13;&#10;APMAAACwBQAAAAA=&#13;&#10;" filled="f" stroked="f" strokeweight=".5pt">
                <o:lock v:ext="edit" aspectratio="t"/>
                <v:textbox>
                  <w:txbxContent>
                    <w:p w14:paraId="184771E7" w14:textId="77777777" w:rsidR="00F61130" w:rsidRDefault="00F61130" w:rsidP="0094722E">
                      <w:r>
                        <w:t>B</w:t>
                      </w:r>
                    </w:p>
                  </w:txbxContent>
                </v:textbox>
                <w10:wrap type="topAndBottom"/>
              </v:shape>
            </w:pict>
          </mc:Fallback>
        </mc:AlternateContent>
      </w:r>
    </w:p>
    <w:p w14:paraId="6FDEDF4E" w14:textId="4D85D594" w:rsidR="00593133" w:rsidRPr="008B3AD6" w:rsidRDefault="00B46FE3" w:rsidP="00593133">
      <w:pPr>
        <w:spacing w:line="360" w:lineRule="auto"/>
        <w:jc w:val="both"/>
      </w:pPr>
      <w:r>
        <w:rPr>
          <w:noProof/>
        </w:rPr>
        <w:drawing>
          <wp:anchor distT="0" distB="0" distL="114300" distR="114300" simplePos="0" relativeHeight="251115005" behindDoc="0" locked="0" layoutInCell="1" allowOverlap="1" wp14:anchorId="459107B0" wp14:editId="76211620">
            <wp:simplePos x="0" y="0"/>
            <wp:positionH relativeFrom="column">
              <wp:posOffset>-57785</wp:posOffset>
            </wp:positionH>
            <wp:positionV relativeFrom="paragraph">
              <wp:posOffset>1712450</wp:posOffset>
            </wp:positionV>
            <wp:extent cx="5573395" cy="1897380"/>
            <wp:effectExtent l="0" t="0" r="1905" b="0"/>
            <wp:wrapSquare wrapText="bothSides"/>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Picture 142"/>
                    <pic:cNvPicPr>
                      <a:picLocks noChangeAspect="1"/>
                    </pic:cNvPicPr>
                  </pic:nvPicPr>
                  <pic:blipFill rotWithShape="1">
                    <a:blip r:embed="rId44">
                      <a:extLst>
                        <a:ext uri="{28A0092B-C50C-407E-A947-70E740481C1C}">
                          <a14:useLocalDpi xmlns:a14="http://schemas.microsoft.com/office/drawing/2010/main" val="0"/>
                        </a:ext>
                      </a:extLst>
                    </a:blip>
                    <a:srcRect t="51731"/>
                    <a:stretch/>
                  </pic:blipFill>
                  <pic:spPr>
                    <a:xfrm>
                      <a:off x="0" y="0"/>
                      <a:ext cx="5573395" cy="1897380"/>
                    </a:xfrm>
                    <a:prstGeom prst="rect">
                      <a:avLst/>
                    </a:prstGeom>
                  </pic:spPr>
                </pic:pic>
              </a:graphicData>
            </a:graphic>
          </wp:anchor>
        </w:drawing>
      </w:r>
      <w:r w:rsidR="00031DCA">
        <w:rPr>
          <w:noProof/>
        </w:rPr>
        <mc:AlternateContent>
          <mc:Choice Requires="wps">
            <w:drawing>
              <wp:anchor distT="0" distB="0" distL="114300" distR="114300" simplePos="0" relativeHeight="251117053" behindDoc="0" locked="0" layoutInCell="1" allowOverlap="1" wp14:anchorId="40879015" wp14:editId="6E5ACBD9">
                <wp:simplePos x="0" y="0"/>
                <wp:positionH relativeFrom="column">
                  <wp:posOffset>122806</wp:posOffset>
                </wp:positionH>
                <wp:positionV relativeFrom="paragraph">
                  <wp:posOffset>1864065</wp:posOffset>
                </wp:positionV>
                <wp:extent cx="813623" cy="354884"/>
                <wp:effectExtent l="0" t="0" r="0" b="0"/>
                <wp:wrapSquare wrapText="bothSides"/>
                <wp:docPr id="136" name="Text Box 136"/>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wps:cNvSpPr>
                      <wps:spPr>
                        <a:xfrm>
                          <a:off x="0" y="0"/>
                          <a:ext cx="813623" cy="354884"/>
                        </a:xfrm>
                        <a:prstGeom prst="rect">
                          <a:avLst/>
                        </a:prstGeom>
                        <a:noFill/>
                        <a:ln w="6350">
                          <a:noFill/>
                        </a:ln>
                      </wps:spPr>
                      <wps:txbx>
                        <w:txbxContent>
                          <w:p w14:paraId="01BA5EDA" w14:textId="77777777" w:rsidR="00F61130" w:rsidRDefault="00F61130" w:rsidP="00AE22CE">
                            <w: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0879015" id="Text Box 136" o:spid="_x0000_s1068" type="#_x0000_t202" style="position:absolute;left:0;text-align:left;margin-left:9.65pt;margin-top:146.8pt;width:64.05pt;height:27.95pt;z-index:251117053;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6yiKzRgIAAIgEAAAOAAAAZHJzL2Uyb0RvYy54bWysVEuP2jAQvlfqf7B8L+ERKBsRVpQVVSW0&#13;&#10;uxJUezaOQ6LaHtc2JNtf37FDWLTtqerFGXve3zeTxX2rJDkL62rQOR0NhpQIzaGo9TGn3/ebT3NK&#13;&#10;nGe6YBK0yOmrcPR++fHDojGZGEMFshCWYBDtssbktPLeZEnieCUUcwMwQqOyBKuYx6s9JoVlDUZX&#13;&#10;MhkPh7OkAVsYC1w4h68PnZIuY/yyFNw/laUTnsicYm0+njaeh3AmywXLjpaZquaXMtg/VKFYrTHp&#13;&#10;NdQD84ycbP1HKFVzCw5KP+CgEijLmovYA3YzGr7rZlcxI2IvCI4zV5jc/wvLH8/PltQFcjeZUaKZ&#13;&#10;QpL2ovXkC7QkvCFCjXEZGu4MmvoWFWgdu3VmC/yHIxrWFdNHsXIGEQ9a9Epu3LoYDgMEkNrSqvDF&#13;&#10;9gnGQl5er1yE1Bwf55h7PKGEo2oyTefzNMZ8czbW+a8CFAlCTi0mjjWx89b5kJ5lvUnIpWFTSxnp&#13;&#10;lpo0OZ1NpsPocNWgh9SXurtSQwe+PbQRoHTcY3GA4hWhsNCNkzN8U2MRW+b8M7M4P9gR7oR/wqOU&#13;&#10;gMngIlFSgf31t/dgj7SilpIG5zGn7ueJWUGJ/KaR8LtRmoYBjpd0+nmMF3urOdxq9EmtAUd+hNtn&#13;&#10;eBSDvZe9WFpQL7g6q5AVVUxzzJ1T34tr320Jrh4Xq1U0wpE1zG/1zvB+AgLE+/aFWXPhwSOBj9BP&#13;&#10;Lsve0dHZdoSsTh7KOnIVgO5QveCP4x4pvKxm2Kfbe7R6+4EsfwMAAP//AwBQSwMEFAAGAAgAAAAh&#13;&#10;AA22yzzkAAAADwEAAA8AAABkcnMvZG93bnJldi54bWxMT0tPg0AQvpv4HzZj4s0uAq2FsjQNpjEx&#13;&#10;9dDHpbeFnQKR3UV226K/3ulJL5N8me+ZLUfdsQsOrrVGwPMkAIamsqo1tYDDfv00B+a8NEp21qCA&#13;&#10;b3SwzO/vMpkqezVbvOx8zcjEuFQKaLzvU85d1aCWbmJ7NPQ72UFLT3CouRrklcx1x8MgmHEtW0MJ&#13;&#10;jeyxaLD63J21gPdi/SG3ZajnP13xtjmt+q/DcSrE48P4uqCzWgDzOPo/Bdw2UH/IqVhpz0Y51hFO&#13;&#10;ImIKCJNoBuxGiF9iYKWAKE6mwPOM/9+R/wIAAP//AwBQSwECLQAUAAYACAAAACEAtoM4kv4AAADh&#13;&#10;AQAAEwAAAAAAAAAAAAAAAAAAAAAAW0NvbnRlbnRfVHlwZXNdLnhtbFBLAQItABQABgAIAAAAIQA4&#13;&#10;/SH/1gAAAJQBAAALAAAAAAAAAAAAAAAAAC8BAABfcmVscy8ucmVsc1BLAQItABQABgAIAAAAIQC6&#13;&#10;yiKzRgIAAIgEAAAOAAAAAAAAAAAAAAAAAC4CAABkcnMvZTJvRG9jLnhtbFBLAQItABQABgAIAAAA&#13;&#10;IQANtss85AAAAA8BAAAPAAAAAAAAAAAAAAAAAKAEAABkcnMvZG93bnJldi54bWxQSwUGAAAAAAQA&#13;&#10;BADzAAAAsQUAAAAA&#13;&#10;" filled="f" stroked="f" strokeweight=".5pt">
                <o:lock v:ext="edit" aspectratio="t"/>
                <v:textbox>
                  <w:txbxContent>
                    <w:p w14:paraId="01BA5EDA" w14:textId="77777777" w:rsidR="00F61130" w:rsidRDefault="00F61130" w:rsidP="00AE22CE">
                      <w:r>
                        <w:t>A</w:t>
                      </w:r>
                    </w:p>
                  </w:txbxContent>
                </v:textbox>
                <w10:wrap type="square"/>
              </v:shape>
            </w:pict>
          </mc:Fallback>
        </mc:AlternateContent>
      </w:r>
      <w:r w:rsidR="00031DCA">
        <w:rPr>
          <w:noProof/>
        </w:rPr>
        <mc:AlternateContent>
          <mc:Choice Requires="wps">
            <w:drawing>
              <wp:anchor distT="0" distB="0" distL="114300" distR="114300" simplePos="0" relativeHeight="251118077" behindDoc="0" locked="0" layoutInCell="1" allowOverlap="1" wp14:anchorId="66E7A692" wp14:editId="2C4B3859">
                <wp:simplePos x="0" y="0"/>
                <wp:positionH relativeFrom="column">
                  <wp:posOffset>2899204</wp:posOffset>
                </wp:positionH>
                <wp:positionV relativeFrom="paragraph">
                  <wp:posOffset>1864065</wp:posOffset>
                </wp:positionV>
                <wp:extent cx="814257" cy="355509"/>
                <wp:effectExtent l="0" t="0" r="0" b="0"/>
                <wp:wrapSquare wrapText="bothSides"/>
                <wp:docPr id="137" name="Text Box 137"/>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wps:cNvSpPr>
                      <wps:spPr>
                        <a:xfrm>
                          <a:off x="0" y="0"/>
                          <a:ext cx="814257" cy="355509"/>
                        </a:xfrm>
                        <a:prstGeom prst="rect">
                          <a:avLst/>
                        </a:prstGeom>
                        <a:noFill/>
                        <a:ln w="6350">
                          <a:noFill/>
                        </a:ln>
                      </wps:spPr>
                      <wps:txbx>
                        <w:txbxContent>
                          <w:p w14:paraId="65D590CF" w14:textId="77777777" w:rsidR="00F61130" w:rsidRDefault="00F61130" w:rsidP="00AE22CE">
                            <w: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6E7A692" id="Text Box 137" o:spid="_x0000_s1069" type="#_x0000_t202" style="position:absolute;left:0;text-align:left;margin-left:228.3pt;margin-top:146.8pt;width:64.1pt;height:28pt;z-index:251118077;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d1NYyRwIAAIgEAAAOAAAAZHJzL2Uyb0RvYy54bWysVMlu2zAQvRfoPxC815IXZREsB64DFwWM&#13;&#10;JIAd5ExTlCWU4rAkbcn9+g4pyTHSnopeqCFnf29G84e2luQkjK1AZXQ8iikRikNeqUNGX3frL3eU&#13;&#10;WMdUziQokdGzsPRh8fnTvNGpmEAJMheGYBBl00ZntHROp1FkeSlqZkeghUJlAaZmDq/mEOWGNRi9&#13;&#10;ltEkjm+iBkyuDXBhLb4+dkq6CPGLQnD3XBRWOCIzirW5cJpw7v0ZLeYsPRimy4r3ZbB/qKJmlcKk&#13;&#10;l1CPzDFyNNUfoeqKG7BQuBGHOoKiqLgIPWA34/hDN9uSaRF6QXCsvsBk/19Y/nR6MaTKkbvpLSWK&#13;&#10;1UjSTrSOfIWW+DdEqNE2RcOtRlPXogKtQ7dWb4D/sETBqmTqIJZWI+Jei17RlVsXw2IAD1JbmNp/&#13;&#10;sX2CsZCX84ULn5rj4914NkmwIo6qaZIk8X2I+e6sjXXfBNTECxk1mDjUxE4b63x6lg4mPpeCdSVl&#13;&#10;oFsq0mT0ZprEweGiQQ+p+rq7Un0Hrt23AaDZdMBiD/kZoTDQjZPVfF1hERtm3QszOD/YEe6Ee8aj&#13;&#10;kIDJoJcoKcH8+tu7t0daUUtJg/OYUfvzyIygRH5XSPj9eDbzAxwus+R2ghdzrdlfa9SxXgGO/Bi3&#13;&#10;T/MgensnB7EwUL/h6ix9VlQxxTF3Rt0grly3Jbh6XCyXwQhHVjO3UVvNhwnwEO/aN2Z0z4NDAp9g&#13;&#10;mFyWfqCjs+0IWR4dFFXgygPdodrjj+MeKOxX0+/T9T1Yvf9AFr8BAAD//wMAUEsDBBQABgAIAAAA&#13;&#10;IQBqkCOV5wAAABABAAAPAAAAZHJzL2Rvd25yZXYueG1sTI9Bb4MwDIXvk/YfIk/abQ2lgCglVBVT&#13;&#10;NWlaD+162S2QFFCJw0jasv36eaftYtny8/P78vVkenbVo+ssCpjPAmAaa6s6bAQc37dPKTDnJSrZ&#13;&#10;W9QCvrSDdXF/l8tM2Rvu9fXgG0Ym6DIpoPV+yDh3dauNdDM7aKTdyY5GehrHhqtR3sjc9DwMgoQb&#13;&#10;2SF9aOWgy1bX58PFCHgttzu5r0KTfvfly9tpM3weP2IhHh+m5xWVzQqY15P/u4BfBsoPBQWr7AWV&#13;&#10;Y72AKE4SkgoIlwtqSBGnERFVAhbRMgFe5Pw/SPEDAAD//wMAUEsBAi0AFAAGAAgAAAAhALaDOJL+&#13;&#10;AAAA4QEAABMAAAAAAAAAAAAAAAAAAAAAAFtDb250ZW50X1R5cGVzXS54bWxQSwECLQAUAAYACAAA&#13;&#10;ACEAOP0h/9YAAACUAQAACwAAAAAAAAAAAAAAAAAvAQAAX3JlbHMvLnJlbHNQSwECLQAUAAYACAAA&#13;&#10;ACEAHdTWMkcCAACIBAAADgAAAAAAAAAAAAAAAAAuAgAAZHJzL2Uyb0RvYy54bWxQSwECLQAUAAYA&#13;&#10;CAAAACEAapAjlecAAAAQAQAADwAAAAAAAAAAAAAAAAChBAAAZHJzL2Rvd25yZXYueG1sUEsFBgAA&#13;&#10;AAAEAAQA8wAAALUFAAAAAA==&#13;&#10;" filled="f" stroked="f" strokeweight=".5pt">
                <o:lock v:ext="edit" aspectratio="t"/>
                <v:textbox>
                  <w:txbxContent>
                    <w:p w14:paraId="65D590CF" w14:textId="77777777" w:rsidR="00F61130" w:rsidRDefault="00F61130" w:rsidP="00AE22CE">
                      <w:r>
                        <w:t>B</w:t>
                      </w:r>
                    </w:p>
                  </w:txbxContent>
                </v:textbox>
                <w10:wrap type="square"/>
              </v:shape>
            </w:pict>
          </mc:Fallback>
        </mc:AlternateContent>
      </w:r>
      <w:r w:rsidR="004A105D">
        <w:rPr>
          <w:noProof/>
        </w:rPr>
        <mc:AlternateContent>
          <mc:Choice Requires="wps">
            <w:drawing>
              <wp:anchor distT="0" distB="0" distL="114300" distR="114300" simplePos="0" relativeHeight="251119101" behindDoc="0" locked="0" layoutInCell="1" allowOverlap="1" wp14:anchorId="2C7E3874" wp14:editId="5CBD7331">
                <wp:simplePos x="0" y="0"/>
                <wp:positionH relativeFrom="column">
                  <wp:posOffset>-320040</wp:posOffset>
                </wp:positionH>
                <wp:positionV relativeFrom="paragraph">
                  <wp:posOffset>3998047</wp:posOffset>
                </wp:positionV>
                <wp:extent cx="5943600" cy="1956983"/>
                <wp:effectExtent l="0" t="0" r="0" b="0"/>
                <wp:wrapSquare wrapText="bothSides"/>
                <wp:docPr id="732" name="Text Box 732"/>
                <wp:cNvGraphicFramePr/>
                <a:graphic xmlns:a="http://schemas.openxmlformats.org/drawingml/2006/main">
                  <a:graphicData uri="http://schemas.microsoft.com/office/word/2010/wordprocessingShape">
                    <wps:wsp>
                      <wps:cNvSpPr txBox="1"/>
                      <wps:spPr>
                        <a:xfrm>
                          <a:off x="0" y="0"/>
                          <a:ext cx="5943600" cy="1956983"/>
                        </a:xfrm>
                        <a:prstGeom prst="rect">
                          <a:avLst/>
                        </a:prstGeom>
                        <a:solidFill>
                          <a:prstClr val="white"/>
                        </a:solidFill>
                        <a:ln>
                          <a:noFill/>
                        </a:ln>
                      </wps:spPr>
                      <wps:txbx>
                        <w:txbxContent>
                          <w:p w14:paraId="1DEACF02" w14:textId="78D4CAB9" w:rsidR="00F61130" w:rsidRPr="00252E57" w:rsidRDefault="00F61130" w:rsidP="00C3358A">
                            <w:pPr>
                              <w:spacing w:line="360" w:lineRule="auto"/>
                              <w:jc w:val="both"/>
                            </w:pPr>
                            <w:bookmarkStart w:id="305" w:name="_Ref518932772"/>
                            <w:bookmarkStart w:id="306" w:name="_Toc525227204"/>
                            <w:bookmarkStart w:id="307" w:name="_Toc536814143"/>
                            <w:r w:rsidRPr="00AE22CE">
                              <w:rPr>
                                <w:b/>
                                <w:sz w:val="20"/>
                                <w:szCs w:val="20"/>
                              </w:rPr>
                              <w:t xml:space="preserve">Figure </w:t>
                            </w:r>
                            <w:r>
                              <w:rPr>
                                <w:b/>
                                <w:sz w:val="20"/>
                                <w:szCs w:val="20"/>
                              </w:rPr>
                              <w:fldChar w:fldCharType="begin"/>
                            </w:r>
                            <w:r>
                              <w:rPr>
                                <w:b/>
                                <w:sz w:val="20"/>
                                <w:szCs w:val="20"/>
                              </w:rPr>
                              <w:instrText xml:space="preserve"> STYLEREF 1 \s </w:instrText>
                            </w:r>
                            <w:r>
                              <w:rPr>
                                <w:b/>
                                <w:sz w:val="20"/>
                                <w:szCs w:val="20"/>
                              </w:rPr>
                              <w:fldChar w:fldCharType="separate"/>
                            </w:r>
                            <w:r>
                              <w:rPr>
                                <w:b/>
                                <w:noProof/>
                                <w:sz w:val="20"/>
                                <w:szCs w:val="20"/>
                              </w:rPr>
                              <w:t>3</w:t>
                            </w:r>
                            <w:r>
                              <w:rPr>
                                <w:b/>
                                <w:sz w:val="20"/>
                                <w:szCs w:val="20"/>
                              </w:rPr>
                              <w:fldChar w:fldCharType="end"/>
                            </w:r>
                            <w:r>
                              <w:rPr>
                                <w:b/>
                                <w:sz w:val="20"/>
                                <w:szCs w:val="20"/>
                              </w:rPr>
                              <w:t>.</w:t>
                            </w:r>
                            <w:r>
                              <w:rPr>
                                <w:b/>
                                <w:sz w:val="20"/>
                                <w:szCs w:val="20"/>
                              </w:rPr>
                              <w:fldChar w:fldCharType="begin"/>
                            </w:r>
                            <w:r>
                              <w:rPr>
                                <w:b/>
                                <w:sz w:val="20"/>
                                <w:szCs w:val="20"/>
                              </w:rPr>
                              <w:instrText xml:space="preserve"> SEQ Figure \* ARABIC \s 1 </w:instrText>
                            </w:r>
                            <w:r>
                              <w:rPr>
                                <w:b/>
                                <w:sz w:val="20"/>
                                <w:szCs w:val="20"/>
                              </w:rPr>
                              <w:fldChar w:fldCharType="separate"/>
                            </w:r>
                            <w:r>
                              <w:rPr>
                                <w:b/>
                                <w:noProof/>
                                <w:sz w:val="20"/>
                                <w:szCs w:val="20"/>
                              </w:rPr>
                              <w:t>13</w:t>
                            </w:r>
                            <w:r>
                              <w:rPr>
                                <w:b/>
                                <w:sz w:val="20"/>
                                <w:szCs w:val="20"/>
                              </w:rPr>
                              <w:fldChar w:fldCharType="end"/>
                            </w:r>
                            <w:bookmarkEnd w:id="305"/>
                            <w:r w:rsidRPr="00AE22CE">
                              <w:rPr>
                                <w:b/>
                                <w:sz w:val="20"/>
                                <w:szCs w:val="20"/>
                              </w:rPr>
                              <w:t xml:space="preserve"> – Leukocyte accumulation of Amphotericin B post-treatment.</w:t>
                            </w:r>
                            <w:r w:rsidRPr="00DB20FD">
                              <w:rPr>
                                <w:sz w:val="20"/>
                                <w:szCs w:val="20"/>
                              </w:rPr>
                              <w:t xml:space="preserve"> </w:t>
                            </w:r>
                            <w:r w:rsidRPr="00AE22CE">
                              <w:rPr>
                                <w:sz w:val="20"/>
                                <w:szCs w:val="20"/>
                              </w:rPr>
                              <w:t xml:space="preserve">Livers from </w:t>
                            </w:r>
                            <w:r>
                              <w:rPr>
                                <w:sz w:val="20"/>
                                <w:szCs w:val="20"/>
                              </w:rPr>
                              <w:t>d</w:t>
                            </w:r>
                            <w:r w:rsidRPr="00AE22CE">
                              <w:rPr>
                                <w:sz w:val="20"/>
                                <w:szCs w:val="20"/>
                              </w:rPr>
                              <w:t>ay 28 post-infection mice were collected at either 0, 1, 12, 24 or 72 hours post-AmBisome treatment and he</w:t>
                            </w:r>
                            <w:r>
                              <w:rPr>
                                <w:sz w:val="20"/>
                                <w:szCs w:val="20"/>
                              </w:rPr>
                              <w:t>patic leukocytes were purified and</w:t>
                            </w:r>
                            <w:r w:rsidRPr="00AE22CE">
                              <w:rPr>
                                <w:sz w:val="20"/>
                                <w:szCs w:val="20"/>
                              </w:rPr>
                              <w:t xml:space="preserve"> analysed using flow </w:t>
                            </w:r>
                            <w:r>
                              <w:rPr>
                                <w:sz w:val="20"/>
                                <w:szCs w:val="20"/>
                              </w:rPr>
                              <w:t>cytometry</w:t>
                            </w:r>
                            <w:r w:rsidRPr="00AE22CE">
                              <w:rPr>
                                <w:sz w:val="20"/>
                                <w:szCs w:val="20"/>
                              </w:rPr>
                              <w:t xml:space="preserve"> to </w:t>
                            </w:r>
                            <w:r>
                              <w:rPr>
                                <w:sz w:val="20"/>
                                <w:szCs w:val="20"/>
                              </w:rPr>
                              <w:t xml:space="preserve">determine population abundance and </w:t>
                            </w:r>
                            <w:r w:rsidRPr="00AE22CE">
                              <w:rPr>
                                <w:sz w:val="20"/>
                                <w:szCs w:val="20"/>
                              </w:rPr>
                              <w:t xml:space="preserve">processed for LC-MS </w:t>
                            </w:r>
                            <w:r>
                              <w:rPr>
                                <w:sz w:val="20"/>
                                <w:szCs w:val="20"/>
                              </w:rPr>
                              <w:t xml:space="preserve">/MS </w:t>
                            </w:r>
                            <w:r w:rsidRPr="00AE22CE">
                              <w:rPr>
                                <w:sz w:val="20"/>
                                <w:szCs w:val="20"/>
                              </w:rPr>
                              <w:t xml:space="preserve">analysis to determine </w:t>
                            </w:r>
                            <w:r>
                              <w:rPr>
                                <w:sz w:val="20"/>
                                <w:szCs w:val="20"/>
                              </w:rPr>
                              <w:t>Amphotericin B</w:t>
                            </w:r>
                            <w:r w:rsidRPr="00AE22CE">
                              <w:rPr>
                                <w:sz w:val="20"/>
                                <w:szCs w:val="20"/>
                              </w:rPr>
                              <w:t xml:space="preserve"> concentration. </w:t>
                            </w:r>
                            <w:r>
                              <w:rPr>
                                <w:sz w:val="20"/>
                                <w:szCs w:val="20"/>
                              </w:rPr>
                              <w:t>Combining leukocyte population abundance with AmB accumulation per 1 x 10</w:t>
                            </w:r>
                            <w:r>
                              <w:rPr>
                                <w:sz w:val="20"/>
                                <w:szCs w:val="20"/>
                                <w:vertAlign w:val="superscript"/>
                              </w:rPr>
                              <w:t>6</w:t>
                            </w:r>
                            <w:r>
                              <w:rPr>
                                <w:sz w:val="20"/>
                                <w:szCs w:val="20"/>
                              </w:rPr>
                              <w:t xml:space="preserve"> leukocytes generated total population accumulation (A). This total population accumulation </w:t>
                            </w:r>
                            <w:r w:rsidRPr="00AE22CE">
                              <w:rPr>
                                <w:sz w:val="20"/>
                                <w:szCs w:val="20"/>
                              </w:rPr>
                              <w:t>was then expressed as a percentage of the amount of Amphotericin B found in the total liver</w:t>
                            </w:r>
                            <w:r>
                              <w:rPr>
                                <w:sz w:val="20"/>
                                <w:szCs w:val="20"/>
                              </w:rPr>
                              <w:t xml:space="preserve"> at the corresponding time points</w:t>
                            </w:r>
                            <w:r w:rsidRPr="00AE22CE">
                              <w:rPr>
                                <w:sz w:val="20"/>
                                <w:szCs w:val="20"/>
                              </w:rPr>
                              <w:t xml:space="preserve"> (</w:t>
                            </w:r>
                            <w:r>
                              <w:rPr>
                                <w:sz w:val="20"/>
                                <w:szCs w:val="20"/>
                              </w:rPr>
                              <w:t>B</w:t>
                            </w:r>
                            <w:r w:rsidRPr="00AE22CE">
                              <w:rPr>
                                <w:sz w:val="20"/>
                                <w:szCs w:val="20"/>
                              </w:rPr>
                              <w:t xml:space="preserve">). Data </w:t>
                            </w:r>
                            <w:r>
                              <w:rPr>
                                <w:sz w:val="20"/>
                                <w:szCs w:val="20"/>
                              </w:rPr>
                              <w:t>are</w:t>
                            </w:r>
                            <w:r w:rsidRPr="00AE22CE">
                              <w:rPr>
                                <w:sz w:val="20"/>
                                <w:szCs w:val="20"/>
                              </w:rPr>
                              <w:t xml:space="preserve"> mean </w:t>
                            </w:r>
                            <w:r w:rsidRPr="00AE22CE">
                              <w:rPr>
                                <w:sz w:val="20"/>
                                <w:szCs w:val="20"/>
                              </w:rPr>
                              <w:sym w:font="Symbol" w:char="F0B1"/>
                            </w:r>
                            <w:r w:rsidRPr="00AE22CE">
                              <w:rPr>
                                <w:sz w:val="20"/>
                                <w:szCs w:val="20"/>
                              </w:rPr>
                              <w:t xml:space="preserve"> SD (n = </w:t>
                            </w:r>
                            <w:r>
                              <w:rPr>
                                <w:sz w:val="20"/>
                                <w:szCs w:val="20"/>
                              </w:rPr>
                              <w:t>6</w:t>
                            </w:r>
                            <w:r w:rsidRPr="00AE22CE">
                              <w:rPr>
                                <w:sz w:val="20"/>
                                <w:szCs w:val="20"/>
                              </w:rPr>
                              <w:t>-8 biological replicates from 1 infection experiment</w:t>
                            </w:r>
                            <w:r>
                              <w:rPr>
                                <w:sz w:val="20"/>
                                <w:szCs w:val="20"/>
                              </w:rPr>
                              <w:t>, 1 mouse = 1 filled circle</w:t>
                            </w:r>
                            <w:r w:rsidRPr="00AE22CE">
                              <w:rPr>
                                <w:sz w:val="20"/>
                                <w:szCs w:val="20"/>
                              </w:rPr>
                              <w:t>), data was analysed using Dunn’s Multiple Comparison Test, p &lt; 0.05: *, p &lt; 0.01: **, p &lt; 0.001: ***.</w:t>
                            </w:r>
                            <w:r>
                              <w:rPr>
                                <w:sz w:val="20"/>
                                <w:szCs w:val="20"/>
                              </w:rPr>
                              <w:t xml:space="preserve"> Samples were generated using liver digestion and staining protocol 2 and processed using the column free extraction method.</w:t>
                            </w:r>
                            <w:bookmarkEnd w:id="306"/>
                            <w:bookmarkEnd w:id="307"/>
                          </w:p>
                          <w:p w14:paraId="701D1B00" w14:textId="2F2E4A72" w:rsidR="00F61130" w:rsidRPr="00AE22CE" w:rsidRDefault="00F61130" w:rsidP="00C3358A">
                            <w:pPr>
                              <w:pStyle w:val="Caption"/>
                              <w:spacing w:line="360" w:lineRule="auto"/>
                              <w:jc w:val="both"/>
                              <w:rPr>
                                <w:noProof/>
                                <w:sz w:val="20"/>
                                <w:szCs w:val="20"/>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2C7E3874" id="Text Box 732" o:spid="_x0000_s1070" type="#_x0000_t202" style="position:absolute;left:0;text-align:left;margin-left:-25.2pt;margin-top:314.8pt;width:468pt;height:154.1pt;z-index:251119101;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VOxhXNQIAAG0EAAAOAAAAZHJzL2Uyb0RvYy54bWysVE1v2zAMvQ/YfxB0X5yvZk0Qp8hSZBhQ&#13;&#10;tAWSoWdFlmMBkqhJSuzs14+S7bTrdhp2kSmSovTeI728a7QiZ+G8BJPT0WBIiTAcCmmOOf2+3366&#13;&#10;pcQHZgqmwIicXoSnd6uPH5a1XYgxVKAK4QgWMX5R25xWIdhFlnleCc38AKwwGCzBaRZw645Z4ViN&#13;&#10;1bXKxsPhLKvBFdYBF96j974N0lWqX5aCh6ey9CIQlVN8W0irS+shrtlqyRZHx2wlefcM9g+v0Ewa&#13;&#10;vPRa6p4FRk5O/lFKS+7AQxkGHHQGZSm5SBgQzWj4Ds2uYlYkLEiOt1ea/P8ryx/Pz47IIqefJ2NK&#13;&#10;DNMo0l40gXyBhkQfMlRbv8DEncXU0GAAle79Hp0ReFM6Hb8IiWAcub5c+Y3lODpv5tPJbIghjrHR&#13;&#10;/GY2v53EOtnrcet8+CpAk2jk1KGAiVd2fvChTe1T4m0elCy2Uqm4iYGNcuTMUOy6kkF0xX/LUibm&#13;&#10;Goin2oLRk0WMLZZohebQJFam0x7oAYoL4nfQ9pC3fCvxwgfmwzNz2DSICwchPOFSKqhzCp1FSQXu&#13;&#10;59/8MR+1xCglNTZhTv2PE3OCEvXNoMqxY3vD9cahN8xJbwChjnDELE8mHnBB9WbpQL/gfKzjLRhi&#13;&#10;huNdOQ29uQntKOB8cbFepyTsS8vCg9lZHkv3xO6bF+ZsJ0tARR+hb0+2eKdOm9vSvD4FKGWSLhLb&#13;&#10;stjxjT2dxO/mLw7N233Kev1LrH4BAAD//wMAUEsDBBQABgAIAAAAIQDCvuso5QAAABABAAAPAAAA&#13;&#10;ZHJzL2Rvd25yZXYueG1sTI9BT8MwDIXvSPyHyEhc0JZSWOm6phOs4waHjWnnrAltReNUSbp2/x7v&#13;&#10;BBfLlp8/v5evJ9Oxs3a+tSjgcR4B01hZ1WIt4PD1PkuB+SBRyc6iFnDRHtbF7U0uM2VH3OnzPtSM&#13;&#10;IOgzKaAJoc8491WjjfRz22uk3bd1RgYaXc2VkyPBTcfjKEq4kS3Sh0b2etPo6mc/GAFJ6YZxh5uH&#13;&#10;8rD9kJ99HR/fLkch7u+mckXldQUs6Cn8XcA1A/mHgoyd7IDKs07AbBE9k5SI8TIBRoo0XVBzErB8&#13;&#10;ekmBFzn/H6T4BQAA//8DAFBLAQItABQABgAIAAAAIQC2gziS/gAAAOEBAAATAAAAAAAAAAAAAAAA&#13;&#10;AAAAAABbQ29udGVudF9UeXBlc10ueG1sUEsBAi0AFAAGAAgAAAAhADj9If/WAAAAlAEAAAsAAAAA&#13;&#10;AAAAAAAAAAAALwEAAF9yZWxzLy5yZWxzUEsBAi0AFAAGAAgAAAAhAJU7GFc1AgAAbQQAAA4AAAAA&#13;&#10;AAAAAAAAAAAALgIAAGRycy9lMm9Eb2MueG1sUEsBAi0AFAAGAAgAAAAhAMK+6yjlAAAAEAEAAA8A&#13;&#10;AAAAAAAAAAAAAAAAjwQAAGRycy9kb3ducmV2LnhtbFBLBQYAAAAABAAEAPMAAAChBQAAAAA=&#13;&#10;" stroked="f">
                <v:textbox inset="0,0,0,0">
                  <w:txbxContent>
                    <w:p w14:paraId="1DEACF02" w14:textId="78D4CAB9" w:rsidR="00F61130" w:rsidRPr="00252E57" w:rsidRDefault="00F61130" w:rsidP="00C3358A">
                      <w:pPr>
                        <w:spacing w:line="360" w:lineRule="auto"/>
                        <w:jc w:val="both"/>
                      </w:pPr>
                      <w:bookmarkStart w:id="308" w:name="_Ref518932772"/>
                      <w:bookmarkStart w:id="309" w:name="_Toc525227204"/>
                      <w:bookmarkStart w:id="310" w:name="_Toc536814143"/>
                      <w:r w:rsidRPr="00AE22CE">
                        <w:rPr>
                          <w:b/>
                          <w:sz w:val="20"/>
                          <w:szCs w:val="20"/>
                        </w:rPr>
                        <w:t xml:space="preserve">Figure </w:t>
                      </w:r>
                      <w:r>
                        <w:rPr>
                          <w:b/>
                          <w:sz w:val="20"/>
                          <w:szCs w:val="20"/>
                        </w:rPr>
                        <w:fldChar w:fldCharType="begin"/>
                      </w:r>
                      <w:r>
                        <w:rPr>
                          <w:b/>
                          <w:sz w:val="20"/>
                          <w:szCs w:val="20"/>
                        </w:rPr>
                        <w:instrText xml:space="preserve"> STYLEREF 1 \s </w:instrText>
                      </w:r>
                      <w:r>
                        <w:rPr>
                          <w:b/>
                          <w:sz w:val="20"/>
                          <w:szCs w:val="20"/>
                        </w:rPr>
                        <w:fldChar w:fldCharType="separate"/>
                      </w:r>
                      <w:r>
                        <w:rPr>
                          <w:b/>
                          <w:noProof/>
                          <w:sz w:val="20"/>
                          <w:szCs w:val="20"/>
                        </w:rPr>
                        <w:t>3</w:t>
                      </w:r>
                      <w:r>
                        <w:rPr>
                          <w:b/>
                          <w:sz w:val="20"/>
                          <w:szCs w:val="20"/>
                        </w:rPr>
                        <w:fldChar w:fldCharType="end"/>
                      </w:r>
                      <w:r>
                        <w:rPr>
                          <w:b/>
                          <w:sz w:val="20"/>
                          <w:szCs w:val="20"/>
                        </w:rPr>
                        <w:t>.</w:t>
                      </w:r>
                      <w:r>
                        <w:rPr>
                          <w:b/>
                          <w:sz w:val="20"/>
                          <w:szCs w:val="20"/>
                        </w:rPr>
                        <w:fldChar w:fldCharType="begin"/>
                      </w:r>
                      <w:r>
                        <w:rPr>
                          <w:b/>
                          <w:sz w:val="20"/>
                          <w:szCs w:val="20"/>
                        </w:rPr>
                        <w:instrText xml:space="preserve"> SEQ Figure \* ARABIC \s 1 </w:instrText>
                      </w:r>
                      <w:r>
                        <w:rPr>
                          <w:b/>
                          <w:sz w:val="20"/>
                          <w:szCs w:val="20"/>
                        </w:rPr>
                        <w:fldChar w:fldCharType="separate"/>
                      </w:r>
                      <w:r>
                        <w:rPr>
                          <w:b/>
                          <w:noProof/>
                          <w:sz w:val="20"/>
                          <w:szCs w:val="20"/>
                        </w:rPr>
                        <w:t>13</w:t>
                      </w:r>
                      <w:r>
                        <w:rPr>
                          <w:b/>
                          <w:sz w:val="20"/>
                          <w:szCs w:val="20"/>
                        </w:rPr>
                        <w:fldChar w:fldCharType="end"/>
                      </w:r>
                      <w:bookmarkEnd w:id="308"/>
                      <w:r w:rsidRPr="00AE22CE">
                        <w:rPr>
                          <w:b/>
                          <w:sz w:val="20"/>
                          <w:szCs w:val="20"/>
                        </w:rPr>
                        <w:t xml:space="preserve"> – Leukocyte accumulation of Amphotericin B post-treatment.</w:t>
                      </w:r>
                      <w:r w:rsidRPr="00DB20FD">
                        <w:rPr>
                          <w:sz w:val="20"/>
                          <w:szCs w:val="20"/>
                        </w:rPr>
                        <w:t xml:space="preserve"> </w:t>
                      </w:r>
                      <w:r w:rsidRPr="00AE22CE">
                        <w:rPr>
                          <w:sz w:val="20"/>
                          <w:szCs w:val="20"/>
                        </w:rPr>
                        <w:t xml:space="preserve">Livers from </w:t>
                      </w:r>
                      <w:r>
                        <w:rPr>
                          <w:sz w:val="20"/>
                          <w:szCs w:val="20"/>
                        </w:rPr>
                        <w:t>d</w:t>
                      </w:r>
                      <w:r w:rsidRPr="00AE22CE">
                        <w:rPr>
                          <w:sz w:val="20"/>
                          <w:szCs w:val="20"/>
                        </w:rPr>
                        <w:t>ay 28 post-infection mice were collected at either 0, 1, 12, 24 or 72 hours post-AmBisome treatment and he</w:t>
                      </w:r>
                      <w:r>
                        <w:rPr>
                          <w:sz w:val="20"/>
                          <w:szCs w:val="20"/>
                        </w:rPr>
                        <w:t>patic leukocytes were purified and</w:t>
                      </w:r>
                      <w:r w:rsidRPr="00AE22CE">
                        <w:rPr>
                          <w:sz w:val="20"/>
                          <w:szCs w:val="20"/>
                        </w:rPr>
                        <w:t xml:space="preserve"> analysed using flow </w:t>
                      </w:r>
                      <w:r>
                        <w:rPr>
                          <w:sz w:val="20"/>
                          <w:szCs w:val="20"/>
                        </w:rPr>
                        <w:t>cytometry</w:t>
                      </w:r>
                      <w:r w:rsidRPr="00AE22CE">
                        <w:rPr>
                          <w:sz w:val="20"/>
                          <w:szCs w:val="20"/>
                        </w:rPr>
                        <w:t xml:space="preserve"> to </w:t>
                      </w:r>
                      <w:r>
                        <w:rPr>
                          <w:sz w:val="20"/>
                          <w:szCs w:val="20"/>
                        </w:rPr>
                        <w:t xml:space="preserve">determine population abundance and </w:t>
                      </w:r>
                      <w:r w:rsidRPr="00AE22CE">
                        <w:rPr>
                          <w:sz w:val="20"/>
                          <w:szCs w:val="20"/>
                        </w:rPr>
                        <w:t xml:space="preserve">processed for LC-MS </w:t>
                      </w:r>
                      <w:r>
                        <w:rPr>
                          <w:sz w:val="20"/>
                          <w:szCs w:val="20"/>
                        </w:rPr>
                        <w:t xml:space="preserve">/MS </w:t>
                      </w:r>
                      <w:r w:rsidRPr="00AE22CE">
                        <w:rPr>
                          <w:sz w:val="20"/>
                          <w:szCs w:val="20"/>
                        </w:rPr>
                        <w:t xml:space="preserve">analysis to determine </w:t>
                      </w:r>
                      <w:r>
                        <w:rPr>
                          <w:sz w:val="20"/>
                          <w:szCs w:val="20"/>
                        </w:rPr>
                        <w:t>Amphotericin B</w:t>
                      </w:r>
                      <w:r w:rsidRPr="00AE22CE">
                        <w:rPr>
                          <w:sz w:val="20"/>
                          <w:szCs w:val="20"/>
                        </w:rPr>
                        <w:t xml:space="preserve"> concentration. </w:t>
                      </w:r>
                      <w:r>
                        <w:rPr>
                          <w:sz w:val="20"/>
                          <w:szCs w:val="20"/>
                        </w:rPr>
                        <w:t>Combining leukocyte population abundance with AmB accumulation per 1 x 10</w:t>
                      </w:r>
                      <w:r>
                        <w:rPr>
                          <w:sz w:val="20"/>
                          <w:szCs w:val="20"/>
                          <w:vertAlign w:val="superscript"/>
                        </w:rPr>
                        <w:t>6</w:t>
                      </w:r>
                      <w:r>
                        <w:rPr>
                          <w:sz w:val="20"/>
                          <w:szCs w:val="20"/>
                        </w:rPr>
                        <w:t xml:space="preserve"> leukocytes generated total population accumulation (A). This total population accumulation </w:t>
                      </w:r>
                      <w:r w:rsidRPr="00AE22CE">
                        <w:rPr>
                          <w:sz w:val="20"/>
                          <w:szCs w:val="20"/>
                        </w:rPr>
                        <w:t>was then expressed as a percentage of the amount of Amphotericin B found in the total liver</w:t>
                      </w:r>
                      <w:r>
                        <w:rPr>
                          <w:sz w:val="20"/>
                          <w:szCs w:val="20"/>
                        </w:rPr>
                        <w:t xml:space="preserve"> at the corresponding time points</w:t>
                      </w:r>
                      <w:r w:rsidRPr="00AE22CE">
                        <w:rPr>
                          <w:sz w:val="20"/>
                          <w:szCs w:val="20"/>
                        </w:rPr>
                        <w:t xml:space="preserve"> (</w:t>
                      </w:r>
                      <w:r>
                        <w:rPr>
                          <w:sz w:val="20"/>
                          <w:szCs w:val="20"/>
                        </w:rPr>
                        <w:t>B</w:t>
                      </w:r>
                      <w:r w:rsidRPr="00AE22CE">
                        <w:rPr>
                          <w:sz w:val="20"/>
                          <w:szCs w:val="20"/>
                        </w:rPr>
                        <w:t xml:space="preserve">). Data </w:t>
                      </w:r>
                      <w:r>
                        <w:rPr>
                          <w:sz w:val="20"/>
                          <w:szCs w:val="20"/>
                        </w:rPr>
                        <w:t>are</w:t>
                      </w:r>
                      <w:r w:rsidRPr="00AE22CE">
                        <w:rPr>
                          <w:sz w:val="20"/>
                          <w:szCs w:val="20"/>
                        </w:rPr>
                        <w:t xml:space="preserve"> mean </w:t>
                      </w:r>
                      <w:r w:rsidRPr="00AE22CE">
                        <w:rPr>
                          <w:sz w:val="20"/>
                          <w:szCs w:val="20"/>
                        </w:rPr>
                        <w:sym w:font="Symbol" w:char="F0B1"/>
                      </w:r>
                      <w:r w:rsidRPr="00AE22CE">
                        <w:rPr>
                          <w:sz w:val="20"/>
                          <w:szCs w:val="20"/>
                        </w:rPr>
                        <w:t xml:space="preserve"> SD (n = </w:t>
                      </w:r>
                      <w:r>
                        <w:rPr>
                          <w:sz w:val="20"/>
                          <w:szCs w:val="20"/>
                        </w:rPr>
                        <w:t>6</w:t>
                      </w:r>
                      <w:r w:rsidRPr="00AE22CE">
                        <w:rPr>
                          <w:sz w:val="20"/>
                          <w:szCs w:val="20"/>
                        </w:rPr>
                        <w:t>-8 biological replicates from 1 infection experiment</w:t>
                      </w:r>
                      <w:r>
                        <w:rPr>
                          <w:sz w:val="20"/>
                          <w:szCs w:val="20"/>
                        </w:rPr>
                        <w:t>, 1 mouse = 1 filled circle</w:t>
                      </w:r>
                      <w:r w:rsidRPr="00AE22CE">
                        <w:rPr>
                          <w:sz w:val="20"/>
                          <w:szCs w:val="20"/>
                        </w:rPr>
                        <w:t>), data was analysed using Dunn’s Multiple Comparison Test, p &lt; 0.05: *, p &lt; 0.01: **, p &lt; 0.001: ***.</w:t>
                      </w:r>
                      <w:r>
                        <w:rPr>
                          <w:sz w:val="20"/>
                          <w:szCs w:val="20"/>
                        </w:rPr>
                        <w:t xml:space="preserve"> Samples were generated using liver digestion and staining protocol 2 and processed using the column free extraction method.</w:t>
                      </w:r>
                      <w:bookmarkEnd w:id="309"/>
                      <w:bookmarkEnd w:id="310"/>
                    </w:p>
                    <w:p w14:paraId="701D1B00" w14:textId="2F2E4A72" w:rsidR="00F61130" w:rsidRPr="00AE22CE" w:rsidRDefault="00F61130" w:rsidP="00C3358A">
                      <w:pPr>
                        <w:pStyle w:val="Caption"/>
                        <w:spacing w:line="360" w:lineRule="auto"/>
                        <w:jc w:val="both"/>
                        <w:rPr>
                          <w:noProof/>
                          <w:sz w:val="20"/>
                          <w:szCs w:val="20"/>
                        </w:rPr>
                      </w:pPr>
                    </w:p>
                  </w:txbxContent>
                </v:textbox>
                <w10:wrap type="square"/>
              </v:shape>
            </w:pict>
          </mc:Fallback>
        </mc:AlternateContent>
      </w:r>
      <w:r w:rsidR="00C3358A" w:rsidRPr="008B3AD6">
        <w:t xml:space="preserve">Next, the total leukocyte drug accumulation was compared back to its corresponding whole liver sample to derive the percentage of </w:t>
      </w:r>
      <w:r w:rsidR="00A32111">
        <w:t>AmB</w:t>
      </w:r>
      <w:r w:rsidR="00C3358A" w:rsidRPr="008B3AD6">
        <w:t xml:space="preserve"> in the leukocyte population at each time (</w:t>
      </w:r>
      <w:r w:rsidR="00C3358A" w:rsidRPr="008B3AD6">
        <w:rPr>
          <w:b/>
        </w:rPr>
        <w:fldChar w:fldCharType="begin"/>
      </w:r>
      <w:r w:rsidR="00C3358A" w:rsidRPr="008B3AD6">
        <w:rPr>
          <w:b/>
        </w:rPr>
        <w:instrText xml:space="preserve"> REF _Ref518932772  \* MERGEFORMAT </w:instrText>
      </w:r>
      <w:r w:rsidR="00C3358A" w:rsidRPr="008B3AD6">
        <w:rPr>
          <w:b/>
        </w:rPr>
        <w:fldChar w:fldCharType="separate"/>
      </w:r>
      <w:r w:rsidR="00E5551E" w:rsidRPr="00E5551E">
        <w:rPr>
          <w:b/>
        </w:rPr>
        <w:t xml:space="preserve">Figure </w:t>
      </w:r>
      <w:r w:rsidR="00E5551E" w:rsidRPr="00E5551E">
        <w:rPr>
          <w:b/>
          <w:noProof/>
        </w:rPr>
        <w:t>3.13</w:t>
      </w:r>
      <w:r w:rsidR="00C3358A" w:rsidRPr="008B3AD6">
        <w:rPr>
          <w:b/>
        </w:rPr>
        <w:fldChar w:fldCharType="end"/>
      </w:r>
      <w:r w:rsidR="00C3358A" w:rsidRPr="008B3AD6">
        <w:rPr>
          <w:b/>
        </w:rPr>
        <w:t>B</w:t>
      </w:r>
      <w:r w:rsidR="00C3358A" w:rsidRPr="00B23FF8">
        <w:t>)</w:t>
      </w:r>
      <w:r w:rsidR="00C3358A" w:rsidRPr="008B3AD6">
        <w:t xml:space="preserve">. For all time points analysed the majority of </w:t>
      </w:r>
      <w:r w:rsidR="00A32111">
        <w:t>AmB</w:t>
      </w:r>
      <w:r w:rsidR="00C3358A" w:rsidRPr="008B3AD6">
        <w:t xml:space="preserve"> was found to accumulate outside of leukocytes, the same trend as described previously in </w:t>
      </w:r>
      <w:r w:rsidR="0074700A">
        <w:rPr>
          <w:b/>
        </w:rPr>
        <w:fldChar w:fldCharType="begin"/>
      </w:r>
      <w:r w:rsidR="0074700A">
        <w:rPr>
          <w:b/>
        </w:rPr>
        <w:instrText xml:space="preserve"> REF _Ref518932093  \* MERGEFORMAT </w:instrText>
      </w:r>
      <w:r w:rsidR="0074700A">
        <w:rPr>
          <w:b/>
        </w:rPr>
        <w:fldChar w:fldCharType="separate"/>
      </w:r>
      <w:r w:rsidR="00E5551E" w:rsidRPr="00E5551E">
        <w:rPr>
          <w:b/>
        </w:rPr>
        <w:t xml:space="preserve">Figure </w:t>
      </w:r>
      <w:r w:rsidR="00E5551E" w:rsidRPr="00E5551E">
        <w:rPr>
          <w:b/>
          <w:noProof/>
        </w:rPr>
        <w:t>3.9</w:t>
      </w:r>
      <w:r w:rsidR="0074700A">
        <w:rPr>
          <w:b/>
          <w:noProof/>
        </w:rPr>
        <w:fldChar w:fldCharType="end"/>
      </w:r>
      <w:r w:rsidR="00C3358A" w:rsidRPr="008B3AD6">
        <w:t>. Together these data suggest that the majority of drug found in the liver post-treatment will be accumulated in the parenchyma.</w:t>
      </w:r>
      <w:r w:rsidR="00593133" w:rsidRPr="008B3AD6">
        <w:t xml:space="preserve"> </w:t>
      </w:r>
    </w:p>
    <w:p w14:paraId="765F17E4" w14:textId="22836A55" w:rsidR="00C3358A" w:rsidRPr="008B3AD6" w:rsidRDefault="00C3358A" w:rsidP="006D715E">
      <w:pPr>
        <w:spacing w:line="360" w:lineRule="auto"/>
        <w:jc w:val="both"/>
      </w:pPr>
      <w:r w:rsidRPr="008B3AD6">
        <w:lastRenderedPageBreak/>
        <w:t xml:space="preserve">In summary, the data so far indicates that the liver is a major site of accumulation of </w:t>
      </w:r>
      <w:r w:rsidR="00A32111">
        <w:t>AmB</w:t>
      </w:r>
      <w:r w:rsidRPr="008B3AD6">
        <w:t xml:space="preserve"> after treatment of </w:t>
      </w:r>
      <w:r w:rsidRPr="008B3AD6">
        <w:rPr>
          <w:i/>
        </w:rPr>
        <w:t>L</w:t>
      </w:r>
      <w:r w:rsidRPr="008B3AD6">
        <w:t>.</w:t>
      </w:r>
      <w:r w:rsidRPr="008B3AD6">
        <w:rPr>
          <w:i/>
        </w:rPr>
        <w:t xml:space="preserve"> donovani-</w:t>
      </w:r>
      <w:r w:rsidRPr="008B3AD6">
        <w:t xml:space="preserve">infected mice. Additionally, </w:t>
      </w:r>
      <w:r w:rsidR="00A32111">
        <w:t>AmB</w:t>
      </w:r>
      <w:r w:rsidRPr="008B3AD6">
        <w:t xml:space="preserve"> accumulates in a variety of leukocytes </w:t>
      </w:r>
      <w:r w:rsidR="00CE4845">
        <w:t>however the majority of AmB accumulation at the sub-tissue level does not appear to be found within these leukocytes</w:t>
      </w:r>
      <w:r w:rsidRPr="008B3AD6">
        <w:t xml:space="preserve">. Nevertheless, this drug distribution leads to significant decreases in parasite load. To further our analysis, we next sought to describe the accumulation of </w:t>
      </w:r>
      <w:r w:rsidR="00A32111">
        <w:t>AmB</w:t>
      </w:r>
      <w:r w:rsidRPr="008B3AD6">
        <w:t xml:space="preserve"> within leukocyte subsets over time, namely monocytes, neutrophils, lymphoid cells and </w:t>
      </w:r>
      <w:r w:rsidR="00D0291A">
        <w:t>KCs &amp; DCs</w:t>
      </w:r>
      <w:r w:rsidRPr="008B3AD6">
        <w:t xml:space="preserve">. As above, leukocytes were sorted from 28 day infected mice at 1, 12, 24 or 72h after Ambisome treatment (Section </w:t>
      </w:r>
      <w:r w:rsidRPr="008B3AD6">
        <w:fldChar w:fldCharType="begin"/>
      </w:r>
      <w:r w:rsidRPr="008B3AD6">
        <w:instrText xml:space="preserve"> REF _Ref521769724 \n </w:instrText>
      </w:r>
      <w:r w:rsidR="006D715E" w:rsidRPr="008B3AD6">
        <w:instrText xml:space="preserve"> \* MERGEFORMAT </w:instrText>
      </w:r>
      <w:r w:rsidRPr="008B3AD6">
        <w:fldChar w:fldCharType="separate"/>
      </w:r>
      <w:r w:rsidR="00E5551E">
        <w:t>2.10</w:t>
      </w:r>
      <w:r w:rsidRPr="008B3AD6">
        <w:fldChar w:fldCharType="end"/>
      </w:r>
      <w:r w:rsidRPr="008B3AD6">
        <w:t xml:space="preserve"> and </w:t>
      </w:r>
      <w:r w:rsidRPr="008B3AD6">
        <w:rPr>
          <w:b/>
        </w:rPr>
        <w:fldChar w:fldCharType="begin"/>
      </w:r>
      <w:r w:rsidRPr="008B3AD6">
        <w:rPr>
          <w:b/>
        </w:rPr>
        <w:instrText xml:space="preserve"> REF _Ref518932440  \* MERGEFORMAT </w:instrText>
      </w:r>
      <w:r w:rsidRPr="008B3AD6">
        <w:rPr>
          <w:b/>
        </w:rPr>
        <w:fldChar w:fldCharType="separate"/>
      </w:r>
      <w:r w:rsidR="00E5551E" w:rsidRPr="00E5551E">
        <w:rPr>
          <w:b/>
        </w:rPr>
        <w:t xml:space="preserve">Figure </w:t>
      </w:r>
      <w:r w:rsidR="00E5551E" w:rsidRPr="00E5551E">
        <w:rPr>
          <w:b/>
          <w:noProof/>
        </w:rPr>
        <w:t>3.11</w:t>
      </w:r>
      <w:r w:rsidRPr="008B3AD6">
        <w:rPr>
          <w:b/>
          <w:noProof/>
        </w:rPr>
        <w:fldChar w:fldCharType="end"/>
      </w:r>
      <w:r w:rsidRPr="008B3AD6">
        <w:rPr>
          <w:b/>
          <w:noProof/>
        </w:rPr>
        <w:t>)</w:t>
      </w:r>
      <w:r w:rsidRPr="008B3AD6">
        <w:t>.  At least 3 technical replicates of 1 x 10</w:t>
      </w:r>
      <w:r w:rsidRPr="008B3AD6">
        <w:rPr>
          <w:vertAlign w:val="superscript"/>
        </w:rPr>
        <w:t>5</w:t>
      </w:r>
      <w:r w:rsidRPr="008B3AD6">
        <w:t xml:space="preserve"> cells per subset per timepoint were collected for LC-MS</w:t>
      </w:r>
      <w:r w:rsidR="00D0291A">
        <w:t>/MS</w:t>
      </w:r>
      <w:r w:rsidRPr="008B3AD6">
        <w:t xml:space="preserve"> analysis. To ascertain total subset population abundances t</w:t>
      </w:r>
      <w:r w:rsidRPr="008B3AD6">
        <w:rPr>
          <w:lang w:val="en-US"/>
        </w:rPr>
        <w:t xml:space="preserve">he proportional population abundances were captured and related back to the original leukocyte count. </w:t>
      </w:r>
    </w:p>
    <w:p w14:paraId="392487C1" w14:textId="77777777" w:rsidR="00C3358A" w:rsidRPr="00302B8E" w:rsidRDefault="00C3358A" w:rsidP="006D715E">
      <w:pPr>
        <w:spacing w:line="360" w:lineRule="auto"/>
        <w:jc w:val="both"/>
      </w:pPr>
    </w:p>
    <w:p w14:paraId="6132A9F3" w14:textId="2D89E90E" w:rsidR="00C3358A" w:rsidRPr="008B3AD6" w:rsidRDefault="00C3358A" w:rsidP="006D715E">
      <w:pPr>
        <w:spacing w:line="360" w:lineRule="auto"/>
        <w:jc w:val="both"/>
      </w:pPr>
      <w:r w:rsidRPr="008B3AD6">
        <w:rPr>
          <w:lang w:val="en-US"/>
        </w:rPr>
        <w:t xml:space="preserve">Analysis of </w:t>
      </w:r>
      <w:r w:rsidRPr="008B3AD6">
        <w:t>population abundances pre-treatment (0h post-treatment) and at 1, 12, 24 and 72h post-treatment for monocytes (</w:t>
      </w:r>
      <w:r w:rsidRPr="008B3AD6">
        <w:rPr>
          <w:b/>
          <w:lang w:val="en-US"/>
        </w:rPr>
        <w:fldChar w:fldCharType="begin"/>
      </w:r>
      <w:r w:rsidRPr="008B3AD6">
        <w:rPr>
          <w:b/>
          <w:lang w:val="en-US"/>
        </w:rPr>
        <w:instrText xml:space="preserve"> REF _Ref518932911  \* MERGEFORMAT </w:instrText>
      </w:r>
      <w:r w:rsidRPr="008B3AD6">
        <w:rPr>
          <w:b/>
          <w:lang w:val="en-US"/>
        </w:rPr>
        <w:fldChar w:fldCharType="separate"/>
      </w:r>
      <w:r w:rsidR="00E5551E" w:rsidRPr="00E5551E">
        <w:rPr>
          <w:b/>
        </w:rPr>
        <w:t xml:space="preserve">Figure </w:t>
      </w:r>
      <w:r w:rsidR="00E5551E" w:rsidRPr="00E5551E">
        <w:rPr>
          <w:b/>
          <w:noProof/>
        </w:rPr>
        <w:t>3.14</w:t>
      </w:r>
      <w:r w:rsidRPr="008B3AD6">
        <w:rPr>
          <w:b/>
          <w:lang w:val="en-US"/>
        </w:rPr>
        <w:fldChar w:fldCharType="end"/>
      </w:r>
      <w:r w:rsidRPr="008B3AD6">
        <w:rPr>
          <w:b/>
        </w:rPr>
        <w:t>Ai</w:t>
      </w:r>
      <w:r w:rsidRPr="008B3AD6">
        <w:t>), neutrophils (</w:t>
      </w:r>
      <w:r w:rsidRPr="008B3AD6">
        <w:rPr>
          <w:b/>
          <w:lang w:val="en-US"/>
        </w:rPr>
        <w:fldChar w:fldCharType="begin"/>
      </w:r>
      <w:r w:rsidRPr="008B3AD6">
        <w:rPr>
          <w:b/>
          <w:lang w:val="en-US"/>
        </w:rPr>
        <w:instrText xml:space="preserve"> REF _Ref518932911  \* MERGEFORMAT </w:instrText>
      </w:r>
      <w:r w:rsidRPr="008B3AD6">
        <w:rPr>
          <w:b/>
          <w:lang w:val="en-US"/>
        </w:rPr>
        <w:fldChar w:fldCharType="separate"/>
      </w:r>
      <w:r w:rsidR="00E5551E" w:rsidRPr="00E5551E">
        <w:rPr>
          <w:b/>
        </w:rPr>
        <w:t xml:space="preserve">Figure </w:t>
      </w:r>
      <w:r w:rsidR="00E5551E" w:rsidRPr="00E5551E">
        <w:rPr>
          <w:b/>
          <w:noProof/>
        </w:rPr>
        <w:t>3.14</w:t>
      </w:r>
      <w:r w:rsidRPr="008B3AD6">
        <w:rPr>
          <w:b/>
          <w:lang w:val="en-US"/>
        </w:rPr>
        <w:fldChar w:fldCharType="end"/>
      </w:r>
      <w:r w:rsidRPr="008B3AD6">
        <w:rPr>
          <w:b/>
        </w:rPr>
        <w:t>Bi</w:t>
      </w:r>
      <w:r w:rsidRPr="008B3AD6">
        <w:t>), Kupffer &amp; dendritic cells (</w:t>
      </w:r>
      <w:r w:rsidRPr="008B3AD6">
        <w:rPr>
          <w:b/>
          <w:lang w:val="en-US"/>
        </w:rPr>
        <w:fldChar w:fldCharType="begin"/>
      </w:r>
      <w:r w:rsidRPr="008B3AD6">
        <w:rPr>
          <w:b/>
          <w:lang w:val="en-US"/>
        </w:rPr>
        <w:instrText xml:space="preserve"> REF _Ref518932911  \* MERGEFORMAT </w:instrText>
      </w:r>
      <w:r w:rsidRPr="008B3AD6">
        <w:rPr>
          <w:b/>
          <w:lang w:val="en-US"/>
        </w:rPr>
        <w:fldChar w:fldCharType="separate"/>
      </w:r>
      <w:r w:rsidR="00E5551E" w:rsidRPr="00E5551E">
        <w:rPr>
          <w:b/>
        </w:rPr>
        <w:t xml:space="preserve">Figure </w:t>
      </w:r>
      <w:r w:rsidR="00E5551E" w:rsidRPr="00E5551E">
        <w:rPr>
          <w:b/>
          <w:noProof/>
        </w:rPr>
        <w:t>3.14</w:t>
      </w:r>
      <w:r w:rsidRPr="008B3AD6">
        <w:rPr>
          <w:b/>
          <w:lang w:val="en-US"/>
        </w:rPr>
        <w:fldChar w:fldCharType="end"/>
      </w:r>
      <w:r w:rsidRPr="008B3AD6">
        <w:rPr>
          <w:b/>
        </w:rPr>
        <w:t>Ci</w:t>
      </w:r>
      <w:r w:rsidRPr="008B3AD6">
        <w:t>) and lymphoid cells (</w:t>
      </w:r>
      <w:r w:rsidRPr="008B3AD6">
        <w:rPr>
          <w:b/>
          <w:lang w:val="en-US"/>
        </w:rPr>
        <w:fldChar w:fldCharType="begin"/>
      </w:r>
      <w:r w:rsidRPr="008B3AD6">
        <w:rPr>
          <w:b/>
          <w:lang w:val="en-US"/>
        </w:rPr>
        <w:instrText xml:space="preserve"> REF _Ref518932911  \* MERGEFORMAT </w:instrText>
      </w:r>
      <w:r w:rsidRPr="008B3AD6">
        <w:rPr>
          <w:b/>
          <w:lang w:val="en-US"/>
        </w:rPr>
        <w:fldChar w:fldCharType="separate"/>
      </w:r>
      <w:r w:rsidR="00E5551E" w:rsidRPr="00E5551E">
        <w:rPr>
          <w:b/>
        </w:rPr>
        <w:t xml:space="preserve">Figure </w:t>
      </w:r>
      <w:r w:rsidR="00E5551E" w:rsidRPr="00E5551E">
        <w:rPr>
          <w:b/>
          <w:noProof/>
        </w:rPr>
        <w:t>3.14</w:t>
      </w:r>
      <w:r w:rsidRPr="008B3AD6">
        <w:rPr>
          <w:b/>
          <w:lang w:val="en-US"/>
        </w:rPr>
        <w:fldChar w:fldCharType="end"/>
      </w:r>
      <w:r w:rsidRPr="008B3AD6">
        <w:rPr>
          <w:b/>
        </w:rPr>
        <w:t>Di</w:t>
      </w:r>
      <w:r w:rsidRPr="008B3AD6">
        <w:t xml:space="preserve">) suggest that </w:t>
      </w:r>
      <w:r w:rsidR="00A32111">
        <w:t>AmB</w:t>
      </w:r>
      <w:r w:rsidRPr="008B3AD6">
        <w:t xml:space="preserve"> may have additionally affected population abundances with a transient increase in neutrophils seen and a sharp decrease in lymphoid cells at the end of the treatment window.</w:t>
      </w:r>
      <w:r w:rsidR="00615012" w:rsidRPr="008B3AD6">
        <w:t xml:space="preserve"> </w:t>
      </w:r>
      <w:r w:rsidR="00CE4845">
        <w:t xml:space="preserve">However, it should be considered that alterations in population abundances between time-points could be due to technical variation in sample processing, for which repeat experiments should be conducted to rule this out. </w:t>
      </w:r>
      <w:r w:rsidR="00A32111">
        <w:t>AmB</w:t>
      </w:r>
      <w:r w:rsidRPr="008B3AD6">
        <w:t xml:space="preserve"> accumulation in monocytes (</w:t>
      </w:r>
      <w:r w:rsidRPr="008B3AD6">
        <w:rPr>
          <w:b/>
          <w:lang w:val="en-US"/>
        </w:rPr>
        <w:fldChar w:fldCharType="begin"/>
      </w:r>
      <w:r w:rsidRPr="008B3AD6">
        <w:rPr>
          <w:b/>
          <w:lang w:val="en-US"/>
        </w:rPr>
        <w:instrText xml:space="preserve"> REF _Ref518932911  \* MERGEFORMAT </w:instrText>
      </w:r>
      <w:r w:rsidRPr="008B3AD6">
        <w:rPr>
          <w:b/>
          <w:lang w:val="en-US"/>
        </w:rPr>
        <w:fldChar w:fldCharType="separate"/>
      </w:r>
      <w:r w:rsidR="00E5551E" w:rsidRPr="00E5551E">
        <w:rPr>
          <w:b/>
        </w:rPr>
        <w:t xml:space="preserve">Figure </w:t>
      </w:r>
      <w:r w:rsidR="00E5551E" w:rsidRPr="00E5551E">
        <w:rPr>
          <w:b/>
          <w:noProof/>
        </w:rPr>
        <w:t>3.14</w:t>
      </w:r>
      <w:r w:rsidRPr="008B3AD6">
        <w:rPr>
          <w:b/>
          <w:lang w:val="en-US"/>
        </w:rPr>
        <w:fldChar w:fldCharType="end"/>
      </w:r>
      <w:r w:rsidRPr="008B3AD6">
        <w:rPr>
          <w:b/>
        </w:rPr>
        <w:t>Aii</w:t>
      </w:r>
      <w:r w:rsidRPr="008B3AD6">
        <w:t>), neutrophils (</w:t>
      </w:r>
      <w:r w:rsidRPr="008B3AD6">
        <w:rPr>
          <w:b/>
          <w:lang w:val="en-US"/>
        </w:rPr>
        <w:fldChar w:fldCharType="begin"/>
      </w:r>
      <w:r w:rsidRPr="008B3AD6">
        <w:rPr>
          <w:b/>
          <w:lang w:val="en-US"/>
        </w:rPr>
        <w:instrText xml:space="preserve"> REF _Ref518932911  \* MERGEFORMAT </w:instrText>
      </w:r>
      <w:r w:rsidRPr="008B3AD6">
        <w:rPr>
          <w:b/>
          <w:lang w:val="en-US"/>
        </w:rPr>
        <w:fldChar w:fldCharType="separate"/>
      </w:r>
      <w:r w:rsidR="00E5551E" w:rsidRPr="00E5551E">
        <w:rPr>
          <w:b/>
        </w:rPr>
        <w:t xml:space="preserve">Figure </w:t>
      </w:r>
      <w:r w:rsidR="00E5551E" w:rsidRPr="00E5551E">
        <w:rPr>
          <w:b/>
          <w:noProof/>
        </w:rPr>
        <w:t>3.14</w:t>
      </w:r>
      <w:r w:rsidRPr="008B3AD6">
        <w:rPr>
          <w:b/>
          <w:lang w:val="en-US"/>
        </w:rPr>
        <w:fldChar w:fldCharType="end"/>
      </w:r>
      <w:r w:rsidRPr="008B3AD6">
        <w:rPr>
          <w:b/>
        </w:rPr>
        <w:t>Bii</w:t>
      </w:r>
      <w:r w:rsidRPr="008B3AD6">
        <w:t>), Kupffer &amp; dendritic cells (</w:t>
      </w:r>
      <w:r w:rsidRPr="008B3AD6">
        <w:rPr>
          <w:b/>
          <w:lang w:val="en-US"/>
        </w:rPr>
        <w:fldChar w:fldCharType="begin"/>
      </w:r>
      <w:r w:rsidRPr="008B3AD6">
        <w:rPr>
          <w:b/>
          <w:lang w:val="en-US"/>
        </w:rPr>
        <w:instrText xml:space="preserve"> REF _Ref518932911  \* MERGEFORMAT </w:instrText>
      </w:r>
      <w:r w:rsidRPr="008B3AD6">
        <w:rPr>
          <w:b/>
          <w:lang w:val="en-US"/>
        </w:rPr>
        <w:fldChar w:fldCharType="separate"/>
      </w:r>
      <w:r w:rsidR="00E5551E" w:rsidRPr="00E5551E">
        <w:rPr>
          <w:b/>
        </w:rPr>
        <w:t xml:space="preserve">Figure </w:t>
      </w:r>
      <w:r w:rsidR="00E5551E" w:rsidRPr="00E5551E">
        <w:rPr>
          <w:b/>
          <w:noProof/>
        </w:rPr>
        <w:t>3.14</w:t>
      </w:r>
      <w:r w:rsidRPr="008B3AD6">
        <w:rPr>
          <w:b/>
          <w:lang w:val="en-US"/>
        </w:rPr>
        <w:fldChar w:fldCharType="end"/>
      </w:r>
      <w:r w:rsidRPr="008B3AD6">
        <w:rPr>
          <w:b/>
        </w:rPr>
        <w:t>Cii</w:t>
      </w:r>
      <w:r w:rsidRPr="008B3AD6">
        <w:t>) and lymphoid cells (</w:t>
      </w:r>
      <w:r w:rsidRPr="008B3AD6">
        <w:rPr>
          <w:b/>
          <w:lang w:val="en-US"/>
        </w:rPr>
        <w:fldChar w:fldCharType="begin"/>
      </w:r>
      <w:r w:rsidRPr="008B3AD6">
        <w:rPr>
          <w:b/>
          <w:lang w:val="en-US"/>
        </w:rPr>
        <w:instrText xml:space="preserve"> REF _Ref518932911  \* MERGEFORMAT </w:instrText>
      </w:r>
      <w:r w:rsidRPr="008B3AD6">
        <w:rPr>
          <w:b/>
          <w:lang w:val="en-US"/>
        </w:rPr>
        <w:fldChar w:fldCharType="separate"/>
      </w:r>
      <w:r w:rsidR="00E5551E" w:rsidRPr="00E5551E">
        <w:rPr>
          <w:b/>
        </w:rPr>
        <w:t xml:space="preserve">Figure </w:t>
      </w:r>
      <w:r w:rsidR="00E5551E" w:rsidRPr="00E5551E">
        <w:rPr>
          <w:b/>
          <w:noProof/>
        </w:rPr>
        <w:t>3.14</w:t>
      </w:r>
      <w:r w:rsidRPr="008B3AD6">
        <w:rPr>
          <w:b/>
          <w:lang w:val="en-US"/>
        </w:rPr>
        <w:fldChar w:fldCharType="end"/>
      </w:r>
      <w:r w:rsidRPr="008B3AD6">
        <w:rPr>
          <w:b/>
        </w:rPr>
        <w:t>Dii</w:t>
      </w:r>
      <w:r w:rsidRPr="008B3AD6">
        <w:t xml:space="preserve">) suggest  different accumulation at 12h between myeloid subsets. These data once again illustrate that myeloid cells accumulate more </w:t>
      </w:r>
      <w:r w:rsidR="00A32111">
        <w:t>AmB</w:t>
      </w:r>
      <w:r w:rsidRPr="008B3AD6">
        <w:t xml:space="preserve"> than lymphoid cells</w:t>
      </w:r>
      <w:r w:rsidR="006D715E" w:rsidRPr="008B3AD6">
        <w:t xml:space="preserve"> on a cell-for-cell basis</w:t>
      </w:r>
      <w:r w:rsidRPr="008B3AD6">
        <w:t>.</w:t>
      </w:r>
    </w:p>
    <w:p w14:paraId="6FAEBE18" w14:textId="77777777" w:rsidR="00C3358A" w:rsidRPr="008B3AD6" w:rsidRDefault="00C3358A" w:rsidP="006D715E">
      <w:pPr>
        <w:spacing w:line="360" w:lineRule="auto"/>
        <w:jc w:val="both"/>
      </w:pPr>
    </w:p>
    <w:p w14:paraId="29FE7D3D" w14:textId="1B6F4538" w:rsidR="00615012" w:rsidRPr="008B3AD6" w:rsidRDefault="00FF0C90" w:rsidP="006D715E">
      <w:pPr>
        <w:spacing w:line="360" w:lineRule="auto"/>
        <w:jc w:val="both"/>
        <w:rPr>
          <w:lang w:val="en-US"/>
        </w:rPr>
      </w:pPr>
      <w:r>
        <w:t>Combining</w:t>
      </w:r>
      <w:r w:rsidR="00C3358A" w:rsidRPr="008B3AD6">
        <w:t xml:space="preserve"> leukocyte subset abundance data (biological replicates) and drug accumulation data (technical replicates), we derived a total population accumulation time course for each subset</w:t>
      </w:r>
      <w:r w:rsidR="00C3358A" w:rsidRPr="008B3AD6">
        <w:rPr>
          <w:lang w:val="en-US"/>
        </w:rPr>
        <w:t xml:space="preserve"> by multiplying the average results</w:t>
      </w:r>
      <w:r w:rsidR="00C3358A" w:rsidRPr="008B3AD6">
        <w:t xml:space="preserve">. </w:t>
      </w:r>
      <w:r w:rsidR="00C3358A" w:rsidRPr="008B3AD6">
        <w:rPr>
          <w:lang w:val="en-US"/>
        </w:rPr>
        <w:t xml:space="preserve"> The standard error of the mean for each point was derived using multiplicative error propagation </w:t>
      </w:r>
      <w:r w:rsidR="00C3358A" w:rsidRPr="008B3AD6">
        <w:rPr>
          <w:lang w:val="en-US"/>
        </w:rPr>
        <w:fldChar w:fldCharType="begin"/>
      </w:r>
      <w:r w:rsidR="001E0E9E">
        <w:rPr>
          <w:lang w:val="en-US"/>
        </w:rPr>
        <w:instrText xml:space="preserve"> ADDIN ZOTERO_ITEM CSL_CITATION {"citationID":"kTbD0A1m","properties":{"formattedCitation":"(Goodman 1960)","plainCitation":"(Goodman 1960)","dontUpdate":true,"noteIndex":0},"citationItems":[{"id":2831,"uris":["http://zotero.org/users/2628971/items/J47EDBAU"],"uri":["http://zotero.org/users/2628971/items/J47EDBAU"],"itemData":{"id":2831,"type":"article-journal","title":"On the Exact Variance of Products","container-title":"Journal of the American Statistical Association","page":"708-713","volume":"55","issue":"292","source":"tandfonline.com (Atypon)","abstract":"A simple exact formula for the variance of the product of two random variables, say, x and y, is given as a function of the means and central product-moments of x and y. The usual approximate variance formula for xy is compared with this exact formula; e.g., we note, in the special case where x and y are independent, that the “variance” computed by the approximate formula is less than the exact variance, and that the accuracy of the approximation depends on the sum of the reciprocals of the squared coefficients of variation of x and y. The case where x and y need not be independent is also studied, and exact variance formulas are presented for several different “product estimates.” (The usefulness of exact formulas becomes apparent when the variances of these estimates are compared.) When x and y are independent, simple unbiased estimates of these exact variances are suggested; in the more general case, consistent estimates are presented.","DOI":"10.1080/01621459.1960.10483369","ISSN":"0162-1459","journalAbbreviation":"Journal of the American Statistical Association","author":[{"family":"Goodman","given":"Leo A."}],"issued":{"date-parts":[["1960",12,1]]}}}],"schema":"https://github.com/citation-style-language/schema/raw/master/csl-citation.json"} </w:instrText>
      </w:r>
      <w:r w:rsidR="00C3358A" w:rsidRPr="008B3AD6">
        <w:rPr>
          <w:lang w:val="en-US"/>
        </w:rPr>
        <w:fldChar w:fldCharType="separate"/>
      </w:r>
      <w:r w:rsidR="00025067">
        <w:rPr>
          <w:noProof/>
          <w:lang w:val="en-US"/>
        </w:rPr>
        <w:t>(</w:t>
      </w:r>
      <w:r>
        <w:rPr>
          <w:noProof/>
          <w:lang w:val="en-US"/>
        </w:rPr>
        <w:t xml:space="preserve">see Section </w:t>
      </w:r>
      <w:r>
        <w:rPr>
          <w:noProof/>
          <w:lang w:val="en-US"/>
        </w:rPr>
        <w:fldChar w:fldCharType="begin"/>
      </w:r>
      <w:r>
        <w:rPr>
          <w:noProof/>
          <w:lang w:val="en-US"/>
        </w:rPr>
        <w:instrText xml:space="preserve"> REF _Ref525072615 \n </w:instrText>
      </w:r>
      <w:r>
        <w:rPr>
          <w:noProof/>
          <w:lang w:val="en-US"/>
        </w:rPr>
        <w:fldChar w:fldCharType="separate"/>
      </w:r>
      <w:r w:rsidR="00E5551E">
        <w:rPr>
          <w:noProof/>
          <w:lang w:val="en-US"/>
        </w:rPr>
        <w:t>2.14</w:t>
      </w:r>
      <w:r>
        <w:rPr>
          <w:noProof/>
          <w:lang w:val="en-US"/>
        </w:rPr>
        <w:fldChar w:fldCharType="end"/>
      </w:r>
      <w:r w:rsidR="00025067">
        <w:rPr>
          <w:noProof/>
          <w:lang w:val="en-US"/>
        </w:rPr>
        <w:t>)</w:t>
      </w:r>
      <w:r w:rsidR="00C3358A" w:rsidRPr="008B3AD6">
        <w:rPr>
          <w:lang w:val="en-US"/>
        </w:rPr>
        <w:fldChar w:fldCharType="end"/>
      </w:r>
      <w:r w:rsidR="00C3358A" w:rsidRPr="008B3AD6">
        <w:rPr>
          <w:lang w:val="en-US"/>
        </w:rPr>
        <w:t>.  Analysis of the</w:t>
      </w:r>
      <w:r w:rsidR="00C3358A" w:rsidRPr="008B3AD6">
        <w:t xml:space="preserve"> time course data for monocytes (</w:t>
      </w:r>
      <w:r w:rsidR="00C3358A" w:rsidRPr="008B3AD6">
        <w:rPr>
          <w:b/>
          <w:lang w:val="en-US"/>
        </w:rPr>
        <w:fldChar w:fldCharType="begin"/>
      </w:r>
      <w:r w:rsidR="00C3358A" w:rsidRPr="008B3AD6">
        <w:rPr>
          <w:b/>
          <w:lang w:val="en-US"/>
        </w:rPr>
        <w:instrText xml:space="preserve"> REF _Ref518932911  \* MERGEFORMAT </w:instrText>
      </w:r>
      <w:r w:rsidR="00C3358A" w:rsidRPr="008B3AD6">
        <w:rPr>
          <w:b/>
          <w:lang w:val="en-US"/>
        </w:rPr>
        <w:fldChar w:fldCharType="separate"/>
      </w:r>
      <w:r w:rsidR="00E5551E" w:rsidRPr="00E5551E">
        <w:rPr>
          <w:b/>
        </w:rPr>
        <w:t xml:space="preserve">Figure </w:t>
      </w:r>
      <w:r w:rsidR="00E5551E" w:rsidRPr="00E5551E">
        <w:rPr>
          <w:b/>
          <w:noProof/>
        </w:rPr>
        <w:t>3.14</w:t>
      </w:r>
      <w:r w:rsidR="00C3358A" w:rsidRPr="008B3AD6">
        <w:rPr>
          <w:b/>
          <w:lang w:val="en-US"/>
        </w:rPr>
        <w:fldChar w:fldCharType="end"/>
      </w:r>
      <w:r w:rsidR="00C3358A" w:rsidRPr="008B3AD6">
        <w:rPr>
          <w:b/>
        </w:rPr>
        <w:t>Aiii</w:t>
      </w:r>
      <w:r w:rsidR="00C3358A" w:rsidRPr="008B3AD6">
        <w:t>), neutrophils (</w:t>
      </w:r>
      <w:r w:rsidR="00C3358A" w:rsidRPr="008B3AD6">
        <w:rPr>
          <w:b/>
          <w:lang w:val="en-US"/>
        </w:rPr>
        <w:fldChar w:fldCharType="begin"/>
      </w:r>
      <w:r w:rsidR="00C3358A" w:rsidRPr="008B3AD6">
        <w:rPr>
          <w:b/>
          <w:lang w:val="en-US"/>
        </w:rPr>
        <w:instrText xml:space="preserve"> REF _Ref518932911  \* MERGEFORMAT </w:instrText>
      </w:r>
      <w:r w:rsidR="00C3358A" w:rsidRPr="008B3AD6">
        <w:rPr>
          <w:b/>
          <w:lang w:val="en-US"/>
        </w:rPr>
        <w:fldChar w:fldCharType="separate"/>
      </w:r>
      <w:r w:rsidR="00E5551E" w:rsidRPr="00E5551E">
        <w:rPr>
          <w:b/>
        </w:rPr>
        <w:t xml:space="preserve">Figure </w:t>
      </w:r>
      <w:r w:rsidR="00E5551E" w:rsidRPr="00E5551E">
        <w:rPr>
          <w:b/>
          <w:noProof/>
        </w:rPr>
        <w:t>3.14</w:t>
      </w:r>
      <w:r w:rsidR="00C3358A" w:rsidRPr="008B3AD6">
        <w:rPr>
          <w:b/>
          <w:lang w:val="en-US"/>
        </w:rPr>
        <w:fldChar w:fldCharType="end"/>
      </w:r>
      <w:r w:rsidR="00C3358A" w:rsidRPr="008B3AD6">
        <w:rPr>
          <w:b/>
        </w:rPr>
        <w:t>Biii</w:t>
      </w:r>
      <w:r w:rsidR="00C3358A" w:rsidRPr="008B3AD6">
        <w:t xml:space="preserve">), </w:t>
      </w:r>
      <w:r>
        <w:t>KCs &amp; DCs</w:t>
      </w:r>
      <w:r w:rsidR="00C3358A" w:rsidRPr="008B3AD6">
        <w:t xml:space="preserve"> (</w:t>
      </w:r>
      <w:r w:rsidR="00C3358A" w:rsidRPr="008B3AD6">
        <w:rPr>
          <w:b/>
          <w:lang w:val="en-US"/>
        </w:rPr>
        <w:fldChar w:fldCharType="begin"/>
      </w:r>
      <w:r w:rsidR="00C3358A" w:rsidRPr="008B3AD6">
        <w:rPr>
          <w:b/>
          <w:lang w:val="en-US"/>
        </w:rPr>
        <w:instrText xml:space="preserve"> REF _Ref518932911  \* MERGEFORMAT </w:instrText>
      </w:r>
      <w:r w:rsidR="00C3358A" w:rsidRPr="008B3AD6">
        <w:rPr>
          <w:b/>
          <w:lang w:val="en-US"/>
        </w:rPr>
        <w:fldChar w:fldCharType="separate"/>
      </w:r>
      <w:r w:rsidR="00E5551E" w:rsidRPr="00E5551E">
        <w:rPr>
          <w:b/>
        </w:rPr>
        <w:t xml:space="preserve">Figure </w:t>
      </w:r>
      <w:r w:rsidR="00E5551E" w:rsidRPr="00E5551E">
        <w:rPr>
          <w:b/>
          <w:noProof/>
        </w:rPr>
        <w:t>3.14</w:t>
      </w:r>
      <w:r w:rsidR="00C3358A" w:rsidRPr="008B3AD6">
        <w:rPr>
          <w:b/>
          <w:lang w:val="en-US"/>
        </w:rPr>
        <w:fldChar w:fldCharType="end"/>
      </w:r>
      <w:r w:rsidR="00C3358A" w:rsidRPr="008B3AD6">
        <w:rPr>
          <w:b/>
        </w:rPr>
        <w:t>Ciii</w:t>
      </w:r>
      <w:r w:rsidR="00C3358A" w:rsidRPr="008B3AD6">
        <w:t>) and lymphoid cells (</w:t>
      </w:r>
      <w:r w:rsidR="00C3358A" w:rsidRPr="008B3AD6">
        <w:rPr>
          <w:b/>
          <w:lang w:val="en-US"/>
        </w:rPr>
        <w:fldChar w:fldCharType="begin"/>
      </w:r>
      <w:r w:rsidR="00C3358A" w:rsidRPr="008B3AD6">
        <w:rPr>
          <w:b/>
          <w:lang w:val="en-US"/>
        </w:rPr>
        <w:instrText xml:space="preserve"> REF _Ref518932911  \* MERGEFORMAT </w:instrText>
      </w:r>
      <w:r w:rsidR="00C3358A" w:rsidRPr="008B3AD6">
        <w:rPr>
          <w:b/>
          <w:lang w:val="en-US"/>
        </w:rPr>
        <w:fldChar w:fldCharType="separate"/>
      </w:r>
      <w:r w:rsidR="00E5551E" w:rsidRPr="00E5551E">
        <w:rPr>
          <w:b/>
        </w:rPr>
        <w:t xml:space="preserve">Figure </w:t>
      </w:r>
      <w:r w:rsidR="00E5551E" w:rsidRPr="00E5551E">
        <w:rPr>
          <w:b/>
          <w:noProof/>
        </w:rPr>
        <w:t>3.14</w:t>
      </w:r>
      <w:r w:rsidR="00C3358A" w:rsidRPr="008B3AD6">
        <w:rPr>
          <w:b/>
          <w:lang w:val="en-US"/>
        </w:rPr>
        <w:fldChar w:fldCharType="end"/>
      </w:r>
      <w:r w:rsidR="00C3358A" w:rsidRPr="008B3AD6">
        <w:rPr>
          <w:b/>
        </w:rPr>
        <w:t>Diii</w:t>
      </w:r>
      <w:r w:rsidR="00C3358A" w:rsidRPr="008B3AD6">
        <w:t xml:space="preserve">) indicated a distinct temporal accumulation for each population.  Monocytes accumulated the most drug (7.29 </w:t>
      </w:r>
      <w:r w:rsidR="00C3358A" w:rsidRPr="008B3AD6">
        <w:sym w:font="Symbol" w:char="F0B1"/>
      </w:r>
      <w:r w:rsidR="00C3358A" w:rsidRPr="008B3AD6">
        <w:t xml:space="preserve"> 1.40 ng at 12h post-treatment). Interestingly, </w:t>
      </w:r>
      <w:r>
        <w:t>KCs &amp; DCs</w:t>
      </w:r>
      <w:r w:rsidR="00C3358A" w:rsidRPr="008B3AD6">
        <w:t xml:space="preserve"> (</w:t>
      </w:r>
      <w:r w:rsidR="00C3358A" w:rsidRPr="008B3AD6">
        <w:rPr>
          <w:b/>
        </w:rPr>
        <w:fldChar w:fldCharType="begin"/>
      </w:r>
      <w:r w:rsidR="00C3358A" w:rsidRPr="008B3AD6">
        <w:rPr>
          <w:b/>
        </w:rPr>
        <w:instrText xml:space="preserve"> REF _Ref518932911  \* MERGEFORMAT </w:instrText>
      </w:r>
      <w:r w:rsidR="00C3358A" w:rsidRPr="008B3AD6">
        <w:rPr>
          <w:b/>
        </w:rPr>
        <w:fldChar w:fldCharType="separate"/>
      </w:r>
      <w:r w:rsidR="00E5551E" w:rsidRPr="00E5551E">
        <w:rPr>
          <w:b/>
        </w:rPr>
        <w:t xml:space="preserve">Figure </w:t>
      </w:r>
      <w:r w:rsidR="00E5551E" w:rsidRPr="00E5551E">
        <w:rPr>
          <w:b/>
          <w:noProof/>
        </w:rPr>
        <w:t>3.14</w:t>
      </w:r>
      <w:r w:rsidR="00C3358A" w:rsidRPr="008B3AD6">
        <w:rPr>
          <w:b/>
          <w:noProof/>
        </w:rPr>
        <w:fldChar w:fldCharType="end"/>
      </w:r>
      <w:r w:rsidR="00C3358A" w:rsidRPr="008B3AD6">
        <w:rPr>
          <w:b/>
        </w:rPr>
        <w:t>Bii</w:t>
      </w:r>
      <w:r w:rsidR="00C3358A" w:rsidRPr="008B3AD6">
        <w:t xml:space="preserve">), accrued low amounts of </w:t>
      </w:r>
      <w:r w:rsidR="00A32111">
        <w:t>AmB</w:t>
      </w:r>
      <w:r w:rsidR="00C3358A" w:rsidRPr="008B3AD6">
        <w:t xml:space="preserve"> </w:t>
      </w:r>
      <w:r w:rsidR="006D715E" w:rsidRPr="008B3AD6">
        <w:t xml:space="preserve">peaking at </w:t>
      </w:r>
      <w:r w:rsidR="00C3358A" w:rsidRPr="008B3AD6">
        <w:t xml:space="preserve">3.83 </w:t>
      </w:r>
      <w:r w:rsidR="00C3358A" w:rsidRPr="008B3AD6">
        <w:sym w:font="Symbol" w:char="F0B1"/>
      </w:r>
      <w:r w:rsidR="006D715E" w:rsidRPr="008B3AD6">
        <w:t xml:space="preserve"> 1.08 ng </w:t>
      </w:r>
      <w:r w:rsidR="00C3358A" w:rsidRPr="008B3AD6">
        <w:t xml:space="preserve">at 72h post-treatment. Additionally, lymphoid cells, which </w:t>
      </w:r>
      <w:r w:rsidR="00C3358A" w:rsidRPr="008B3AD6">
        <w:lastRenderedPageBreak/>
        <w:t xml:space="preserve">do not serve as a significant parasite host, rapidly accumulate drug, to </w:t>
      </w:r>
      <w:r w:rsidR="006D715E" w:rsidRPr="008B3AD6">
        <w:t xml:space="preserve">a </w:t>
      </w:r>
      <w:r w:rsidR="00C3358A" w:rsidRPr="008B3AD6">
        <w:t>similar extent as monocytes</w:t>
      </w:r>
      <w:r w:rsidR="00CE4845">
        <w:t xml:space="preserve"> at the total population level</w:t>
      </w:r>
      <w:r w:rsidR="00C3358A" w:rsidRPr="008B3AD6">
        <w:t>.</w:t>
      </w:r>
      <w:r w:rsidR="00615012" w:rsidRPr="008B3AD6">
        <w:t xml:space="preserve"> </w:t>
      </w:r>
    </w:p>
    <w:p w14:paraId="24DA32CB" w14:textId="7C1C48C9" w:rsidR="00615012" w:rsidRPr="008B3AD6" w:rsidRDefault="00615012">
      <w:pPr>
        <w:spacing w:line="240" w:lineRule="auto"/>
      </w:pPr>
      <w:r w:rsidRPr="008B3AD6">
        <w:br w:type="page"/>
      </w:r>
    </w:p>
    <w:p w14:paraId="5137697C" w14:textId="77777777" w:rsidR="0080587B" w:rsidRPr="008B3AD6" w:rsidRDefault="0080587B" w:rsidP="0080587B">
      <w:pPr>
        <w:spacing w:line="360" w:lineRule="auto"/>
        <w:jc w:val="both"/>
        <w:sectPr w:rsidR="0080587B" w:rsidRPr="008B3AD6" w:rsidSect="00E44977">
          <w:pgSz w:w="11900" w:h="16840"/>
          <w:pgMar w:top="1134" w:right="851" w:bottom="1134" w:left="2268" w:header="709" w:footer="709" w:gutter="0"/>
          <w:cols w:space="708"/>
          <w:docGrid w:linePitch="360"/>
        </w:sectPr>
      </w:pPr>
    </w:p>
    <w:p w14:paraId="1EFAAA59" w14:textId="1C037BE0" w:rsidR="0080587B" w:rsidRPr="008B3AD6" w:rsidRDefault="00B46FE3" w:rsidP="0080587B">
      <w:pPr>
        <w:spacing w:line="360" w:lineRule="auto"/>
        <w:jc w:val="both"/>
        <w:rPr>
          <w:lang w:val="en-US"/>
        </w:rPr>
        <w:sectPr w:rsidR="0080587B" w:rsidRPr="008B3AD6" w:rsidSect="0080587B">
          <w:pgSz w:w="16840" w:h="11900" w:orient="landscape"/>
          <w:pgMar w:top="851" w:right="1134" w:bottom="2268" w:left="1134" w:header="709" w:footer="709" w:gutter="0"/>
          <w:cols w:space="708"/>
          <w:docGrid w:linePitch="360"/>
        </w:sectPr>
      </w:pPr>
      <w:r>
        <w:rPr>
          <w:noProof/>
          <w:lang w:val="en-US"/>
        </w:rPr>
        <w:lastRenderedPageBreak/>
        <w:drawing>
          <wp:anchor distT="0" distB="0" distL="114300" distR="114300" simplePos="0" relativeHeight="252198912" behindDoc="0" locked="0" layoutInCell="1" allowOverlap="1" wp14:anchorId="4CB40C94" wp14:editId="6AF8F5DD">
            <wp:simplePos x="0" y="0"/>
            <wp:positionH relativeFrom="column">
              <wp:posOffset>7245350</wp:posOffset>
            </wp:positionH>
            <wp:positionV relativeFrom="paragraph">
              <wp:posOffset>5016010</wp:posOffset>
            </wp:positionV>
            <wp:extent cx="1264748" cy="112636"/>
            <wp:effectExtent l="0" t="0" r="0" b="1905"/>
            <wp:wrapTight wrapText="bothSides">
              <wp:wrapPolygon edited="0">
                <wp:start x="0" y="0"/>
                <wp:lineTo x="0" y="19525"/>
                <wp:lineTo x="21264" y="19525"/>
                <wp:lineTo x="21264" y="0"/>
                <wp:lineTo x="0" y="0"/>
              </wp:wrapPolygon>
            </wp:wrapTight>
            <wp:docPr id="471" name="Picture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6" name="Picture 736"/>
                    <pic:cNvPicPr>
                      <a:picLocks noChangeAspect="1"/>
                    </pic:cNvPicPr>
                  </pic:nvPicPr>
                  <pic:blipFill rotWithShape="1">
                    <a:blip r:embed="rId45">
                      <a:extLst>
                        <a:ext uri="{28A0092B-C50C-407E-A947-70E740481C1C}">
                          <a14:useLocalDpi xmlns:a14="http://schemas.microsoft.com/office/drawing/2010/main" val="0"/>
                        </a:ext>
                      </a:extLst>
                    </a:blip>
                    <a:srcRect l="57671" t="95012" r="28049" b="2851"/>
                    <a:stretch/>
                  </pic:blipFill>
                  <pic:spPr bwMode="auto">
                    <a:xfrm>
                      <a:off x="0" y="0"/>
                      <a:ext cx="1264748" cy="112636"/>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val="en-US"/>
        </w:rPr>
        <w:drawing>
          <wp:anchor distT="0" distB="0" distL="114300" distR="114300" simplePos="0" relativeHeight="251526144" behindDoc="0" locked="0" layoutInCell="1" allowOverlap="1" wp14:anchorId="08023AE1" wp14:editId="6BFD2208">
            <wp:simplePos x="0" y="0"/>
            <wp:positionH relativeFrom="column">
              <wp:posOffset>-11430</wp:posOffset>
            </wp:positionH>
            <wp:positionV relativeFrom="paragraph">
              <wp:posOffset>11575</wp:posOffset>
            </wp:positionV>
            <wp:extent cx="8863965" cy="5274945"/>
            <wp:effectExtent l="0" t="0" r="635" b="0"/>
            <wp:wrapTight wrapText="bothSides">
              <wp:wrapPolygon edited="0">
                <wp:start x="0" y="0"/>
                <wp:lineTo x="0" y="21530"/>
                <wp:lineTo x="21571" y="21530"/>
                <wp:lineTo x="21571" y="0"/>
                <wp:lineTo x="0" y="0"/>
              </wp:wrapPolygon>
            </wp:wrapTight>
            <wp:docPr id="736" name="Picture 7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6" name="Picture 736"/>
                    <pic:cNvPicPr>
                      <a:picLocks noChangeAspect="1"/>
                    </pic:cNvPicPr>
                  </pic:nvPicPr>
                  <pic:blipFill>
                    <a:blip r:embed="rId45">
                      <a:extLst>
                        <a:ext uri="{28A0092B-C50C-407E-A947-70E740481C1C}">
                          <a14:useLocalDpi xmlns:a14="http://schemas.microsoft.com/office/drawing/2010/main" val="0"/>
                        </a:ext>
                      </a:extLst>
                    </a:blip>
                    <a:stretch>
                      <a:fillRect/>
                    </a:stretch>
                  </pic:blipFill>
                  <pic:spPr>
                    <a:xfrm>
                      <a:off x="0" y="0"/>
                      <a:ext cx="8863965" cy="5274945"/>
                    </a:xfrm>
                    <a:prstGeom prst="rect">
                      <a:avLst/>
                    </a:prstGeom>
                  </pic:spPr>
                </pic:pic>
              </a:graphicData>
            </a:graphic>
          </wp:anchor>
        </w:drawing>
      </w:r>
      <w:r w:rsidR="004A105D">
        <w:rPr>
          <w:noProof/>
          <w:lang w:val="en-US"/>
        </w:rPr>
        <mc:AlternateContent>
          <mc:Choice Requires="wps">
            <w:drawing>
              <wp:anchor distT="0" distB="0" distL="114300" distR="114300" simplePos="0" relativeHeight="251540480" behindDoc="0" locked="0" layoutInCell="1" allowOverlap="1" wp14:anchorId="6CE7E009" wp14:editId="690F8BC2">
                <wp:simplePos x="0" y="0"/>
                <wp:positionH relativeFrom="column">
                  <wp:posOffset>-148590</wp:posOffset>
                </wp:positionH>
                <wp:positionV relativeFrom="paragraph">
                  <wp:posOffset>5174615</wp:posOffset>
                </wp:positionV>
                <wp:extent cx="9411335" cy="1549850"/>
                <wp:effectExtent l="0" t="0" r="12065" b="0"/>
                <wp:wrapNone/>
                <wp:docPr id="750" name="Text Box 750"/>
                <wp:cNvGraphicFramePr/>
                <a:graphic xmlns:a="http://schemas.openxmlformats.org/drawingml/2006/main">
                  <a:graphicData uri="http://schemas.microsoft.com/office/word/2010/wordprocessingShape">
                    <wps:wsp>
                      <wps:cNvSpPr txBox="1"/>
                      <wps:spPr>
                        <a:xfrm>
                          <a:off x="0" y="0"/>
                          <a:ext cx="9411335" cy="1549850"/>
                        </a:xfrm>
                        <a:prstGeom prst="rect">
                          <a:avLst/>
                        </a:prstGeom>
                        <a:noFill/>
                        <a:ln>
                          <a:noFill/>
                        </a:ln>
                      </wps:spPr>
                      <wps:txbx>
                        <w:txbxContent>
                          <w:p w14:paraId="3C929175" w14:textId="5FEC16AA" w:rsidR="00F61130" w:rsidRPr="0080587B" w:rsidRDefault="00F61130" w:rsidP="003B592E">
                            <w:pPr>
                              <w:pStyle w:val="Caption"/>
                              <w:spacing w:line="360" w:lineRule="auto"/>
                              <w:jc w:val="both"/>
                              <w:rPr>
                                <w:b/>
                                <w:noProof/>
                                <w:sz w:val="20"/>
                                <w:szCs w:val="20"/>
                              </w:rPr>
                            </w:pPr>
                            <w:bookmarkStart w:id="311" w:name="_Ref518932911"/>
                            <w:bookmarkStart w:id="312" w:name="_Toc525227205"/>
                            <w:bookmarkStart w:id="313" w:name="_Toc536814144"/>
                            <w:r w:rsidRPr="0080587B">
                              <w:rPr>
                                <w:b/>
                                <w:sz w:val="20"/>
                                <w:szCs w:val="20"/>
                              </w:rPr>
                              <w:t xml:space="preserve">Figure </w:t>
                            </w:r>
                            <w:r>
                              <w:rPr>
                                <w:b/>
                                <w:sz w:val="20"/>
                                <w:szCs w:val="20"/>
                              </w:rPr>
                              <w:fldChar w:fldCharType="begin"/>
                            </w:r>
                            <w:r>
                              <w:rPr>
                                <w:b/>
                                <w:sz w:val="20"/>
                                <w:szCs w:val="20"/>
                              </w:rPr>
                              <w:instrText xml:space="preserve"> STYLEREF 1 \s </w:instrText>
                            </w:r>
                            <w:r>
                              <w:rPr>
                                <w:b/>
                                <w:sz w:val="20"/>
                                <w:szCs w:val="20"/>
                              </w:rPr>
                              <w:fldChar w:fldCharType="separate"/>
                            </w:r>
                            <w:r>
                              <w:rPr>
                                <w:b/>
                                <w:noProof/>
                                <w:sz w:val="20"/>
                                <w:szCs w:val="20"/>
                              </w:rPr>
                              <w:t>3</w:t>
                            </w:r>
                            <w:r>
                              <w:rPr>
                                <w:b/>
                                <w:sz w:val="20"/>
                                <w:szCs w:val="20"/>
                              </w:rPr>
                              <w:fldChar w:fldCharType="end"/>
                            </w:r>
                            <w:r>
                              <w:rPr>
                                <w:b/>
                                <w:sz w:val="20"/>
                                <w:szCs w:val="20"/>
                              </w:rPr>
                              <w:t>.</w:t>
                            </w:r>
                            <w:r>
                              <w:rPr>
                                <w:b/>
                                <w:sz w:val="20"/>
                                <w:szCs w:val="20"/>
                              </w:rPr>
                              <w:fldChar w:fldCharType="begin"/>
                            </w:r>
                            <w:r>
                              <w:rPr>
                                <w:b/>
                                <w:sz w:val="20"/>
                                <w:szCs w:val="20"/>
                              </w:rPr>
                              <w:instrText xml:space="preserve"> SEQ Figure \* ARABIC \s 1 </w:instrText>
                            </w:r>
                            <w:r>
                              <w:rPr>
                                <w:b/>
                                <w:sz w:val="20"/>
                                <w:szCs w:val="20"/>
                              </w:rPr>
                              <w:fldChar w:fldCharType="separate"/>
                            </w:r>
                            <w:r>
                              <w:rPr>
                                <w:b/>
                                <w:noProof/>
                                <w:sz w:val="20"/>
                                <w:szCs w:val="20"/>
                              </w:rPr>
                              <w:t>14</w:t>
                            </w:r>
                            <w:r>
                              <w:rPr>
                                <w:b/>
                                <w:sz w:val="20"/>
                                <w:szCs w:val="20"/>
                              </w:rPr>
                              <w:fldChar w:fldCharType="end"/>
                            </w:r>
                            <w:bookmarkEnd w:id="311"/>
                            <w:r w:rsidRPr="0080587B">
                              <w:rPr>
                                <w:b/>
                                <w:sz w:val="20"/>
                                <w:szCs w:val="20"/>
                              </w:rPr>
                              <w:t xml:space="preserve"> – Quantification of Temporal Population Kinetics and Population Pharmacokinetics post-treatment of Hepatic Leukocyte Subsets. </w:t>
                            </w:r>
                            <w:r w:rsidRPr="0080587B">
                              <w:rPr>
                                <w:sz w:val="20"/>
                                <w:szCs w:val="20"/>
                              </w:rPr>
                              <w:t>Livers from Day 28 post-infection mice were collect</w:t>
                            </w:r>
                            <w:r>
                              <w:rPr>
                                <w:sz w:val="20"/>
                                <w:szCs w:val="20"/>
                              </w:rPr>
                              <w:t xml:space="preserve">ed at either 0, 1, 12, 24 or 72h </w:t>
                            </w:r>
                            <w:r w:rsidRPr="0080587B">
                              <w:rPr>
                                <w:sz w:val="20"/>
                                <w:szCs w:val="20"/>
                              </w:rPr>
                              <w:t xml:space="preserve">post-AmBisome treatment. Leukocytes were purified from these livers and were either analysed using flow cytometry (Ai – Di) or sorted using an </w:t>
                            </w:r>
                            <w:r>
                              <w:rPr>
                                <w:sz w:val="20"/>
                                <w:szCs w:val="20"/>
                              </w:rPr>
                              <w:t xml:space="preserve">MoFlo </w:t>
                            </w:r>
                            <w:r w:rsidRPr="00671735">
                              <w:rPr>
                                <w:sz w:val="20"/>
                                <w:szCs w:val="20"/>
                              </w:rPr>
                              <w:t>Astrios</w:t>
                            </w:r>
                            <w:r>
                              <w:rPr>
                                <w:sz w:val="20"/>
                                <w:szCs w:val="20"/>
                              </w:rPr>
                              <w:t xml:space="preserve"> with at least 1 x 10</w:t>
                            </w:r>
                            <w:r>
                              <w:rPr>
                                <w:sz w:val="20"/>
                                <w:szCs w:val="20"/>
                                <w:vertAlign w:val="superscript"/>
                              </w:rPr>
                              <w:t>5</w:t>
                            </w:r>
                            <w:r>
                              <w:rPr>
                                <w:sz w:val="20"/>
                                <w:szCs w:val="20"/>
                              </w:rPr>
                              <w:t xml:space="preserve"> cells per sample</w:t>
                            </w:r>
                            <w:r w:rsidRPr="0080587B">
                              <w:rPr>
                                <w:sz w:val="20"/>
                                <w:szCs w:val="20"/>
                              </w:rPr>
                              <w:t xml:space="preserve"> processed for Amphotericin B </w:t>
                            </w:r>
                            <w:r>
                              <w:rPr>
                                <w:sz w:val="20"/>
                                <w:szCs w:val="20"/>
                              </w:rPr>
                              <w:t>measurement</w:t>
                            </w:r>
                            <w:r w:rsidRPr="0080587B">
                              <w:rPr>
                                <w:sz w:val="20"/>
                                <w:szCs w:val="20"/>
                              </w:rPr>
                              <w:t xml:space="preserve"> (Aii – Dii). The population </w:t>
                            </w:r>
                            <w:r>
                              <w:rPr>
                                <w:sz w:val="20"/>
                                <w:szCs w:val="20"/>
                              </w:rPr>
                              <w:t>accumulation</w:t>
                            </w:r>
                            <w:r w:rsidRPr="0080587B">
                              <w:rPr>
                                <w:sz w:val="20"/>
                                <w:szCs w:val="20"/>
                              </w:rPr>
                              <w:t xml:space="preserve">, derived from combining the population kinetics and derived Amphotericin B levels, were then calculated (Aiii – Diii). Data for Ai-Di is mean </w:t>
                            </w:r>
                            <w:r w:rsidRPr="0080587B">
                              <w:rPr>
                                <w:sz w:val="20"/>
                                <w:szCs w:val="20"/>
                              </w:rPr>
                              <w:sym w:font="Symbol" w:char="F0B1"/>
                            </w:r>
                            <w:r w:rsidRPr="0080587B">
                              <w:rPr>
                                <w:sz w:val="20"/>
                                <w:szCs w:val="20"/>
                              </w:rPr>
                              <w:t xml:space="preserve"> SEM (n = 5-8 biological replicates from 1 infection experiment, data </w:t>
                            </w:r>
                            <w:r>
                              <w:rPr>
                                <w:sz w:val="20"/>
                                <w:szCs w:val="20"/>
                              </w:rPr>
                              <w:t>are</w:t>
                            </w:r>
                            <w:r w:rsidRPr="0080587B">
                              <w:rPr>
                                <w:sz w:val="20"/>
                                <w:szCs w:val="20"/>
                              </w:rPr>
                              <w:t xml:space="preserve"> analysed using a Bonferroni Multiple Comparisons test, p &lt; 0.05: *, p &lt; 0.01: **), data for Aii-Dii is mean </w:t>
                            </w:r>
                            <w:r w:rsidRPr="0080587B">
                              <w:rPr>
                                <w:sz w:val="20"/>
                                <w:szCs w:val="20"/>
                              </w:rPr>
                              <w:sym w:font="Symbol" w:char="F0B1"/>
                            </w:r>
                            <w:r w:rsidRPr="0080587B">
                              <w:rPr>
                                <w:sz w:val="20"/>
                                <w:szCs w:val="20"/>
                              </w:rPr>
                              <w:t xml:space="preserve"> SEM (n = 3-5 technical replicates from 6-8 pooled mice from 1 infection experiment) and data for Aiii-Diii is mean </w:t>
                            </w:r>
                            <w:r w:rsidRPr="0080587B">
                              <w:rPr>
                                <w:sz w:val="20"/>
                                <w:szCs w:val="20"/>
                              </w:rPr>
                              <w:sym w:font="Symbol" w:char="F0B1"/>
                            </w:r>
                            <w:r w:rsidRPr="0080587B">
                              <w:rPr>
                                <w:sz w:val="20"/>
                                <w:szCs w:val="20"/>
                              </w:rPr>
                              <w:t xml:space="preserve"> SEM (n = 1 data point, see </w:t>
                            </w:r>
                            <w:r>
                              <w:rPr>
                                <w:sz w:val="20"/>
                                <w:szCs w:val="20"/>
                              </w:rPr>
                              <w:t xml:space="preserve">Section </w:t>
                            </w:r>
                            <w:r w:rsidRPr="0014007F">
                              <w:rPr>
                                <w:sz w:val="20"/>
                                <w:szCs w:val="20"/>
                              </w:rPr>
                              <w:fldChar w:fldCharType="begin"/>
                            </w:r>
                            <w:r w:rsidRPr="0014007F">
                              <w:rPr>
                                <w:sz w:val="20"/>
                                <w:szCs w:val="20"/>
                              </w:rPr>
                              <w:instrText xml:space="preserve"> REF _Ref519022031 \n </w:instrText>
                            </w:r>
                            <w:r>
                              <w:rPr>
                                <w:sz w:val="20"/>
                                <w:szCs w:val="20"/>
                              </w:rPr>
                              <w:instrText xml:space="preserve"> \* MERGEFORMAT </w:instrText>
                            </w:r>
                            <w:r w:rsidRPr="0014007F">
                              <w:rPr>
                                <w:sz w:val="20"/>
                                <w:szCs w:val="20"/>
                              </w:rPr>
                              <w:fldChar w:fldCharType="separate"/>
                            </w:r>
                            <w:r>
                              <w:rPr>
                                <w:sz w:val="20"/>
                                <w:szCs w:val="20"/>
                              </w:rPr>
                              <w:t>2.14</w:t>
                            </w:r>
                            <w:r w:rsidRPr="0014007F">
                              <w:rPr>
                                <w:sz w:val="20"/>
                                <w:szCs w:val="20"/>
                              </w:rPr>
                              <w:fldChar w:fldCharType="end"/>
                            </w:r>
                            <w:r w:rsidRPr="0014007F">
                              <w:rPr>
                                <w:sz w:val="20"/>
                                <w:szCs w:val="20"/>
                              </w:rPr>
                              <w:t xml:space="preserve"> on combining biological and technical replicates). </w:t>
                            </w:r>
                            <w:r>
                              <w:rPr>
                                <w:sz w:val="20"/>
                                <w:szCs w:val="20"/>
                              </w:rPr>
                              <w:t>Samples were generated using liver digestion and staining protocol 2 and processed using the column free extraction method.</w:t>
                            </w:r>
                            <w:bookmarkEnd w:id="312"/>
                            <w:bookmarkEnd w:id="313"/>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6CE7E009" id="Text Box 750" o:spid="_x0000_s1071" type="#_x0000_t202" style="position:absolute;left:0;text-align:left;margin-left:-11.7pt;margin-top:407.45pt;width:741.05pt;height:122.05pt;z-index:2515404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5u2BEIgIAAEUEAAAOAAAAZHJzL2Uyb0RvYy54bWysU8Fu2zAMvQ/YPwi6L47bZGuDOEXWIsOA&#13;&#10;oC2QDD0rshQbsESNUmJnXz9KjtOt22nYRaZJ6ol8fJzfdaZhR4W+BlvwfDTmTFkJZW33Bf+2XX24&#13;&#10;4cwHYUvRgFUFPynP7xbv381bN1NXUEFTKmQEYv2sdQWvQnCzLPOyUkb4EThlKagBjQj0i/usRNES&#13;&#10;ummyq/H4Y9YClg5BKu/J+9AH+SLha61keNLaq8CaglNtIZ2Yzl08s8VczPYoXFXLcxniH6oworb0&#13;&#10;6AXqQQTBDlj/AWVqieBBh5EEk4HWtVSpB+omH7/pZlMJp1IvRI53F5r8/4OVj8dnZHVZ8E9T4scK&#13;&#10;Q0Paqi6wz9Cx6COGWudnlLhxlBo6CtCkB78nZ2y802jil1piFCes04XfCCfJeTvJ8+vrKWeSYvl0&#13;&#10;cnvT42ev1x368EWBYdEoONIAE6/iuPaBSqHUISW+ZmFVN00aYmN/c1Bi9GSx9r7GaIVu16VuJ9Oh&#13;&#10;gR2UJ+oLodeGd3JV09tr4cOzQBIDtUICD0906AbagsPZ4qwC/PE3f8ynGVGUs5bEVXD//SBQcdZ8&#13;&#10;tTS9qMTBwMHYDYY9mHsgvea0Ok4mky5gaAZTI5gX0v0yvkIhYSW9VfAwmPehlzjtjVTLZUoivTkR&#13;&#10;1nbjZISOZEUmt92LQHemO9CkHmGQnZi9Yb3P7WleHgLoOo0kEtuzeOabtJomdd6ruAy//qes1+1f&#13;&#10;/AQAAP//AwBQSwMEFAAGAAgAAAAhANTZwoHmAAAAEgEAAA8AAABkcnMvZG93bnJldi54bWxMT8tO&#13;&#10;wzAQvCPxD9YicWvtlrQkaZyq4nFCQqThwNFJ3MRqvA6x24a/Z3uCy2pXMzuPbDvZnp316I1DCYu5&#13;&#10;AKaxdo3BVsJn+TqLgfmgsFG9Qy3hR3vY5rc3mUobd8FCn/ehZSSCPlUSuhCGlHNfd9oqP3eDRsIO&#13;&#10;brQq0Dm2vBnVhcRtz5dCrLlVBsmhU4N+6nR93J+shN0XFi/m+736KA6FKctE4Nv6KOX93fS8obHb&#13;&#10;AAt6Cn8fcO1A+SGnYJU7YeNZL2G2fIiIKiFeRAmwKyNaxY/AKtrEKhHA84z/r5L/AgAA//8DAFBL&#13;&#10;AQItABQABgAIAAAAIQC2gziS/gAAAOEBAAATAAAAAAAAAAAAAAAAAAAAAABbQ29udGVudF9UeXBl&#13;&#10;c10ueG1sUEsBAi0AFAAGAAgAAAAhADj9If/WAAAAlAEAAAsAAAAAAAAAAAAAAAAALwEAAF9yZWxz&#13;&#10;Ly5yZWxzUEsBAi0AFAAGAAgAAAAhAHm7YEQiAgAARQQAAA4AAAAAAAAAAAAAAAAALgIAAGRycy9l&#13;&#10;Mm9Eb2MueG1sUEsBAi0AFAAGAAgAAAAhANTZwoHmAAAAEgEAAA8AAAAAAAAAAAAAAAAAfAQAAGRy&#13;&#10;cy9kb3ducmV2LnhtbFBLBQYAAAAABAAEAPMAAACPBQAAAAA=&#13;&#10;" filled="f" stroked="f">
                <v:textbox inset="0,0,0,0">
                  <w:txbxContent>
                    <w:p w14:paraId="3C929175" w14:textId="5FEC16AA" w:rsidR="00F61130" w:rsidRPr="0080587B" w:rsidRDefault="00F61130" w:rsidP="003B592E">
                      <w:pPr>
                        <w:pStyle w:val="Caption"/>
                        <w:spacing w:line="360" w:lineRule="auto"/>
                        <w:jc w:val="both"/>
                        <w:rPr>
                          <w:b/>
                          <w:noProof/>
                          <w:sz w:val="20"/>
                          <w:szCs w:val="20"/>
                        </w:rPr>
                      </w:pPr>
                      <w:bookmarkStart w:id="314" w:name="_Ref518932911"/>
                      <w:bookmarkStart w:id="315" w:name="_Toc525227205"/>
                      <w:bookmarkStart w:id="316" w:name="_Toc536814144"/>
                      <w:r w:rsidRPr="0080587B">
                        <w:rPr>
                          <w:b/>
                          <w:sz w:val="20"/>
                          <w:szCs w:val="20"/>
                        </w:rPr>
                        <w:t xml:space="preserve">Figure </w:t>
                      </w:r>
                      <w:r>
                        <w:rPr>
                          <w:b/>
                          <w:sz w:val="20"/>
                          <w:szCs w:val="20"/>
                        </w:rPr>
                        <w:fldChar w:fldCharType="begin"/>
                      </w:r>
                      <w:r>
                        <w:rPr>
                          <w:b/>
                          <w:sz w:val="20"/>
                          <w:szCs w:val="20"/>
                        </w:rPr>
                        <w:instrText xml:space="preserve"> STYLEREF 1 \s </w:instrText>
                      </w:r>
                      <w:r>
                        <w:rPr>
                          <w:b/>
                          <w:sz w:val="20"/>
                          <w:szCs w:val="20"/>
                        </w:rPr>
                        <w:fldChar w:fldCharType="separate"/>
                      </w:r>
                      <w:r>
                        <w:rPr>
                          <w:b/>
                          <w:noProof/>
                          <w:sz w:val="20"/>
                          <w:szCs w:val="20"/>
                        </w:rPr>
                        <w:t>3</w:t>
                      </w:r>
                      <w:r>
                        <w:rPr>
                          <w:b/>
                          <w:sz w:val="20"/>
                          <w:szCs w:val="20"/>
                        </w:rPr>
                        <w:fldChar w:fldCharType="end"/>
                      </w:r>
                      <w:r>
                        <w:rPr>
                          <w:b/>
                          <w:sz w:val="20"/>
                          <w:szCs w:val="20"/>
                        </w:rPr>
                        <w:t>.</w:t>
                      </w:r>
                      <w:r>
                        <w:rPr>
                          <w:b/>
                          <w:sz w:val="20"/>
                          <w:szCs w:val="20"/>
                        </w:rPr>
                        <w:fldChar w:fldCharType="begin"/>
                      </w:r>
                      <w:r>
                        <w:rPr>
                          <w:b/>
                          <w:sz w:val="20"/>
                          <w:szCs w:val="20"/>
                        </w:rPr>
                        <w:instrText xml:space="preserve"> SEQ Figure \* ARABIC \s 1 </w:instrText>
                      </w:r>
                      <w:r>
                        <w:rPr>
                          <w:b/>
                          <w:sz w:val="20"/>
                          <w:szCs w:val="20"/>
                        </w:rPr>
                        <w:fldChar w:fldCharType="separate"/>
                      </w:r>
                      <w:r>
                        <w:rPr>
                          <w:b/>
                          <w:noProof/>
                          <w:sz w:val="20"/>
                          <w:szCs w:val="20"/>
                        </w:rPr>
                        <w:t>14</w:t>
                      </w:r>
                      <w:r>
                        <w:rPr>
                          <w:b/>
                          <w:sz w:val="20"/>
                          <w:szCs w:val="20"/>
                        </w:rPr>
                        <w:fldChar w:fldCharType="end"/>
                      </w:r>
                      <w:bookmarkEnd w:id="314"/>
                      <w:r w:rsidRPr="0080587B">
                        <w:rPr>
                          <w:b/>
                          <w:sz w:val="20"/>
                          <w:szCs w:val="20"/>
                        </w:rPr>
                        <w:t xml:space="preserve"> – Quantification of Temporal Population Kinetics and Population Pharmacokinetics post-treatment of Hepatic Leukocyte Subsets. </w:t>
                      </w:r>
                      <w:r w:rsidRPr="0080587B">
                        <w:rPr>
                          <w:sz w:val="20"/>
                          <w:szCs w:val="20"/>
                        </w:rPr>
                        <w:t>Livers from Day 28 post-infection mice were collect</w:t>
                      </w:r>
                      <w:r>
                        <w:rPr>
                          <w:sz w:val="20"/>
                          <w:szCs w:val="20"/>
                        </w:rPr>
                        <w:t xml:space="preserve">ed at either 0, 1, 12, 24 or 72h </w:t>
                      </w:r>
                      <w:r w:rsidRPr="0080587B">
                        <w:rPr>
                          <w:sz w:val="20"/>
                          <w:szCs w:val="20"/>
                        </w:rPr>
                        <w:t xml:space="preserve">post-AmBisome treatment. Leukocytes were purified from these livers and were either analysed using flow cytometry (Ai – Di) or sorted using an </w:t>
                      </w:r>
                      <w:r>
                        <w:rPr>
                          <w:sz w:val="20"/>
                          <w:szCs w:val="20"/>
                        </w:rPr>
                        <w:t xml:space="preserve">MoFlo </w:t>
                      </w:r>
                      <w:r w:rsidRPr="00671735">
                        <w:rPr>
                          <w:sz w:val="20"/>
                          <w:szCs w:val="20"/>
                        </w:rPr>
                        <w:t>Astrios</w:t>
                      </w:r>
                      <w:r>
                        <w:rPr>
                          <w:sz w:val="20"/>
                          <w:szCs w:val="20"/>
                        </w:rPr>
                        <w:t xml:space="preserve"> with at least 1 x 10</w:t>
                      </w:r>
                      <w:r>
                        <w:rPr>
                          <w:sz w:val="20"/>
                          <w:szCs w:val="20"/>
                          <w:vertAlign w:val="superscript"/>
                        </w:rPr>
                        <w:t>5</w:t>
                      </w:r>
                      <w:r>
                        <w:rPr>
                          <w:sz w:val="20"/>
                          <w:szCs w:val="20"/>
                        </w:rPr>
                        <w:t xml:space="preserve"> cells per sample</w:t>
                      </w:r>
                      <w:r w:rsidRPr="0080587B">
                        <w:rPr>
                          <w:sz w:val="20"/>
                          <w:szCs w:val="20"/>
                        </w:rPr>
                        <w:t xml:space="preserve"> processed for Amphotericin B </w:t>
                      </w:r>
                      <w:r>
                        <w:rPr>
                          <w:sz w:val="20"/>
                          <w:szCs w:val="20"/>
                        </w:rPr>
                        <w:t>measurement</w:t>
                      </w:r>
                      <w:r w:rsidRPr="0080587B">
                        <w:rPr>
                          <w:sz w:val="20"/>
                          <w:szCs w:val="20"/>
                        </w:rPr>
                        <w:t xml:space="preserve"> (Aii – Dii). The population </w:t>
                      </w:r>
                      <w:r>
                        <w:rPr>
                          <w:sz w:val="20"/>
                          <w:szCs w:val="20"/>
                        </w:rPr>
                        <w:t>accumulation</w:t>
                      </w:r>
                      <w:r w:rsidRPr="0080587B">
                        <w:rPr>
                          <w:sz w:val="20"/>
                          <w:szCs w:val="20"/>
                        </w:rPr>
                        <w:t xml:space="preserve">, derived from combining the population kinetics and derived Amphotericin B levels, were then calculated (Aiii – Diii). Data for Ai-Di is mean </w:t>
                      </w:r>
                      <w:r w:rsidRPr="0080587B">
                        <w:rPr>
                          <w:sz w:val="20"/>
                          <w:szCs w:val="20"/>
                        </w:rPr>
                        <w:sym w:font="Symbol" w:char="F0B1"/>
                      </w:r>
                      <w:r w:rsidRPr="0080587B">
                        <w:rPr>
                          <w:sz w:val="20"/>
                          <w:szCs w:val="20"/>
                        </w:rPr>
                        <w:t xml:space="preserve"> SEM (n = 5-8 biological replicates from 1 infection experiment, data </w:t>
                      </w:r>
                      <w:r>
                        <w:rPr>
                          <w:sz w:val="20"/>
                          <w:szCs w:val="20"/>
                        </w:rPr>
                        <w:t>are</w:t>
                      </w:r>
                      <w:r w:rsidRPr="0080587B">
                        <w:rPr>
                          <w:sz w:val="20"/>
                          <w:szCs w:val="20"/>
                        </w:rPr>
                        <w:t xml:space="preserve"> analysed using a Bonferroni Multiple Comparisons test, p &lt; 0.05: *, p &lt; 0.01: **), data for Aii-Dii is mean </w:t>
                      </w:r>
                      <w:r w:rsidRPr="0080587B">
                        <w:rPr>
                          <w:sz w:val="20"/>
                          <w:szCs w:val="20"/>
                        </w:rPr>
                        <w:sym w:font="Symbol" w:char="F0B1"/>
                      </w:r>
                      <w:r w:rsidRPr="0080587B">
                        <w:rPr>
                          <w:sz w:val="20"/>
                          <w:szCs w:val="20"/>
                        </w:rPr>
                        <w:t xml:space="preserve"> SEM (n = 3-5 technical replicates from 6-8 pooled mice from 1 infection experiment) and data for Aiii-Diii is mean </w:t>
                      </w:r>
                      <w:r w:rsidRPr="0080587B">
                        <w:rPr>
                          <w:sz w:val="20"/>
                          <w:szCs w:val="20"/>
                        </w:rPr>
                        <w:sym w:font="Symbol" w:char="F0B1"/>
                      </w:r>
                      <w:r w:rsidRPr="0080587B">
                        <w:rPr>
                          <w:sz w:val="20"/>
                          <w:szCs w:val="20"/>
                        </w:rPr>
                        <w:t xml:space="preserve"> SEM (n = 1 data point, see </w:t>
                      </w:r>
                      <w:r>
                        <w:rPr>
                          <w:sz w:val="20"/>
                          <w:szCs w:val="20"/>
                        </w:rPr>
                        <w:t xml:space="preserve">Section </w:t>
                      </w:r>
                      <w:r w:rsidRPr="0014007F">
                        <w:rPr>
                          <w:sz w:val="20"/>
                          <w:szCs w:val="20"/>
                        </w:rPr>
                        <w:fldChar w:fldCharType="begin"/>
                      </w:r>
                      <w:r w:rsidRPr="0014007F">
                        <w:rPr>
                          <w:sz w:val="20"/>
                          <w:szCs w:val="20"/>
                        </w:rPr>
                        <w:instrText xml:space="preserve"> REF _Ref519022031 \n </w:instrText>
                      </w:r>
                      <w:r>
                        <w:rPr>
                          <w:sz w:val="20"/>
                          <w:szCs w:val="20"/>
                        </w:rPr>
                        <w:instrText xml:space="preserve"> \* MERGEFORMAT </w:instrText>
                      </w:r>
                      <w:r w:rsidRPr="0014007F">
                        <w:rPr>
                          <w:sz w:val="20"/>
                          <w:szCs w:val="20"/>
                        </w:rPr>
                        <w:fldChar w:fldCharType="separate"/>
                      </w:r>
                      <w:r>
                        <w:rPr>
                          <w:sz w:val="20"/>
                          <w:szCs w:val="20"/>
                        </w:rPr>
                        <w:t>2.14</w:t>
                      </w:r>
                      <w:r w:rsidRPr="0014007F">
                        <w:rPr>
                          <w:sz w:val="20"/>
                          <w:szCs w:val="20"/>
                        </w:rPr>
                        <w:fldChar w:fldCharType="end"/>
                      </w:r>
                      <w:r w:rsidRPr="0014007F">
                        <w:rPr>
                          <w:sz w:val="20"/>
                          <w:szCs w:val="20"/>
                        </w:rPr>
                        <w:t xml:space="preserve"> on combining biological and technical replicates). </w:t>
                      </w:r>
                      <w:r>
                        <w:rPr>
                          <w:sz w:val="20"/>
                          <w:szCs w:val="20"/>
                        </w:rPr>
                        <w:t>Samples were generated using liver digestion and staining protocol 2 and processed using the column free extraction method.</w:t>
                      </w:r>
                      <w:bookmarkEnd w:id="315"/>
                      <w:bookmarkEnd w:id="316"/>
                    </w:p>
                  </w:txbxContent>
                </v:textbox>
              </v:shape>
            </w:pict>
          </mc:Fallback>
        </mc:AlternateContent>
      </w:r>
      <w:r w:rsidR="004A105D">
        <w:rPr>
          <w:noProof/>
          <w:lang w:val="en-US"/>
        </w:rPr>
        <mc:AlternateContent>
          <mc:Choice Requires="wps">
            <w:drawing>
              <wp:anchor distT="0" distB="0" distL="114300" distR="114300" simplePos="0" relativeHeight="251528192" behindDoc="0" locked="0" layoutInCell="1" allowOverlap="1" wp14:anchorId="74196D7A" wp14:editId="14717F40">
                <wp:simplePos x="0" y="0"/>
                <wp:positionH relativeFrom="column">
                  <wp:posOffset>88719</wp:posOffset>
                </wp:positionH>
                <wp:positionV relativeFrom="paragraph">
                  <wp:posOffset>16960</wp:posOffset>
                </wp:positionV>
                <wp:extent cx="814060" cy="361794"/>
                <wp:effectExtent l="0" t="0" r="0" b="0"/>
                <wp:wrapTight wrapText="bothSides">
                  <wp:wrapPolygon edited="0">
                    <wp:start x="1686" y="759"/>
                    <wp:lineTo x="1686" y="19740"/>
                    <wp:lineTo x="19560" y="19740"/>
                    <wp:lineTo x="19560" y="759"/>
                    <wp:lineTo x="1686" y="759"/>
                  </wp:wrapPolygon>
                </wp:wrapTight>
                <wp:docPr id="738" name="Text Box 738"/>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wps:cNvSpPr>
                      <wps:spPr>
                        <a:xfrm>
                          <a:off x="0" y="0"/>
                          <a:ext cx="814060" cy="361794"/>
                        </a:xfrm>
                        <a:prstGeom prst="rect">
                          <a:avLst/>
                        </a:prstGeom>
                        <a:noFill/>
                        <a:ln w="6350">
                          <a:noFill/>
                        </a:ln>
                      </wps:spPr>
                      <wps:txbx>
                        <w:txbxContent>
                          <w:p w14:paraId="12661D7C" w14:textId="77777777" w:rsidR="00F61130" w:rsidRDefault="00F61130" w:rsidP="0080587B">
                            <w:r>
                              <w:t>Ai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4196D7A" id="Text Box 738" o:spid="_x0000_s1072" type="#_x0000_t202" style="position:absolute;left:0;text-align:left;margin-left:7pt;margin-top:1.35pt;width:64.1pt;height:28.5pt;z-index:2515281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2wOa0SAIAAIgEAAAOAAAAZHJzL2Uyb0RvYy54bWysVF1v2jAUfZ+0/2D5fSSBlLYRoWJUTJNQ&#13;&#10;WwmqPhvHIdEcX882JOzX79oJFHV7mvbi2D7X9+OcezN76BpJjsLYGlROk1FMiVAcilrtc/q6XX25&#13;&#10;o8Q6pgomQYmcnoSlD/PPn2atzsQYKpCFMASdKJu1OqeVczqLIssr0TA7Ai0UgiWYhjk8mn1UGNai&#13;&#10;90ZG4zieRi2YQhvgwlq8fexBOg/+y1Jw91yWVjgic4q5ubCasO78Gs1nLNsbpquaD2mwf8iiYbXC&#13;&#10;oBdXj8wxcjD1H66amhuwULoRhyaCsqy5CDVgNUn8oZpNxbQItSA5Vl9osv/PLX86vhhSFzm9naBU&#13;&#10;ijUo0lZ0jnyFjvg7ZKjVNkPDjUZT1yGASodqrV4D/2GJgmXF1F4srEbGPYqvoqtnvQ+LDjxJXWka&#13;&#10;/8XyCfpCXU4XLXxojpd3SRpPEeEITabJ7X0afL4/1sa6bwIa4jc5NRg45MSOa+t8eJadTXwsBata&#13;&#10;yiC3VKTN6XRyE4cHFwRfSDXk3afqK3DdrgsEpdMzFzsoTkiFgb6drOarGpNYM+temMH+wbxxJtwz&#13;&#10;LqUEDAbDjpIKzK+/3Xt7lBVRSlrsx5zanwdmBCXyu0LB75M09Q0cDunN7RgP5hrZXSPq0CwBWz7B&#13;&#10;6dM8bL29k+dtaaB5w9FZ+KgIMcUxdk7debt0/ZTg6HGxWAQjbFnN3FptND93gKd4270xowcdHAr4&#13;&#10;BOfOZdkHOXrbXpDFwUFZB6080T2rA//Y7kHCYTT9PF2fg9X7D2T+GwAA//8DAFBLAwQUAAYACAAA&#13;&#10;ACEADeB2DOMAAAAMAQAADwAAAGRycy9kb3ducmV2LnhtbEyPwU7DMBBE70j8g7VI3KhD1NKSxqmq&#13;&#10;oAoJwaGlF26b2E0i7HWI3Tbw9WxPcFlpNJrZeflqdFaczBA6TwruJwkIQ7XXHTUK9u+buwWIEJE0&#13;&#10;Wk9GwbcJsCqur3LMtD/T1px2sRFcQiFDBW2MfSZlqFvjMEx8b4i9gx8cRpZDI/WAZy53VqZJ8iAd&#13;&#10;dsQfWuxN2Zr6c3d0Cl7KzRtuq9Qtfmz5/HpY91/7j5lStzfj05LPegkimjH+JeDCwPuh4GGVP5IO&#13;&#10;wrKeMk9UkM5BXOxpmoKoFMwe5yCLXP6HKH4BAAD//wMAUEsBAi0AFAAGAAgAAAAhALaDOJL+AAAA&#13;&#10;4QEAABMAAAAAAAAAAAAAAAAAAAAAAFtDb250ZW50X1R5cGVzXS54bWxQSwECLQAUAAYACAAAACEA&#13;&#10;OP0h/9YAAACUAQAACwAAAAAAAAAAAAAAAAAvAQAAX3JlbHMvLnJlbHNQSwECLQAUAAYACAAAACEA&#13;&#10;NsDmtEgCAACIBAAADgAAAAAAAAAAAAAAAAAuAgAAZHJzL2Uyb0RvYy54bWxQSwECLQAUAAYACAAA&#13;&#10;ACEADeB2DOMAAAAMAQAADwAAAAAAAAAAAAAAAACiBAAAZHJzL2Rvd25yZXYueG1sUEsFBgAAAAAE&#13;&#10;AAQA8wAAALIFAAAAAA==&#13;&#10;" filled="f" stroked="f" strokeweight=".5pt">
                <o:lock v:ext="edit" aspectratio="t"/>
                <v:textbox>
                  <w:txbxContent>
                    <w:p w14:paraId="12661D7C" w14:textId="77777777" w:rsidR="00F61130" w:rsidRDefault="00F61130" w:rsidP="0080587B">
                      <w:r>
                        <w:t>Ai</w:t>
                      </w:r>
                    </w:p>
                  </w:txbxContent>
                </v:textbox>
                <w10:wrap type="tight"/>
              </v:shape>
            </w:pict>
          </mc:Fallback>
        </mc:AlternateContent>
      </w:r>
      <w:r w:rsidR="004A105D">
        <w:rPr>
          <w:noProof/>
          <w:lang w:val="en-US"/>
        </w:rPr>
        <mc:AlternateContent>
          <mc:Choice Requires="wps">
            <w:drawing>
              <wp:anchor distT="0" distB="0" distL="114300" distR="114300" simplePos="0" relativeHeight="251529216" behindDoc="0" locked="0" layoutInCell="1" allowOverlap="1" wp14:anchorId="1FA0F2E7" wp14:editId="612B71B2">
                <wp:simplePos x="0" y="0"/>
                <wp:positionH relativeFrom="column">
                  <wp:posOffset>80010</wp:posOffset>
                </wp:positionH>
                <wp:positionV relativeFrom="paragraph">
                  <wp:posOffset>1653624</wp:posOffset>
                </wp:positionV>
                <wp:extent cx="814060" cy="361794"/>
                <wp:effectExtent l="0" t="0" r="0" b="0"/>
                <wp:wrapTight wrapText="bothSides">
                  <wp:wrapPolygon edited="0">
                    <wp:start x="1686" y="759"/>
                    <wp:lineTo x="1686" y="19740"/>
                    <wp:lineTo x="19560" y="19740"/>
                    <wp:lineTo x="19560" y="759"/>
                    <wp:lineTo x="1686" y="759"/>
                  </wp:wrapPolygon>
                </wp:wrapTight>
                <wp:docPr id="739" name="Text Box 739"/>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wps:cNvSpPr>
                      <wps:spPr>
                        <a:xfrm>
                          <a:off x="0" y="0"/>
                          <a:ext cx="814060" cy="361794"/>
                        </a:xfrm>
                        <a:prstGeom prst="rect">
                          <a:avLst/>
                        </a:prstGeom>
                        <a:noFill/>
                        <a:ln w="6350">
                          <a:noFill/>
                        </a:ln>
                      </wps:spPr>
                      <wps:txbx>
                        <w:txbxContent>
                          <w:p w14:paraId="7285E60D" w14:textId="77777777" w:rsidR="00F61130" w:rsidRDefault="00F61130" w:rsidP="0080587B">
                            <w:r>
                              <w:t>Aii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FA0F2E7" id="Text Box 739" o:spid="_x0000_s1073" type="#_x0000_t202" style="position:absolute;left:0;text-align:left;margin-left:6.3pt;margin-top:130.2pt;width:64.1pt;height:28.5pt;z-index:2515292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N0kOSSQIAAIgEAAAOAAAAZHJzL2Uyb0RvYy54bWysVE2P2jAQvVfqf7B8L0kgC0tEWFFWVJXQ&#13;&#10;7kqw2rNxHBI18bi2IaG/vmMnYdG2p6oXx/Ybz8d7M1k8tHVFzkKbEmRKo1FIiZAcslIeU/q633y5&#13;&#10;p8RYJjNWgRQpvQhDH5afPy0alYgxFFBlQhN0Ik3SqJQW1qokCAwvRM3MCJSQCOaga2bxqI9BplmD&#13;&#10;3usqGIfhNGhAZ0oDF8bg7WMH0qX3n+eC2+c8N8KSKqWYm/Wr9uvBrcFywZKjZqooeZ8G+4csalZK&#13;&#10;DHp19cgsIydd/uGqLrkGA7kdcagDyPOSC18DVhOFH6rZFUwJXwuSY9SVJvP/3PKn84smZZbS2WRO&#13;&#10;iWQ1irQXrSVfoSXuDhlqlEnQcKfQ1LYIoNK+WqO2wH8YImFdMHkUK6OQcYfiq+DmWefDoANHUpvr&#13;&#10;2n2xfIK+UJfLVQsXmuPlfRSHU0Q4QpNpNJvH3uf7Y6WN/SagJm6TUo2BfU7svDXWhWfJYOJiSdiU&#13;&#10;VeXlriRpUjqd3IX+wRXBF5Xs8+5SdRXY9tB6guLZwMUBsgtSoaFrJ6P4psQktszYF6axfzBvnAn7&#13;&#10;jEteAQaDfkdJAfrX3+6dPcqKKCUN9mNKzc8T04KS6rtEwedRHLsG9of4bjbGg75FDreIPNVrwJaP&#13;&#10;cPoU91tnb6thm2uo33B0Vi4qQkxyjJ1SO2zXtpsSHD0uVitvhC2rmN3KneJDBziK9+0b06rXwaKA&#13;&#10;TzB0Lks+yNHZdoKsThby0mvliO5Y7fnHdvcS9qPp5un27K3efyDL3wAAAP//AwBQSwMEFAAGAAgA&#13;&#10;AAAhACAdvyflAAAADwEAAA8AAABkcnMvZG93bnJldi54bWxMj81OwzAQhO9IvIO1SNyo3RBClcap&#13;&#10;qqAKCcGhpRduTrxNIvwTYrcNPD3bE1xWGu3s7HzFarKGnXAMvXcS5jMBDF3jde9aCfv3zd0CWIjK&#13;&#10;aWW8QwnfGGBVXl8VKtf+7LZ42sWWUYgLuZLQxTjknIemQ6vCzA/oaHfwo1WR5NhyPaozhVvDEyEy&#13;&#10;blXv6EOnBqw6bD53Ryvhpdq8qW2d2MWPqZ5fD+vha//xIOXtzfS0pLFeAos4xb8LuDBQfyipWO2P&#13;&#10;TgdmSCcZOSUkmUiBXQypIKBawv38MQVeFvw/R/kLAAD//wMAUEsBAi0AFAAGAAgAAAAhALaDOJL+&#13;&#10;AAAA4QEAABMAAAAAAAAAAAAAAAAAAAAAAFtDb250ZW50X1R5cGVzXS54bWxQSwECLQAUAAYACAAA&#13;&#10;ACEAOP0h/9YAAACUAQAACwAAAAAAAAAAAAAAAAAvAQAAX3JlbHMvLnJlbHNQSwECLQAUAAYACAAA&#13;&#10;ACEAjdJDkkkCAACIBAAADgAAAAAAAAAAAAAAAAAuAgAAZHJzL2Uyb0RvYy54bWxQSwECLQAUAAYA&#13;&#10;CAAAACEAIB2/J+UAAAAPAQAADwAAAAAAAAAAAAAAAACjBAAAZHJzL2Rvd25yZXYueG1sUEsFBgAA&#13;&#10;AAAEAAQA8wAAALUFAAAAAA==&#13;&#10;" filled="f" stroked="f" strokeweight=".5pt">
                <o:lock v:ext="edit" aspectratio="t"/>
                <v:textbox>
                  <w:txbxContent>
                    <w:p w14:paraId="7285E60D" w14:textId="77777777" w:rsidR="00F61130" w:rsidRDefault="00F61130" w:rsidP="0080587B">
                      <w:r>
                        <w:t>Aii</w:t>
                      </w:r>
                    </w:p>
                  </w:txbxContent>
                </v:textbox>
                <w10:wrap type="tight"/>
              </v:shape>
            </w:pict>
          </mc:Fallback>
        </mc:AlternateContent>
      </w:r>
      <w:r w:rsidR="004A105D">
        <w:rPr>
          <w:noProof/>
          <w:lang w:val="en-US"/>
        </w:rPr>
        <mc:AlternateContent>
          <mc:Choice Requires="wps">
            <w:drawing>
              <wp:anchor distT="0" distB="0" distL="114300" distR="114300" simplePos="0" relativeHeight="251530240" behindDoc="0" locked="0" layoutInCell="1" allowOverlap="1" wp14:anchorId="00E33551" wp14:editId="5AB5A363">
                <wp:simplePos x="0" y="0"/>
                <wp:positionH relativeFrom="column">
                  <wp:posOffset>80010</wp:posOffset>
                </wp:positionH>
                <wp:positionV relativeFrom="paragraph">
                  <wp:posOffset>3255465</wp:posOffset>
                </wp:positionV>
                <wp:extent cx="814060" cy="361794"/>
                <wp:effectExtent l="0" t="0" r="0" b="0"/>
                <wp:wrapTight wrapText="bothSides">
                  <wp:wrapPolygon edited="0">
                    <wp:start x="1686" y="759"/>
                    <wp:lineTo x="1686" y="19740"/>
                    <wp:lineTo x="19560" y="19740"/>
                    <wp:lineTo x="19560" y="759"/>
                    <wp:lineTo x="1686" y="759"/>
                  </wp:wrapPolygon>
                </wp:wrapTight>
                <wp:docPr id="740" name="Text Box 740"/>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wps:cNvSpPr>
                      <wps:spPr>
                        <a:xfrm>
                          <a:off x="0" y="0"/>
                          <a:ext cx="814060" cy="361794"/>
                        </a:xfrm>
                        <a:prstGeom prst="rect">
                          <a:avLst/>
                        </a:prstGeom>
                        <a:noFill/>
                        <a:ln w="6350">
                          <a:noFill/>
                        </a:ln>
                      </wps:spPr>
                      <wps:txbx>
                        <w:txbxContent>
                          <w:p w14:paraId="15D786EC" w14:textId="77777777" w:rsidR="00F61130" w:rsidRDefault="00F61130" w:rsidP="0080587B">
                            <w:r>
                              <w:t>Aiii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0E33551" id="Text Box 740" o:spid="_x0000_s1074" type="#_x0000_t202" style="position:absolute;left:0;text-align:left;margin-left:6.3pt;margin-top:256.35pt;width:64.1pt;height:28.5pt;z-index:2515302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TfIuoSAIAAIgEAAAOAAAAZHJzL2Uyb0RvYy54bWysVF1v2jAUfZ+0/2D5fSShKaURoWJUTJNQ&#13;&#10;WwmqPhvHIdEcX882JOzX79oJFHV7mvbi2D7X9+OcezN76BpJjsLYGlROk1FMiVAcilrtc/q6XX2Z&#13;&#10;UmIdUwWToEROT8LSh/nnT7NWZ2IMFchCGIJOlM1andPKOZ1FkeWVaJgdgRYKwRJMwxwezT4qDGvR&#13;&#10;eyOjcRxPohZMoQ1wYS3ePvYgnQf/ZSm4ey5LKxyROcXcXFhNWHd+jeYzlu0N01XNhzTYP2TRsFph&#13;&#10;0IurR+YYOZj6D1dNzQ1YKN2IQxNBWdZchBqwmiT+UM2mYlqEWpAcqy802f/nlj8dXwypi5zepciP&#13;&#10;Yg2KtBWdI1+hI/4OGWq1zdBwo9HUdQig0qFaq9fAf1iiYFkxtRcLq5Fxj+Kr6OpZ78OiA09SV5rG&#13;&#10;f7F8gr4w7umihQ/N8XKapPEEEY7QzSS5u0+Dz/fH2lj3TUBD/CanBgOHnNhxbZ0Pz7KziY+lYFVL&#13;&#10;GeSWirQ5ndzcxuHBBcEXUg1596n6Cly36wJB6fTMxQ6KE1JhoG8nq/mqxiTWzLoXZrB/MG+cCfeM&#13;&#10;SykBg8Gwo6QC8+tv994eZUWUkhb7Maf254EZQYn8rlDw+yT1ArlwSG/vxngw18juGlGHZgnY8glO&#13;&#10;n+Zh6+2dPG9LA80bjs7CR0WIKY6xc+rO26XrpwRHj4vFIhhhy2rm1mqj+bkDPMXb7o0ZPejgUMAn&#13;&#10;OHcuyz7I0dv2giwODso6aOWJ7lkd+Md2DxIOo+nn6focrN5/IPPfAAAA//8DAFBLAwQUAAYACAAA&#13;&#10;ACEAmgn11OQAAAAPAQAADwAAAGRycy9kb3ducmV2LnhtbExPTU/CQBC9m/gfNmPiTbY0UrB0S0gN&#13;&#10;MTFyALl4m3aHtrG7W7sLVH+9w0kvk7yZN+8jW42mE2cafOusgukkAkG2crq1tYLD++ZhAcIHtBo7&#13;&#10;Z0nBN3lY5bc3GabaXeyOzvtQCxaxPkUFTQh9KqWvGjLoJ64ny7ejGwwGhkMt9YAXFjedjKMokQZb&#13;&#10;yw4N9lQ0VH3uT0bBa7HZ4q6MzeKnK17ejuv+6/AxU+r+bnxe8lgvQQQaw98HXDtwfsg5WOlOVnvR&#13;&#10;MY4TZiqYTeM5iCvhMeJCJW+SpznIPJP/e+S/AAAA//8DAFBLAQItABQABgAIAAAAIQC2gziS/gAA&#13;&#10;AOEBAAATAAAAAAAAAAAAAAAAAAAAAABbQ29udGVudF9UeXBlc10ueG1sUEsBAi0AFAAGAAgAAAAh&#13;&#10;ADj9If/WAAAAlAEAAAsAAAAAAAAAAAAAAAAALwEAAF9yZWxzLy5yZWxzUEsBAi0AFAAGAAgAAAAh&#13;&#10;ANN8i6hIAgAAiAQAAA4AAAAAAAAAAAAAAAAALgIAAGRycy9lMm9Eb2MueG1sUEsBAi0AFAAGAAgA&#13;&#10;AAAhAJoJ9dTkAAAADwEAAA8AAAAAAAAAAAAAAAAAogQAAGRycy9kb3ducmV2LnhtbFBLBQYAAAAA&#13;&#10;BAAEAPMAAACzBQAAAAA=&#13;&#10;" filled="f" stroked="f" strokeweight=".5pt">
                <o:lock v:ext="edit" aspectratio="t"/>
                <v:textbox>
                  <w:txbxContent>
                    <w:p w14:paraId="15D786EC" w14:textId="77777777" w:rsidR="00F61130" w:rsidRDefault="00F61130" w:rsidP="0080587B">
                      <w:r>
                        <w:t>Aiii</w:t>
                      </w:r>
                    </w:p>
                  </w:txbxContent>
                </v:textbox>
                <w10:wrap type="tight"/>
              </v:shape>
            </w:pict>
          </mc:Fallback>
        </mc:AlternateContent>
      </w:r>
      <w:r w:rsidR="004A105D">
        <w:rPr>
          <w:noProof/>
          <w:lang w:val="en-US"/>
        </w:rPr>
        <mc:AlternateContent>
          <mc:Choice Requires="wps">
            <w:drawing>
              <wp:anchor distT="0" distB="0" distL="114300" distR="114300" simplePos="0" relativeHeight="251531264" behindDoc="0" locked="0" layoutInCell="1" allowOverlap="1" wp14:anchorId="68A54699" wp14:editId="0549F21F">
                <wp:simplePos x="0" y="0"/>
                <wp:positionH relativeFrom="column">
                  <wp:posOffset>2231003</wp:posOffset>
                </wp:positionH>
                <wp:positionV relativeFrom="paragraph">
                  <wp:posOffset>16960</wp:posOffset>
                </wp:positionV>
                <wp:extent cx="814060" cy="361194"/>
                <wp:effectExtent l="0" t="0" r="0" b="0"/>
                <wp:wrapTight wrapText="bothSides">
                  <wp:wrapPolygon edited="0">
                    <wp:start x="1686" y="761"/>
                    <wp:lineTo x="1686" y="19775"/>
                    <wp:lineTo x="19560" y="19775"/>
                    <wp:lineTo x="19560" y="761"/>
                    <wp:lineTo x="1686" y="761"/>
                  </wp:wrapPolygon>
                </wp:wrapTight>
                <wp:docPr id="741" name="Text Box 74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wps:cNvSpPr>
                      <wps:spPr>
                        <a:xfrm>
                          <a:off x="0" y="0"/>
                          <a:ext cx="814060" cy="361194"/>
                        </a:xfrm>
                        <a:prstGeom prst="rect">
                          <a:avLst/>
                        </a:prstGeom>
                        <a:noFill/>
                        <a:ln w="6350">
                          <a:noFill/>
                        </a:ln>
                      </wps:spPr>
                      <wps:txbx>
                        <w:txbxContent>
                          <w:p w14:paraId="085FCB81" w14:textId="77777777" w:rsidR="00F61130" w:rsidRDefault="00F61130" w:rsidP="0080587B">
                            <w:r>
                              <w:t>Bi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8A54699" id="Text Box 741" o:spid="_x0000_s1075" type="#_x0000_t202" style="position:absolute;left:0;text-align:left;margin-left:175.65pt;margin-top:1.35pt;width:64.1pt;height:28.45pt;z-index:2515312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WMXcSAIAAIgEAAAOAAAAZHJzL2Uyb0RvYy54bWysVF1v2jAUfZ+0/2D5fSShKS0RoWJUTJNQ&#13;&#10;WwmqPhvHIdFiX882JOzX79ohFHV7mvbi2D7X9+OcezN76GRDjsLYGlROk1FMiVAcilrtc/q6XX25&#13;&#10;p8Q6pgrWgBI5PQlLH+afP81anYkxVNAUwhB0omzW6pxWzuksiiyvhGR2BFooBEswkjk8mn1UGNai&#13;&#10;d9lE4zieRC2YQhvgwlq8fexBOg/+y1Jw91yWVjjS5BRzc2E1Yd35NZrPWLY3TFc1P6fB/iELyWqF&#13;&#10;QS+uHplj5GDqP1zJmhuwULoRBxlBWdZchBqwmiT+UM2mYlqEWpAcqy802f/nlj8dXwypi5zepQkl&#13;&#10;ikkUaSs6R75CR/wdMtRqm6HhRqOp6xBApUO1Vq+B/7BEwbJiai8WViPjHsVX0dWz3odFB56krjTS&#13;&#10;f7F8gr5Ql9NFCx+a4+V9ksYTRDhCN5MkmabB5/tjbaz7JkASv8mpwcAhJ3ZcW+fDs2ww8bEUrOqm&#13;&#10;CXI3irQ5ndzcxuHBBcEXjTrn3afqK3DdrgsEpdOBix0UJ6TCQN9OVvNVjUmsmXUvzGD/YN44E+4Z&#13;&#10;l7IBDAbnHSUVmF9/u/f2KCuilLTYjzm1Pw/MCEqa7woFnyZp6hs4HNLbuzEezDWyu0bUQS4BWx4l&#13;&#10;xezC1tu7ZtiWBuQbjs7CR0WIKY6xc+qG7dL1U4Kjx8ViEYywZTVza7XRfOgAT/G2e2NGn3VwKOAT&#13;&#10;DJ3Lsg9y9La9IIuDg7IOWnmie1bP/GO7BwnPo+nn6focrN5/IPPfAAAA//8DAFBLAwQUAAYACAAA&#13;&#10;ACEA5pCTJOUAAAANAQAADwAAAGRycy9kb3ducmV2LnhtbExPy07DMBC8I/EP1lbiRp2mpI80TlUF&#13;&#10;VUioHFp66W0Tu0mEvQ6x2wa+HnOCy0qjeexMth6MZlfVu9aSgMk4AqaosrKlWsDxffu4AOY8kkRt&#13;&#10;SQn4Ug7W+f1dhqm0N9qr68HXLISQS1FA432Xcu6qRhl0Y9spCtzZ9gZ9gH3NZY+3EG40j6Noxg22&#13;&#10;FD402KmiUdXH4WIEvBbbN9yXsVl86+Jld950n8dTIsTDaHhehbNZAfNq8H8O+N0Q+kMeipX2QtIx&#13;&#10;LWCaTKZBKiCeAwv803yZACsFJMsZ8Dzj/1fkPwAAAP//AwBQSwECLQAUAAYACAAAACEAtoM4kv4A&#13;&#10;AADhAQAAEwAAAAAAAAAAAAAAAAAAAAAAW0NvbnRlbnRfVHlwZXNdLnhtbFBLAQItABQABgAIAAAA&#13;&#10;IQA4/SH/1gAAAJQBAAALAAAAAAAAAAAAAAAAAC8BAABfcmVscy8ucmVsc1BLAQItABQABgAIAAAA&#13;&#10;IQAaWMXcSAIAAIgEAAAOAAAAAAAAAAAAAAAAAC4CAABkcnMvZTJvRG9jLnhtbFBLAQItABQABgAI&#13;&#10;AAAAIQDmkJMk5QAAAA0BAAAPAAAAAAAAAAAAAAAAAKIEAABkcnMvZG93bnJldi54bWxQSwUGAAAA&#13;&#10;AAQABADzAAAAtAUAAAAA&#13;&#10;" filled="f" stroked="f" strokeweight=".5pt">
                <o:lock v:ext="edit" aspectratio="t"/>
                <v:textbox>
                  <w:txbxContent>
                    <w:p w14:paraId="085FCB81" w14:textId="77777777" w:rsidR="00F61130" w:rsidRDefault="00F61130" w:rsidP="0080587B">
                      <w:r>
                        <w:t>Bi</w:t>
                      </w:r>
                    </w:p>
                  </w:txbxContent>
                </v:textbox>
                <w10:wrap type="tight"/>
              </v:shape>
            </w:pict>
          </mc:Fallback>
        </mc:AlternateContent>
      </w:r>
      <w:r w:rsidR="004A105D">
        <w:rPr>
          <w:noProof/>
          <w:lang w:val="en-US"/>
        </w:rPr>
        <mc:AlternateContent>
          <mc:Choice Requires="wps">
            <w:drawing>
              <wp:anchor distT="0" distB="0" distL="114300" distR="114300" simplePos="0" relativeHeight="251532288" behindDoc="0" locked="0" layoutInCell="1" allowOverlap="1" wp14:anchorId="356B3967" wp14:editId="00DA4AFC">
                <wp:simplePos x="0" y="0"/>
                <wp:positionH relativeFrom="column">
                  <wp:posOffset>2222294</wp:posOffset>
                </wp:positionH>
                <wp:positionV relativeFrom="paragraph">
                  <wp:posOffset>1653624</wp:posOffset>
                </wp:positionV>
                <wp:extent cx="814060" cy="361194"/>
                <wp:effectExtent l="0" t="0" r="0" b="0"/>
                <wp:wrapTight wrapText="bothSides">
                  <wp:wrapPolygon edited="0">
                    <wp:start x="1686" y="761"/>
                    <wp:lineTo x="1686" y="19775"/>
                    <wp:lineTo x="19560" y="19775"/>
                    <wp:lineTo x="19560" y="761"/>
                    <wp:lineTo x="1686" y="761"/>
                  </wp:wrapPolygon>
                </wp:wrapTight>
                <wp:docPr id="742" name="Text Box 74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wps:cNvSpPr>
                      <wps:spPr>
                        <a:xfrm>
                          <a:off x="0" y="0"/>
                          <a:ext cx="814060" cy="361194"/>
                        </a:xfrm>
                        <a:prstGeom prst="rect">
                          <a:avLst/>
                        </a:prstGeom>
                        <a:noFill/>
                        <a:ln w="6350">
                          <a:noFill/>
                        </a:ln>
                      </wps:spPr>
                      <wps:txbx>
                        <w:txbxContent>
                          <w:p w14:paraId="5E0EB714" w14:textId="77777777" w:rsidR="00F61130" w:rsidRDefault="00F61130" w:rsidP="0080587B">
                            <w:r>
                              <w:t>Bii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56B3967" id="Text Box 742" o:spid="_x0000_s1076" type="#_x0000_t202" style="position:absolute;left:0;text-align:left;margin-left:175pt;margin-top:130.2pt;width:64.1pt;height:28.45pt;z-index:2515322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KomMaSAIAAIgEAAAOAAAAZHJzL2Uyb0RvYy54bWysVF1v2jAUfZ+0/2D5fSShlLYRoWJUTJNQ&#13;&#10;WwmqPhvHJtFiX882JN2v37UTKOr2NO3FsX2u78c592Z236mGHIV1NeiCZqOUEqE5lLXeF/Rlu/py&#13;&#10;S4nzTJesAS0K+iYcvZ9//jRrTS7GUEFTCkvQiXZ5awpaeW/yJHG8Eoq5ERihEZRgFfN4tPuktKxF&#13;&#10;76pJxmk6TVqwpbHAhXN4+9CDdB79Sym4f5LSCU+agmJuPq42rruwJvMZy/eWmarmQxrsH7JQrNYY&#13;&#10;9OzqgXlGDrb+w5WquQUH0o84qASkrLmINWA1Wfqhmk3FjIi1IDnOnGly/88tfzw+W1KXBb2ZjCnR&#13;&#10;TKFIW9F58hU6Eu6Qoda4HA03Bk19hwAqHat1Zg38hyMalhXTe7FwBhkPKL5KLp71Phw6CCR10qrw&#13;&#10;xfIJ+kJd3s5ahNAcL2+zSTpFhCN0Nc2yu0n0+f7YWOe/CVAkbApqMXDMiR3XzofwLD+ZhFgaVnXT&#13;&#10;RLkbTdqCTq+u0/jgjOCLRg9596mGCny36yJBaD5wsYPyDamw0LeTM3xVYxJr5vwzs9g/mDfOhH/C&#13;&#10;RTaAwWDYUVKB/fW3+2CPsiJKSYv9WFD388CsoKT5rlHwu2wyCQ0cD5PrmzEe7CWyu0T0QS0BWz7D&#13;&#10;6TM8boO9b05baUG94ugsQlSEmOYYu6D+tF36fkpw9LhYLKIRtqxhfq03hp86IFC87V6ZNYMOHgV8&#13;&#10;hFPnsvyDHL1tL8ji4EHWUatAdM/qwD+2e5RwGM0wT5fnaPX+A5n/BgAA//8DAFBLAwQUAAYACAAA&#13;&#10;ACEAmdMSmucAAAAQAQAADwAAAGRycy9kb3ducmV2LnhtbEyPS0/DMBCE70j8B2uRuFG76StK41RV&#13;&#10;UIWE4NDSC7dN7CYRfoTYbQO/nuUEl5VWMzs7X74ZrWEXPYTOOwnTiQCmXe1V5xoJx7fdQwosRHQK&#13;&#10;jXdawpcOsClub3LMlL+6vb4cYsMoxIUMJbQx9hnnoW61xTDxvXaknfxgMdI6NFwNeKVwa3gixJJb&#13;&#10;7Bx9aLHXZavrj8PZSngud6+4rxKbfpvy6eW07T+P7wsp7+/GxzWN7RpY1GP8u4BfBuoPBRWr/Nmp&#13;&#10;wIyE2UIQUJSQLMUcGDnmqzQBVpE0Xc2AFzn/D1L8AAAA//8DAFBLAQItABQABgAIAAAAIQC2gziS&#13;&#10;/gAAAOEBAAATAAAAAAAAAAAAAAAAAAAAAABbQ29udGVudF9UeXBlc10ueG1sUEsBAi0AFAAGAAgA&#13;&#10;AAAhADj9If/WAAAAlAEAAAsAAAAAAAAAAAAAAAAALwEAAF9yZWxzLy5yZWxzUEsBAi0AFAAGAAgA&#13;&#10;AAAhAMqiYxpIAgAAiAQAAA4AAAAAAAAAAAAAAAAALgIAAGRycy9lMm9Eb2MueG1sUEsBAi0AFAAG&#13;&#10;AAgAAAAhAJnTEprnAAAAEAEAAA8AAAAAAAAAAAAAAAAAogQAAGRycy9kb3ducmV2LnhtbFBLBQYA&#13;&#10;AAAABAAEAPMAAAC2BQAAAAA=&#13;&#10;" filled="f" stroked="f" strokeweight=".5pt">
                <o:lock v:ext="edit" aspectratio="t"/>
                <v:textbox>
                  <w:txbxContent>
                    <w:p w14:paraId="5E0EB714" w14:textId="77777777" w:rsidR="00F61130" w:rsidRDefault="00F61130" w:rsidP="0080587B">
                      <w:r>
                        <w:t>Bii</w:t>
                      </w:r>
                    </w:p>
                  </w:txbxContent>
                </v:textbox>
                <w10:wrap type="tight"/>
              </v:shape>
            </w:pict>
          </mc:Fallback>
        </mc:AlternateContent>
      </w:r>
      <w:r w:rsidR="004A105D">
        <w:rPr>
          <w:noProof/>
          <w:lang w:val="en-US"/>
        </w:rPr>
        <mc:AlternateContent>
          <mc:Choice Requires="wps">
            <w:drawing>
              <wp:anchor distT="0" distB="0" distL="114300" distR="114300" simplePos="0" relativeHeight="251533312" behindDoc="0" locked="0" layoutInCell="1" allowOverlap="1" wp14:anchorId="0A4CB21C" wp14:editId="517B501B">
                <wp:simplePos x="0" y="0"/>
                <wp:positionH relativeFrom="column">
                  <wp:posOffset>2222294</wp:posOffset>
                </wp:positionH>
                <wp:positionV relativeFrom="paragraph">
                  <wp:posOffset>3255465</wp:posOffset>
                </wp:positionV>
                <wp:extent cx="814060" cy="361194"/>
                <wp:effectExtent l="0" t="0" r="0" b="0"/>
                <wp:wrapTight wrapText="bothSides">
                  <wp:wrapPolygon edited="0">
                    <wp:start x="1686" y="761"/>
                    <wp:lineTo x="1686" y="19775"/>
                    <wp:lineTo x="19560" y="19775"/>
                    <wp:lineTo x="19560" y="761"/>
                    <wp:lineTo x="1686" y="761"/>
                  </wp:wrapPolygon>
                </wp:wrapTight>
                <wp:docPr id="743" name="Text Box 74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wps:cNvSpPr>
                      <wps:spPr>
                        <a:xfrm>
                          <a:off x="0" y="0"/>
                          <a:ext cx="814060" cy="361194"/>
                        </a:xfrm>
                        <a:prstGeom prst="rect">
                          <a:avLst/>
                        </a:prstGeom>
                        <a:noFill/>
                        <a:ln w="6350">
                          <a:noFill/>
                        </a:ln>
                      </wps:spPr>
                      <wps:txbx>
                        <w:txbxContent>
                          <w:p w14:paraId="75926257" w14:textId="77777777" w:rsidR="00F61130" w:rsidRDefault="00F61130" w:rsidP="0080587B">
                            <w:r>
                              <w:t>Biii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A4CB21C" id="Text Box 743" o:spid="_x0000_s1077" type="#_x0000_t202" style="position:absolute;left:0;text-align:left;margin-left:175pt;margin-top:256.35pt;width:64.1pt;height:28.45pt;z-index:2515333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xsMY8RgIAAIgEAAAOAAAAZHJzL2Uyb0RvYy54bWysVMlu2zAQvRfoPxC815K8JREsB64DFwWM&#13;&#10;JIAd5ExTlCWU4rAkbcn9+g4peUHaU9ELRc6b/c1o9tjWkhyFsRWojCaDmBKhOOSV2mf0bbv6ck+J&#13;&#10;dUzlTIISGT0JSx/nnz/NGp2KIZQgc2EIOlE2bXRGS+d0GkWWl6JmdgBaKAQLMDVz+DT7KDesQe+1&#13;&#10;jIZxPI0aMLk2wIW1KH3qQDoP/otCcPdSFFY4IjOKublwmnDu/BnNZyzdG6bLivdpsH/IomaVwqAX&#13;&#10;V0/MMXIw1R+u6oobsFC4AYc6gqKouAg1YDVJ/KGaTcm0CLVgc6y+tMn+P7f8+fhqSJVn9G48okSx&#13;&#10;GknaitaRr9ASL8MONdqmqLjRqOpaBJDpUK3Va+A/LFGwLJnai4XV2HGPolV0Y9b5sOjAN6ktTO2/&#13;&#10;WD5BX8jL6cKFD81ReJ+M4ykiHKHRNEkexsHn1Vgb674JqIm/ZNRg4JATO66t8+FZelbxsRSsKikD&#13;&#10;3VKRJqPT0SQOBhcELaTq8+5S9RW4dteGBk1CVV60g/yErTDQjZPVfFVhEmtm3SszOD+YN+6Ee8Gj&#13;&#10;kIDBoL9RUoL59Te510daEaWkwXnMqP15YEZQIr8rJPwhGY/9AIfHeHI3xIe5RXa3iDrUS8CRT3D7&#13;&#10;NA9Xr+/k+VoYqN9xdRY+KkJMcYydUXe+Ll23Jbh6XCwWQQlHVjO3VhvNzxPgW7xt35nRPQ8OCXyG&#13;&#10;8+Sy9AMdnW5HyOLgoKgCV9eu9v3HcQ8U9qvp9+n2HbSuP5D5bwAAAP//AwBQSwMEFAAGAAgAAAAh&#13;&#10;ADDMhPTnAAAAEAEAAA8AAABkcnMvZG93bnJldi54bWxMj0tPg0AUhfcm/ofJNXFnh6JQpAxNg2lM&#13;&#10;TF20duPuwkyBOA9kpi36672udHOT+zrnfMVqMpqd1eh7ZwXMZxEwZRsne9sKOLxt7jJgPqCVqJ1V&#13;&#10;Ar6Uh1V5fVVgLt3F7tR5H1pGItbnKKALYcg5902nDPqZG5Sl3dGNBgO1Y8vliBcSN5rHUZRyg70l&#13;&#10;hw4HVXWq+difjICXavOKuzo22beunrfH9fB5eE+EuL2ZnpZU1ktgQU3h7wN+GSg/lBSsdicrPdMC&#13;&#10;7pOIgIKAZB4vgNHFwyKLgdU0SR9T4GXB/4OUPwAAAP//AwBQSwECLQAUAAYACAAAACEAtoM4kv4A&#13;&#10;AADhAQAAEwAAAAAAAAAAAAAAAAAAAAAAW0NvbnRlbnRfVHlwZXNdLnhtbFBLAQItABQABgAIAAAA&#13;&#10;IQA4/SH/1gAAAJQBAAALAAAAAAAAAAAAAAAAAC8BAABfcmVscy8ucmVsc1BLAQItABQABgAIAAAA&#13;&#10;IQBxsMY8RgIAAIgEAAAOAAAAAAAAAAAAAAAAAC4CAABkcnMvZTJvRG9jLnhtbFBLAQItABQABgAI&#13;&#10;AAAAIQAwzIT05wAAABABAAAPAAAAAAAAAAAAAAAAAKAEAABkcnMvZG93bnJldi54bWxQSwUGAAAA&#13;&#10;AAQABADzAAAAtAUAAAAA&#13;&#10;" filled="f" stroked="f" strokeweight=".5pt">
                <o:lock v:ext="edit" aspectratio="t"/>
                <v:textbox>
                  <w:txbxContent>
                    <w:p w14:paraId="75926257" w14:textId="77777777" w:rsidR="00F61130" w:rsidRDefault="00F61130" w:rsidP="0080587B">
                      <w:r>
                        <w:t>Biii</w:t>
                      </w:r>
                    </w:p>
                  </w:txbxContent>
                </v:textbox>
                <w10:wrap type="tight"/>
              </v:shape>
            </w:pict>
          </mc:Fallback>
        </mc:AlternateContent>
      </w:r>
      <w:r w:rsidR="004A105D">
        <w:rPr>
          <w:noProof/>
          <w:lang w:val="en-US"/>
        </w:rPr>
        <mc:AlternateContent>
          <mc:Choice Requires="wps">
            <w:drawing>
              <wp:anchor distT="0" distB="0" distL="114300" distR="114300" simplePos="0" relativeHeight="251534336" behindDoc="0" locked="0" layoutInCell="1" allowOverlap="1" wp14:anchorId="65384C21" wp14:editId="02BCFC3F">
                <wp:simplePos x="0" y="0"/>
                <wp:positionH relativeFrom="column">
                  <wp:posOffset>4434244</wp:posOffset>
                </wp:positionH>
                <wp:positionV relativeFrom="paragraph">
                  <wp:posOffset>16960</wp:posOffset>
                </wp:positionV>
                <wp:extent cx="814060" cy="361194"/>
                <wp:effectExtent l="0" t="0" r="0" b="0"/>
                <wp:wrapTight wrapText="bothSides">
                  <wp:wrapPolygon edited="0">
                    <wp:start x="1686" y="761"/>
                    <wp:lineTo x="1686" y="19775"/>
                    <wp:lineTo x="19560" y="19775"/>
                    <wp:lineTo x="19560" y="761"/>
                    <wp:lineTo x="1686" y="761"/>
                  </wp:wrapPolygon>
                </wp:wrapTight>
                <wp:docPr id="744" name="Text Box 744"/>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wps:cNvSpPr>
                      <wps:spPr>
                        <a:xfrm>
                          <a:off x="0" y="0"/>
                          <a:ext cx="814060" cy="361194"/>
                        </a:xfrm>
                        <a:prstGeom prst="rect">
                          <a:avLst/>
                        </a:prstGeom>
                        <a:noFill/>
                        <a:ln w="6350">
                          <a:noFill/>
                        </a:ln>
                      </wps:spPr>
                      <wps:txbx>
                        <w:txbxContent>
                          <w:p w14:paraId="4D381C4C" w14:textId="77777777" w:rsidR="00F61130" w:rsidRDefault="00F61130" w:rsidP="0080587B">
                            <w:r>
                              <w:t>Ci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5384C21" id="Text Box 744" o:spid="_x0000_s1078" type="#_x0000_t202" style="position:absolute;left:0;text-align:left;margin-left:349.15pt;margin-top:1.35pt;width:64.1pt;height:28.45pt;z-index:2515343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uCGEuSQIAAIgEAAAOAAAAZHJzL2Uyb0RvYy54bWysVF1v2jAUfZ+0/2D5fSShgbYRoWJUTJNQ&#13;&#10;WwmqPhvHIdFiX882JOzX79oJFHV7mvbi2D7X9+OcezN76GRDjsLYGlROk1FMiVAcilrtc/q6XX25&#13;&#10;o8Q6pgrWgBI5PQlLH+afP81anYkxVNAUwhB0omzW6pxWzuksiiyvhGR2BFooBEswkjk8mn1UGNai&#13;&#10;d9lE4zieRi2YQhvgwlq8fexBOg/+y1Jw91yWVjjS5BRzc2E1Yd35NZrPWLY3TFc1H9Jg/5CFZLXC&#13;&#10;oBdXj8wxcjD1H65kzQ1YKN2Ig4ygLGsuQg1YTRJ/qGZTMS1CLUiO1Rea7P9zy5+OL4bURU5v05QS&#13;&#10;xSSKtBWdI1+hI/4OGWq1zdBwo9HUdQig0qFaq9fAf1iiYFkxtRcLq5Fxj+Kr6OpZ78OiA09SVxrp&#13;&#10;v1g+QV+oy+mihQ/N8fIuSeMpIhyhm2mS3IdMovfH2lj3TYAkfpNTg4FDTuy4ts6HZ9nZxMdSsKqb&#13;&#10;JsjdKNLmdHozicODC4IvGjXk3afqK3DdrgsETcZnLnZQnJAKA307Wc1XNSaxZta9MIP9g3njTLhn&#13;&#10;XMoGMBgMO0oqML/+du/tUVZEKWmxH3Nqfx6YEZQ03xUKfp+kqW/gcEgnt2M8mGtkd42og1wCtnyC&#13;&#10;06d52Hp715y3pQH5hqOz8FERYopj7Jy683bp+inB0eNisQhG2LKaubXaaH7uAE/xtntjRg86OBTw&#13;&#10;Cc6dy7IPcvS2vSCLg4OyDlp5ontWB/6x3YOEw2j6ebo+B6v3H8j8NwAAAP//AwBQSwMEFAAGAAgA&#13;&#10;AAAhAHBWAtTkAAAADQEAAA8AAABkcnMvZG93bnJldi54bWxMT8tOwzAQvCPxD9YicaNOgxLSNJuq&#13;&#10;CqqQED209MLNid0kqr0OsdsGvh5zgstKo3nsTLGajGYXNbreEsJ8FgFT1FjZU4tweN88ZMCcFySF&#13;&#10;tqQQvpSDVXl7U4hc2ivt1GXvWxZCyOUCofN+yDl3TaeMcDM7KArc0Y5G+ADHlstRXEO40TyOopQb&#13;&#10;0VP40IlBVZ1qTvuzQXitNluxq2OTfevq5e24Hj4PHwni/d30vAxnvQTm1eT/HPC7IfSHMhSr7Zmk&#13;&#10;YxohXWSPQYoQPwELfBanCbAaIVmkwMuC/19R/gAAAP//AwBQSwECLQAUAAYACAAAACEAtoM4kv4A&#13;&#10;AADhAQAAEwAAAAAAAAAAAAAAAAAAAAAAW0NvbnRlbnRfVHlwZXNdLnhtbFBLAQItABQABgAIAAAA&#13;&#10;IQA4/SH/1gAAAJQBAAALAAAAAAAAAAAAAAAAAC8BAABfcmVscy8ucmVsc1BLAQItABQABgAIAAAA&#13;&#10;IQAuCGEuSQIAAIgEAAAOAAAAAAAAAAAAAAAAAC4CAABkcnMvZTJvRG9jLnhtbFBLAQItABQABgAI&#13;&#10;AAAAIQBwVgLU5AAAAA0BAAAPAAAAAAAAAAAAAAAAAKMEAABkcnMvZG93bnJldi54bWxQSwUGAAAA&#13;&#10;AAQABADzAAAAtAUAAAAA&#13;&#10;" filled="f" stroked="f" strokeweight=".5pt">
                <o:lock v:ext="edit" aspectratio="t"/>
                <v:textbox>
                  <w:txbxContent>
                    <w:p w14:paraId="4D381C4C" w14:textId="77777777" w:rsidR="00F61130" w:rsidRDefault="00F61130" w:rsidP="0080587B">
                      <w:r>
                        <w:t>Ci</w:t>
                      </w:r>
                    </w:p>
                  </w:txbxContent>
                </v:textbox>
                <w10:wrap type="tight"/>
              </v:shape>
            </w:pict>
          </mc:Fallback>
        </mc:AlternateContent>
      </w:r>
      <w:r w:rsidR="004A105D">
        <w:rPr>
          <w:noProof/>
          <w:lang w:val="en-US"/>
        </w:rPr>
        <mc:AlternateContent>
          <mc:Choice Requires="wps">
            <w:drawing>
              <wp:anchor distT="0" distB="0" distL="114300" distR="114300" simplePos="0" relativeHeight="251535360" behindDoc="0" locked="0" layoutInCell="1" allowOverlap="1" wp14:anchorId="7B48D805" wp14:editId="2725B310">
                <wp:simplePos x="0" y="0"/>
                <wp:positionH relativeFrom="column">
                  <wp:posOffset>4434244</wp:posOffset>
                </wp:positionH>
                <wp:positionV relativeFrom="paragraph">
                  <wp:posOffset>1653624</wp:posOffset>
                </wp:positionV>
                <wp:extent cx="814060" cy="361194"/>
                <wp:effectExtent l="0" t="0" r="0" b="0"/>
                <wp:wrapTight wrapText="bothSides">
                  <wp:wrapPolygon edited="0">
                    <wp:start x="1686" y="761"/>
                    <wp:lineTo x="1686" y="19775"/>
                    <wp:lineTo x="19560" y="19775"/>
                    <wp:lineTo x="19560" y="761"/>
                    <wp:lineTo x="1686" y="761"/>
                  </wp:wrapPolygon>
                </wp:wrapTight>
                <wp:docPr id="745" name="Text Box 74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wps:cNvSpPr>
                      <wps:spPr>
                        <a:xfrm>
                          <a:off x="0" y="0"/>
                          <a:ext cx="814060" cy="361194"/>
                        </a:xfrm>
                        <a:prstGeom prst="rect">
                          <a:avLst/>
                        </a:prstGeom>
                        <a:noFill/>
                        <a:ln w="6350">
                          <a:noFill/>
                        </a:ln>
                      </wps:spPr>
                      <wps:txbx>
                        <w:txbxContent>
                          <w:p w14:paraId="00E1ADDB" w14:textId="77777777" w:rsidR="00F61130" w:rsidRDefault="00F61130" w:rsidP="0080587B">
                            <w:r>
                              <w:t>Cii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B48D805" id="Text Box 745" o:spid="_x0000_s1079" type="#_x0000_t202" style="position:absolute;left:0;text-align:left;margin-left:349.15pt;margin-top:130.2pt;width:64.1pt;height:28.45pt;z-index:2515353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VGsQISQIAAIgEAAAOAAAAZHJzL2Uyb0RvYy54bWysVF1v2jAUfZ+0/2D5fSSBQNuIUDEqpkmo&#13;&#10;rQRVn43jkGiOr2cbku7X79oJFHV7mvbi2D7X9+OcezO/7xpJTsLYGlROk1FMiVAcilodcvqyW3+5&#13;&#10;pcQ6pgomQYmcvglL7xefP81bnYkxVCALYQg6UTZrdU4r53QWRZZXomF2BFooBEswDXN4NIeoMKxF&#13;&#10;742MxnE8i1owhTbAhbV4+9CDdBH8l6Xg7qksrXBE5hRzc2E1Yd37NVrMWXYwTFc1H9Jg/5BFw2qF&#13;&#10;QS+uHphj5GjqP1w1NTdgoXQjDk0EZVlzEWrAapL4QzXbimkRakFyrL7QZP+fW/54ejakLnJ6k04p&#13;&#10;UaxBkXaic+QrdMTfIUOtthkabjWaug4BVDpUa/UG+A9LFKwqpg5iaTUy7lF8FV09631YdOBJ6krT&#13;&#10;+C+WT9AX6vJ20cKH5nh5m6TxDBGO0GSWJHdp8Pn+WBvrvgloiN/k1GDgkBM7bazz4Vl2NvGxFKxr&#13;&#10;KYPcUpE2p7PJNA4PLgi+kGrIu0/VV+C6fRcImk7OXOyheEMqDPTtZDVf15jEhln3zAz2D+aNM+Ge&#13;&#10;cCklYDAYdpRUYH797d7bo6yIUtJiP+bU/jwyIyiR3xUKfpekqW/gcEinN2M8mGtkf42oY7MCbPkE&#13;&#10;p0/zsPX2Tp63pYHmFUdn6aMixBTH2Dl15+3K9VOCo8fFchmMsGU1cxu11fzcAZ7iXffKjB50cCjg&#13;&#10;I5w7l2Uf5Ohte0GWRwdlHbTyRPesDvxjuwcJh9H083R9DlbvP5DFbwAAAP//AwBQSwMEFAAGAAgA&#13;&#10;AAAhAEcOB0LlAAAAEAEAAA8AAABkcnMvZG93bnJldi54bWxMT0tPg0AQvpv4HzZj4s0uBYtIWZoG&#13;&#10;05iYemjtxdvCToG4D2S3LfrrHU96meTLfM9iNRnNzjj63lkB81kEDG3jVG9bAYe3zV0GzAdpldTO&#13;&#10;ooAv9LAqr68KmSt3sTs870PLyMT6XAroQhhyzn3ToZF+5ga09Du60chAcGy5GuWFzI3mcRSl3Mje&#13;&#10;UkInB6w6bD72JyPgpdq8yl0dm+xbV8/b43r4PLwvhLi9mZ6WdNZLYAGn8KeA3w3UH0oqVruTVZ5p&#13;&#10;AeljlhBVQJxG98CIkcXpAlgtIJk/JMDLgv8fUv4AAAD//wMAUEsBAi0AFAAGAAgAAAAhALaDOJL+&#13;&#10;AAAA4QEAABMAAAAAAAAAAAAAAAAAAAAAAFtDb250ZW50X1R5cGVzXS54bWxQSwECLQAUAAYACAAA&#13;&#10;ACEAOP0h/9YAAACUAQAACwAAAAAAAAAAAAAAAAAvAQAAX3JlbHMvLnJlbHNQSwECLQAUAAYACAAA&#13;&#10;ACEAlRrECEkCAACIBAAADgAAAAAAAAAAAAAAAAAuAgAAZHJzL2Uyb0RvYy54bWxQSwECLQAUAAYA&#13;&#10;CAAAACEARw4HQuUAAAAQAQAADwAAAAAAAAAAAAAAAACjBAAAZHJzL2Rvd25yZXYueG1sUEsFBgAA&#13;&#10;AAAEAAQA8wAAALUFAAAAAA==&#13;&#10;" filled="f" stroked="f" strokeweight=".5pt">
                <o:lock v:ext="edit" aspectratio="t"/>
                <v:textbox>
                  <w:txbxContent>
                    <w:p w14:paraId="00E1ADDB" w14:textId="77777777" w:rsidR="00F61130" w:rsidRDefault="00F61130" w:rsidP="0080587B">
                      <w:r>
                        <w:t>Cii</w:t>
                      </w:r>
                    </w:p>
                  </w:txbxContent>
                </v:textbox>
                <w10:wrap type="tight"/>
              </v:shape>
            </w:pict>
          </mc:Fallback>
        </mc:AlternateContent>
      </w:r>
      <w:r w:rsidR="004A105D">
        <w:rPr>
          <w:noProof/>
          <w:lang w:val="en-US"/>
        </w:rPr>
        <mc:AlternateContent>
          <mc:Choice Requires="wps">
            <w:drawing>
              <wp:anchor distT="0" distB="0" distL="114300" distR="114300" simplePos="0" relativeHeight="251536384" behindDoc="0" locked="0" layoutInCell="1" allowOverlap="1" wp14:anchorId="7DE9BA34" wp14:editId="6C532CCD">
                <wp:simplePos x="0" y="0"/>
                <wp:positionH relativeFrom="column">
                  <wp:posOffset>4425537</wp:posOffset>
                </wp:positionH>
                <wp:positionV relativeFrom="paragraph">
                  <wp:posOffset>3255465</wp:posOffset>
                </wp:positionV>
                <wp:extent cx="814060" cy="361194"/>
                <wp:effectExtent l="0" t="0" r="0" b="0"/>
                <wp:wrapTight wrapText="bothSides">
                  <wp:wrapPolygon edited="0">
                    <wp:start x="1686" y="761"/>
                    <wp:lineTo x="1686" y="19775"/>
                    <wp:lineTo x="19560" y="19775"/>
                    <wp:lineTo x="19560" y="761"/>
                    <wp:lineTo x="1686" y="761"/>
                  </wp:wrapPolygon>
                </wp:wrapTight>
                <wp:docPr id="746" name="Text Box 746"/>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wps:cNvSpPr>
                      <wps:spPr>
                        <a:xfrm>
                          <a:off x="0" y="0"/>
                          <a:ext cx="814060" cy="361194"/>
                        </a:xfrm>
                        <a:prstGeom prst="rect">
                          <a:avLst/>
                        </a:prstGeom>
                        <a:noFill/>
                        <a:ln w="6350">
                          <a:noFill/>
                        </a:ln>
                      </wps:spPr>
                      <wps:txbx>
                        <w:txbxContent>
                          <w:p w14:paraId="1AE3AC1B" w14:textId="77777777" w:rsidR="00F61130" w:rsidRDefault="00F61130" w:rsidP="0080587B">
                            <w:r>
                              <w:t>Ciii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DE9BA34" id="Text Box 746" o:spid="_x0000_s1080" type="#_x0000_t202" style="position:absolute;left:0;text-align:left;margin-left:348.45pt;margin-top:256.35pt;width:64.1pt;height:28.45pt;z-index:2515363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m6PeARgIAAIgEAAAOAAAAZHJzL2Uyb0RvYy54bWysVMlu2zAQvRfoPxC815Ic2UkEy4HrwEUB&#13;&#10;IwlgBznTFGUJpTgsSVtKv75DSl6Q9lT0QpHzZn8zmj10jSRHYWwNKqfJKKZEKA5FrfY5fd2uvtxR&#13;&#10;Yh1TBZOgRE7fhaUP88+fZq3OxBgqkIUwBJ0om7U6p5VzOosiyyvRMDsCLRSCJZiGOXyafVQY1qL3&#13;&#10;RkbjOJ5GLZhCG+DCWpQ+9iCdB/9lKbh7LksrHJE5xdxcOE04d/6M5jOW7Q3TVc2HNNg/ZNGwWmHQ&#13;&#10;s6tH5hg5mPoPV03NDVgo3YhDE0FZ1lyEGrCaJP5QzaZiWoRasDlWn9tk/59b/nR8MaQucnqbTilR&#13;&#10;rEGStqJz5Ct0xMuwQ622GSpuNKq6DgFkOlRr9Rr4D0sULCum9mJhNXbco2gVXZn1Piw68E3qStP4&#13;&#10;L5ZP0Bfy8n7mwofmKLxL0niKCEfoZpok92nweTHWxrpvAhriLzk1GDjkxI5r63x4lp1UfCwFq1rK&#13;&#10;QLdUpM3p9GYSB4MzghZSDXn3qfoKXLfrQoMmIQMv2kHxjq0w0I+T1XxVYxJrZt0LMzg/mDfuhHvG&#13;&#10;o5SAwWC4UVKB+fU3uddHWhGlpMV5zKn9eWBGUCK/KyT8PklTP8DhkU5ux/gw18juGlGHZgk48glu&#13;&#10;n+bh6vWdPF1LA80brs7CR0WIKY6xc+pO16XrtwRXj4vFIijhyGrm1mqj+WkCfIu33RszeuDBIYFP&#13;&#10;cJpcln2go9ftCVkcHJR14OrS1aH/OO6BwmE1/T5dv4PW5Qcy/w0AAP//AwBQSwMEFAAGAAgAAAAh&#13;&#10;AH8DPmnkAAAAEAEAAA8AAABkcnMvZG93bnJldi54bWxMT01Pg0AQvZv4HzZj4s0ukICUsjQNpjEx&#13;&#10;emjtxdvAboG4H8huW/TXO57qZZKZ9+Z9lOvZaHZWkx+cFRAvImDKtk4OthNweN8+5MB8QCtRO6sE&#13;&#10;fCsP6+r2psRCuovdqfM+dIxErC9QQB/CWHDu214Z9As3KkvY0U0GA61Tx+WEFxI3midRlHGDgyWH&#13;&#10;HkdV96r93J+MgJd6+4a7JjH5j66fX4+b8evwkQpxfzc/rWhsVsCCmsP1A/46UH6oKFjjTlZ6pgVk&#13;&#10;y2xJVAFpnDwCI0aepDGwhi6EAa9K/r9I9QsAAP//AwBQSwECLQAUAAYACAAAACEAtoM4kv4AAADh&#13;&#10;AQAAEwAAAAAAAAAAAAAAAAAAAAAAW0NvbnRlbnRfVHlwZXNdLnhtbFBLAQItABQABgAIAAAAIQA4&#13;&#10;/SH/1gAAAJQBAAALAAAAAAAAAAAAAAAAAC8BAABfcmVscy8ucmVsc1BLAQItABQABgAIAAAAIQAm&#13;&#10;6PeARgIAAIgEAAAOAAAAAAAAAAAAAAAAAC4CAABkcnMvZTJvRG9jLnhtbFBLAQItABQABgAIAAAA&#13;&#10;IQB/Az5p5AAAABABAAAPAAAAAAAAAAAAAAAAAKAEAABkcnMvZG93bnJldi54bWxQSwUGAAAAAAQA&#13;&#10;BADzAAAAsQUAAAAA&#13;&#10;" filled="f" stroked="f" strokeweight=".5pt">
                <o:lock v:ext="edit" aspectratio="t"/>
                <v:textbox>
                  <w:txbxContent>
                    <w:p w14:paraId="1AE3AC1B" w14:textId="77777777" w:rsidR="00F61130" w:rsidRDefault="00F61130" w:rsidP="0080587B">
                      <w:r>
                        <w:t>Ciii</w:t>
                      </w:r>
                    </w:p>
                  </w:txbxContent>
                </v:textbox>
                <w10:wrap type="tight"/>
              </v:shape>
            </w:pict>
          </mc:Fallback>
        </mc:AlternateContent>
      </w:r>
      <w:r w:rsidR="004A105D">
        <w:rPr>
          <w:noProof/>
          <w:lang w:val="en-US"/>
        </w:rPr>
        <mc:AlternateContent>
          <mc:Choice Requires="wps">
            <w:drawing>
              <wp:anchor distT="0" distB="0" distL="114300" distR="114300" simplePos="0" relativeHeight="251537408" behindDoc="0" locked="0" layoutInCell="1" allowOverlap="1" wp14:anchorId="4B0DABB2" wp14:editId="4DEAA9F6">
                <wp:simplePos x="0" y="0"/>
                <wp:positionH relativeFrom="column">
                  <wp:posOffset>6524277</wp:posOffset>
                </wp:positionH>
                <wp:positionV relativeFrom="paragraph">
                  <wp:posOffset>8255</wp:posOffset>
                </wp:positionV>
                <wp:extent cx="814060" cy="361194"/>
                <wp:effectExtent l="0" t="0" r="0" b="0"/>
                <wp:wrapTight wrapText="bothSides">
                  <wp:wrapPolygon edited="0">
                    <wp:start x="1686" y="761"/>
                    <wp:lineTo x="1686" y="19775"/>
                    <wp:lineTo x="19560" y="19775"/>
                    <wp:lineTo x="19560" y="761"/>
                    <wp:lineTo x="1686" y="761"/>
                  </wp:wrapPolygon>
                </wp:wrapTight>
                <wp:docPr id="747" name="Text Box 747"/>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wps:cNvSpPr>
                      <wps:spPr>
                        <a:xfrm>
                          <a:off x="0" y="0"/>
                          <a:ext cx="814060" cy="361194"/>
                        </a:xfrm>
                        <a:prstGeom prst="rect">
                          <a:avLst/>
                        </a:prstGeom>
                        <a:noFill/>
                        <a:ln w="6350">
                          <a:noFill/>
                        </a:ln>
                      </wps:spPr>
                      <wps:txbx>
                        <w:txbxContent>
                          <w:p w14:paraId="7264FB47" w14:textId="77777777" w:rsidR="00F61130" w:rsidRDefault="00F61130" w:rsidP="0080587B">
                            <w:r>
                              <w:t>Di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B0DABB2" id="Text Box 747" o:spid="_x0000_s1081" type="#_x0000_t202" style="position:absolute;left:0;text-align:left;margin-left:513.7pt;margin-top:.65pt;width:64.1pt;height:28.45pt;z-index:2515374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d+lKmSQIAAIgEAAAOAAAAZHJzL2Uyb0RvYy54bWysVF1v2jAUfZ+0/2D5fSShQNuIUDEqpkmo&#13;&#10;rQRVn43jkGixr2cbEvbrd+0kFHV7mvbi2D7X9+OcezN/aGVNTsLYClRGk1FMiVAc8kodMvq6W3+5&#13;&#10;o8Q6pnJWgxIZPQtLHxafP80bnYoxlFDnwhB0omza6IyWzuk0iiwvhWR2BFooBAswkjk8mkOUG9ag&#13;&#10;d1lH4zieRQ2YXBvgwlq8fexAugj+i0Jw91wUVjhSZxRzc2E1Yd37NVrMWXowTJcV79Ng/5CFZJXC&#13;&#10;oBdXj8wxcjTVH65kxQ1YKNyIg4ygKCouQg1YTRJ/qGZbMi1CLUiO1Rea7P9zy59OL4ZUeUZvJ7eU&#13;&#10;KCZRpJ1oHfkKLfF3yFCjbYqGW42mrkUAlQ7VWr0B/sMSBauSqYNYWo2MexRfRVfPOh8WHXiS2sJI&#13;&#10;/8XyCfpCXc4XLXxojpd3ySSeIcIRupklyf0k+Hx/rI113wRI4jcZNRg45MROG+t8eJYOJj6WgnVV&#13;&#10;10HuWpEmo7ObaRweXBB8Uas+7y5VX4Fr920gaDoduNhDfkYqDHTtZDVfV5jEhln3wgz2D+aNM+Ge&#13;&#10;cSlqwGDQ7ygpwfz62723R1kRpaTBfsyo/XlkRlBSf1co+H0ymfgGDofJ9HaMB3ON7K8RdZQrwJZP&#13;&#10;cPo0D1tv7+phWxiQbzg6Sx8VIaY4xs6oG7Yr100Jjh4Xy2UwwpbVzG3UVvOhAzzFu/aNGd3r4FDA&#13;&#10;Jxg6l6Uf5OhsO0GWRwdFFbTyRHes9vxjuwcJ+9H083R9DlbvP5DFbwAAAP//AwBQSwMEFAAGAAgA&#13;&#10;AAAhABcRW9XkAAAADwEAAA8AAABkcnMvZG93bnJldi54bWxMT01PwzAMvSPxHyIjcWPpCh1V13Sa&#13;&#10;iiYkBIeNXbiljddWNE5psq3w6/FOcLH85Of3ka8m24sTjr5zpGA+i0Ag1c501CjYv2/uUhA+aDK6&#13;&#10;d4QKvtHDqri+ynVm3Jm2eNqFRrAI+UwraEMYMil93aLVfuYGJL4d3Gh1YDg20oz6zOK2l3EULaTV&#13;&#10;HbFDqwcsW6w/d0er4KXcvOltFdv0py+fXw/r4Wv/kSh1ezM9LXmslyACTuHvAy4dOD8UHKxyRzJe&#13;&#10;9Iyj+PGBubzdg7gQ5kmyAFEpSNIYZJHL/z2KXwAAAP//AwBQSwECLQAUAAYACAAAACEAtoM4kv4A&#13;&#10;AADhAQAAEwAAAAAAAAAAAAAAAAAAAAAAW0NvbnRlbnRfVHlwZXNdLnhtbFBLAQItABQABgAIAAAA&#13;&#10;IQA4/SH/1gAAAJQBAAALAAAAAAAAAAAAAAAAAC8BAABfcmVscy8ucmVsc1BLAQItABQABgAIAAAA&#13;&#10;IQCd+lKmSQIAAIgEAAAOAAAAAAAAAAAAAAAAAC4CAABkcnMvZTJvRG9jLnhtbFBLAQItABQABgAI&#13;&#10;AAAAIQAXEVvV5AAAAA8BAAAPAAAAAAAAAAAAAAAAAKMEAABkcnMvZG93bnJldi54bWxQSwUGAAAA&#13;&#10;AAQABADzAAAAtAUAAAAA&#13;&#10;" filled="f" stroked="f" strokeweight=".5pt">
                <o:lock v:ext="edit" aspectratio="t"/>
                <v:textbox>
                  <w:txbxContent>
                    <w:p w14:paraId="7264FB47" w14:textId="77777777" w:rsidR="00F61130" w:rsidRDefault="00F61130" w:rsidP="0080587B">
                      <w:r>
                        <w:t>Di</w:t>
                      </w:r>
                    </w:p>
                  </w:txbxContent>
                </v:textbox>
                <w10:wrap type="tight"/>
              </v:shape>
            </w:pict>
          </mc:Fallback>
        </mc:AlternateContent>
      </w:r>
      <w:r w:rsidR="004A105D">
        <w:rPr>
          <w:noProof/>
          <w:lang w:val="en-US"/>
        </w:rPr>
        <mc:AlternateContent>
          <mc:Choice Requires="wps">
            <w:drawing>
              <wp:anchor distT="0" distB="0" distL="114300" distR="114300" simplePos="0" relativeHeight="251538432" behindDoc="0" locked="0" layoutInCell="1" allowOverlap="1" wp14:anchorId="7A7642B6" wp14:editId="3E871503">
                <wp:simplePos x="0" y="0"/>
                <wp:positionH relativeFrom="column">
                  <wp:posOffset>6515569</wp:posOffset>
                </wp:positionH>
                <wp:positionV relativeFrom="paragraph">
                  <wp:posOffset>1644918</wp:posOffset>
                </wp:positionV>
                <wp:extent cx="814060" cy="361194"/>
                <wp:effectExtent l="0" t="0" r="0" b="0"/>
                <wp:wrapTight wrapText="bothSides">
                  <wp:wrapPolygon edited="0">
                    <wp:start x="1686" y="761"/>
                    <wp:lineTo x="1686" y="19775"/>
                    <wp:lineTo x="19560" y="19775"/>
                    <wp:lineTo x="19560" y="761"/>
                    <wp:lineTo x="1686" y="761"/>
                  </wp:wrapPolygon>
                </wp:wrapTight>
                <wp:docPr id="748" name="Text Box 748"/>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wps:cNvSpPr>
                      <wps:spPr>
                        <a:xfrm>
                          <a:off x="0" y="0"/>
                          <a:ext cx="814060" cy="361194"/>
                        </a:xfrm>
                        <a:prstGeom prst="rect">
                          <a:avLst/>
                        </a:prstGeom>
                        <a:noFill/>
                        <a:ln w="6350">
                          <a:noFill/>
                        </a:ln>
                      </wps:spPr>
                      <wps:txbx>
                        <w:txbxContent>
                          <w:p w14:paraId="14EFFC4A" w14:textId="77777777" w:rsidR="00F61130" w:rsidRDefault="00F61130" w:rsidP="0080587B">
                            <w:r>
                              <w:t>Dii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A7642B6" id="Text Box 748" o:spid="_x0000_s1082" type="#_x0000_t202" style="position:absolute;left:0;text-align:left;margin-left:513.05pt;margin-top:129.5pt;width:64.1pt;height:28.45pt;z-index:2515384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mXWRGSAIAAIgEAAAOAAAAZHJzL2Uyb0RvYy54bWysVF1v2jAUfZ+0/2D5fSShgbYRoWJUTJNQ&#13;&#10;WwmqPhvHIdEcX882JOzX79oJFHV7mvbi2D7X9+OcezN76BpJjsLYGlROk1FMiVAcilrtc/q6XX25&#13;&#10;o8Q6pgomQYmcnoSlD/PPn2atzsQYKpCFMASdKJu1OqeVczqLIssr0TA7Ai0UgiWYhjk8mn1UGNai&#13;&#10;90ZG4zieRi2YQhvgwlq8fexBOg/+y1Jw91yWVjgic4q5ubCasO78Gs1nLNsbpquaD2mwf8iiYbXC&#13;&#10;oBdXj8wxcjD1H66amhuwULoRhyaCsqy5CDVgNUn8oZpNxbQItSA5Vl9osv/PLX86vhhSFzm9TVEq&#13;&#10;xRoUaSs6R75CR/wdMtRqm6HhRqOp6xBApUO1Vq+B/7BEwbJiai8WViPjHsVX0dWz3odFB56krjSN&#13;&#10;/2L5BH2hLqeLFj40x8u7JI2niHCEbqZJcp8Gn++PtbHum4CG+E1ODQYOObHj2jofnmVnEx9LwaqW&#13;&#10;MsgtFWlzOr2ZxOHBBcEXUg1596n6Cly36wJBk+mZix0UJ6TCQN9OVvNVjUmsmXUvzGD/YN44E+4Z&#13;&#10;l1ICBoNhR0kF5tff7r09yoooJS32Y07tzwMzghL5XaHg90ma+gYOh3RyO8aDuUZ214g6NEvAlk9w&#13;&#10;+jQPW2/v5HlbGmjecHQWPipCTHGMnVN33i5dPyU4elwsFsEIW1Yzt1Ybzc8d4Cnedm/M6EEHhwI+&#13;&#10;wblzWfZBjt62F2RxcFDWQStPdM/qwD+2e5BwGE0/T9fnYPX+A5n/BgAA//8DAFBLAwQUAAYACAAA&#13;&#10;ACEATpH1BugAAAASAQAADwAAAGRycy9kb3ducmV2LnhtbEyPT0/CQBDF7yZ8h82QeJNtiyVQuiWk&#13;&#10;hpgYPYBcvG27Q9u4f2p3geqndzjpZZKXefPm/fLNaDS74OA7ZwXEswgY2tqpzjYCju+7hyUwH6RV&#13;&#10;UjuLAr7Rw6aY3OUyU+5q93g5hIZRiPWZFNCG0Gec+7pFI/3M9Whpd3KDkYHk0HA1yCuFG82TKFpw&#13;&#10;IztLH1rZY9li/Xk4GwEv5e5N7qvELH90+fx62vZfx49UiPvp+LSmsV0DCziGvwu4MVB/KKhY5c5W&#13;&#10;eaZJR8kiJq+AJF0R2s0Sp49zYJWAeZyugBc5/49S/AIAAP//AwBQSwECLQAUAAYACAAAACEAtoM4&#13;&#10;kv4AAADhAQAAEwAAAAAAAAAAAAAAAAAAAAAAW0NvbnRlbnRfVHlwZXNdLnhtbFBLAQItABQABgAI&#13;&#10;AAAAIQA4/SH/1gAAAJQBAAALAAAAAAAAAAAAAAAAAC8BAABfcmVscy8ucmVsc1BLAQItABQABgAI&#13;&#10;AAAAIQDmXWRGSAIAAIgEAAAOAAAAAAAAAAAAAAAAAC4CAABkcnMvZTJvRG9jLnhtbFBLAQItABQA&#13;&#10;BgAIAAAAIQBOkfUG6AAAABIBAAAPAAAAAAAAAAAAAAAAAKIEAABkcnMvZG93bnJldi54bWxQSwUG&#13;&#10;AAAAAAQABADzAAAAtwUAAAAA&#13;&#10;" filled="f" stroked="f" strokeweight=".5pt">
                <o:lock v:ext="edit" aspectratio="t"/>
                <v:textbox>
                  <w:txbxContent>
                    <w:p w14:paraId="14EFFC4A" w14:textId="77777777" w:rsidR="00F61130" w:rsidRDefault="00F61130" w:rsidP="0080587B">
                      <w:r>
                        <w:t>Dii</w:t>
                      </w:r>
                    </w:p>
                  </w:txbxContent>
                </v:textbox>
                <w10:wrap type="tight"/>
              </v:shape>
            </w:pict>
          </mc:Fallback>
        </mc:AlternateContent>
      </w:r>
      <w:r w:rsidR="004A105D">
        <w:rPr>
          <w:noProof/>
          <w:lang w:val="en-US"/>
        </w:rPr>
        <mc:AlternateContent>
          <mc:Choice Requires="wps">
            <w:drawing>
              <wp:anchor distT="0" distB="0" distL="114300" distR="114300" simplePos="0" relativeHeight="251539456" behindDoc="0" locked="0" layoutInCell="1" allowOverlap="1" wp14:anchorId="12C6F872" wp14:editId="5F3DFB57">
                <wp:simplePos x="0" y="0"/>
                <wp:positionH relativeFrom="column">
                  <wp:posOffset>6515569</wp:posOffset>
                </wp:positionH>
                <wp:positionV relativeFrom="paragraph">
                  <wp:posOffset>3246759</wp:posOffset>
                </wp:positionV>
                <wp:extent cx="814060" cy="361194"/>
                <wp:effectExtent l="0" t="0" r="0" b="0"/>
                <wp:wrapTight wrapText="bothSides">
                  <wp:wrapPolygon edited="0">
                    <wp:start x="1686" y="761"/>
                    <wp:lineTo x="1686" y="19775"/>
                    <wp:lineTo x="19560" y="19775"/>
                    <wp:lineTo x="19560" y="761"/>
                    <wp:lineTo x="1686" y="761"/>
                  </wp:wrapPolygon>
                </wp:wrapTight>
                <wp:docPr id="749" name="Text Box 749"/>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wps:cNvSpPr>
                      <wps:spPr>
                        <a:xfrm>
                          <a:off x="0" y="0"/>
                          <a:ext cx="814060" cy="361194"/>
                        </a:xfrm>
                        <a:prstGeom prst="rect">
                          <a:avLst/>
                        </a:prstGeom>
                        <a:noFill/>
                        <a:ln w="6350">
                          <a:noFill/>
                        </a:ln>
                      </wps:spPr>
                      <wps:txbx>
                        <w:txbxContent>
                          <w:p w14:paraId="1C0E7AC7" w14:textId="77777777" w:rsidR="00F61130" w:rsidRDefault="00F61130" w:rsidP="0080587B">
                            <w:r>
                              <w:t>Diii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2C6F872" id="Text Box 749" o:spid="_x0000_s1083" type="#_x0000_t202" style="position:absolute;left:0;text-align:left;margin-left:513.05pt;margin-top:255.65pt;width:64.1pt;height:28.45pt;z-index:2515394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dT8FgSQIAAIgEAAAOAAAAZHJzL2Uyb0RvYy54bWysVE2P2jAQvVfqf7B8L0nYAEtEWFFWVJXQ&#13;&#10;7kqw2rNxHBI18bi2IaG/vmMnYdG2p6oXx/Ybz8d7M1k8tHVFzkKbEmRKo1FIiZAcslIeU/q633y5&#13;&#10;p8RYJjNWgRQpvQhDH5afPy0alYgxFFBlQhN0Ik3SqJQW1qokCAwvRM3MCJSQCOaga2bxqI9BplmD&#13;&#10;3usqGIfhNGhAZ0oDF8bg7WMH0qX3n+eC2+c8N8KSKqWYm/Wr9uvBrcFywZKjZqooeZ8G+4csalZK&#13;&#10;DHp19cgsIydd/uGqLrkGA7kdcagDyPOSC18DVhOFH6rZFUwJXwuSY9SVJvP/3PKn84smZZbSWTyn&#13;&#10;RLIaRdqL1pKv0BJ3hww1yiRouFNoalsEUGlfrVFb4D8MkbAumDyKlVHIuEPxVXDzrPNh0IEjqc11&#13;&#10;7b5YPkFfqMvlqoULzfHyPorDKSIcobtpFM1j7/P9sdLGfhNQE7dJqcbAPid23hrrwrNkMHGxJGzK&#13;&#10;qvJyV5I0KZ3eTUL/4Irgi0r2eXepugpse2g9QZPZwMUBsgtSoaFrJ6P4psQktszYF6axfzBvnAn7&#13;&#10;jEteAQaDfkdJAfrX3+6dPcqKKCUN9mNKzc8T04KS6rtEwedRHLsG9od4MhvjQd8ih1tEnuo1YMtH&#13;&#10;OH2K+62zt9WwzTXUbzg6KxcVISY5xk6pHbZr200Jjh4Xq5U3wpZVzG7lTvGhAxzF+/aNadXrYFHA&#13;&#10;Jxg6lyUf5OhsO0FWJwt56bVyRHes9vxju3sJ+9F083R79lbvP5DlbwAAAP//AwBQSwMEFAAGAAgA&#13;&#10;AAAhAIA9AnDmAAAAEgEAAA8AAABkcnMvZG93bnJldi54bWxMT8FOwzAMvSPxD5GRuLE0hVZV13Sa&#13;&#10;iiYkBIeNXbilTdZWNE5psq3w9XincbH87Ofn94rVbAd2MpPvHUoQiwiYwcbpHlsJ+4/NQwbMB4Va&#13;&#10;DQ6NhB/jYVXe3hQq1+6MW3PahZaRCPpcSehCGHPOfdMZq/zCjQZpd3CTVYHg1HI9qTOJ24HHUZRy&#13;&#10;q3qkD50aTdWZ5mt3tBJeq8272taxzX6H6uXtsB6/95+JlPd38/OSynoJLJg5XC/gkoH8Q0nGandE&#13;&#10;7dlAOIpTQVwJiRCPwC4UkTxRV9MozWLgZcH/Ryn/AAAA//8DAFBLAQItABQABgAIAAAAIQC2gziS&#13;&#10;/gAAAOEBAAATAAAAAAAAAAAAAAAAAAAAAABbQ29udGVudF9UeXBlc10ueG1sUEsBAi0AFAAGAAgA&#13;&#10;AAAhADj9If/WAAAAlAEAAAsAAAAAAAAAAAAAAAAALwEAAF9yZWxzLy5yZWxzUEsBAi0AFAAGAAgA&#13;&#10;AAAhAF1PwWBJAgAAiAQAAA4AAAAAAAAAAAAAAAAALgIAAGRycy9lMm9Eb2MueG1sUEsBAi0AFAAG&#13;&#10;AAgAAAAhAIA9AnDmAAAAEgEAAA8AAAAAAAAAAAAAAAAAowQAAGRycy9kb3ducmV2LnhtbFBLBQYA&#13;&#10;AAAABAAEAPMAAAC2BQAAAAA=&#13;&#10;" filled="f" stroked="f" strokeweight=".5pt">
                <o:lock v:ext="edit" aspectratio="t"/>
                <v:textbox>
                  <w:txbxContent>
                    <w:p w14:paraId="1C0E7AC7" w14:textId="77777777" w:rsidR="00F61130" w:rsidRDefault="00F61130" w:rsidP="0080587B">
                      <w:r>
                        <w:t>Diii</w:t>
                      </w:r>
                    </w:p>
                  </w:txbxContent>
                </v:textbox>
                <w10:wrap type="tight"/>
              </v:shape>
            </w:pict>
          </mc:Fallback>
        </mc:AlternateContent>
      </w:r>
    </w:p>
    <w:p w14:paraId="3B1CFA7F" w14:textId="76C12F1C" w:rsidR="00703327" w:rsidRPr="008B3AD6" w:rsidRDefault="00703327" w:rsidP="000A237B">
      <w:pPr>
        <w:pStyle w:val="Heading2"/>
      </w:pPr>
      <w:bookmarkStart w:id="317" w:name="_Ref521690651"/>
      <w:bookmarkStart w:id="318" w:name="_Ref521758395"/>
      <w:bookmarkStart w:id="319" w:name="_Toc3716101"/>
      <w:r w:rsidRPr="008B3AD6">
        <w:lastRenderedPageBreak/>
        <w:t>Discussion</w:t>
      </w:r>
      <w:bookmarkEnd w:id="317"/>
      <w:bookmarkEnd w:id="318"/>
      <w:bookmarkEnd w:id="319"/>
    </w:p>
    <w:p w14:paraId="6C394EF6" w14:textId="7F019626" w:rsidR="004A3F70" w:rsidRPr="008B3AD6" w:rsidRDefault="004A3F70" w:rsidP="00B94F8C">
      <w:pPr>
        <w:spacing w:line="360" w:lineRule="auto"/>
        <w:jc w:val="both"/>
      </w:pPr>
      <w:r w:rsidRPr="008B3AD6">
        <w:t xml:space="preserve">Mice infected with </w:t>
      </w:r>
      <w:r w:rsidR="00FF0C90">
        <w:rPr>
          <w:i/>
        </w:rPr>
        <w:t>L. donovani</w:t>
      </w:r>
      <w:r w:rsidRPr="008B3AD6">
        <w:t xml:space="preserve"> show a strong hepatic immune response and form granulomas in order to contain parasite levels, a complex response requiring a multitude of different leukocyte subsets</w:t>
      </w:r>
      <w:r w:rsidR="001A6456" w:rsidRPr="008B3AD6">
        <w:t xml:space="preserve"> as introduced in Chapter 1</w:t>
      </w:r>
      <w:r w:rsidRPr="008B3AD6">
        <w:t xml:space="preserve">. Treatment of these mice with </w:t>
      </w:r>
      <w:r w:rsidR="00A32111">
        <w:t>LAmB</w:t>
      </w:r>
      <w:r w:rsidR="00FF0C90">
        <w:t xml:space="preserve"> (as AmBisome)</w:t>
      </w:r>
      <w:r w:rsidRPr="008B3AD6">
        <w:t xml:space="preserve"> has shown high levels of accumulation with the liver and significant decreases in the hepatic parasite load</w:t>
      </w:r>
      <w:r w:rsidR="001A6456" w:rsidRPr="008B3AD6">
        <w:t xml:space="preserve"> </w:t>
      </w:r>
      <w:r w:rsidR="001A6456" w:rsidRPr="008B3AD6">
        <w:fldChar w:fldCharType="begin"/>
      </w:r>
      <w:r w:rsidR="007A6EED">
        <w:instrText xml:space="preserve"> ADDIN ZOTERO_ITEM CSL_CITATION {"citationID":"thn6i4RB","properties":{"formattedCitation":"(Voak et al. 2017c)","plainCitation":"(Voak et al. 2017c)","noteIndex":0},"citationItems":[{"id":2507,"uris":["http://zotero.org/users/2628971/items/W2SGM4SR"],"uri":["http://zotero.org/users/2628971/items/W2SGM4SR"],"itemData":{"id":2507,"type":"article-journal","title":"Pharmacodynamics and Biodistribution of Single-Dose Liposomal Amphotericin B at Different Stages of Experimental Visceral Leishmaniasis","container-title":"Antimicrobial Agents and Chemotherapy","volume":"61","issue":"9","source":"PubMed","abstract":"Visceral leishmaniasis is a neglected tropical disease that causes significant morbidity and mortality worldwide. Characterization of the pharmacokinetics and pharmacodynamics of antileishmanial drugs in preclinical models is important for drug development and use. Here we investigated the pharmacodynamics and drug distribution of liposomal amphotericin B (AmBisome) inLeishmania donovani-infected BALB/c mice at three different dose levels and two different time points after infection. We additionally compared drug levels in plasma, liver, and spleen in infected and uninfected BALB/c mice over time. At the highest administered dose of 10 mg/kg AmBisome, &gt;90% parasite inhibition was observed within 2 days after drug administration, consistent with drug distribution from blood to tissue within 24 h and a fast rate of kill. Decreased drug potency was observed in the spleen when AmBisome was administered on day 35 after infection, compared to day 14 after infection. Amphotericin B concentrations and total drug amounts per organ were lower in liver and spleen when AmBisome was administered at the advanced stage of infection and compared to those in uninfected BALB/c mice. However, the magnitude of difference was lower when total drug amounts per organ were estimated. Differences were also noted in drug distribution toL. donovani-infected livers and spleens. Taken together, our data suggest that organ enlargement and other pathophysiological factors cause infection- and organ-specific drug distribution and elimination after administration of single-dose AmBisome toL. donovani-infected mice. Plasma drug levels were not reflective of changes in drug levels in tissues.","DOI":"10.1128/AAC.00497-17","ISSN":"1098-6596","note":"PMID: 28630200\nPMCID: PMC5571318","journalAbbreviation":"Antimicrob. Agents Chemother.","language":"eng","author":[{"family":"Voak","given":"Andrew A."},{"family":"Harris","given":"Andy"},{"family":"Qaiser","given":"Zeeshan"},{"family":"Croft","given":"Simon L."},{"family":"Seifert","given":"Karin"}],"issued":{"date-parts":[["2017",9]]}}}],"schema":"https://github.com/citation-style-language/schema/raw/master/csl-citation.json"} </w:instrText>
      </w:r>
      <w:r w:rsidR="001A6456" w:rsidRPr="008B3AD6">
        <w:fldChar w:fldCharType="separate"/>
      </w:r>
      <w:r w:rsidR="007A6EED" w:rsidRPr="007A6EED">
        <w:rPr>
          <w:lang w:val="en-US"/>
        </w:rPr>
        <w:t>(Voak et al. 2017)</w:t>
      </w:r>
      <w:r w:rsidR="001A6456" w:rsidRPr="008B3AD6">
        <w:fldChar w:fldCharType="end"/>
      </w:r>
      <w:r w:rsidRPr="008B3AD6">
        <w:t xml:space="preserve">. In humans this </w:t>
      </w:r>
      <w:r w:rsidR="00A32111">
        <w:t>LAmB</w:t>
      </w:r>
      <w:r w:rsidRPr="008B3AD6">
        <w:t xml:space="preserve"> is a frontline therapy and a gold standard for the clearance of infection. However, the influence of these granulomas has not yet been discerned and it cannot be stated whether they help or hinder therapeutic outcomes.</w:t>
      </w:r>
    </w:p>
    <w:p w14:paraId="36F3B829" w14:textId="3EECDFE0" w:rsidR="004A3F70" w:rsidRPr="008B3AD6" w:rsidRDefault="004A3F70" w:rsidP="00B94F8C">
      <w:pPr>
        <w:spacing w:line="360" w:lineRule="auto"/>
        <w:jc w:val="both"/>
      </w:pPr>
    </w:p>
    <w:p w14:paraId="76E0C158" w14:textId="16831B62" w:rsidR="00257C3E" w:rsidRPr="008B3AD6" w:rsidRDefault="004A3F70" w:rsidP="00B94F8C">
      <w:pPr>
        <w:spacing w:line="360" w:lineRule="auto"/>
        <w:jc w:val="both"/>
      </w:pPr>
      <w:r w:rsidRPr="008B3AD6">
        <w:t xml:space="preserve">In this chapter we aimed to develop a protocol for the analysis of </w:t>
      </w:r>
      <w:r w:rsidR="00A32111">
        <w:t>AmB</w:t>
      </w:r>
      <w:r w:rsidRPr="008B3AD6">
        <w:t xml:space="preserve"> accumulation in both whole liver tissue and cellular liver components and apply this to determine the accumulation of </w:t>
      </w:r>
      <w:r w:rsidR="00A32111">
        <w:t>AmB</w:t>
      </w:r>
      <w:r w:rsidRPr="008B3AD6">
        <w:t xml:space="preserve"> over time in tissue and cells samples. We have confirmed that </w:t>
      </w:r>
      <w:r w:rsidR="00FF0C90">
        <w:t>LC-MS/MS</w:t>
      </w:r>
      <w:r w:rsidR="009525CA" w:rsidRPr="008B3AD6">
        <w:t xml:space="preserve"> </w:t>
      </w:r>
      <w:r w:rsidRPr="008B3AD6">
        <w:t xml:space="preserve">analysis can be used for the detection of </w:t>
      </w:r>
      <w:r w:rsidR="00A32111">
        <w:t>AmB</w:t>
      </w:r>
      <w:r w:rsidR="009525CA" w:rsidRPr="008B3AD6">
        <w:t xml:space="preserve">, as previously described </w:t>
      </w:r>
      <w:r w:rsidR="009525CA" w:rsidRPr="008B3AD6">
        <w:fldChar w:fldCharType="begin"/>
      </w:r>
      <w:r w:rsidR="007A6EED">
        <w:instrText xml:space="preserve"> ADDIN ZOTERO_ITEM CSL_CITATION {"citationID":"HmKKRYpL","properties":{"formattedCitation":"(Voak et al. 2017c; Su et al. 2018)","plainCitation":"(Voak et al. 2017c; Su et al. 2018)","noteIndex":0},"citationItems":[{"id":2507,"uris":["http://zotero.org/users/2628971/items/W2SGM4SR"],"uri":["http://zotero.org/users/2628971/items/W2SGM4SR"],"itemData":{"id":2507,"type":"article-journal","title":"Pharmacodynamics and Biodistribution of Single-Dose Liposomal Amphotericin B at Different Stages of Experimental Visceral Leishmaniasis","container-title":"Antimicrobial Agents and Chemotherapy","volume":"61","issue":"9","source":"PubMed","abstract":"Visceral leishmaniasis is a neglected tropical disease that causes significant morbidity and mortality worldwide. Characterization of the pharmacokinetics and pharmacodynamics of antileishmanial drugs in preclinical models is important for drug development and use. Here we investigated the pharmacodynamics and drug distribution of liposomal amphotericin B (AmBisome) inLeishmania donovani-infected BALB/c mice at three different dose levels and two different time points after infection. We additionally compared drug levels in plasma, liver, and spleen in infected and uninfected BALB/c mice over time. At the highest administered dose of 10 mg/kg AmBisome, &gt;90% parasite inhibition was observed within 2 days after drug administration, consistent with drug distribution from blood to tissue within 24 h and a fast rate of kill. Decreased drug potency was observed in the spleen when AmBisome was administered on day 35 after infection, compared to day 14 after infection. Amphotericin B concentrations and total drug amounts per organ were lower in liver and spleen when AmBisome was administered at the advanced stage of infection and compared to those in uninfected BALB/c mice. However, the magnitude of difference was lower when total drug amounts per organ were estimated. Differences were also noted in drug distribution toL. donovani-infected livers and spleens. Taken together, our data suggest that organ enlargement and other pathophysiological factors cause infection- and organ-specific drug distribution and elimination after administration of single-dose AmBisome toL. donovani-infected mice. Plasma drug levels were not reflective of changes in drug levels in tissues.","DOI":"10.1128/AAC.00497-17","ISSN":"1098-6596","note":"PMID: 28630200\nPMCID: PMC5571318","journalAbbreviation":"Antimicrob. Agents Chemother.","language":"eng","author":[{"family":"Voak","given":"Andrew A."},{"family":"Harris","given":"Andy"},{"family":"Qaiser","given":"Zeeshan"},{"family":"Croft","given":"Simon L."},{"family":"Seifert","given":"Karin"}],"issued":{"date-parts":[["2017",9]]}}},{"id":3393,"uris":["http://zotero.org/users/2628971/items/K29IZY7B"],"uri":["http://zotero.org/users/2628971/items/K29IZY7B"],"itemData":{"id":3393,"type":"article-journal","title":"Bioanalysis of free and liposomal Amphotericin B in rat plasma using solid phase extraction and protein precipitation followed by LC-MS/MS","container-title":"Journal of Pharmaceutical and Biomedical Analysis","page":"288-293","volume":"158","source":"PubMed","abstract":"Amphotericin B (AMB) is a polyene macrolide antibiotic used for treating invasive fungal infections. Liposomal AMB (L-AMB) is a lipid dosage form which reduces the side effects and toxicity of the drug. The quantitation of free AMB (F-AMB) and L-AMB in vivo is important to monitor quality control of the liposomal formulation and to ensure its safety during clinical use. In this study, an original strategy was developed to separately determine F-AMB and L-AMB in rat plasma using LC-MS/MS. F-AMB was analyzed after separation by solid phase extraction, total AMB (T-AMB) was determined after protein precipitation and L-AMB was determined by difference. The method was fully validated. Calibration curves were linear in the ranges 0.7-120 μg/mL for T-AMB and 0.2-20 μg/mL for F-AMB. Accuracy and precision results were within acceptable variability limits, recoveries were consistent and reproducible, matrix effects were insignificant and analytes were stable under all the storage conditions tested. The method was successfully applied to a pharmacokinetic study in rats administered a single intravenous 6 mg/kg dose of L-AMB. The method will allow further clinical studies of L-AMB and provide useful technical support for the assay of other liposomal drug formulations.","DOI":"10.1016/j.jpba.2018.06.014","ISSN":"1873-264X","note":"PMID: 29902693","journalAbbreviation":"J Pharm Biomed Anal","language":"eng","author":[{"family":"Su","given":"Chong"},{"family":"Yang","given":"Hong"},{"family":"Sun","given":"Hui"},{"family":"Fawcett","given":"John Paul"},{"family":"Sun","given":"Dong"},{"family":"Gu","given":"Jingkai"}],"issued":{"date-parts":[["2018",9,5]]}}}],"schema":"https://github.com/citation-style-language/schema/raw/master/csl-citation.json"} </w:instrText>
      </w:r>
      <w:r w:rsidR="009525CA" w:rsidRPr="008B3AD6">
        <w:fldChar w:fldCharType="separate"/>
      </w:r>
      <w:r w:rsidR="00E5551E">
        <w:rPr>
          <w:lang w:val="en-US"/>
        </w:rPr>
        <w:t>(Voak et al. 2017</w:t>
      </w:r>
      <w:r w:rsidR="007A6EED" w:rsidRPr="007A6EED">
        <w:rPr>
          <w:lang w:val="en-US"/>
        </w:rPr>
        <w:t>; Su et al. 2018)</w:t>
      </w:r>
      <w:r w:rsidR="009525CA" w:rsidRPr="008B3AD6">
        <w:fldChar w:fldCharType="end"/>
      </w:r>
      <w:r w:rsidRPr="008B3AD6">
        <w:t xml:space="preserve">, and </w:t>
      </w:r>
      <w:r w:rsidR="00F876F7" w:rsidRPr="008B3AD6">
        <w:t>extended this</w:t>
      </w:r>
      <w:r w:rsidRPr="008B3AD6">
        <w:t xml:space="preserve"> to</w:t>
      </w:r>
      <w:r w:rsidR="00F876F7" w:rsidRPr="008B3AD6">
        <w:t xml:space="preserve"> the</w:t>
      </w:r>
      <w:r w:rsidRPr="008B3AD6">
        <w:t xml:space="preserve"> analys</w:t>
      </w:r>
      <w:r w:rsidR="00F876F7" w:rsidRPr="008B3AD6">
        <w:t>is of</w:t>
      </w:r>
      <w:r w:rsidRPr="008B3AD6">
        <w:t xml:space="preserve"> cellular samples</w:t>
      </w:r>
      <w:r w:rsidR="009525CA" w:rsidRPr="008B3AD6">
        <w:t xml:space="preserve"> (Sections </w:t>
      </w:r>
      <w:r w:rsidR="00476DFC" w:rsidRPr="008B3AD6">
        <w:fldChar w:fldCharType="begin"/>
      </w:r>
      <w:r w:rsidR="00476DFC" w:rsidRPr="008B3AD6">
        <w:instrText xml:space="preserve"> REF _Ref518135898 \n </w:instrText>
      </w:r>
      <w:r w:rsidR="00B94F8C" w:rsidRPr="008B3AD6">
        <w:instrText xml:space="preserve"> \* MERGEFORMAT </w:instrText>
      </w:r>
      <w:r w:rsidR="00476DFC" w:rsidRPr="008B3AD6">
        <w:fldChar w:fldCharType="separate"/>
      </w:r>
      <w:r w:rsidR="00031DCA">
        <w:t>3.3.2</w:t>
      </w:r>
      <w:r w:rsidR="00476DFC" w:rsidRPr="008B3AD6">
        <w:fldChar w:fldCharType="end"/>
      </w:r>
      <w:r w:rsidR="009525CA" w:rsidRPr="008B3AD6">
        <w:t xml:space="preserve"> and </w:t>
      </w:r>
      <w:r w:rsidR="00476DFC" w:rsidRPr="008B3AD6">
        <w:fldChar w:fldCharType="begin"/>
      </w:r>
      <w:r w:rsidR="00476DFC" w:rsidRPr="008B3AD6">
        <w:instrText xml:space="preserve"> REF _Ref521953533 \n </w:instrText>
      </w:r>
      <w:r w:rsidR="00B94F8C" w:rsidRPr="008B3AD6">
        <w:instrText xml:space="preserve"> \* MERGEFORMAT </w:instrText>
      </w:r>
      <w:r w:rsidR="00476DFC" w:rsidRPr="008B3AD6">
        <w:fldChar w:fldCharType="separate"/>
      </w:r>
      <w:r w:rsidR="00031DCA">
        <w:t>3.3.3</w:t>
      </w:r>
      <w:r w:rsidR="00476DFC" w:rsidRPr="008B3AD6">
        <w:fldChar w:fldCharType="end"/>
      </w:r>
      <w:r w:rsidR="009525CA" w:rsidRPr="008B3AD6">
        <w:t xml:space="preserve">), after optimisation of our protocol (Section </w:t>
      </w:r>
      <w:r w:rsidR="00476DFC" w:rsidRPr="008B3AD6">
        <w:fldChar w:fldCharType="begin"/>
      </w:r>
      <w:r w:rsidR="00476DFC" w:rsidRPr="008B3AD6">
        <w:instrText xml:space="preserve"> REF _Ref521953713 \n </w:instrText>
      </w:r>
      <w:r w:rsidR="00B94F8C" w:rsidRPr="008B3AD6">
        <w:instrText xml:space="preserve"> \* MERGEFORMAT </w:instrText>
      </w:r>
      <w:r w:rsidR="00476DFC" w:rsidRPr="008B3AD6">
        <w:fldChar w:fldCharType="separate"/>
      </w:r>
      <w:r w:rsidR="00031DCA">
        <w:t>3.3.1</w:t>
      </w:r>
      <w:r w:rsidR="00476DFC" w:rsidRPr="008B3AD6">
        <w:fldChar w:fldCharType="end"/>
      </w:r>
      <w:r w:rsidR="009525CA" w:rsidRPr="008B3AD6">
        <w:t>)</w:t>
      </w:r>
      <w:r w:rsidRPr="008B3AD6">
        <w:t>.</w:t>
      </w:r>
      <w:r w:rsidR="001C5A40">
        <w:t xml:space="preserve"> In line with the findings of Voak and colleagues </w:t>
      </w:r>
      <w:r w:rsidR="001C5A40">
        <w:rPr>
          <w:lang w:val="en-US"/>
        </w:rPr>
        <w:t>(Voak et al. 2017</w:t>
      </w:r>
      <w:r w:rsidR="001C5A40">
        <w:t>) we have found the liver to be a high accumulator of AmB post-treatment (</w:t>
      </w:r>
      <w:r w:rsidR="001C5A40" w:rsidRPr="00B23FF8">
        <w:rPr>
          <w:b/>
        </w:rPr>
        <w:fldChar w:fldCharType="begin"/>
      </w:r>
      <w:r w:rsidR="001C5A40" w:rsidRPr="00B23FF8">
        <w:rPr>
          <w:b/>
        </w:rPr>
        <w:instrText xml:space="preserve"> REF _Ref534367991 \h </w:instrText>
      </w:r>
      <w:r w:rsidR="001C5A40" w:rsidRPr="001C5A40">
        <w:rPr>
          <w:b/>
        </w:rPr>
        <w:instrText xml:space="preserve"> \* MERGEFORMAT </w:instrText>
      </w:r>
      <w:r w:rsidR="001C5A40" w:rsidRPr="00B23FF8">
        <w:rPr>
          <w:b/>
        </w:rPr>
      </w:r>
      <w:r w:rsidR="001C5A40" w:rsidRPr="00B23FF8">
        <w:rPr>
          <w:b/>
        </w:rPr>
        <w:fldChar w:fldCharType="separate"/>
      </w:r>
      <w:r w:rsidR="001C5A40" w:rsidRPr="00B23FF8">
        <w:rPr>
          <w:b/>
        </w:rPr>
        <w:t xml:space="preserve">Figure </w:t>
      </w:r>
      <w:r w:rsidR="001C5A40" w:rsidRPr="00B23FF8">
        <w:rPr>
          <w:b/>
          <w:noProof/>
        </w:rPr>
        <w:t>3</w:t>
      </w:r>
      <w:r w:rsidR="001C5A40" w:rsidRPr="00B23FF8">
        <w:rPr>
          <w:b/>
        </w:rPr>
        <w:t>.</w:t>
      </w:r>
      <w:r w:rsidR="001C5A40" w:rsidRPr="00B23FF8">
        <w:rPr>
          <w:b/>
          <w:noProof/>
        </w:rPr>
        <w:t>9</w:t>
      </w:r>
      <w:r w:rsidR="001C5A40" w:rsidRPr="00B23FF8">
        <w:rPr>
          <w:b/>
        </w:rPr>
        <w:fldChar w:fldCharType="end"/>
      </w:r>
      <w:r w:rsidR="001C5A40" w:rsidRPr="00B23FF8">
        <w:rPr>
          <w:b/>
        </w:rPr>
        <w:t>A</w:t>
      </w:r>
      <w:r w:rsidR="001C5A40">
        <w:t>).</w:t>
      </w:r>
    </w:p>
    <w:p w14:paraId="1BAE1718" w14:textId="77777777" w:rsidR="00257C3E" w:rsidRPr="008B3AD6" w:rsidRDefault="00257C3E" w:rsidP="00B94F8C">
      <w:pPr>
        <w:spacing w:line="360" w:lineRule="auto"/>
        <w:jc w:val="both"/>
      </w:pPr>
    </w:p>
    <w:p w14:paraId="20556C31" w14:textId="0AF93ECF" w:rsidR="004A3F70" w:rsidRPr="008B3AD6" w:rsidRDefault="004A3F70" w:rsidP="00B94F8C">
      <w:pPr>
        <w:spacing w:line="360" w:lineRule="auto"/>
        <w:jc w:val="both"/>
      </w:pPr>
      <w:r w:rsidRPr="008B3AD6">
        <w:t xml:space="preserve">We have </w:t>
      </w:r>
      <w:r w:rsidR="001A7021">
        <w:t xml:space="preserve">also </w:t>
      </w:r>
      <w:r w:rsidRPr="008B3AD6">
        <w:t xml:space="preserve">found that the </w:t>
      </w:r>
      <w:r w:rsidRPr="00FF0C90">
        <w:t xml:space="preserve">majority of </w:t>
      </w:r>
      <w:r w:rsidR="00A32111" w:rsidRPr="00FF0C90">
        <w:t>AmB</w:t>
      </w:r>
      <w:r w:rsidRPr="00FF0C90">
        <w:t xml:space="preserve"> in the liver is found outside of the leukocyte population</w:t>
      </w:r>
      <w:r w:rsidR="009525CA" w:rsidRPr="00FF0C90">
        <w:t xml:space="preserve"> (</w:t>
      </w:r>
      <w:r w:rsidR="0074700A" w:rsidRPr="00FF0C90">
        <w:rPr>
          <w:b/>
        </w:rPr>
        <w:fldChar w:fldCharType="begin"/>
      </w:r>
      <w:r w:rsidR="0074700A" w:rsidRPr="00FF0C90">
        <w:rPr>
          <w:b/>
        </w:rPr>
        <w:instrText xml:space="preserve"> REF _Ref518932093  \* MERGEFORMAT </w:instrText>
      </w:r>
      <w:r w:rsidR="0074700A" w:rsidRPr="00FF0C90">
        <w:rPr>
          <w:b/>
        </w:rPr>
        <w:fldChar w:fldCharType="separate"/>
      </w:r>
      <w:r w:rsidR="00E5551E" w:rsidRPr="00E5551E">
        <w:rPr>
          <w:b/>
        </w:rPr>
        <w:t xml:space="preserve">Figure </w:t>
      </w:r>
      <w:r w:rsidR="00E5551E" w:rsidRPr="00E5551E">
        <w:rPr>
          <w:b/>
          <w:noProof/>
        </w:rPr>
        <w:t>3.9</w:t>
      </w:r>
      <w:r w:rsidR="0074700A" w:rsidRPr="00FF0C90">
        <w:rPr>
          <w:b/>
          <w:noProof/>
        </w:rPr>
        <w:fldChar w:fldCharType="end"/>
      </w:r>
      <w:r w:rsidR="009525CA" w:rsidRPr="00FF0C90">
        <w:rPr>
          <w:b/>
        </w:rPr>
        <w:t>B</w:t>
      </w:r>
      <w:r w:rsidR="009525CA" w:rsidRPr="00FF0C90">
        <w:t xml:space="preserve"> and </w:t>
      </w:r>
      <w:r w:rsidR="0074700A" w:rsidRPr="00FF0C90">
        <w:rPr>
          <w:b/>
          <w:noProof/>
        </w:rPr>
        <w:fldChar w:fldCharType="begin"/>
      </w:r>
      <w:r w:rsidR="0074700A" w:rsidRPr="00FF0C90">
        <w:rPr>
          <w:b/>
          <w:noProof/>
        </w:rPr>
        <w:instrText xml:space="preserve"> REF _Ref518932550  \* MERGEFORMAT </w:instrText>
      </w:r>
      <w:r w:rsidR="0074700A" w:rsidRPr="00FF0C90">
        <w:rPr>
          <w:b/>
          <w:noProof/>
        </w:rPr>
        <w:fldChar w:fldCharType="separate"/>
      </w:r>
      <w:r w:rsidR="00E5551E" w:rsidRPr="00E5551E">
        <w:rPr>
          <w:b/>
          <w:noProof/>
        </w:rPr>
        <w:t>Figure</w:t>
      </w:r>
      <w:r w:rsidR="00E5551E" w:rsidRPr="00E5551E">
        <w:rPr>
          <w:b/>
        </w:rPr>
        <w:t xml:space="preserve"> </w:t>
      </w:r>
      <w:r w:rsidR="00E5551E" w:rsidRPr="00E5551E">
        <w:rPr>
          <w:b/>
          <w:noProof/>
        </w:rPr>
        <w:t>3.12</w:t>
      </w:r>
      <w:r w:rsidR="0074700A" w:rsidRPr="00FF0C90">
        <w:rPr>
          <w:b/>
          <w:noProof/>
        </w:rPr>
        <w:fldChar w:fldCharType="end"/>
      </w:r>
      <w:r w:rsidR="009525CA" w:rsidRPr="00FF0C90">
        <w:rPr>
          <w:b/>
        </w:rPr>
        <w:t>A</w:t>
      </w:r>
      <w:r w:rsidR="009525CA" w:rsidRPr="00FF0C90">
        <w:t>)</w:t>
      </w:r>
      <w:r w:rsidR="000377F6">
        <w:t xml:space="preserve">. However, </w:t>
      </w:r>
      <w:r w:rsidRPr="008B3AD6">
        <w:t>a significant reduction in the hepatic parasite load post-treatment</w:t>
      </w:r>
      <w:r w:rsidR="000377F6">
        <w:t xml:space="preserve"> was still observed</w:t>
      </w:r>
      <w:r w:rsidR="009525CA" w:rsidRPr="008B3AD6">
        <w:t xml:space="preserve"> (</w:t>
      </w:r>
      <w:r w:rsidR="009525CA" w:rsidRPr="008B3AD6">
        <w:rPr>
          <w:b/>
        </w:rPr>
        <w:fldChar w:fldCharType="begin"/>
      </w:r>
      <w:r w:rsidR="009525CA" w:rsidRPr="008B3AD6">
        <w:rPr>
          <w:b/>
        </w:rPr>
        <w:instrText xml:space="preserve"> REF _Ref518932550  \* MERGEFORMAT </w:instrText>
      </w:r>
      <w:r w:rsidR="009525CA" w:rsidRPr="008B3AD6">
        <w:rPr>
          <w:b/>
        </w:rPr>
        <w:fldChar w:fldCharType="separate"/>
      </w:r>
      <w:r w:rsidR="00E5551E" w:rsidRPr="00E5551E">
        <w:rPr>
          <w:b/>
        </w:rPr>
        <w:t xml:space="preserve">Figure </w:t>
      </w:r>
      <w:r w:rsidR="00E5551E" w:rsidRPr="00E5551E">
        <w:rPr>
          <w:b/>
          <w:noProof/>
        </w:rPr>
        <w:t>3.12</w:t>
      </w:r>
      <w:r w:rsidR="009525CA" w:rsidRPr="008B3AD6">
        <w:rPr>
          <w:b/>
        </w:rPr>
        <w:fldChar w:fldCharType="end"/>
      </w:r>
      <w:r w:rsidR="009525CA" w:rsidRPr="008B3AD6">
        <w:rPr>
          <w:b/>
        </w:rPr>
        <w:t>B</w:t>
      </w:r>
      <w:r w:rsidR="009525CA" w:rsidRPr="008B3AD6">
        <w:t>)</w:t>
      </w:r>
      <w:r w:rsidR="00FF0C90">
        <w:t>. This</w:t>
      </w:r>
      <w:r w:rsidR="00B94F8C" w:rsidRPr="008B3AD6">
        <w:t xml:space="preserve"> novel perspective </w:t>
      </w:r>
      <w:r w:rsidR="00257C3E" w:rsidRPr="008B3AD6">
        <w:t xml:space="preserve">should stimulate discussion </w:t>
      </w:r>
      <w:r w:rsidR="00B94F8C" w:rsidRPr="008B3AD6">
        <w:t xml:space="preserve">on the pharmacodynamics of </w:t>
      </w:r>
      <w:r w:rsidR="00A32111">
        <w:t>AmB</w:t>
      </w:r>
      <w:r w:rsidR="000377F6">
        <w:t xml:space="preserve">. </w:t>
      </w:r>
      <w:r w:rsidR="00B94F8C" w:rsidRPr="008B3AD6">
        <w:t xml:space="preserve"> </w:t>
      </w:r>
      <w:r w:rsidR="000377F6">
        <w:t>The</w:t>
      </w:r>
      <w:r w:rsidR="00B94F8C" w:rsidRPr="008B3AD6">
        <w:t xml:space="preserve"> previously </w:t>
      </w:r>
      <w:r w:rsidR="000377F6">
        <w:t>demonstrated</w:t>
      </w:r>
      <w:r w:rsidR="00B94F8C" w:rsidRPr="008B3AD6">
        <w:t xml:space="preserve"> high liver accumulation </w:t>
      </w:r>
      <w:r w:rsidR="000377F6">
        <w:t>of this drug</w:t>
      </w:r>
      <w:r w:rsidR="00B94F8C" w:rsidRPr="008B3AD6">
        <w:t xml:space="preserve"> may have been assumed to have meant high levels of exposure for the parasite</w:t>
      </w:r>
      <w:r w:rsidR="00257C3E" w:rsidRPr="008B3AD6">
        <w:t>,</w:t>
      </w:r>
      <w:r w:rsidR="00B94F8C" w:rsidRPr="008B3AD6">
        <w:t xml:space="preserve"> </w:t>
      </w:r>
      <w:r w:rsidR="000377F6">
        <w:t>yet our data indicates</w:t>
      </w:r>
      <w:r w:rsidR="003547AA" w:rsidRPr="008B3AD6">
        <w:t xml:space="preserve"> an apparent maintenance of low levels of leukocyte associated </w:t>
      </w:r>
      <w:r w:rsidR="00A32111">
        <w:t>AmB</w:t>
      </w:r>
      <w:r w:rsidR="000377F6">
        <w:t xml:space="preserve"> over time</w:t>
      </w:r>
      <w:r w:rsidR="003547AA" w:rsidRPr="008B3AD6">
        <w:t xml:space="preserve">. </w:t>
      </w:r>
      <w:r w:rsidR="00B94F8C" w:rsidRPr="008B3AD6">
        <w:t xml:space="preserve">Of note, </w:t>
      </w:r>
      <w:r w:rsidR="00A32111">
        <w:t>AmB</w:t>
      </w:r>
      <w:r w:rsidR="00B94F8C" w:rsidRPr="008B3AD6">
        <w:t xml:space="preserve"> is unable to induce sterility in the liver.</w:t>
      </w:r>
      <w:r w:rsidR="0070185E" w:rsidRPr="008B3AD6">
        <w:t xml:space="preserve"> Contrary to the immune response, </w:t>
      </w:r>
      <w:r w:rsidR="00A32111">
        <w:t>AmB</w:t>
      </w:r>
      <w:r w:rsidR="0070185E" w:rsidRPr="008B3AD6">
        <w:t xml:space="preserve"> is not directly subject to immunomodulation and kills </w:t>
      </w:r>
      <w:r w:rsidR="0070185E" w:rsidRPr="008B3AD6">
        <w:rPr>
          <w:i/>
        </w:rPr>
        <w:t>L. donovani</w:t>
      </w:r>
      <w:r w:rsidR="0070185E" w:rsidRPr="008B3AD6">
        <w:t xml:space="preserve"> indiscriminately and so we would postulate the persistence of parasite may reflect foci of particularly poor </w:t>
      </w:r>
      <w:r w:rsidR="00A32111">
        <w:t>AmB</w:t>
      </w:r>
      <w:r w:rsidR="0070185E" w:rsidRPr="008B3AD6">
        <w:t xml:space="preserve"> accumulation</w:t>
      </w:r>
      <w:r w:rsidR="000377F6">
        <w:t xml:space="preserve"> which may be associated with denser granulomas.</w:t>
      </w:r>
      <w:r w:rsidR="0070185E" w:rsidRPr="008B3AD6">
        <w:t xml:space="preserve"> </w:t>
      </w:r>
      <w:r w:rsidR="000377F6">
        <w:t>A</w:t>
      </w:r>
      <w:r w:rsidR="0070185E" w:rsidRPr="008B3AD6">
        <w:t>lternatively</w:t>
      </w:r>
      <w:r w:rsidR="000377F6">
        <w:t>,</w:t>
      </w:r>
      <w:r w:rsidR="0070185E" w:rsidRPr="008B3AD6">
        <w:t xml:space="preserve"> quiescence has </w:t>
      </w:r>
      <w:r w:rsidR="003547AA" w:rsidRPr="008B3AD6">
        <w:t xml:space="preserve">been proposed to emerge under drug pressure </w:t>
      </w:r>
      <w:r w:rsidR="003547AA" w:rsidRPr="008B3AD6">
        <w:fldChar w:fldCharType="begin"/>
      </w:r>
      <w:r w:rsidR="007A6EED">
        <w:instrText xml:space="preserve"> ADDIN ZOTERO_ITEM CSL_CITATION {"citationID":"IVYqRLPH","properties":{"formattedCitation":"(Jara et al. 2017)","plainCitation":"(Jara et al. 2017)","noteIndex":0},"citationItems":[{"id":3782,"uris":["http://zotero.org/users/2628971/items/4VVHZB9M"],"uri":["http://zotero.org/users/2628971/items/4VVHZB9M"],"itemData":{"id":3782,"type":"article-journal","title":"Macromolecular biosynthetic parameters and metabolic profile in different life stages of Leishmania braziliensis: Amastigotes as a functionally less active stage","container-title":"PLoS ONE","volume":"12","issue":"7","source":"PubMed Central","abstract":"It was recently hypothesized that Leishmania amastigotes could constitute a semi-quiescent stage characterized by low replication and reduced metabolic activity. This concept developed with Leishmania (Leishmania) mexicana and Leishmania (Leishmania) major models might explain numerous clinical and sub-clinical features of Leishmania (Viannia) braziliensis infections, like reactivation of the disease, non-response to chemotherapy or asymptomatic infections. We compared here in vitro the proliferative capability of L. (V.) braziliensis amastigotes and promastigotes, assessed the expression of key molecular parameters and performed metabolomic analysis. We found that contrary to the highly proliferative promastigotes, amastigotes (axenic and intracellular) do not show evidence of extensive proliferation. In parallel, amastigotes showed a significant decrease of (i) the kDNA mini-circle abundance, (ii) the intracellular ATP level, (iii) the ribosomal components: rRNA subunits 18S and 28S α and ribosomal proteins RPS15 and RPL19, (iv) total RNA and protein levels. An untargeted metabolomic study identified clear differences between the different life stages: in comparison to logarithmic promastigotes, axenic amastigotes showed (a) a strong decrease of 14 essential and non-essential amino acids and eight metabolites involved in polyamine synthesis, (b) extensive changes in the phospholipids composition and (c) increased levels of several endogenous and exogenous sterols. Altogether, our results show that L. (V.) braziliensis amastigotes can show a phenotype with negligible rate of proliferation, a lower capacity of biosynthesis, a reduced bio-energetic level and a strongly altered metabolism. Our results pave the way for further exploration of quiescence among amastigotes of this species.","URL":"https://www.ncbi.nlm.nih.gov/pmc/articles/PMC5526552/","DOI":"10.1371/journal.pone.0180532","ISSN":"1932-6203","note":"PMID: 28742826\nPMCID: PMC5526552","shortTitle":"Macromolecular biosynthetic parameters and metabolic profile in different life stages of Leishmania braziliensis","journalAbbreviation":"PLoS One","author":[{"family":"Jara","given":"Marlene"},{"family":"Berg","given":"Maya"},{"family":"Caljon","given":"Guy"},{"family":"Muylder","given":"Geraldine","non-dropping-particle":"de"},{"family":"Cuypers","given":"Bart"},{"family":"Castillo","given":"Denis"},{"family":"Maes","given":"Ilse"},{"family":"Orozco","given":"María del Carmen"},{"family":"Vanaerschot","given":"Manu"},{"family":"Dujardin","given":"Jean-Claude"},{"family":"Arevalo","given":"Jorge"}],"issued":{"date-parts":[["2017",7,25]]},"accessed":{"date-parts":[["2018",9,8]]}}}],"schema":"https://github.com/citation-style-language/schema/raw/master/csl-citation.json"} </w:instrText>
      </w:r>
      <w:r w:rsidR="003547AA" w:rsidRPr="008B3AD6">
        <w:fldChar w:fldCharType="separate"/>
      </w:r>
      <w:r w:rsidR="007A6EED" w:rsidRPr="007A6EED">
        <w:rPr>
          <w:lang w:val="en-US"/>
        </w:rPr>
        <w:t>(Jara et al. 2017)</w:t>
      </w:r>
      <w:r w:rsidR="003547AA" w:rsidRPr="008B3AD6">
        <w:fldChar w:fldCharType="end"/>
      </w:r>
      <w:r w:rsidR="003547AA" w:rsidRPr="008B3AD6">
        <w:t xml:space="preserve"> which may confer resistance to </w:t>
      </w:r>
      <w:r w:rsidR="00A32111">
        <w:t>AmB</w:t>
      </w:r>
      <w:r w:rsidR="003547AA" w:rsidRPr="008B3AD6">
        <w:t xml:space="preserve"> action</w:t>
      </w:r>
      <w:r w:rsidR="0070185E" w:rsidRPr="008B3AD6">
        <w:t xml:space="preserve">.  </w:t>
      </w:r>
    </w:p>
    <w:p w14:paraId="47658BCB" w14:textId="1DB0B3CE" w:rsidR="009525CA" w:rsidRPr="008B3AD6" w:rsidRDefault="009525CA" w:rsidP="00B94F8C">
      <w:pPr>
        <w:spacing w:line="360" w:lineRule="auto"/>
        <w:jc w:val="both"/>
      </w:pPr>
    </w:p>
    <w:p w14:paraId="3E71CCD2" w14:textId="34543A72" w:rsidR="004A3F70" w:rsidRPr="008B3AD6" w:rsidRDefault="004A3F70" w:rsidP="00B94F8C">
      <w:pPr>
        <w:spacing w:line="360" w:lineRule="auto"/>
        <w:jc w:val="both"/>
      </w:pPr>
      <w:r w:rsidRPr="008B3AD6">
        <w:t xml:space="preserve">For this work we combined immunological methodologies for the isolation of leukocytes </w:t>
      </w:r>
      <w:r w:rsidR="000577A9" w:rsidRPr="008B3AD6">
        <w:t xml:space="preserve">with traditional </w:t>
      </w:r>
      <w:r w:rsidR="00FF0C90">
        <w:t>LC-MS/MS analysis</w:t>
      </w:r>
      <w:r w:rsidR="000577A9" w:rsidRPr="008B3AD6">
        <w:t xml:space="preserve">. </w:t>
      </w:r>
      <w:r w:rsidR="00B75A40" w:rsidRPr="008B3AD6">
        <w:t xml:space="preserve">Leukocytes were isolated by the digestion of the liver with enzymatic solutions and density centrifugation as previously described by Beattie and </w:t>
      </w:r>
      <w:r w:rsidR="00B75A40" w:rsidRPr="008B3AD6">
        <w:lastRenderedPageBreak/>
        <w:t xml:space="preserve">colleagues </w:t>
      </w:r>
      <w:r w:rsidR="00B75A40" w:rsidRPr="008B3AD6">
        <w:fldChar w:fldCharType="begin"/>
      </w:r>
      <w:r w:rsidR="007A6EED">
        <w:instrText xml:space="preserve"> ADDIN ZOTERO_ITEM CSL_CITATION {"citationID":"0R8V4GFy","properties":{"formattedCitation":"(Beattie, Peltan, et al. 2010b)","plainCitation":"(Beattie, Peltan, et al. 2010b)","noteIndex":0},"citationItems":[{"id":2470,"uris":["http://zotero.org/users/2628971/items/Z5DCMCS5"],"uri":["http://zotero.org/users/2628971/items/Z5DCMCS5"],"itemData":{"id":2470,"type":"article-journal","title":"Dynamic imaging of experimental Leishmania donovani-induced hepatic granulomas detects Kupffer cell-restricted antigen presentation to antigen-specific CD8 T cells","container-title":"PLoS pathogens","page":"e1000805","volume":"6","issue":"3","source":"PubMed","abstract":"Kupffer cells (KCs) represent the major phagocytic population within the liver and provide an intracellular niche for the survival of a number of important human pathogens. Although KCs have been extensively studied in vitro, little is known of their in vivo response to infection and their capacity to directly interact with antigen-specific CD8(+) T cells. Here, using a combination of approaches including whole mount and thin section confocal microscopy, adoptive cell transfer and intra-vital 2-photon microscopy, we demonstrate that KCs represent the only detectable population of mononuclear phagocytes within granulomas induced by Leishmania donovani infection that are capable of presenting parasite-derived peptide to effector CD8(+) T cells. This restriction of antigen presentation to KCs within the Leishmania granuloma has important implications for the identification of new candidate vaccine antigens and for the design of novel immuno-therapeutic interventions.","DOI":"10.1371/journal.ppat.1000805","ISSN":"1553-7374","note":"PMID: 20300603\nPMCID: PMC2837408","journalAbbreviation":"PLoS Pathog.","language":"eng","author":[{"family":"Beattie","given":"Lynette"},{"family":"Peltan","given":"Adam"},{"family":"Maroof","given":"Asher"},{"family":"Kirby","given":"Alun"},{"family":"Brown","given":"Najmeeyah"},{"family":"Coles","given":"Mark"},{"family":"Smith","given":"Deborah F."},{"family":"Kaye","given":"Paul M."}],"issued":{"date-parts":[["2010",3,12]]}}}],"schema":"https://github.com/citation-style-language/schema/raw/master/csl-citation.json"} </w:instrText>
      </w:r>
      <w:r w:rsidR="00B75A40" w:rsidRPr="008B3AD6">
        <w:fldChar w:fldCharType="separate"/>
      </w:r>
      <w:r w:rsidR="00E5551E">
        <w:rPr>
          <w:lang w:val="en-US"/>
        </w:rPr>
        <w:t>(Beattie et al. 2010</w:t>
      </w:r>
      <w:r w:rsidR="007A6EED" w:rsidRPr="007A6EED">
        <w:rPr>
          <w:lang w:val="en-US"/>
        </w:rPr>
        <w:t>)</w:t>
      </w:r>
      <w:r w:rsidR="00B75A40" w:rsidRPr="008B3AD6">
        <w:fldChar w:fldCharType="end"/>
      </w:r>
      <w:r w:rsidR="00B75A40" w:rsidRPr="008B3AD6">
        <w:t xml:space="preserve">. </w:t>
      </w:r>
      <w:r w:rsidR="00B107B0" w:rsidRPr="008B3AD6">
        <w:t xml:space="preserve">In this study hepatic mononuclear cell suspensions from </w:t>
      </w:r>
      <w:r w:rsidR="00B107B0" w:rsidRPr="008B3AD6">
        <w:rPr>
          <w:i/>
        </w:rPr>
        <w:t>L. donovani</w:t>
      </w:r>
      <w:r w:rsidR="00B107B0" w:rsidRPr="008B3AD6">
        <w:t xml:space="preserve"> infected C57Bl/6 mice were analysed used FACS, identifying four populations based upon CD11c and F4/80 expression. We have exten</w:t>
      </w:r>
      <w:r w:rsidR="00FF0C90">
        <w:t>ded this by applying additional</w:t>
      </w:r>
      <w:r w:rsidR="00B107B0" w:rsidRPr="008B3AD6">
        <w:t xml:space="preserve"> surface markers allowing for the identification of lymphoid cells, neutrophils, monocytes and </w:t>
      </w:r>
      <w:r w:rsidR="00FF0C90">
        <w:t>KCs &amp; DCs</w:t>
      </w:r>
      <w:r w:rsidR="00B107B0" w:rsidRPr="008B3AD6">
        <w:t xml:space="preserve">. A deviation in this approach </w:t>
      </w:r>
      <w:r w:rsidR="007956C1" w:rsidRPr="008B3AD6">
        <w:t xml:space="preserve">compared to other work </w:t>
      </w:r>
      <w:r w:rsidR="007956C1" w:rsidRPr="008B3AD6">
        <w:fldChar w:fldCharType="begin"/>
      </w:r>
      <w:r w:rsidR="007A6EED">
        <w:instrText xml:space="preserve"> ADDIN ZOTERO_ITEM CSL_CITATION {"citationID":"0eA1qo5O","properties":{"formattedCitation":"(Meyer et al. 2016)","plainCitation":"(Meyer et al. 2016)","noteIndex":0},"citationItems":[{"id":3387,"uris":["http://zotero.org/users/2628971/items/QQ6N8HUN"],"uri":["http://zotero.org/users/2628971/items/QQ6N8HUN"],"itemData":{"id":3387,"type":"article-journal","title":"Methods for Isolation and Purification of Murine Liver Sinusoidal Endothelial Cells: A Systematic Review","container-title":"PloS One","page":"e0151945","volume":"11","issue":"3","source":"PubMed","abstract":"To study the biological functions of liver sinusoidal endothelial cells (LSEC) and to identify their interplay with blood or liver cells, techniques allowing for the isolation and purification of LSEC have been developed over the last decades. The objective of the present review is to summarize and to compare the efficiency of existing methods for isolating murine LSEC. Toward this end, the MEDLINE database was searched for all original articles describing LSEC isolation from rat and mouse livers. Out of the 489 publications identified, 23 reported the main steps and outcomes of the procedure and were included in our review. Here, we report and analyse the technical details of the essential steps of the techniques used for LSEC isolation. The correlations between the prevalence of some steps and the efficiency of LSEC isolation were also identified. We found that centrifugal elutriation, selective adherence and, more recently, magnetic-activated cell sorting were used for LSEC purification. Centrifugal elutriation procured high yields of pure LSEC (for rats 30-141.9 million cells for 85-98% purities; for mice 9-9.25 million cells for &gt;95% purities), but the use of this method remained limited due to its high technical requirements. Selective adherence showed inconsistent results in terms of cell yields and purities in rats (5-100 million cells for 73.7-95% purities). In contrast, magnetic-activated cell sorting allowed for the isolation of highly pure LSEC, but overall lower cell yields were reported (for rats 10.7 million cells with 97.6% purity; for mice 0.5-9 million cells with 90-98% purities). Notably, the controversies regarding the accuracy of several phenotypic markers for LSEC should be considered and their use for both magnetic sorting and characterization remain doubtful. It appears that more effort is needed to refine and standardize the procedure for LSEC isolation, with a focus on the identification of specific antigens. Such a procedure is required to identify the molecular mechanisms regulating the function of LSEC and to improve our understanding of their role in complex cellular processes in the liver.","DOI":"10.1371/journal.pone.0151945","ISSN":"1932-6203","note":"PMID: 26992171\nPMCID: PMC4798180","shortTitle":"Methods for Isolation and Purification of Murine Liver Sinusoidal Endothelial Cells","journalAbbreviation":"PLoS ONE","language":"eng","author":[{"family":"Meyer","given":"Jeremy"},{"family":"Gonelle-Gispert","given":"Carmen"},{"family":"Morel","given":"Philippe"},{"family":"Bühler","given":"Léo"}],"issued":{"date-parts":[["2016"]]}}}],"schema":"https://github.com/citation-style-language/schema/raw/master/csl-citation.json"} </w:instrText>
      </w:r>
      <w:r w:rsidR="007956C1" w:rsidRPr="008B3AD6">
        <w:fldChar w:fldCharType="separate"/>
      </w:r>
      <w:r w:rsidR="007A6EED" w:rsidRPr="007A6EED">
        <w:rPr>
          <w:lang w:val="en-US"/>
        </w:rPr>
        <w:t>(Meyer et al. 2016)</w:t>
      </w:r>
      <w:r w:rsidR="007956C1" w:rsidRPr="008B3AD6">
        <w:fldChar w:fldCharType="end"/>
      </w:r>
      <w:r w:rsidR="00B107B0" w:rsidRPr="008B3AD6">
        <w:t xml:space="preserve"> is to digest the</w:t>
      </w:r>
      <w:r w:rsidR="0032534B" w:rsidRPr="008B3AD6">
        <w:t xml:space="preserve"> </w:t>
      </w:r>
      <w:r w:rsidR="00B107B0" w:rsidRPr="008B3AD6">
        <w:t xml:space="preserve">liver </w:t>
      </w:r>
      <w:r w:rsidR="00B107B0" w:rsidRPr="008B3AD6">
        <w:rPr>
          <w:i/>
        </w:rPr>
        <w:t>ex vivo</w:t>
      </w:r>
      <w:r w:rsidR="00B107B0" w:rsidRPr="008B3AD6">
        <w:t xml:space="preserve"> as compared to performing a perfusate digestion on anaesthetised mice. This perfusate digestion likely provides a more comprehensive digestion of tissue allowing for greater liberation of cellular populations however is not suitable in this instance due to the time constraints it places upon investigations</w:t>
      </w:r>
      <w:r w:rsidR="0032534B" w:rsidRPr="008B3AD6">
        <w:t xml:space="preserve"> and the inherent variability in the ability to successfully perfuse the liver. Our method allows for the processing of multiple samples simultaneously, a key consideration when each cohort is grouped on time post-treatment, and </w:t>
      </w:r>
      <w:r w:rsidR="006A5DFE" w:rsidRPr="008B3AD6">
        <w:t>flow cytometry</w:t>
      </w:r>
      <w:r w:rsidR="0032534B" w:rsidRPr="008B3AD6">
        <w:t xml:space="preserve"> analysis has </w:t>
      </w:r>
      <w:r w:rsidR="007956C1" w:rsidRPr="008B3AD6">
        <w:t>confirmed</w:t>
      </w:r>
      <w:r w:rsidR="0032534B" w:rsidRPr="008B3AD6">
        <w:t xml:space="preserve"> all of the leukocyte subsets of interest are present in our hepatic leukocyte solutions post-digestion</w:t>
      </w:r>
      <w:r w:rsidR="006A5DFE" w:rsidRPr="008B3AD6">
        <w:t xml:space="preserve"> (</w:t>
      </w:r>
      <w:r w:rsidR="006A5DFE" w:rsidRPr="008B3AD6">
        <w:rPr>
          <w:b/>
        </w:rPr>
        <w:fldChar w:fldCharType="begin"/>
      </w:r>
      <w:r w:rsidR="006A5DFE" w:rsidRPr="008B3AD6">
        <w:rPr>
          <w:b/>
        </w:rPr>
        <w:instrText xml:space="preserve"> REF _Ref518932073  \* MERGEFORMAT </w:instrText>
      </w:r>
      <w:r w:rsidR="006A5DFE" w:rsidRPr="008B3AD6">
        <w:rPr>
          <w:b/>
        </w:rPr>
        <w:fldChar w:fldCharType="separate"/>
      </w:r>
      <w:r w:rsidR="00E5551E" w:rsidRPr="00E5551E">
        <w:rPr>
          <w:b/>
        </w:rPr>
        <w:t xml:space="preserve">Figure </w:t>
      </w:r>
      <w:r w:rsidR="00E5551E" w:rsidRPr="00E5551E">
        <w:rPr>
          <w:b/>
          <w:noProof/>
        </w:rPr>
        <w:t>3.8</w:t>
      </w:r>
      <w:r w:rsidR="006A5DFE" w:rsidRPr="008B3AD6">
        <w:rPr>
          <w:b/>
        </w:rPr>
        <w:fldChar w:fldCharType="end"/>
      </w:r>
      <w:r w:rsidR="006A5DFE" w:rsidRPr="008B3AD6">
        <w:rPr>
          <w:b/>
        </w:rPr>
        <w:t xml:space="preserve"> </w:t>
      </w:r>
      <w:r w:rsidR="00FF0C90" w:rsidRPr="00FF0C90">
        <w:t>and</w:t>
      </w:r>
      <w:r w:rsidR="00FF0C90">
        <w:rPr>
          <w:b/>
        </w:rPr>
        <w:t xml:space="preserve"> </w:t>
      </w:r>
      <w:r w:rsidR="006A5DFE" w:rsidRPr="008B3AD6">
        <w:rPr>
          <w:b/>
        </w:rPr>
        <w:fldChar w:fldCharType="begin"/>
      </w:r>
      <w:r w:rsidR="006A5DFE" w:rsidRPr="008B3AD6">
        <w:rPr>
          <w:b/>
        </w:rPr>
        <w:instrText xml:space="preserve"> REF _Ref518932440  \* MERGEFORMAT </w:instrText>
      </w:r>
      <w:r w:rsidR="006A5DFE" w:rsidRPr="008B3AD6">
        <w:rPr>
          <w:b/>
        </w:rPr>
        <w:fldChar w:fldCharType="separate"/>
      </w:r>
      <w:r w:rsidR="00E5551E" w:rsidRPr="00E5551E">
        <w:rPr>
          <w:b/>
        </w:rPr>
        <w:t xml:space="preserve">Figure </w:t>
      </w:r>
      <w:r w:rsidR="00E5551E" w:rsidRPr="00E5551E">
        <w:rPr>
          <w:b/>
          <w:noProof/>
        </w:rPr>
        <w:t>3.11</w:t>
      </w:r>
      <w:r w:rsidR="006A5DFE" w:rsidRPr="008B3AD6">
        <w:rPr>
          <w:b/>
        </w:rPr>
        <w:fldChar w:fldCharType="end"/>
      </w:r>
      <w:r w:rsidR="006A5DFE" w:rsidRPr="008B3AD6">
        <w:rPr>
          <w:b/>
        </w:rPr>
        <w:t>A</w:t>
      </w:r>
      <w:r w:rsidR="006A5DFE" w:rsidRPr="008B3AD6">
        <w:t>)</w:t>
      </w:r>
      <w:r w:rsidR="0032534B" w:rsidRPr="008B3AD6">
        <w:t>.</w:t>
      </w:r>
    </w:p>
    <w:p w14:paraId="7ACDB427" w14:textId="40853780" w:rsidR="0032534B" w:rsidRPr="008B3AD6" w:rsidRDefault="0032534B" w:rsidP="00B94F8C">
      <w:pPr>
        <w:spacing w:line="360" w:lineRule="auto"/>
        <w:jc w:val="both"/>
      </w:pPr>
    </w:p>
    <w:p w14:paraId="37A6152E" w14:textId="29AE93E6" w:rsidR="007971C8" w:rsidRPr="008B3AD6" w:rsidRDefault="006A5DFE" w:rsidP="00B94F8C">
      <w:pPr>
        <w:spacing w:line="360" w:lineRule="auto"/>
        <w:jc w:val="both"/>
      </w:pPr>
      <w:r w:rsidRPr="008B3AD6">
        <w:t>Further to digestion, leukocytes were isolated using fluorescence activated cell sorting resulting in high purity populations (</w:t>
      </w:r>
      <w:r w:rsidRPr="008B3AD6">
        <w:rPr>
          <w:b/>
        </w:rPr>
        <w:fldChar w:fldCharType="begin"/>
      </w:r>
      <w:r w:rsidRPr="008B3AD6">
        <w:rPr>
          <w:b/>
        </w:rPr>
        <w:instrText xml:space="preserve"> REF _Ref518932440  \* MERGEFORMAT </w:instrText>
      </w:r>
      <w:r w:rsidRPr="008B3AD6">
        <w:rPr>
          <w:b/>
        </w:rPr>
        <w:fldChar w:fldCharType="separate"/>
      </w:r>
      <w:r w:rsidR="00E5551E" w:rsidRPr="00E5551E">
        <w:rPr>
          <w:b/>
        </w:rPr>
        <w:t xml:space="preserve">Figure </w:t>
      </w:r>
      <w:r w:rsidR="00E5551E" w:rsidRPr="00E5551E">
        <w:rPr>
          <w:b/>
          <w:noProof/>
        </w:rPr>
        <w:t>3.11</w:t>
      </w:r>
      <w:r w:rsidRPr="008B3AD6">
        <w:rPr>
          <w:b/>
        </w:rPr>
        <w:fldChar w:fldCharType="end"/>
      </w:r>
      <w:r w:rsidRPr="008B3AD6">
        <w:rPr>
          <w:b/>
        </w:rPr>
        <w:t>C</w:t>
      </w:r>
      <w:r w:rsidRPr="008B3AD6">
        <w:t xml:space="preserve">). </w:t>
      </w:r>
      <w:r w:rsidR="00550F49" w:rsidRPr="008B3AD6">
        <w:t xml:space="preserve">A disadvantage of this approach is the lengthy processing times required to sort populations. One possible scenario is that long processing times results in drug release from cells which could either result in lower drug levels or artificially high levels of drug if they reabsorb released drug in solution. Whilst previous studies have employed magnetic sorting as a less time consuming method for </w:t>
      </w:r>
      <w:r w:rsidR="00B94F8C" w:rsidRPr="008B3AD6">
        <w:t xml:space="preserve">isolating cellular populations </w:t>
      </w:r>
      <w:r w:rsidR="00B94F8C" w:rsidRPr="008B3AD6">
        <w:fldChar w:fldCharType="begin"/>
      </w:r>
      <w:r w:rsidR="007A6EED">
        <w:instrText xml:space="preserve"> ADDIN ZOTERO_ITEM CSL_CITATION {"citationID":"Q2Rq2fsO","properties":{"formattedCitation":"(Meyer et al. 2016)","plainCitation":"(Meyer et al. 2016)","noteIndex":0},"citationItems":[{"id":3387,"uris":["http://zotero.org/users/2628971/items/QQ6N8HUN"],"uri":["http://zotero.org/users/2628971/items/QQ6N8HUN"],"itemData":{"id":3387,"type":"article-journal","title":"Methods for Isolation and Purification of Murine Liver Sinusoidal Endothelial Cells: A Systematic Review","container-title":"PloS One","page":"e0151945","volume":"11","issue":"3","source":"PubMed","abstract":"To study the biological functions of liver sinusoidal endothelial cells (LSEC) and to identify their interplay with blood or liver cells, techniques allowing for the isolation and purification of LSEC have been developed over the last decades. The objective of the present review is to summarize and to compare the efficiency of existing methods for isolating murine LSEC. Toward this end, the MEDLINE database was searched for all original articles describing LSEC isolation from rat and mouse livers. Out of the 489 publications identified, 23 reported the main steps and outcomes of the procedure and were included in our review. Here, we report and analyse the technical details of the essential steps of the techniques used for LSEC isolation. The correlations between the prevalence of some steps and the efficiency of LSEC isolation were also identified. We found that centrifugal elutriation, selective adherence and, more recently, magnetic-activated cell sorting were used for LSEC purification. Centrifugal elutriation procured high yields of pure LSEC (for rats 30-141.9 million cells for 85-98% purities; for mice 9-9.25 million cells for &gt;95% purities), but the use of this method remained limited due to its high technical requirements. Selective adherence showed inconsistent results in terms of cell yields and purities in rats (5-100 million cells for 73.7-95% purities). In contrast, magnetic-activated cell sorting allowed for the isolation of highly pure LSEC, but overall lower cell yields were reported (for rats 10.7 million cells with 97.6% purity; for mice 0.5-9 million cells with 90-98% purities). Notably, the controversies regarding the accuracy of several phenotypic markers for LSEC should be considered and their use for both magnetic sorting and characterization remain doubtful. It appears that more effort is needed to refine and standardize the procedure for LSEC isolation, with a focus on the identification of specific antigens. Such a procedure is required to identify the molecular mechanisms regulating the function of LSEC and to improve our understanding of their role in complex cellular processes in the liver.","DOI":"10.1371/journal.pone.0151945","ISSN":"1932-6203","note":"PMID: 26992171\nPMCID: PMC4798180","shortTitle":"Methods for Isolation and Purification of Murine Liver Sinusoidal Endothelial Cells","journalAbbreviation":"PLoS ONE","language":"eng","author":[{"family":"Meyer","given":"Jeremy"},{"family":"Gonelle-Gispert","given":"Carmen"},{"family":"Morel","given":"Philippe"},{"family":"Bühler","given":"Léo"}],"issued":{"date-parts":[["2016"]]}}}],"schema":"https://github.com/citation-style-language/schema/raw/master/csl-citation.json"} </w:instrText>
      </w:r>
      <w:r w:rsidR="00B94F8C" w:rsidRPr="008B3AD6">
        <w:fldChar w:fldCharType="separate"/>
      </w:r>
      <w:r w:rsidR="007A6EED" w:rsidRPr="007A6EED">
        <w:rPr>
          <w:lang w:val="en-US"/>
        </w:rPr>
        <w:t>(Meyer et al. 2016)</w:t>
      </w:r>
      <w:r w:rsidR="00B94F8C" w:rsidRPr="008B3AD6">
        <w:fldChar w:fldCharType="end"/>
      </w:r>
      <w:r w:rsidR="00550F49" w:rsidRPr="008B3AD6">
        <w:t xml:space="preserve"> this method works on the basis of a single parameter for separation (the presence of magnetic beads on cells or not </w:t>
      </w:r>
      <w:r w:rsidR="00550F49" w:rsidRPr="008B3AD6">
        <w:fldChar w:fldCharType="begin"/>
      </w:r>
      <w:r w:rsidR="007A6EED">
        <w:instrText xml:space="preserve"> ADDIN ZOTERO_ITEM CSL_CITATION {"citationID":"FrUTtzOK","properties":{"formattedCitation":"(Adams, Kim, and Soh 2008)","plainCitation":"(Adams, Kim, and Soh 2008)","noteIndex":0},"citationItems":[{"id":3389,"uris":["http://zotero.org/users/2628971/items/WR7GF6FI"],"uri":["http://zotero.org/users/2628971/items/WR7GF6FI"],"itemData":{"id":3389,"type":"article-journal","title":"Multitarget magnetic activated cell sorter","container-title":"Proceedings of the National Academy of Sciences","page":"18165-18170","volume":"105","issue":"47","source":"www.pnas.org","abstract":"Magnetic selection allows high-throughput sorting of target cells based on surface markers, and it is extensively used in biotechnology for a wide range of applications from in vitro diagnostics to cell-based therapies. However, existing methods can only perform separation based on a single parameter (i.e., the presence or absence of magnetization), and therefore, the simultaneous sorting of multiple targets at high levels of purity, recovery, and throughput remains a challenge. In this work, we present an alternative system, the multitarget magnetic activated cell sorter (MT-MACS), which makes use of microfluidics technology to achieve simultaneous spatially-addressable sorting of multiple target cell types in a continuous-flow manner. We used the MT-MACS device to purify 2 types of target cells, which had been labeled via target-specific affinity reagents with 2 different magnetic tags with distinct saturation magnetization and size. The device was engineered so that the combined effects of the hydrodynamic force produced from the laminar flow and the magnetophoretic force produced from patterned ferromagnetic structures within the microchannel result in the selective purification of the differentially labeled target cells into multiple independent outlets. We demonstrate here the capability to simultaneously sort multiple magnetic tags with &gt;90% purity and &gt;5,000-fold enrichment and multiple bacterial cell types with &gt;90% purity and &gt;500-fold enrichment at a throughput of 109 cells per hour.","DOI":"10.1073/pnas.0809795105","ISSN":"0027-8424, 1091-6490","note":"PMID: 19015523","journalAbbreviation":"PNAS","language":"en","author":[{"family":"Adams","given":"Jonathan D."},{"family":"Kim","given":"Unyoung"},{"family":"Soh","given":"H. Tom"}],"issued":{"date-parts":[["2008",11,25]]}}}],"schema":"https://github.com/citation-style-language/schema/raw/master/csl-citation.json"} </w:instrText>
      </w:r>
      <w:r w:rsidR="00550F49" w:rsidRPr="008B3AD6">
        <w:fldChar w:fldCharType="separate"/>
      </w:r>
      <w:r w:rsidR="007A6EED" w:rsidRPr="007A6EED">
        <w:rPr>
          <w:lang w:val="en-US"/>
        </w:rPr>
        <w:t>(Adams, Kim, and Soh 2008)</w:t>
      </w:r>
      <w:r w:rsidR="00550F49" w:rsidRPr="008B3AD6">
        <w:fldChar w:fldCharType="end"/>
      </w:r>
      <w:r w:rsidR="003E5874">
        <w:t>)</w:t>
      </w:r>
      <w:r w:rsidR="00550F49" w:rsidRPr="008B3AD6">
        <w:t xml:space="preserve"> which for our approach results in </w:t>
      </w:r>
      <w:r w:rsidR="00861122" w:rsidRPr="008B3AD6">
        <w:t>a</w:t>
      </w:r>
      <w:r w:rsidR="00550F49" w:rsidRPr="008B3AD6">
        <w:t xml:space="preserve"> need for mult</w:t>
      </w:r>
      <w:r w:rsidR="00861122" w:rsidRPr="008B3AD6">
        <w:t>iple sequential magnetic sort</w:t>
      </w:r>
      <w:r w:rsidR="00550F49" w:rsidRPr="008B3AD6">
        <w:t xml:space="preserve">s, which does not counteract the issue at heart here. </w:t>
      </w:r>
    </w:p>
    <w:p w14:paraId="59F92F6D" w14:textId="77777777" w:rsidR="007971C8" w:rsidRPr="008B3AD6" w:rsidRDefault="007971C8" w:rsidP="00B94F8C">
      <w:pPr>
        <w:spacing w:line="360" w:lineRule="auto"/>
        <w:jc w:val="both"/>
      </w:pPr>
    </w:p>
    <w:p w14:paraId="51AF02BD" w14:textId="797CD436" w:rsidR="0032534B" w:rsidRPr="008B3AD6" w:rsidRDefault="00550F49" w:rsidP="00B94F8C">
      <w:pPr>
        <w:spacing w:line="360" w:lineRule="auto"/>
        <w:jc w:val="both"/>
      </w:pPr>
      <w:r w:rsidRPr="008B3AD6">
        <w:t xml:space="preserve">To quantify the apparent release/reabsorption of drug, if any, during processing there are </w:t>
      </w:r>
      <w:r w:rsidR="007971C8" w:rsidRPr="008B3AD6">
        <w:t>different</w:t>
      </w:r>
      <w:r w:rsidRPr="008B3AD6">
        <w:t xml:space="preserve"> approaches we could adopt in future work.</w:t>
      </w:r>
      <w:r w:rsidR="007971C8" w:rsidRPr="008B3AD6">
        <w:t xml:space="preserve"> Once leukocytes have been isolated using the aforementioned enzymatic digestion and density centrifugation the cells are suspended in clean media whereby any </w:t>
      </w:r>
      <w:r w:rsidR="00A32111">
        <w:t>AmB</w:t>
      </w:r>
      <w:r w:rsidR="007971C8" w:rsidRPr="008B3AD6">
        <w:t xml:space="preserve"> present is either intracellular or membrane bound. Supernatants from successive cell washes can be captured and analysed for the presence of </w:t>
      </w:r>
      <w:r w:rsidR="00A32111">
        <w:t>AmB</w:t>
      </w:r>
      <w:r w:rsidR="007971C8" w:rsidRPr="008B3AD6">
        <w:t xml:space="preserve">. Additionally, a simplistic ‘cross-over’ experiment is possible whereby livers from untreated and treated isogenic mice are processed together (one liver from each per </w:t>
      </w:r>
      <w:r w:rsidR="00FF0C90">
        <w:t>group</w:t>
      </w:r>
      <w:r w:rsidR="007971C8" w:rsidRPr="008B3AD6">
        <w:t xml:space="preserve">) and sorted on the basis of isogenicity (for instance in C57BL/6 mice we used this can be isoforms of the pan-leukocyte marker CD45). Analysis of the untreated cells would </w:t>
      </w:r>
      <w:r w:rsidR="007971C8" w:rsidRPr="008B3AD6">
        <w:lastRenderedPageBreak/>
        <w:t>yield any background absorption of released drug. Together these two experiments would partially explain any loss and/or gain of drug in cell samples during processing</w:t>
      </w:r>
      <w:r w:rsidR="009525CA" w:rsidRPr="008B3AD6">
        <w:t>.</w:t>
      </w:r>
    </w:p>
    <w:p w14:paraId="5F52BA03" w14:textId="03B6F124" w:rsidR="009525CA" w:rsidRPr="008B3AD6" w:rsidRDefault="009525CA" w:rsidP="00B94F8C">
      <w:pPr>
        <w:spacing w:line="360" w:lineRule="auto"/>
        <w:jc w:val="both"/>
      </w:pPr>
    </w:p>
    <w:p w14:paraId="1C4DA2B6" w14:textId="3D164B3E" w:rsidR="009525CA" w:rsidRPr="008B3AD6" w:rsidRDefault="00302B8E" w:rsidP="00B94F8C">
      <w:pPr>
        <w:spacing w:line="360" w:lineRule="auto"/>
        <w:jc w:val="both"/>
      </w:pPr>
      <w:r>
        <w:t>After cell sorting,</w:t>
      </w:r>
      <w:r w:rsidR="009525CA" w:rsidRPr="008B3AD6">
        <w:t xml:space="preserve"> </w:t>
      </w:r>
      <w:r>
        <w:t>the AmB</w:t>
      </w:r>
      <w:r w:rsidR="009525CA" w:rsidRPr="008B3AD6">
        <w:t xml:space="preserve"> accumulation</w:t>
      </w:r>
      <w:r>
        <w:t xml:space="preserve"> of different leukocyte subsets</w:t>
      </w:r>
      <w:r w:rsidR="009525CA" w:rsidRPr="008B3AD6">
        <w:t xml:space="preserve"> at </w:t>
      </w:r>
      <w:r>
        <w:t>a series of</w:t>
      </w:r>
      <w:r w:rsidRPr="008B3AD6">
        <w:t xml:space="preserve"> </w:t>
      </w:r>
      <w:r w:rsidR="009525CA" w:rsidRPr="008B3AD6">
        <w:t>times</w:t>
      </w:r>
      <w:r>
        <w:t xml:space="preserve"> post-treatment (1, 12, 24 &amp; 72hr)</w:t>
      </w:r>
      <w:r w:rsidR="009525CA" w:rsidRPr="008B3AD6">
        <w:t xml:space="preserve"> </w:t>
      </w:r>
      <w:r>
        <w:t>were</w:t>
      </w:r>
      <w:r w:rsidR="009525CA" w:rsidRPr="008B3AD6">
        <w:t xml:space="preserve"> quantified (</w:t>
      </w:r>
      <w:r w:rsidR="0074700A">
        <w:rPr>
          <w:b/>
        </w:rPr>
        <w:fldChar w:fldCharType="begin"/>
      </w:r>
      <w:r w:rsidR="0074700A">
        <w:rPr>
          <w:b/>
        </w:rPr>
        <w:instrText xml:space="preserve"> REF _Ref518932911  \* MERGEFORMAT </w:instrText>
      </w:r>
      <w:r w:rsidR="0074700A">
        <w:rPr>
          <w:b/>
        </w:rPr>
        <w:fldChar w:fldCharType="separate"/>
      </w:r>
      <w:r w:rsidR="00E5551E" w:rsidRPr="00E5551E">
        <w:rPr>
          <w:b/>
        </w:rPr>
        <w:t xml:space="preserve">Figure </w:t>
      </w:r>
      <w:r w:rsidR="00E5551E" w:rsidRPr="00E5551E">
        <w:rPr>
          <w:b/>
          <w:noProof/>
        </w:rPr>
        <w:t>3.14</w:t>
      </w:r>
      <w:r w:rsidR="0074700A">
        <w:rPr>
          <w:b/>
          <w:noProof/>
        </w:rPr>
        <w:fldChar w:fldCharType="end"/>
      </w:r>
      <w:r w:rsidR="009525CA" w:rsidRPr="008B3AD6">
        <w:t>)</w:t>
      </w:r>
      <w:r w:rsidR="00F876F7" w:rsidRPr="008B3AD6">
        <w:t xml:space="preserve">, where we have shown that the populations present in the liver, all of which are significant granuloma components, shown distinct accumulations of </w:t>
      </w:r>
      <w:r w:rsidR="00A32111">
        <w:t>AmB</w:t>
      </w:r>
      <w:r w:rsidR="00F876F7" w:rsidRPr="008B3AD6">
        <w:t xml:space="preserve"> across different time points. </w:t>
      </w:r>
      <w:r w:rsidR="003547AA" w:rsidRPr="008B3AD6">
        <w:t xml:space="preserve">The differences in accumulation between leukocyte subsets suggests that some cells are inherently better at drug uptake than others, indeed previous research has shown myeloid cells, such as monocytes and </w:t>
      </w:r>
      <w:r w:rsidR="00FF0C90">
        <w:t>DCs</w:t>
      </w:r>
      <w:r w:rsidR="003547AA" w:rsidRPr="008B3AD6">
        <w:t xml:space="preserve">, are able to </w:t>
      </w:r>
      <w:r w:rsidR="00C84C3C" w:rsidRPr="008B3AD6">
        <w:t xml:space="preserve">absorb liposomes intracellularly </w:t>
      </w:r>
      <w:r w:rsidR="00C84C3C" w:rsidRPr="008B3AD6">
        <w:fldChar w:fldCharType="begin"/>
      </w:r>
      <w:r w:rsidR="007A6EED">
        <w:instrText xml:space="preserve"> ADDIN ZOTERO_ITEM CSL_CITATION {"citationID":"3pQriufg","properties":{"formattedCitation":"(Maji et al. 2016)","plainCitation":"(Maji et al. 2016)","noteIndex":0},"citationItems":[{"id":3785,"uris":["http://zotero.org/users/2628971/items/I4LLX6SJ"],"uri":["http://zotero.org/users/2628971/items/I4LLX6SJ"],"itemData":{"id":3785,"type":"article-journal","title":"A Lipid Based Antigen Delivery System Efficiently Facilitates MHC Class-I Antigen Presentation in Dendritic Cells to Stimulate CD8&lt;sup&gt;+&lt;/sup&gt; T Cells","container-title":"Scientific Reports","page":"27206","volume":"6","source":"www.nature.com","abstract":"The most effective strategy for protection against intracellular infections such as Leishmania is vaccination with live parasites. Use of recombinant proteins avoids the risks associated with live vaccines. However, due to low immunogenicity, they fail to trigger T cell responses particularly of CD8+ cells requisite for persistent immunity. Previously we showed the importance of protein entrapment in cationic liposomes and MPL as adjuvant for elicitation of CD4+ and CD8+ T cell responses for long-term protection. In this study we investigated the role of cationic liposomes on maturation and antigen presentation capacity of dendritic cells (DCs). We observed that cationic liposomes were taken up very efficiently by DCs and transported to different cellular sites. DCs activated with liposomal rgp63 led to efficient presentation of antigen to specific CD4+ and CD8+ T cells. Furthermore, lymphoid CD8+ T cells from liposomal rgp63 immunized mice demonstrated better proliferative ability when co-cultured ex vivo with stimulated DCs. Addition of MPL to vaccine enhanced the antigen presentation by DCs and induced more efficient antigen specific CD8+ T cell responses when compared to free and liposomal antigen. These liposomal formulations presented to CD8+ T cells through TAP-dependent MHC-I pathway offer new possibilities for a safe subunit vaccine.","DOI":"10.1038/srep27206","ISSN":"2045-2322","language":"en","author":[{"family":"Maji","given":"Mithun"},{"family":"Mazumder","given":"Saumyabrata"},{"family":"Bhattacharya","given":"Souparno"},{"family":"Choudhury","given":"Somsubhra Thakur"},{"family":"Sabur","given":"Abdus"},{"family":"Shadab","given":"Md"},{"family":"Bhattacharya","given":"Pradyot"},{"family":"Ali","given":"Nahid"}],"issued":{"date-parts":[["2016",6,2]]}}}],"schema":"https://github.com/citation-style-language/schema/raw/master/csl-citation.json"} </w:instrText>
      </w:r>
      <w:r w:rsidR="00C84C3C" w:rsidRPr="008B3AD6">
        <w:fldChar w:fldCharType="separate"/>
      </w:r>
      <w:r w:rsidR="007A6EED" w:rsidRPr="007A6EED">
        <w:rPr>
          <w:lang w:val="en-US"/>
        </w:rPr>
        <w:t>(Maji et al. 2016)</w:t>
      </w:r>
      <w:r w:rsidR="00C84C3C" w:rsidRPr="008B3AD6">
        <w:fldChar w:fldCharType="end"/>
      </w:r>
      <w:r w:rsidR="00C84C3C" w:rsidRPr="008B3AD6">
        <w:t xml:space="preserve"> whilst T cells maintained liposomes bound to their surface with no internalisation (active or passive) shown </w:t>
      </w:r>
      <w:r w:rsidR="00C84C3C" w:rsidRPr="008B3AD6">
        <w:fldChar w:fldCharType="begin"/>
      </w:r>
      <w:r w:rsidR="007A6EED">
        <w:instrText xml:space="preserve"> ADDIN ZOTERO_ITEM CSL_CITATION {"citationID":"coO7Vb4O","properties":{"formattedCitation":"(Wayteck et al. 2016)","plainCitation":"(Wayteck et al. 2016)","noteIndex":0},"citationItems":[{"id":3787,"uris":["http://zotero.org/users/2628971/items/P2JKSPXB"],"uri":["http://zotero.org/users/2628971/items/P2JKSPXB"],"itemData":{"id":3787,"type":"article-journal","title":"Hitchhiking nanoparticles: Reversible coupling of lipid-based nanoparticles to cytotoxic T lymphocytes","container-title":"Biomaterials","page":"243-254","volume":"77","source":"PubMed","abstract":"Following intravenous injection of anti-cancer nanomedicines, many barriers need to be overcome en route to the tumor. Cell-mediated delivery of nanoparticles (NPs) is promising in terms of overcoming several of these barriers based on the tumoritropic migratory properties of particular cell types. This guided transport aims to enhance the NP accumulation in the tumor and moreover enhance the infiltration of regions that are typically inaccessible for free NPs. Within this study, cytotoxic CD8(+) T cells were selected as carriers based on both their ability to migrate to the tumor and their intrinsic cytolytic activity against tumor cells. Many anti-cancer nanomedicines require tumor cell internalization to mediate cytosolic drug delivery and enhance the anti-cancer effect. This proof-of-concept therefore reports on the reversible attachment of liposomes to the surface of cytotoxic T lymphocytes via a reduction sensitive coupling. The activation status of the T cells and the liposome composition are shown to strongly influence the loading efficiency. Loading the cells with liposomes does not compromise T cell functionalities like proliferation and cytolytic function. Additionally, the triggered liposome release is demonstrated upon the addition of glutathione. Based on this optimization using liposomes as model NPs, a small interfering RNA (siRNA)-loaded NP was developed that can be coupled to the surface of CD8(+) T cells.","DOI":"10.1016/j.biomaterials.2015.11.016","ISSN":"1878-5905","note":"PMID: 26606450","shortTitle":"Hitchhiking nanoparticles","journalAbbreviation":"Biomaterials","language":"eng","author":[{"family":"Wayteck","given":"Laura"},{"family":"Dewitte","given":"Heleen"},{"family":"De Backer","given":"Lynn"},{"family":"Breckpot","given":"Karine"},{"family":"Demeester","given":"Jo"},{"family":"De Smedt","given":"Stefaan C."},{"family":"Raemdonck","given":"Koen"}],"issued":{"date-parts":[["2016",1]]}}}],"schema":"https://github.com/citation-style-language/schema/raw/master/csl-citation.json"} </w:instrText>
      </w:r>
      <w:r w:rsidR="00C84C3C" w:rsidRPr="008B3AD6">
        <w:fldChar w:fldCharType="separate"/>
      </w:r>
      <w:r w:rsidR="007A6EED" w:rsidRPr="007A6EED">
        <w:rPr>
          <w:lang w:val="en-US"/>
        </w:rPr>
        <w:t>(Wayteck et al. 2016)</w:t>
      </w:r>
      <w:r w:rsidR="00C84C3C" w:rsidRPr="008B3AD6">
        <w:fldChar w:fldCharType="end"/>
      </w:r>
      <w:r w:rsidR="00C84C3C" w:rsidRPr="008B3AD6">
        <w:t>. W</w:t>
      </w:r>
      <w:r w:rsidR="00F876F7" w:rsidRPr="008B3AD6">
        <w:t xml:space="preserve">e found that the lymphoid population were one of the best accumulators of drug. Analysis on a cell-for-cell basis initially indicated these </w:t>
      </w:r>
      <w:r w:rsidR="00FF0C90">
        <w:t xml:space="preserve">lymphoid </w:t>
      </w:r>
      <w:r w:rsidR="00F876F7" w:rsidRPr="008B3AD6">
        <w:t>cells accrue fractional amounts of drug (</w:t>
      </w:r>
      <w:r w:rsidR="00CB6F61" w:rsidRPr="008B3AD6">
        <w:rPr>
          <w:b/>
        </w:rPr>
        <w:fldChar w:fldCharType="begin"/>
      </w:r>
      <w:r w:rsidR="00CB6F61" w:rsidRPr="008B3AD6">
        <w:rPr>
          <w:b/>
        </w:rPr>
        <w:instrText xml:space="preserve"> REF _Ref518932911  \* MERGEFORMAT </w:instrText>
      </w:r>
      <w:r w:rsidR="00CB6F61" w:rsidRPr="008B3AD6">
        <w:rPr>
          <w:b/>
        </w:rPr>
        <w:fldChar w:fldCharType="separate"/>
      </w:r>
      <w:r w:rsidR="00E5551E" w:rsidRPr="00E5551E">
        <w:rPr>
          <w:b/>
        </w:rPr>
        <w:t xml:space="preserve">Figure </w:t>
      </w:r>
      <w:r w:rsidR="00E5551E" w:rsidRPr="00E5551E">
        <w:rPr>
          <w:b/>
          <w:noProof/>
        </w:rPr>
        <w:t>3.14</w:t>
      </w:r>
      <w:r w:rsidR="00CB6F61" w:rsidRPr="008B3AD6">
        <w:rPr>
          <w:b/>
        </w:rPr>
        <w:fldChar w:fldCharType="end"/>
      </w:r>
      <w:r w:rsidR="00CB6F61" w:rsidRPr="008B3AD6">
        <w:rPr>
          <w:b/>
        </w:rPr>
        <w:t>Di</w:t>
      </w:r>
      <w:r w:rsidR="00F876F7" w:rsidRPr="008B3AD6">
        <w:t>) however when the overwhelming abundance of this population is accounted for (</w:t>
      </w:r>
      <w:r w:rsidR="00CB6F61" w:rsidRPr="008B3AD6">
        <w:rPr>
          <w:b/>
        </w:rPr>
        <w:fldChar w:fldCharType="begin"/>
      </w:r>
      <w:r w:rsidR="00CB6F61" w:rsidRPr="008B3AD6">
        <w:rPr>
          <w:b/>
        </w:rPr>
        <w:instrText xml:space="preserve"> REF _Ref518932911  \* MERGEFORMAT </w:instrText>
      </w:r>
      <w:r w:rsidR="00CB6F61" w:rsidRPr="008B3AD6">
        <w:rPr>
          <w:b/>
        </w:rPr>
        <w:fldChar w:fldCharType="separate"/>
      </w:r>
      <w:r w:rsidR="00E5551E" w:rsidRPr="00E5551E">
        <w:rPr>
          <w:b/>
        </w:rPr>
        <w:t xml:space="preserve">Figure </w:t>
      </w:r>
      <w:r w:rsidR="00E5551E" w:rsidRPr="00E5551E">
        <w:rPr>
          <w:b/>
          <w:noProof/>
        </w:rPr>
        <w:t>3.14</w:t>
      </w:r>
      <w:r w:rsidR="00CB6F61" w:rsidRPr="008B3AD6">
        <w:rPr>
          <w:b/>
        </w:rPr>
        <w:fldChar w:fldCharType="end"/>
      </w:r>
      <w:r w:rsidR="00CB6F61" w:rsidRPr="008B3AD6">
        <w:rPr>
          <w:b/>
        </w:rPr>
        <w:t>Dii</w:t>
      </w:r>
      <w:r w:rsidR="00F876F7" w:rsidRPr="008B3AD6">
        <w:t xml:space="preserve">) we see a large amount of </w:t>
      </w:r>
      <w:r w:rsidR="00A32111">
        <w:t>AmB</w:t>
      </w:r>
      <w:r w:rsidR="00CB6F61" w:rsidRPr="008B3AD6">
        <w:t xml:space="preserve"> accumulation (</w:t>
      </w:r>
      <w:r w:rsidR="00CB6F61" w:rsidRPr="008B3AD6">
        <w:rPr>
          <w:b/>
        </w:rPr>
        <w:fldChar w:fldCharType="begin"/>
      </w:r>
      <w:r w:rsidR="00CB6F61" w:rsidRPr="008B3AD6">
        <w:rPr>
          <w:b/>
        </w:rPr>
        <w:instrText xml:space="preserve"> REF _Ref518932911  \* MERGEFORMAT </w:instrText>
      </w:r>
      <w:r w:rsidR="00CB6F61" w:rsidRPr="008B3AD6">
        <w:rPr>
          <w:b/>
        </w:rPr>
        <w:fldChar w:fldCharType="separate"/>
      </w:r>
      <w:r w:rsidR="00E5551E" w:rsidRPr="00E5551E">
        <w:rPr>
          <w:b/>
        </w:rPr>
        <w:t xml:space="preserve">Figure </w:t>
      </w:r>
      <w:r w:rsidR="00E5551E" w:rsidRPr="00E5551E">
        <w:rPr>
          <w:b/>
          <w:noProof/>
        </w:rPr>
        <w:t>3.14</w:t>
      </w:r>
      <w:r w:rsidR="00CB6F61" w:rsidRPr="008B3AD6">
        <w:rPr>
          <w:b/>
        </w:rPr>
        <w:fldChar w:fldCharType="end"/>
      </w:r>
      <w:r w:rsidR="00CB6F61" w:rsidRPr="008B3AD6">
        <w:rPr>
          <w:b/>
        </w:rPr>
        <w:t>Diii</w:t>
      </w:r>
      <w:r w:rsidR="00CB6F61" w:rsidRPr="008B3AD6">
        <w:t xml:space="preserve">). </w:t>
      </w:r>
      <w:r w:rsidR="004641CF" w:rsidRPr="008B3AD6">
        <w:t>L</w:t>
      </w:r>
      <w:r w:rsidR="00CB6F61" w:rsidRPr="008B3AD6">
        <w:t xml:space="preserve">ymphoid cells themselves are not a significant target for parasitization by </w:t>
      </w:r>
      <w:r w:rsidR="00CB6F61" w:rsidRPr="008B3AD6">
        <w:rPr>
          <w:i/>
        </w:rPr>
        <w:t>L. donovani</w:t>
      </w:r>
      <w:r w:rsidR="00CB6F61" w:rsidRPr="008B3AD6">
        <w:t xml:space="preserve"> </w:t>
      </w:r>
      <w:r w:rsidR="004641CF" w:rsidRPr="008B3AD6">
        <w:t>and so</w:t>
      </w:r>
      <w:r w:rsidR="00C84C3C" w:rsidRPr="008B3AD6">
        <w:t xml:space="preserve"> likely</w:t>
      </w:r>
      <w:r w:rsidR="00CB6F61" w:rsidRPr="008B3AD6">
        <w:t xml:space="preserve"> represent a secondary off-target accumulation of drug</w:t>
      </w:r>
      <w:r w:rsidR="00FF0C90">
        <w:t>.</w:t>
      </w:r>
      <w:r w:rsidR="004641CF" w:rsidRPr="008B3AD6">
        <w:t xml:space="preserve"> </w:t>
      </w:r>
      <w:r w:rsidR="00FF0C90">
        <w:t>A</w:t>
      </w:r>
      <w:r w:rsidR="004641CF" w:rsidRPr="008B3AD6">
        <w:t>n alternative consideration</w:t>
      </w:r>
      <w:r w:rsidR="00C84C3C" w:rsidRPr="008B3AD6">
        <w:t xml:space="preserve"> </w:t>
      </w:r>
      <w:r w:rsidR="004641CF" w:rsidRPr="008B3AD6">
        <w:t xml:space="preserve">is that </w:t>
      </w:r>
      <w:r w:rsidR="00C84C3C" w:rsidRPr="008B3AD6">
        <w:t>as T cells have been shown to freely traffic in and out of granulomas</w:t>
      </w:r>
      <w:r w:rsidR="004641CF" w:rsidRPr="008B3AD6">
        <w:t xml:space="preserve"> </w:t>
      </w:r>
      <w:r w:rsidR="004641CF" w:rsidRPr="008B3AD6">
        <w:fldChar w:fldCharType="begin"/>
      </w:r>
      <w:r w:rsidR="007A6EED">
        <w:instrText xml:space="preserve"> ADDIN ZOTERO_ITEM CSL_CITATION {"citationID":"EXlrfrlL","properties":{"formattedCitation":"(Beattie, Peltan, et al. 2010b)","plainCitation":"(Beattie, Peltan, et al. 2010b)","noteIndex":0},"citationItems":[{"id":2470,"uris":["http://zotero.org/users/2628971/items/Z5DCMCS5"],"uri":["http://zotero.org/users/2628971/items/Z5DCMCS5"],"itemData":{"id":2470,"type":"article-journal","title":"Dynamic imaging of experimental Leishmania donovani-induced hepatic granulomas detects Kupffer cell-restricted antigen presentation to antigen-specific CD8 T cells","container-title":"PLoS pathogens","page":"e1000805","volume":"6","issue":"3","source":"PubMed","abstract":"Kupffer cells (KCs) represent the major phagocytic population within the liver and provide an intracellular niche for the survival of a number of important human pathogens. Although KCs have been extensively studied in vitro, little is known of their in vivo response to infection and their capacity to directly interact with antigen-specific CD8(+) T cells. Here, using a combination of approaches including whole mount and thin section confocal microscopy, adoptive cell transfer and intra-vital 2-photon microscopy, we demonstrate that KCs represent the only detectable population of mononuclear phagocytes within granulomas induced by Leishmania donovani infection that are capable of presenting parasite-derived peptide to effector CD8(+) T cells. This restriction of antigen presentation to KCs within the Leishmania granuloma has important implications for the identification of new candidate vaccine antigens and for the design of novel immuno-therapeutic interventions.","DOI":"10.1371/journal.ppat.1000805","ISSN":"1553-7374","note":"PMID: 20300603\nPMCID: PMC2837408","journalAbbreviation":"PLoS Pathog.","language":"eng","author":[{"family":"Beattie","given":"Lynette"},{"family":"Peltan","given":"Adam"},{"family":"Maroof","given":"Asher"},{"family":"Kirby","given":"Alun"},{"family":"Brown","given":"Najmeeyah"},{"family":"Coles","given":"Mark"},{"family":"Smith","given":"Deborah F."},{"family":"Kaye","given":"Paul M."}],"issued":{"date-parts":[["2010",3,12]]}}}],"schema":"https://github.com/citation-style-language/schema/raw/master/csl-citation.json"} </w:instrText>
      </w:r>
      <w:r w:rsidR="004641CF" w:rsidRPr="008B3AD6">
        <w:fldChar w:fldCharType="separate"/>
      </w:r>
      <w:r w:rsidR="00E5551E">
        <w:rPr>
          <w:lang w:val="en-US"/>
        </w:rPr>
        <w:t>(Beattie et al. 2010</w:t>
      </w:r>
      <w:r w:rsidR="007A6EED" w:rsidRPr="007A6EED">
        <w:rPr>
          <w:lang w:val="en-US"/>
        </w:rPr>
        <w:t>)</w:t>
      </w:r>
      <w:r w:rsidR="004641CF" w:rsidRPr="008B3AD6">
        <w:fldChar w:fldCharType="end"/>
      </w:r>
      <w:r w:rsidR="00C84C3C" w:rsidRPr="008B3AD6">
        <w:t xml:space="preserve"> they may also represent a granuloma penetrating ‘delivery system’</w:t>
      </w:r>
      <w:r w:rsidR="004641CF" w:rsidRPr="008B3AD6">
        <w:t>, a theory worth further investigation</w:t>
      </w:r>
      <w:r w:rsidR="00CB6F61" w:rsidRPr="008B3AD6">
        <w:t>.</w:t>
      </w:r>
    </w:p>
    <w:p w14:paraId="6CE579E6" w14:textId="3A8266D7" w:rsidR="004641CF" w:rsidRPr="008B3AD6" w:rsidRDefault="004641CF" w:rsidP="00B94F8C">
      <w:pPr>
        <w:spacing w:line="360" w:lineRule="auto"/>
        <w:jc w:val="both"/>
      </w:pPr>
    </w:p>
    <w:p w14:paraId="37B00A5E" w14:textId="467F4BB6" w:rsidR="004641CF" w:rsidRPr="008B3AD6" w:rsidRDefault="00302B8E" w:rsidP="00B94F8C">
      <w:pPr>
        <w:spacing w:line="360" w:lineRule="auto"/>
        <w:jc w:val="both"/>
      </w:pPr>
      <w:r>
        <w:t xml:space="preserve">The </w:t>
      </w:r>
      <w:r w:rsidR="00A32111">
        <w:t>AmB</w:t>
      </w:r>
      <w:r w:rsidR="00123529" w:rsidRPr="008B3AD6">
        <w:t xml:space="preserve"> accumulation</w:t>
      </w:r>
      <w:r w:rsidR="00936296">
        <w:t xml:space="preserve"> for the total KC &amp; DC population</w:t>
      </w:r>
      <w:r w:rsidR="00123529" w:rsidRPr="008B3AD6">
        <w:t xml:space="preserve"> (</w:t>
      </w:r>
      <w:r w:rsidR="00123529" w:rsidRPr="008B3AD6">
        <w:rPr>
          <w:b/>
        </w:rPr>
        <w:fldChar w:fldCharType="begin"/>
      </w:r>
      <w:r w:rsidR="00123529" w:rsidRPr="008B3AD6">
        <w:rPr>
          <w:b/>
        </w:rPr>
        <w:instrText xml:space="preserve"> REF _Ref518932911  \* MERGEFORMAT </w:instrText>
      </w:r>
      <w:r w:rsidR="00123529" w:rsidRPr="008B3AD6">
        <w:rPr>
          <w:b/>
        </w:rPr>
        <w:fldChar w:fldCharType="separate"/>
      </w:r>
      <w:r w:rsidR="00E5551E" w:rsidRPr="00E5551E">
        <w:rPr>
          <w:b/>
        </w:rPr>
        <w:t xml:space="preserve">Figure </w:t>
      </w:r>
      <w:r w:rsidR="00E5551E" w:rsidRPr="00E5551E">
        <w:rPr>
          <w:b/>
          <w:noProof/>
        </w:rPr>
        <w:t>3.14</w:t>
      </w:r>
      <w:r w:rsidR="00123529" w:rsidRPr="008B3AD6">
        <w:rPr>
          <w:b/>
        </w:rPr>
        <w:fldChar w:fldCharType="end"/>
      </w:r>
      <w:r w:rsidR="00123529" w:rsidRPr="008B3AD6">
        <w:rPr>
          <w:b/>
        </w:rPr>
        <w:t>Ciii</w:t>
      </w:r>
      <w:r w:rsidR="00123529" w:rsidRPr="008B3AD6">
        <w:t xml:space="preserve">) was poor compared to </w:t>
      </w:r>
      <w:r w:rsidR="00936296">
        <w:t xml:space="preserve">total </w:t>
      </w:r>
      <w:r w:rsidR="00123529" w:rsidRPr="008B3AD6">
        <w:t>monocyte and lymphoid cell</w:t>
      </w:r>
      <w:r w:rsidR="00936296">
        <w:t xml:space="preserve"> populations</w:t>
      </w:r>
      <w:r w:rsidR="00123529" w:rsidRPr="008B3AD6">
        <w:t xml:space="preserve"> and yet </w:t>
      </w:r>
      <w:r w:rsidR="00FF0C90">
        <w:t>KCs</w:t>
      </w:r>
      <w:r w:rsidR="00123529" w:rsidRPr="008B3AD6">
        <w:t xml:space="preserve"> are the dogmatic host of </w:t>
      </w:r>
      <w:r w:rsidR="00123529" w:rsidRPr="008B3AD6">
        <w:rPr>
          <w:i/>
        </w:rPr>
        <w:t>L. donovani</w:t>
      </w:r>
      <w:r w:rsidR="00123529" w:rsidRPr="008B3AD6">
        <w:t xml:space="preserve"> in the liver. Again, this contrasts with the significant decrease in parasite burden that was observed for the liver and once again indicates that the traditional concept of specific </w:t>
      </w:r>
      <w:r w:rsidR="00123529" w:rsidRPr="008B3AD6">
        <w:rPr>
          <w:i/>
        </w:rPr>
        <w:t>L. donovani</w:t>
      </w:r>
      <w:r w:rsidR="00123529" w:rsidRPr="008B3AD6">
        <w:t xml:space="preserve"> burden in KCs coupled with high </w:t>
      </w:r>
      <w:r w:rsidR="00A32111">
        <w:t>AmB</w:t>
      </w:r>
      <w:r w:rsidR="00123529" w:rsidRPr="008B3AD6">
        <w:t xml:space="preserve"> availability is not fully valid. The </w:t>
      </w:r>
      <w:r w:rsidR="00936296">
        <w:t>low accumulation</w:t>
      </w:r>
      <w:r w:rsidR="00936296" w:rsidRPr="008B3AD6">
        <w:t xml:space="preserve"> </w:t>
      </w:r>
      <w:r w:rsidR="00123529" w:rsidRPr="008B3AD6">
        <w:t xml:space="preserve">levels of </w:t>
      </w:r>
      <w:r w:rsidR="00A32111">
        <w:t>AmB</w:t>
      </w:r>
      <w:r w:rsidR="00123529" w:rsidRPr="008B3AD6">
        <w:t xml:space="preserve"> in </w:t>
      </w:r>
      <w:r w:rsidR="00936296">
        <w:t xml:space="preserve">this </w:t>
      </w:r>
      <w:r w:rsidR="00FF0C90">
        <w:t>KC</w:t>
      </w:r>
      <w:r w:rsidR="00936296">
        <w:t xml:space="preserve"> &amp; DC population</w:t>
      </w:r>
      <w:r w:rsidR="00936296" w:rsidRPr="008B3AD6">
        <w:t xml:space="preserve"> </w:t>
      </w:r>
      <w:r w:rsidR="00123529" w:rsidRPr="008B3AD6">
        <w:t xml:space="preserve">contrasts with published values for the </w:t>
      </w:r>
      <w:r w:rsidR="00123529" w:rsidRPr="008B3AD6">
        <w:rPr>
          <w:i/>
        </w:rPr>
        <w:t>in vitro</w:t>
      </w:r>
      <w:r w:rsidR="00123529" w:rsidRPr="008B3AD6">
        <w:t xml:space="preserve"> IC</w:t>
      </w:r>
      <w:r w:rsidR="00123529" w:rsidRPr="008B3AD6">
        <w:rPr>
          <w:vertAlign w:val="subscript"/>
        </w:rPr>
        <w:t>50</w:t>
      </w:r>
      <w:r w:rsidR="00123529" w:rsidRPr="008B3AD6">
        <w:t xml:space="preserve"> values of </w:t>
      </w:r>
      <w:r w:rsidR="00A32111">
        <w:t>AmB</w:t>
      </w:r>
      <w:r w:rsidR="00123529" w:rsidRPr="008B3AD6">
        <w:t xml:space="preserve"> </w:t>
      </w:r>
      <w:r w:rsidR="00410C1B" w:rsidRPr="008B3AD6">
        <w:fldChar w:fldCharType="begin"/>
      </w:r>
      <w:r w:rsidR="007A6EED">
        <w:instrText xml:space="preserve"> ADDIN ZOTERO_ITEM CSL_CITATION {"citationID":"ZWrQ2pVy","properties":{"formattedCitation":"(Manandhar et al. 2008; Prajapati et al. 2011)","plainCitation":"(Manandhar et al. 2008; Prajapati et al. 2011)","noteIndex":0},"citationItems":[{"id":2525,"uris":["http://zotero.org/users/2628971/items/MPH2B93V"],"uri":["http://zotero.org/users/2628971/items/MPH2B93V"],"itemData":{"id":2525,"type":"article-journal","title":"Antileishmanial activity of nano-amphotericin B deoxycholate","container-title":"The Journal of Antimicrobial Chemotherapy","page":"376-380","volume":"62","issue":"2","source":"PubMed","abstract":"OBJECTIVES: The aim of the present study was to compare the efficacy of a nano form of amphotericin B deoxycholate with that of conventional amphotericin B deoxycholate for the treatment of visceral leishmaniasis.\nMETHODS: We have formulated nanoparticles (10-20 nM) from amphotericin B deoxycholate (1-2 microM) by applying high-pressure (150 argon) milling homogenization and have tested their efficacy in a J774A cell line and in hamsters. Parasite survival and tissue burden in spleen were evaluated for nano-amphotericin B and conventional amphotericin B. Both nano-amphotericin B and conventional amphotericin B were injected intraperitoneally at 5 mg/kg per day for 5 days.\nRESULTS: The inhibition of amastigotes in the splenic tissue with nano-amphotericin B was significantly more than with conventional amphotericin B (92.18% versus 74.57%, P = 0.005). Similarly, the suppression of parasite replication in the spleen was also found to be significant (99.18% versus 97.17%, P = 0.05). In a cytotoxicity test, nano-amphotericin B against the J774A cell line had a CC(50) of 12.67 mg/L in comparison with 10.61 mg/L for amphotericin B, far higher than the doses used for ED(50).\nCONCLUSIONS: Nanoparticles of amphotericin B had significantly greater efficacy than conventional amphotericin B. This formulation may have a favourable safety profile, and if production costs are low, it may prove to be a feasible alternative to conventional amphotericin B.","DOI":"10.1093/jac/dkn189","ISSN":"1460-2091","note":"PMID: 18453526","journalAbbreviation":"J. Antimicrob. Chemother.","language":"eng","author":[{"family":"Manandhar","given":"Krishna Das"},{"family":"Yadav","given":"Thakur Prasad"},{"family":"Prajapati","given":"Vijay Kumar"},{"family":"Kumar","given":"Subodh"},{"family":"Rai","given":"Madhukar"},{"family":"Dube","given":"Anuradha"},{"family":"Srivastava","given":"Onkar Nath"},{"family":"Sundar","given":"Shyam"}],"issued":{"date-parts":[["2008",8]]}}},{"id":2522,"uris":["http://zotero.org/users/2628971/items/I2TMMGI9"],"uri":["http://zotero.org/users/2628971/items/I2TMMGI9"],"itemData":{"id":2522,"type":"article-journal","title":"Targeted killing of Leishmania donovani in vivo and in vitro with amphotericin B attached to functionalized carbon nanotubes","container-title":"Journal of Antimicrobial Chemotherapy","page":"874-879","volume":"66","issue":"4","source":"PubMed Central","abstract":"Objectives\nThis study describes the antileishmanial efficacy of the novel drug formulation of amphotericin B (AmB) attached to functionalized carbon nanotubes (f-CNTs) and compares it with AmB.\n\nMethods\nf-CNTs were prepared in a two-step chemical carboxylation and amidation process. The AmB was then attached to make f-CNT–AmB and its construction was confirmed by Fourier transform infrared (FTIR) spectroscopy and transmission electron microscopy (TEM). The cytotoxicity of the constructed compound, f-CNT–AmB, was assessed in vitro using the J774A.1 macrophage cell line and in vivo using healthy BALB/c mice. Antileishmanial activity of AmB and f-CNT–AmB was assessed in vitro using a macrophage (J774A.1 cell line) model of Leishmania donovani infection. Antileishmanial activity was assessed in vivo by comparing the parasite load of hamsters treated with a 5 day course of AmB, f-CNTs or f-CNT–AmB initiated at 30 days after infection with L. donovani parasites.\n\nResults\nThe FTIR spectroscopy and TEM data demonstrate the successful attachment of AmB to f-CNTs. The in vitro cytotoxicity of AmB, f-CNTs and f-CNT–AmB was measured by the cytotoxic concentration required to kill 50% of the cells: 0.48 ± 0.06 μg/mL; 7.31 ± 1.16 μg/mL; 0.66 ± 0.17 μg/mL, respectively, in the J774A.1 cell line. The in vivo toxicity assessment of the compounds in BALB/c mice revealed no hepatic or renal toxicity. Against intracellular amastigotes the in vitro antileishmanial efficacy of f-CNT–AmB was significantly higher than that of AmB (IC50 0.00234 ± 0.00075 μg/mL versus 0.03263 ± 0.00123 μg/mL; P ≤ 0.0001). The percentage inhibition of amastigote replication in hamsters treated with f-CNT–AmB was significantly more than that with AmB (89.85% ± 2.93% versus 68.97% ± 1.84%; P = 0.0004).\n\nConclusions\nThe results of these experiments clearly demonstrate that f-CNT–AmB has significantly greater antileishmanial efficacy than AmB and had no significant cytotoxic effects.","DOI":"10.1093/jac/dkr002","ISSN":"0305-7453","note":"PMID: 21393222\nPMCID: PMC3307040","journalAbbreviation":"J Antimicrob Chemother","author":[{"family":"Prajapati","given":"Vijay Kumar"},{"family":"Awasthi","given":"Kalpana"},{"family":"Gautam","given":"Shalini"},{"family":"Yadav","given":"Thakur Prasad"},{"family":"Rai","given":"Madhukar"},{"family":"Srivastava","given":"Onkar Nath"},{"family":"Sundar","given":"Shyam"}],"issued":{"date-parts":[["2011",4]]}}}],"schema":"https://github.com/citation-style-language/schema/raw/master/csl-citation.json"} </w:instrText>
      </w:r>
      <w:r w:rsidR="00410C1B" w:rsidRPr="008B3AD6">
        <w:fldChar w:fldCharType="separate"/>
      </w:r>
      <w:r w:rsidR="007A6EED" w:rsidRPr="007A6EED">
        <w:rPr>
          <w:lang w:val="en-US"/>
        </w:rPr>
        <w:t>(Manandhar et al. 2008; Prajapati et al. 2011)</w:t>
      </w:r>
      <w:r w:rsidR="00410C1B" w:rsidRPr="008B3AD6">
        <w:fldChar w:fldCharType="end"/>
      </w:r>
      <w:r w:rsidR="00123529" w:rsidRPr="008B3AD6">
        <w:t xml:space="preserve">, which indicate higher levels of </w:t>
      </w:r>
      <w:r w:rsidR="00A32111">
        <w:t>AmB</w:t>
      </w:r>
      <w:r w:rsidR="00123529" w:rsidRPr="008B3AD6">
        <w:t xml:space="preserve"> are needed for clearance</w:t>
      </w:r>
      <w:r w:rsidR="003F1062">
        <w:t xml:space="preserve"> of parasite in infected cells</w:t>
      </w:r>
      <w:r w:rsidR="00123529" w:rsidRPr="008B3AD6">
        <w:t xml:space="preserve">, and </w:t>
      </w:r>
      <w:r w:rsidR="00410C1B" w:rsidRPr="008B3AD6">
        <w:t xml:space="preserve">so </w:t>
      </w:r>
      <w:r w:rsidR="00123529" w:rsidRPr="008B3AD6">
        <w:t xml:space="preserve">our work would further suggest that </w:t>
      </w:r>
      <w:r w:rsidR="00123529" w:rsidRPr="008B3AD6">
        <w:rPr>
          <w:i/>
        </w:rPr>
        <w:t>in vitro</w:t>
      </w:r>
      <w:r w:rsidR="00123529" w:rsidRPr="008B3AD6">
        <w:t xml:space="preserve"> dose response assays are not strongly representative of </w:t>
      </w:r>
      <w:r w:rsidR="00123529" w:rsidRPr="008B3AD6">
        <w:rPr>
          <w:i/>
        </w:rPr>
        <w:t xml:space="preserve">in vivo </w:t>
      </w:r>
      <w:r w:rsidR="00123529" w:rsidRPr="008B3AD6">
        <w:t>outcomes.</w:t>
      </w:r>
    </w:p>
    <w:p w14:paraId="5CDBB733" w14:textId="479D5A1D" w:rsidR="004A3F70" w:rsidRPr="008B3AD6" w:rsidRDefault="004A3F70" w:rsidP="00B94F8C">
      <w:pPr>
        <w:spacing w:line="360" w:lineRule="auto"/>
        <w:jc w:val="both"/>
      </w:pPr>
    </w:p>
    <w:p w14:paraId="4D69073F" w14:textId="1E3CD8E5" w:rsidR="00CB6F61" w:rsidRPr="008B3AD6" w:rsidRDefault="00FF0C90" w:rsidP="00B94F8C">
      <w:pPr>
        <w:spacing w:line="360" w:lineRule="auto"/>
        <w:jc w:val="both"/>
      </w:pPr>
      <w:r>
        <w:t>Our</w:t>
      </w:r>
      <w:r w:rsidR="009525CA" w:rsidRPr="008B3AD6">
        <w:t xml:space="preserve"> findings of </w:t>
      </w:r>
      <w:r w:rsidR="004641CF" w:rsidRPr="008B3AD6">
        <w:t xml:space="preserve">high </w:t>
      </w:r>
      <w:r w:rsidR="009525CA" w:rsidRPr="008B3AD6">
        <w:t>total liver accumulation broadly agree with ex</w:t>
      </w:r>
      <w:r w:rsidR="00410C1B" w:rsidRPr="008B3AD6">
        <w:t xml:space="preserve">isting data </w:t>
      </w:r>
      <w:r w:rsidR="009525CA" w:rsidRPr="008B3AD6">
        <w:t xml:space="preserve">as well as the ability of </w:t>
      </w:r>
      <w:r w:rsidR="00A32111">
        <w:t>AmB</w:t>
      </w:r>
      <w:r w:rsidR="009525CA" w:rsidRPr="008B3AD6">
        <w:t xml:space="preserve"> </w:t>
      </w:r>
      <w:r w:rsidR="00CB6F61" w:rsidRPr="008B3AD6">
        <w:t>to reduce</w:t>
      </w:r>
      <w:r w:rsidR="009525CA" w:rsidRPr="008B3AD6">
        <w:t xml:space="preserve"> the</w:t>
      </w:r>
      <w:r w:rsidR="00CB6F61" w:rsidRPr="008B3AD6">
        <w:t xml:space="preserve"> </w:t>
      </w:r>
      <w:r w:rsidR="009525CA" w:rsidRPr="008B3AD6">
        <w:rPr>
          <w:i/>
        </w:rPr>
        <w:t>Leishmania</w:t>
      </w:r>
      <w:r w:rsidR="00410C1B" w:rsidRPr="008B3AD6">
        <w:t xml:space="preserve"> population </w:t>
      </w:r>
      <w:r w:rsidR="00410C1B" w:rsidRPr="008B3AD6">
        <w:fldChar w:fldCharType="begin"/>
      </w:r>
      <w:r w:rsidR="007A6EED">
        <w:instrText xml:space="preserve"> ADDIN ZOTERO_ITEM CSL_CITATION {"citationID":"J3eezxjB","properties":{"formattedCitation":"(Voak et al. 2017c)","plainCitation":"(Voak et al. 2017c)","noteIndex":0},"citationItems":[{"id":2507,"uris":["http://zotero.org/users/2628971/items/W2SGM4SR"],"uri":["http://zotero.org/users/2628971/items/W2SGM4SR"],"itemData":{"id":2507,"type":"article-journal","title":"Pharmacodynamics and Biodistribution of Single-Dose Liposomal Amphotericin B at Different Stages of Experimental Visceral Leishmaniasis","container-title":"Antimicrobial Agents and Chemotherapy","volume":"61","issue":"9","source":"PubMed","abstract":"Visceral leishmaniasis is a neglected tropical disease that causes significant morbidity and mortality worldwide. Characterization of the pharmacokinetics and pharmacodynamics of antileishmanial drugs in preclinical models is important for drug development and use. Here we investigated the pharmacodynamics and drug distribution of liposomal amphotericin B (AmBisome) inLeishmania donovani-infected BALB/c mice at three different dose levels and two different time points after infection. We additionally compared drug levels in plasma, liver, and spleen in infected and uninfected BALB/c mice over time. At the highest administered dose of 10 mg/kg AmBisome, &gt;90% parasite inhibition was observed within 2 days after drug administration, consistent with drug distribution from blood to tissue within 24 h and a fast rate of kill. Decreased drug potency was observed in the spleen when AmBisome was administered on day 35 after infection, compared to day 14 after infection. Amphotericin B concentrations and total drug amounts per organ were lower in liver and spleen when AmBisome was administered at the advanced stage of infection and compared to those in uninfected BALB/c mice. However, the magnitude of difference was lower when total drug amounts per organ were estimated. Differences were also noted in drug distribution toL. donovani-infected livers and spleens. Taken together, our data suggest that organ enlargement and other pathophysiological factors cause infection- and organ-specific drug distribution and elimination after administration of single-dose AmBisome toL. donovani-infected mice. Plasma drug levels were not reflective of changes in drug levels in tissues.","DOI":"10.1128/AAC.00497-17","ISSN":"1098-6596","note":"PMID: 28630200\nPMCID: PMC5571318","journalAbbreviation":"Antimicrob. Agents Chemother.","language":"eng","author":[{"family":"Voak","given":"Andrew A."},{"family":"Harris","given":"Andy"},{"family":"Qaiser","given":"Zeeshan"},{"family":"Croft","given":"Simon L."},{"family":"Seifert","given":"Karin"}],"issued":{"date-parts":[["2017",9]]}}}],"schema":"https://github.com/citation-style-language/schema/raw/master/csl-citation.json"} </w:instrText>
      </w:r>
      <w:r w:rsidR="00410C1B" w:rsidRPr="008B3AD6">
        <w:fldChar w:fldCharType="separate"/>
      </w:r>
      <w:r w:rsidR="007A6EED" w:rsidRPr="007A6EED">
        <w:rPr>
          <w:lang w:val="en-US"/>
        </w:rPr>
        <w:t>(Voak et al. 2017)</w:t>
      </w:r>
      <w:r w:rsidR="00410C1B" w:rsidRPr="008B3AD6">
        <w:fldChar w:fldCharType="end"/>
      </w:r>
      <w:r w:rsidR="009525CA" w:rsidRPr="008B3AD6">
        <w:t>. Whilst no sub-tissue level analyses have been previous</w:t>
      </w:r>
      <w:r w:rsidR="00CB6F61" w:rsidRPr="008B3AD6">
        <w:t xml:space="preserve">ly carried out to our knowledge, our work concurs with </w:t>
      </w:r>
      <w:r w:rsidR="00CB6F61" w:rsidRPr="008B3AD6">
        <w:lastRenderedPageBreak/>
        <w:t xml:space="preserve">findings in the </w:t>
      </w:r>
      <w:r>
        <w:t>t</w:t>
      </w:r>
      <w:r w:rsidR="00CB6F61" w:rsidRPr="008B3AD6">
        <w:t xml:space="preserve">uberculosis </w:t>
      </w:r>
      <w:r w:rsidR="00410C1B" w:rsidRPr="008B3AD6">
        <w:t xml:space="preserve">field </w:t>
      </w:r>
      <w:r w:rsidR="00410C1B" w:rsidRPr="008B3AD6">
        <w:fldChar w:fldCharType="begin"/>
      </w:r>
      <w:r w:rsidR="007A6EED">
        <w:instrText xml:space="preserve"> ADDIN ZOTERO_ITEM CSL_CITATION {"citationID":"yurHow8V","properties":{"formattedCitation":"(Prideaux et al. 2011; Rifat et al. 2018)","plainCitation":"(Prideaux et al. 2011; Rifat et al. 2018)","noteIndex":0},"citationItems":[{"id":3376,"uris":["http://zotero.org/users/2628971/items/5WQUEJZR"],"uri":["http://zotero.org/users/2628971/items/5WQUEJZR"],"itemData":{"id":3376,"type":"article-journal","title":"High-Sensitivity MALDI-MRM-MS Imaging of Moxifloxacin Distribution in Tuberculosis-Infected Rabbit Lungs and Granulomatous Lesions","container-title":"Analytical chemistry","page":"2112-2118","volume":"83","issue":"6","source":"PubMed Central","abstract":"MALDI-MSI is a powerful technology for localizing drug and metabolite distributions in biological tissues. To enhance our understanding of tuberculosis (TB) drug efficacy and how efficiently certain drugs reach their site of action, MALDI-MSI was applied to image the distribution of the second-line TB drug moxifloxacin at a range of time points after dosing. The ability to perform multiple monitoring of selected ion transitions in the same experiment enabled extremely sensitive imaging of moxifloxacin within tuberculosis-infected rabbit lung biopsies in less than 15 min per tissue section. Homogeneous application of a reference standard during the matrix spraying process enabled the ion-suppressing effects of the inhomogeneous lung tissue to be normalized. The drug was observed to accumulate in granulomatous lesions at levels higher than that in the surrounding lung tissue from 1.5 h postdose until the final time point. MALDI-MSI moxifloxacin distribution data were validated by quantitative LC/MS/MS analysis of lung and granuloma extracts from adjacent biopsies taken from the same animals. Drug distribution within the granulomas was observed to be inhomogeneous, and very low levels were observed in the caseum in comparison to the cellular granuloma regions. In this experiment the MALDI-MRM-MSI method was shown to be a rapid and sensitive method for analyzing the distribution of anti-TB compounds and will be applied to distribution studies of additional drugs in the future.,","DOI":"10.1021/ac1029049","ISSN":"0003-2700","note":"PMID: 21332183\nPMCID: PMC3158846","journalAbbreviation":"Anal Chem","author":[{"family":"Prideaux","given":"Brendan"},{"family":"Dartois","given":"Véronique"},{"family":"Staab","given":"Dieter"},{"family":"Weiner","given":"Danielle M."},{"family":"Goh","given":"Anne"},{"family":"Via","given":"Laura E."},{"family":"Barry","given":"Clifton E."},{"family":"Stoeckli","given":"Markus"}],"issued":{"date-parts":[["2011",3,15]]}}},{"id":3031,"uris":["http://zotero.org/users/2628971/items/2GCKJL34"],"uri":["http://zotero.org/users/2628971/items/2GCKJL34"],"itemData":{"id":3031,"type":"article-journal","title":"Pharmacokinetics of rifapentine and rifampin in a rabbit model of tuberculosis and correlation with clinical trial data","container-title":"Science Translational Medicine","page":"eaai7786","volume":"10","issue":"435","source":"stm.sciencemag.org","abstract":"A peek into a TB drug\nShorter-duration drug regimens are needed to treat tuberculosis, but drug regimens that are effective in mice often fail in clinical trials. In a new study, Rifat et al. have developed a rabbit model of pulmonary cavitary tuberculosis that mimics the pathology of the human disease. They used the model to explore the tissue distribution of two antibiotics in rabbit lung tubercular lesions. Rifapentine, but not rifampin, displayed poor penetration into necrotic cavitary lesions where the largest number of pathogenic bacteria reside. Combining this preclinical tissue penetration data with phase 2 clinical trial data enabled the authors to explain differences in treatment response among different TB patient populations.\nIn clinical trials of two rifamycin antibiotics (rifampin and rifapentine) for treating tuberculosis (TB), patients with cavitary lung lesions did not appear to derive benefit from rifapentine. Rifapentine was found not to outperform rifampin, despite a lower minimum inhibitory concentration against Mycobacterium tuberculosis in mouse models of TB. To understand these findings, we have developed a rabbit model of TB that reliably develops lung cavities with features similar to those of patients with pulmonary cavitary TB. After single or multiple doses of rifampin or rifapentine that produced human-equivalent plasma exposures, rabbits were sacrificed at different time points after dosing. We measured site-of-disease drug pharmacokinetics and tissue drug distribution. We used pharmacokinetic-pharmacodynamic (PK/PD) modeling to estimate drug penetration into different types of tubercular lesions. Both drugs penetrated rabbit lung cellular lesions, as well as the fibrotic cavity wall of cavitary lesions (penetration coefficients ≥1 compared to plasma). For the necrotic liquefied material inside cavitary lesions known as caseum (which contains high numbers of bacteria), the penetration coefficient was 1.0 for rifampin but only 0.25 for rifapentine. When estimates of site-of-disease drug PK were substituted into clinical PK/PD models, the relationship between site-of-action exposure and sputum culture conversion was significant (P &lt; 10−7). We propose that poor penetration of rifapentine into lung cavitary lesions explains, in part, why rifapentine doses required to improve treatment outcomes in two phase 2 clinical trials were four times higher in TB patients with large cavities compared to TB patients without cavitary lung disease.\nA rabbit model of pulmonary cavitary tuberculosis helps to explain phase 2 clinical trial results for the rifamycin class of TB drugs.\nA rabbit model of pulmonary cavitary tuberculosis helps to explain phase 2 clinical trial results for the rifamycin class of TB drugs.","DOI":"10.1126/scitranslmed.aai7786","ISSN":"1946-6234, 1946-6242","note":"PMID: 29618565","language":"en","author":[{"family":"Rifat","given":"Dalin"},{"family":"Prideaux","given":"Brendan"},{"family":"Savic","given":"Radojka M."},{"family":"Urbanowski","given":"Michael E."},{"family":"Parsons","given":"Teresa L."},{"family":"Luna","given":"Brian"},{"family":"Marzinke","given":"Mark A."},{"family":"Ordonez","given":"Alvaro A."},{"family":"DeMarco","given":"Vincent P."},{"family":"Jain","given":"Sanjay K."},{"family":"Dartois","given":"Veronique"},{"family":"Bishai","given":"William R."},{"family":"Dooley","given":"Kelly E."}],"issued":{"date-parts":[["2018",4,4]]}}}],"schema":"https://github.com/citation-style-language/schema/raw/master/csl-citation.json"} </w:instrText>
      </w:r>
      <w:r w:rsidR="00410C1B" w:rsidRPr="008B3AD6">
        <w:fldChar w:fldCharType="separate"/>
      </w:r>
      <w:r w:rsidR="007A6EED" w:rsidRPr="007A6EED">
        <w:rPr>
          <w:lang w:val="en-US"/>
        </w:rPr>
        <w:t>(Prideaux et al. 2011; Rifat et al. 2018)</w:t>
      </w:r>
      <w:r w:rsidR="00410C1B" w:rsidRPr="008B3AD6">
        <w:fldChar w:fldCharType="end"/>
      </w:r>
      <w:r w:rsidR="00CB6F61" w:rsidRPr="008B3AD6">
        <w:t xml:space="preserve"> that granulomas have differing drug accumulation to the surrounding tissue. Our work expands upon this concept by exploring the components of the </w:t>
      </w:r>
      <w:r>
        <w:t xml:space="preserve">hepatic </w:t>
      </w:r>
      <w:r w:rsidR="00CB6F61" w:rsidRPr="008B3AD6">
        <w:t>granuloma and is a valuable insight into differential accumulation</w:t>
      </w:r>
      <w:r w:rsidR="009525CA" w:rsidRPr="008B3AD6">
        <w:t xml:space="preserve"> </w:t>
      </w:r>
      <w:r w:rsidR="004641CF" w:rsidRPr="008B3AD6">
        <w:t>between cell subsets which cumulatively form granulomas</w:t>
      </w:r>
      <w:r w:rsidR="00CB6F61" w:rsidRPr="008B3AD6">
        <w:t>. This</w:t>
      </w:r>
      <w:r w:rsidR="004641CF" w:rsidRPr="008B3AD6">
        <w:t xml:space="preserve"> work</w:t>
      </w:r>
      <w:r w:rsidR="00CB6F61" w:rsidRPr="008B3AD6">
        <w:t xml:space="preserve"> is especially relevant for diseases such as </w:t>
      </w:r>
      <w:r>
        <w:t>l</w:t>
      </w:r>
      <w:r w:rsidR="00CB6F61" w:rsidRPr="008B3AD6">
        <w:t>eishmaniasis</w:t>
      </w:r>
      <w:r w:rsidR="003E5874">
        <w:t xml:space="preserve"> and t</w:t>
      </w:r>
      <w:r w:rsidR="00CB6F61" w:rsidRPr="008B3AD6">
        <w:t>uberculosis where therapeutic agents generally tend to target pathogens which are ‘hidde</w:t>
      </w:r>
      <w:r w:rsidR="00410C1B" w:rsidRPr="008B3AD6">
        <w:t>n’ at the centre of granulomas</w:t>
      </w:r>
      <w:r w:rsidR="00CB6F61" w:rsidRPr="008B3AD6">
        <w:t xml:space="preserve">. In the following chapter we develop a mathematical model representing a hepatic immune response to infection with </w:t>
      </w:r>
      <w:r w:rsidR="00CB6F61" w:rsidRPr="008B3AD6">
        <w:rPr>
          <w:i/>
        </w:rPr>
        <w:t>L. donovani</w:t>
      </w:r>
      <w:r w:rsidR="00CB6F61" w:rsidRPr="008B3AD6">
        <w:t xml:space="preserve"> which will then be combined with the data presented in this chapter to allow for further investigation into how immune mechanisms, such as cellular migration, impact therapeutic outcome.</w:t>
      </w:r>
    </w:p>
    <w:p w14:paraId="276F12B2" w14:textId="77777777" w:rsidR="00AA644D" w:rsidRPr="008B3AD6" w:rsidRDefault="00AA644D" w:rsidP="004A3F70">
      <w:pPr>
        <w:spacing w:line="360" w:lineRule="auto"/>
        <w:rPr>
          <w:b/>
          <w:sz w:val="48"/>
          <w:szCs w:val="48"/>
        </w:rPr>
      </w:pPr>
    </w:p>
    <w:p w14:paraId="3A213F12" w14:textId="77777777" w:rsidR="00AA644D" w:rsidRPr="008B3AD6" w:rsidRDefault="00AA644D" w:rsidP="00E44977">
      <w:pPr>
        <w:spacing w:line="360" w:lineRule="auto"/>
        <w:rPr>
          <w:b/>
          <w:sz w:val="48"/>
          <w:szCs w:val="48"/>
        </w:rPr>
      </w:pPr>
      <w:r w:rsidRPr="008B3AD6">
        <w:rPr>
          <w:b/>
          <w:sz w:val="48"/>
          <w:szCs w:val="48"/>
        </w:rPr>
        <w:br w:type="page"/>
      </w:r>
    </w:p>
    <w:p w14:paraId="0D7ED39E" w14:textId="3DEEC8EC" w:rsidR="00B602A3" w:rsidRPr="008B3AD6" w:rsidRDefault="009856CF" w:rsidP="00FE3DDE">
      <w:pPr>
        <w:pStyle w:val="Heading1"/>
      </w:pPr>
      <w:bookmarkStart w:id="320" w:name="_Ref519000859"/>
      <w:bookmarkStart w:id="321" w:name="_Ref519000867"/>
      <w:bookmarkStart w:id="322" w:name="_Ref519008458"/>
      <w:bookmarkStart w:id="323" w:name="_Toc3716102"/>
      <w:r w:rsidRPr="008B3AD6">
        <w:lastRenderedPageBreak/>
        <w:t xml:space="preserve">| </w:t>
      </w:r>
      <w:r w:rsidR="00B602A3" w:rsidRPr="008B3AD6">
        <w:t xml:space="preserve">Developing </w:t>
      </w:r>
      <w:r w:rsidR="00AA644D" w:rsidRPr="008B3AD6">
        <w:t xml:space="preserve">a Model of the </w:t>
      </w:r>
      <w:r w:rsidR="000377F6">
        <w:t xml:space="preserve">Hepatic </w:t>
      </w:r>
      <w:r w:rsidR="00AA644D" w:rsidRPr="008B3AD6">
        <w:t xml:space="preserve">Immune Response to </w:t>
      </w:r>
      <w:r w:rsidR="00B602A3" w:rsidRPr="008B3AD6">
        <w:rPr>
          <w:i/>
        </w:rPr>
        <w:t>L</w:t>
      </w:r>
      <w:r w:rsidR="00AA644D" w:rsidRPr="008B3AD6">
        <w:rPr>
          <w:i/>
        </w:rPr>
        <w:t xml:space="preserve">eishmania </w:t>
      </w:r>
      <w:r w:rsidR="006D715E" w:rsidRPr="008B3AD6">
        <w:rPr>
          <w:i/>
        </w:rPr>
        <w:t>d</w:t>
      </w:r>
      <w:r w:rsidR="00AA644D" w:rsidRPr="008B3AD6">
        <w:rPr>
          <w:i/>
        </w:rPr>
        <w:t>onovani</w:t>
      </w:r>
      <w:r w:rsidR="00AA644D" w:rsidRPr="008B3AD6">
        <w:t xml:space="preserve"> Infection</w:t>
      </w:r>
      <w:bookmarkEnd w:id="320"/>
      <w:bookmarkEnd w:id="321"/>
      <w:bookmarkEnd w:id="322"/>
      <w:bookmarkEnd w:id="323"/>
    </w:p>
    <w:p w14:paraId="6C69F875" w14:textId="77777777" w:rsidR="00B602A3" w:rsidRPr="008B3AD6" w:rsidRDefault="00B602A3" w:rsidP="00E44977">
      <w:pPr>
        <w:spacing w:line="360" w:lineRule="auto"/>
      </w:pPr>
      <w:r w:rsidRPr="008B3AD6">
        <w:br w:type="page"/>
      </w:r>
    </w:p>
    <w:p w14:paraId="59547FE5" w14:textId="7324411D" w:rsidR="009A7602" w:rsidRPr="008B3AD6" w:rsidRDefault="009A7602" w:rsidP="0090615D">
      <w:pPr>
        <w:pStyle w:val="Heading2"/>
        <w:rPr>
          <w:sz w:val="28"/>
        </w:rPr>
      </w:pPr>
      <w:bookmarkStart w:id="324" w:name="_Ref519020713"/>
      <w:bookmarkStart w:id="325" w:name="_Toc3716103"/>
      <w:r w:rsidRPr="008B3AD6">
        <w:lastRenderedPageBreak/>
        <w:t>Introduction</w:t>
      </w:r>
      <w:bookmarkEnd w:id="1"/>
      <w:bookmarkEnd w:id="0"/>
      <w:bookmarkEnd w:id="324"/>
      <w:bookmarkEnd w:id="325"/>
    </w:p>
    <w:p w14:paraId="5F9488AF" w14:textId="435BDA80" w:rsidR="00534CB6" w:rsidRPr="008B3AD6" w:rsidRDefault="00534CB6" w:rsidP="00534CB6">
      <w:pPr>
        <w:spacing w:line="360" w:lineRule="auto"/>
        <w:jc w:val="both"/>
      </w:pPr>
      <w:r w:rsidRPr="008B3AD6">
        <w:t xml:space="preserve">In the previous chapter it was shown that hepatic leukocyte subsets during EVL could accumulate </w:t>
      </w:r>
      <w:r w:rsidR="00A32111">
        <w:t>AmB</w:t>
      </w:r>
      <w:r w:rsidRPr="008B3AD6">
        <w:t xml:space="preserve"> post-treatment with AmBisome. A key finding was that a majority of hepatic </w:t>
      </w:r>
      <w:r w:rsidR="00A32111">
        <w:t>AmB</w:t>
      </w:r>
      <w:r w:rsidRPr="008B3AD6">
        <w:t xml:space="preserve"> was found outside of hepatic leukocytes, the host cell family for </w:t>
      </w:r>
      <w:r w:rsidRPr="008B3AD6">
        <w:rPr>
          <w:i/>
        </w:rPr>
        <w:t>L. donovani</w:t>
      </w:r>
      <w:r w:rsidRPr="008B3AD6">
        <w:t xml:space="preserve">. It was also found that leukocytes showed different levels of </w:t>
      </w:r>
      <w:r w:rsidR="00A32111">
        <w:t>AmB</w:t>
      </w:r>
      <w:r w:rsidRPr="008B3AD6">
        <w:t xml:space="preserve"> accumulation over time. To further explore these novel findings, we wanted to establish how differential drug accumulation could affect therapeutic outcome in the liver. </w:t>
      </w:r>
    </w:p>
    <w:p w14:paraId="604C81EE" w14:textId="77777777" w:rsidR="00534CB6" w:rsidRPr="008B3AD6" w:rsidRDefault="00534CB6" w:rsidP="00534CB6">
      <w:pPr>
        <w:spacing w:line="360" w:lineRule="auto"/>
        <w:jc w:val="both"/>
      </w:pPr>
    </w:p>
    <w:p w14:paraId="722177ED" w14:textId="54556FAA" w:rsidR="00534CB6" w:rsidRPr="00FF1EC5" w:rsidRDefault="00534CB6" w:rsidP="00534CB6">
      <w:pPr>
        <w:spacing w:line="360" w:lineRule="auto"/>
        <w:jc w:val="both"/>
      </w:pPr>
      <w:r w:rsidRPr="008B3AD6">
        <w:t xml:space="preserve">A traditional immunological approach to investigate the influence of different subset populations would be to use cell population depletion/deletion techniques, such as administration of antibodies that mediate the removal of cell populations or genetic knockouts which result in loss of key cell populations  </w:t>
      </w:r>
      <w:r w:rsidRPr="00E5551E">
        <w:fldChar w:fldCharType="begin"/>
      </w:r>
      <w:r w:rsidRPr="00E5551E">
        <w:instrText xml:space="preserve"> ADDIN ZOTERO_ITEM CSL_CITATION {"citationID":"Pbc5nXjc","properties":{"formattedCitation":"(Cotterell, Engwerda, and Kaye 1999; H. Murray 2001; H. W. Murray et al. 2017)","plainCitation":"(Cotterell, Engwerda, and Kaye 1999; H. Murray 2001; H. W. Murray et al. 2017)","dontUpdate":true,"noteIndex":0},"citationItems":[{"id":2480,"uris":["http://zotero.org/users/2628971/items/8J9GZBFP"],"uri":["http://zotero.org/users/2628971/items/8J9GZBFP"],"itemData":{"id":2480,"type":"article-journal","title":"Leishmania donovani infection initiates T cell-independent chemokine responses, which are subsequently amplified in a T cell-dependent manner","container-title":"European Journal of Immunology","page":"203-214","volume":"29","issue":"1","source":"PubMed","abstract":"Control of Leishmania donovani infection in immunocompetent mice is associated with hepatic inflammation and granuloma formation, both of which are absent in severe combined immunodeficient (scid) mice. In both BALB/c and scid mice, L. donovani infection induced a rapid hepatic accumulation of mRNA encoding macrophage inflammatory protein-1alpha (MIP-(1alpha), monocyte chemoattractant protein-1 (MCP-1) and interferon-gamma inducible protein-10 (gammaIP-10). This response was not preceded by increased IL-4 production in either strain, unlike that reported in other infectious disease models. Interestingly, only gammaIP-10 mRNA was maintained at elevated levels throughout the first 7 days of infection, by mechanisms involving CD4+ and CD8+ T cells, and CD4+CD8+ cells not activated in scid mice. By in vivo depletion and reconstitution of scid mice it was demonstrated that T cells regulate the expression of all three chemokines studied, while they themselves only produce gammaIP-10 in appreciable quantities.","DOI":"10.1002/(SICI)1521-4141(199901)29:01&amp;#60;203::AID-IMMU203&amp;#62;3.0.CO;2-B","ISSN":"0014-2980","note":"PMID: 9933102","journalAbbreviation":"Eur. J. Immunol.","language":"eng","author":[{"family":"Cotterell","given":"S. E."},{"family":"Engwerda","given":"C. R."},{"family":"Kaye","given":"P. M."}],"issued":{"date-parts":[["1999",1]]}}},{"id":1110,"uris":["http://zotero.org/users/2628971/items/57TG9NVJ"],"uri":["http://zotero.org/users/2628971/items/57TG9NVJ"],"itemData":{"id":1110,"type":"webpage","title":"Tissue granuloma structure-function in experimental visceral leishmaniasis.","container-title":"Int J Exp Pathol","abstract":"In experimental visceral leishmaniasis in normal mice (BALB/c, C57BL/6) acquired resistance to Leishmania donovani, a protozoan which targets tissue macrophages, depends upon T cells, Th1 cell-type cytokine generation and activated mononuclear phagocytes. In the intact host, initial control and eventual resolution of L. donovani hepatic infection in normal mice is expressed by and accomplished within well-formed, mature tissue granulomas. In the liver, these immunologically active, inflammatory structures are assembled around a core of fused, parasitized resident macrophages (Kupffer cells) which come to be encircled by both cytokine-secreting T cells and influxing leishmanicidal blood monocytes. This pro-host defense granuloma structure-function relationship, in which histologically mature granulomas provide the microenvironment for intracellular L. donovani killing, however, is only one of seven which have been identified through experimental modifications in this model. This report reviews these structure-function relationships and illustrates the broad spectrum of additional possible responses. These responses range from structurally intact granulomas which provide no antileishmanial function (the 'ineffective' granuloma), to enlarged granulomas which show enhanced parasite killing (the 'hypertrophied' granuloma), to effective antileishmanial activity in the absence of any tissue reaction (the 'invisible' granuloma)., (C) 2001 Blackwell Science Ltd.","author":[{"family":"Murray","given":"Henry"}],"issued":{"date-parts":[["2001"]]}}},{"id":3087,"uris":["http://zotero.org/users/2628971/items/SD48RV3N"],"uri":["http://zotero.org/users/2628971/items/SD48RV3N"],"itemData":{"id":3087,"type":"article-journal","title":"Gamma Interferon-Regulated Chemokines in Leishmania donovani Infection in the Liver","container-title":"Infection and Immunity","page":"e00824-16","volume":"85","issue":"1","source":"iai.asm.org","abstract":"In the livers of C57BL/6 mice, gamma interferon (IFN-γ) controls intracellular Leishmania donovani infection and the efficacy of antimony (Sb) chemotherapy. Since both responses usually correlate with granulomatous inflammation, we tested six prominently expressed, IFN-γ-regulated chemokines—CXCL9, CXCL10, CXCL13, CXCL16, CCL2, and CCL5—for their roles in (i) mononuclear cell recruitment and granuloma assembly and maturation, (ii) initial control of infection and self-cure, and (iii) responsiveness to Sb treatment. Together, the results for the L. donovani-infected livers of chemokine-deficient mice (CXCR6−/− mice were used as CXCL16-deficient surrogates) indicated that individual IFN-γ-induced chemokines have diverse affects and (i) may be entirely dispensable (CXCL13, CXCL16), (ii) may promote (CXCL10, CCL2, CCL5) or downregulate (CXCL9) initial granuloma assembly, (iii) may enhance (CCL2, CCL5) or hinder (CXCL10) early parasite control, (iv) may promote granuloma maturation (CCL2, CCL5), (v) may exert a granuloma-independent action that enables self-cure (CCL5), and (vi) may have no role in responsiveness to chemotherapy. Despite the near absence of tissue inflammation in early-stage infection, parasite replication could be controlled (in CXCL10−/− mice) and Sb was fully active (in CXCL10−/−, CCL2−/−, and CCL5−/− mice). These results characterize chemokine action in the response to L. donovani and also reemphasize that (i) recruited mononuclear cells and granulomas are not required to control infection or respond to Sb chemotherapy, (ii) granuloma assembly, control of infection, and Sb's efficacy are not invariably linked expressions of the same T cell-dependent, cytokine-mediated antileishmanial mechanism, and (iii) granulomas are not necessarily hallmarks of protective antileishmanial immunity.","DOI":"10.1128/IAI.00824-16","ISSN":"0019-9567, 1098-5522","note":"PMID: 27795366","journalAbbreviation":"Infect. Immun.","language":"en","author":[{"family":"Murray","given":"Henry W."},{"family":"Luster","given":"Andrew D."},{"family":"Zheng","given":"Hua"},{"family":"Ma","given":"Xiaojing"}],"issued":{"date-parts":[["2017",1,1]]}}}],"schema":"https://github.com/citation-style-language/schema/raw/master/csl-citation.json"} </w:instrText>
      </w:r>
      <w:r w:rsidRPr="00E5551E">
        <w:fldChar w:fldCharType="separate"/>
      </w:r>
      <w:r w:rsidRPr="00E5551E">
        <w:t>(Cotterell, Engwerda, and Kaye 1999; Murray 2001; Murray et al. 2017)</w:t>
      </w:r>
      <w:r w:rsidRPr="00E5551E">
        <w:fldChar w:fldCharType="end"/>
      </w:r>
      <w:r w:rsidRPr="00E5551E">
        <w:t>.</w:t>
      </w:r>
      <w:r w:rsidRPr="008B3AD6">
        <w:t xml:space="preserve"> This could allow us to investigate how cell populations influence drug distribution but problematically, this well-founded approach may alter fundamental aspects of the disease process, such as the ability to form granulomas </w:t>
      </w:r>
      <w:r w:rsidRPr="008B3AD6">
        <w:fldChar w:fldCharType="begin"/>
      </w:r>
      <w:r w:rsidRPr="008B3AD6">
        <w:instrText xml:space="preserve"> ADDIN ZOTERO_ITEM CSL_CITATION {"citationID":"wZSRYohT","properties":{"formattedCitation":"(H. Murray 2001)","plainCitation":"(H. Murray 2001)","dontUpdate":true,"noteIndex":0},"citationItems":[{"id":1110,"uris":["http://zotero.org/users/2628971/items/57TG9NVJ"],"uri":["http://zotero.org/users/2628971/items/57TG9NVJ"],"itemData":{"id":1110,"type":"webpage","title":"Tissue granuloma structure-function in experimental visceral leishmaniasis.","container-title":"Int J Exp Pathol","abstract":"In experimental visceral leishmaniasis in normal mice (BALB/c, C57BL/6) acquired resistance to Leishmania donovani, a protozoan which targets tissue macrophages, depends upon T cells, Th1 cell-type cytokine generation and activated mononuclear phagocytes. In the intact host, initial control and eventual resolution of L. donovani hepatic infection in normal mice is expressed by and accomplished within well-formed, mature tissue granulomas. In the liver, these immunologically active, inflammatory structures are assembled around a core of fused, parasitized resident macrophages (Kupffer cells) which come to be encircled by both cytokine-secreting T cells and influxing leishmanicidal blood monocytes. This pro-host defense granuloma structure-function relationship, in which histologically mature granulomas provide the microenvironment for intracellular L. donovani killing, however, is only one of seven which have been identified through experimental modifications in this model. This report reviews these structure-function relationships and illustrates the broad spectrum of additional possible responses. These responses range from structurally intact granulomas which provide no antileishmanial function (the 'ineffective' granuloma), to enlarged granulomas which show enhanced parasite killing (the 'hypertrophied' granuloma), to effective antileishmanial activity in the absence of any tissue reaction (the 'invisible' granuloma)., (C) 2001 Blackwell Science Ltd.","author":[{"family":"Murray","given":"Henry"}],"issued":{"date-parts":[["2001"]]}}}],"schema":"https://github.com/citation-style-language/schema/raw/master/csl-citation.json"} </w:instrText>
      </w:r>
      <w:r w:rsidRPr="008B3AD6">
        <w:fldChar w:fldCharType="separate"/>
      </w:r>
      <w:r w:rsidRPr="008B3AD6">
        <w:rPr>
          <w:lang w:val="en-US"/>
        </w:rPr>
        <w:t>(Murray 2001)</w:t>
      </w:r>
      <w:r w:rsidRPr="008B3AD6">
        <w:fldChar w:fldCharType="end"/>
      </w:r>
      <w:r w:rsidRPr="008B3AD6">
        <w:t xml:space="preserve">.  An alternative approach </w:t>
      </w:r>
      <w:r w:rsidR="00E54E44">
        <w:t>is</w:t>
      </w:r>
      <w:r w:rsidRPr="008B3AD6">
        <w:t xml:space="preserve"> to develop or adapt an </w:t>
      </w:r>
      <w:r w:rsidRPr="008B3AD6">
        <w:rPr>
          <w:i/>
        </w:rPr>
        <w:t>in silico</w:t>
      </w:r>
      <w:r w:rsidRPr="008B3AD6">
        <w:t xml:space="preserve"> model. </w:t>
      </w:r>
      <w:r w:rsidRPr="008B3AD6">
        <w:rPr>
          <w:i/>
        </w:rPr>
        <w:t>In silico</w:t>
      </w:r>
      <w:r w:rsidRPr="008B3AD6">
        <w:t xml:space="preserve"> models of leishmaniasis have been previously discussed (</w:t>
      </w:r>
      <w:r w:rsidR="00FF1EC5">
        <w:t xml:space="preserve">see Section </w:t>
      </w:r>
      <w:fldSimple w:instr=" REF _Ref525116231 \n ">
        <w:r w:rsidR="00FF1EC5">
          <w:t>1.2.7</w:t>
        </w:r>
      </w:fldSimple>
      <w:r w:rsidRPr="008B3AD6">
        <w:t xml:space="preserve">). </w:t>
      </w:r>
      <w:r w:rsidR="006B7976">
        <w:t xml:space="preserve">These </w:t>
      </w:r>
      <w:r w:rsidR="006B7976">
        <w:rPr>
          <w:i/>
        </w:rPr>
        <w:t xml:space="preserve">in silico </w:t>
      </w:r>
      <w:r w:rsidR="006B7976">
        <w:t>models</w:t>
      </w:r>
      <w:r w:rsidRPr="008B3AD6">
        <w:t xml:space="preserve"> can allow for system behaviours to be </w:t>
      </w:r>
      <w:r w:rsidR="00FF1EC5">
        <w:t xml:space="preserve">simulated and quantified, </w:t>
      </w:r>
      <w:r w:rsidRPr="008B3AD6">
        <w:t>additionally allow</w:t>
      </w:r>
      <w:r w:rsidR="00FF1EC5">
        <w:t>ing</w:t>
      </w:r>
      <w:r w:rsidRPr="008B3AD6">
        <w:t xml:space="preserve"> for </w:t>
      </w:r>
      <w:r w:rsidRPr="006B7976">
        <w:t>ad-hoc</w:t>
      </w:r>
      <w:r w:rsidRPr="008B3AD6">
        <w:t xml:space="preserve"> modifications to the system, such as retaining the immunological properties of a cell but disabling the capacity for drug accumulation. This has great investigative appeal in this scenario where our focus is on a select set of behaviours at an established phase of disease.</w:t>
      </w:r>
      <w:r w:rsidR="00FF1EC5">
        <w:t xml:space="preserve"> A disadvantage of the utilisation of an </w:t>
      </w:r>
      <w:r w:rsidR="00FF1EC5">
        <w:rPr>
          <w:i/>
        </w:rPr>
        <w:t>in silico</w:t>
      </w:r>
      <w:r w:rsidR="00FF1EC5">
        <w:t xml:space="preserve"> </w:t>
      </w:r>
      <w:r w:rsidR="00407096">
        <w:t xml:space="preserve">model </w:t>
      </w:r>
      <w:r w:rsidR="00FF1EC5">
        <w:t xml:space="preserve">is the possibility of ambiguity between how theoretical mechanisms result in model outputs coupled with the fact that </w:t>
      </w:r>
      <w:r w:rsidR="00FF1EC5">
        <w:rPr>
          <w:i/>
        </w:rPr>
        <w:t>in silico</w:t>
      </w:r>
      <w:r w:rsidR="00FF1EC5">
        <w:t xml:space="preserve"> models are based upon simplifications and/or abstractions. To combat these drawbacks we employ the CoSMoS process (</w:t>
      </w:r>
      <w:r w:rsidR="00407096" w:rsidRPr="008B3AD6">
        <w:t>Andrews et al. 2010</w:t>
      </w:r>
      <w:r w:rsidR="00FF1EC5">
        <w:t xml:space="preserve">) as a principled design process allowing for transparent </w:t>
      </w:r>
      <w:r w:rsidR="00FF1EC5">
        <w:rPr>
          <w:i/>
        </w:rPr>
        <w:t>in silico</w:t>
      </w:r>
      <w:r w:rsidR="00FF1EC5">
        <w:t xml:space="preserve"> model development. </w:t>
      </w:r>
    </w:p>
    <w:p w14:paraId="0902B197" w14:textId="77777777" w:rsidR="00534CB6" w:rsidRPr="008B3AD6" w:rsidRDefault="00534CB6" w:rsidP="00534CB6">
      <w:pPr>
        <w:spacing w:line="360" w:lineRule="auto"/>
        <w:jc w:val="both"/>
      </w:pPr>
    </w:p>
    <w:p w14:paraId="59A27242" w14:textId="0E9B5D30" w:rsidR="00EA7973" w:rsidRPr="008B3AD6" w:rsidRDefault="00534CB6" w:rsidP="00EA7973">
      <w:pPr>
        <w:spacing w:line="360" w:lineRule="auto"/>
        <w:jc w:val="both"/>
        <w:rPr>
          <w:rStyle w:val="Emphasis"/>
          <w:i w:val="0"/>
          <w:color w:val="000000" w:themeColor="text1"/>
          <w:bdr w:val="none" w:sz="0" w:space="0" w:color="auto" w:frame="1"/>
        </w:rPr>
      </w:pPr>
      <w:r w:rsidRPr="008B3AD6">
        <w:rPr>
          <w:color w:val="000000" w:themeColor="text1"/>
        </w:rPr>
        <w:t>This</w:t>
      </w:r>
      <w:r w:rsidRPr="008B3AD6">
        <w:rPr>
          <w:rStyle w:val="Emphasis"/>
          <w:i w:val="0"/>
          <w:color w:val="000000" w:themeColor="text1"/>
          <w:bdr w:val="none" w:sz="0" w:space="0" w:color="auto" w:frame="1"/>
        </w:rPr>
        <w:t xml:space="preserve"> chapter details how an initial </w:t>
      </w:r>
      <w:r w:rsidRPr="008B3AD6">
        <w:rPr>
          <w:rStyle w:val="Emphasis"/>
          <w:color w:val="000000" w:themeColor="text1"/>
          <w:bdr w:val="none" w:sz="0" w:space="0" w:color="auto" w:frame="1"/>
        </w:rPr>
        <w:t>in silico</w:t>
      </w:r>
      <w:r w:rsidRPr="008B3AD6">
        <w:rPr>
          <w:rStyle w:val="Emphasis"/>
          <w:i w:val="0"/>
          <w:color w:val="000000" w:themeColor="text1"/>
          <w:bdr w:val="none" w:sz="0" w:space="0" w:color="auto" w:frame="1"/>
        </w:rPr>
        <w:t xml:space="preserve"> model of the immune response to hepatic </w:t>
      </w:r>
      <w:r w:rsidRPr="008B3AD6">
        <w:rPr>
          <w:rStyle w:val="Emphasis"/>
          <w:color w:val="000000" w:themeColor="text1"/>
          <w:bdr w:val="none" w:sz="0" w:space="0" w:color="auto" w:frame="1"/>
        </w:rPr>
        <w:t>L. donovani</w:t>
      </w:r>
      <w:r w:rsidRPr="008B3AD6">
        <w:rPr>
          <w:rStyle w:val="Emphasis"/>
          <w:i w:val="0"/>
          <w:color w:val="000000" w:themeColor="text1"/>
          <w:bdr w:val="none" w:sz="0" w:space="0" w:color="auto" w:frame="1"/>
        </w:rPr>
        <w:t xml:space="preserve"> infection was developed to aid in the investigation of the accumulation of </w:t>
      </w:r>
      <w:r w:rsidR="00A32111">
        <w:rPr>
          <w:rStyle w:val="Emphasis"/>
          <w:i w:val="0"/>
          <w:color w:val="000000" w:themeColor="text1"/>
          <w:bdr w:val="none" w:sz="0" w:space="0" w:color="auto" w:frame="1"/>
        </w:rPr>
        <w:t>AmB</w:t>
      </w:r>
      <w:r w:rsidRPr="008B3AD6">
        <w:rPr>
          <w:rStyle w:val="Emphasis"/>
          <w:i w:val="0"/>
          <w:color w:val="000000" w:themeColor="text1"/>
          <w:bdr w:val="none" w:sz="0" w:space="0" w:color="auto" w:frame="1"/>
        </w:rPr>
        <w:t xml:space="preserve"> by hepatic leukocyte subsets. </w:t>
      </w:r>
      <w:r w:rsidR="00EA7973" w:rsidRPr="008B3AD6">
        <w:rPr>
          <w:rStyle w:val="Emphasis"/>
          <w:i w:val="0"/>
          <w:color w:val="000000" w:themeColor="text1"/>
          <w:bdr w:val="none" w:sz="0" w:space="0" w:color="auto" w:frame="1"/>
        </w:rPr>
        <w:t xml:space="preserve"> </w:t>
      </w:r>
    </w:p>
    <w:p w14:paraId="1339070C" w14:textId="77777777" w:rsidR="00E54E44" w:rsidRDefault="00E54E44" w:rsidP="009154C0">
      <w:pPr>
        <w:pStyle w:val="NormalWeb"/>
        <w:spacing w:before="0" w:beforeAutospacing="0" w:after="0" w:afterAutospacing="0" w:line="360" w:lineRule="auto"/>
        <w:jc w:val="both"/>
        <w:textAlignment w:val="baseline"/>
        <w:rPr>
          <w:rStyle w:val="Strong"/>
          <w:rFonts w:eastAsiaTheme="majorEastAsia"/>
          <w:b w:val="0"/>
          <w:color w:val="333333"/>
          <w:bdr w:val="none" w:sz="0" w:space="0" w:color="auto" w:frame="1"/>
        </w:rPr>
      </w:pPr>
    </w:p>
    <w:p w14:paraId="3D480750" w14:textId="6CA9AD30" w:rsidR="00B2378D" w:rsidRDefault="00B2378D" w:rsidP="009154C0">
      <w:pPr>
        <w:pStyle w:val="NormalWeb"/>
        <w:spacing w:before="0" w:beforeAutospacing="0" w:after="0" w:afterAutospacing="0" w:line="360" w:lineRule="auto"/>
        <w:jc w:val="both"/>
        <w:textAlignment w:val="baseline"/>
      </w:pPr>
      <w:r w:rsidRPr="008B3AD6">
        <w:rPr>
          <w:rStyle w:val="Strong"/>
          <w:rFonts w:eastAsiaTheme="majorEastAsia"/>
          <w:b w:val="0"/>
          <w:color w:val="333333"/>
          <w:bdr w:val="none" w:sz="0" w:space="0" w:color="auto" w:frame="1"/>
        </w:rPr>
        <w:t xml:space="preserve">To begin developing the </w:t>
      </w:r>
      <w:r w:rsidR="00FF1EC5">
        <w:rPr>
          <w:rStyle w:val="Strong"/>
          <w:rFonts w:eastAsiaTheme="majorEastAsia"/>
          <w:b w:val="0"/>
          <w:i/>
          <w:color w:val="333333"/>
          <w:bdr w:val="none" w:sz="0" w:space="0" w:color="auto" w:frame="1"/>
        </w:rPr>
        <w:t xml:space="preserve">in silico </w:t>
      </w:r>
      <w:r w:rsidRPr="008B3AD6">
        <w:rPr>
          <w:rStyle w:val="Strong"/>
          <w:rFonts w:eastAsiaTheme="majorEastAsia"/>
          <w:b w:val="0"/>
          <w:color w:val="333333"/>
          <w:bdr w:val="none" w:sz="0" w:space="0" w:color="auto" w:frame="1"/>
        </w:rPr>
        <w:t xml:space="preserve">model, biological data </w:t>
      </w:r>
      <w:r w:rsidR="00407D15">
        <w:rPr>
          <w:rStyle w:val="Strong"/>
          <w:rFonts w:eastAsiaTheme="majorEastAsia"/>
          <w:b w:val="0"/>
          <w:color w:val="333333"/>
          <w:bdr w:val="none" w:sz="0" w:space="0" w:color="auto" w:frame="1"/>
        </w:rPr>
        <w:t>were</w:t>
      </w:r>
      <w:r w:rsidR="00407D15" w:rsidRPr="008B3AD6">
        <w:rPr>
          <w:rStyle w:val="Strong"/>
          <w:rFonts w:eastAsiaTheme="majorEastAsia"/>
          <w:b w:val="0"/>
          <w:color w:val="333333"/>
          <w:bdr w:val="none" w:sz="0" w:space="0" w:color="auto" w:frame="1"/>
        </w:rPr>
        <w:t xml:space="preserve"> </w:t>
      </w:r>
      <w:r w:rsidRPr="008B3AD6">
        <w:rPr>
          <w:rStyle w:val="Strong"/>
          <w:rFonts w:eastAsiaTheme="majorEastAsia"/>
          <w:b w:val="0"/>
          <w:color w:val="333333"/>
          <w:bdr w:val="none" w:sz="0" w:space="0" w:color="auto" w:frame="1"/>
        </w:rPr>
        <w:t>generated that would allow for the parameterisation of a derived model. This was ne</w:t>
      </w:r>
      <w:r w:rsidR="00E54E44">
        <w:rPr>
          <w:rStyle w:val="Strong"/>
          <w:rFonts w:eastAsiaTheme="majorEastAsia"/>
          <w:b w:val="0"/>
          <w:color w:val="333333"/>
          <w:bdr w:val="none" w:sz="0" w:space="0" w:color="auto" w:frame="1"/>
        </w:rPr>
        <w:t>cessary as the previously presented</w:t>
      </w:r>
      <w:r w:rsidRPr="008B3AD6">
        <w:rPr>
          <w:rStyle w:val="Strong"/>
          <w:rFonts w:eastAsiaTheme="majorEastAsia"/>
          <w:b w:val="0"/>
          <w:color w:val="333333"/>
          <w:bdr w:val="none" w:sz="0" w:space="0" w:color="auto" w:frame="1"/>
        </w:rPr>
        <w:t xml:space="preserve"> data </w:t>
      </w:r>
      <w:r w:rsidR="00E54E44">
        <w:rPr>
          <w:rStyle w:val="Strong"/>
          <w:rFonts w:eastAsiaTheme="majorEastAsia"/>
          <w:b w:val="0"/>
          <w:color w:val="333333"/>
          <w:bdr w:val="none" w:sz="0" w:space="0" w:color="auto" w:frame="1"/>
        </w:rPr>
        <w:t>(</w:t>
      </w:r>
      <w:r w:rsidR="00E54E44">
        <w:rPr>
          <w:rStyle w:val="Strong"/>
          <w:rFonts w:eastAsiaTheme="majorEastAsia"/>
          <w:b w:val="0"/>
          <w:color w:val="333333"/>
          <w:bdr w:val="none" w:sz="0" w:space="0" w:color="auto" w:frame="1"/>
        </w:rPr>
        <w:fldChar w:fldCharType="begin"/>
      </w:r>
      <w:r w:rsidR="00E54E44">
        <w:rPr>
          <w:rStyle w:val="Strong"/>
          <w:rFonts w:eastAsiaTheme="majorEastAsia"/>
          <w:b w:val="0"/>
          <w:color w:val="333333"/>
          <w:bdr w:val="none" w:sz="0" w:space="0" w:color="auto" w:frame="1"/>
        </w:rPr>
        <w:instrText xml:space="preserve"> REF _Ref518738258 \n </w:instrText>
      </w:r>
      <w:r w:rsidR="00E54E44">
        <w:rPr>
          <w:rStyle w:val="Strong"/>
          <w:rFonts w:eastAsiaTheme="majorEastAsia"/>
          <w:b w:val="0"/>
          <w:color w:val="333333"/>
          <w:bdr w:val="none" w:sz="0" w:space="0" w:color="auto" w:frame="1"/>
        </w:rPr>
        <w:fldChar w:fldCharType="separate"/>
      </w:r>
      <w:r w:rsidR="00031DCA">
        <w:rPr>
          <w:rStyle w:val="Strong"/>
          <w:rFonts w:eastAsiaTheme="majorEastAsia"/>
          <w:b w:val="0"/>
          <w:color w:val="333333"/>
          <w:bdr w:val="none" w:sz="0" w:space="0" w:color="auto" w:frame="1"/>
        </w:rPr>
        <w:t>Chapter 3</w:t>
      </w:r>
      <w:r w:rsidR="00E54E44">
        <w:rPr>
          <w:rStyle w:val="Strong"/>
          <w:rFonts w:eastAsiaTheme="majorEastAsia"/>
          <w:b w:val="0"/>
          <w:color w:val="333333"/>
          <w:bdr w:val="none" w:sz="0" w:space="0" w:color="auto" w:frame="1"/>
        </w:rPr>
        <w:fldChar w:fldCharType="end"/>
      </w:r>
      <w:r w:rsidR="00E54E44">
        <w:rPr>
          <w:rStyle w:val="Strong"/>
          <w:rFonts w:eastAsiaTheme="majorEastAsia"/>
          <w:b w:val="0"/>
          <w:color w:val="333333"/>
          <w:bdr w:val="none" w:sz="0" w:space="0" w:color="auto" w:frame="1"/>
        </w:rPr>
        <w:t xml:space="preserve">) </w:t>
      </w:r>
      <w:r w:rsidRPr="008B3AD6">
        <w:rPr>
          <w:rStyle w:val="Strong"/>
          <w:rFonts w:eastAsiaTheme="majorEastAsia"/>
          <w:b w:val="0"/>
          <w:color w:val="333333"/>
          <w:bdr w:val="none" w:sz="0" w:space="0" w:color="auto" w:frame="1"/>
        </w:rPr>
        <w:t>reflects a perturbed system, the system being</w:t>
      </w:r>
      <w:r w:rsidR="00EA5CBB" w:rsidRPr="008B3AD6">
        <w:rPr>
          <w:rStyle w:val="Strong"/>
          <w:rFonts w:eastAsiaTheme="majorEastAsia"/>
          <w:b w:val="0"/>
          <w:color w:val="333333"/>
          <w:bdr w:val="none" w:sz="0" w:space="0" w:color="auto" w:frame="1"/>
        </w:rPr>
        <w:t xml:space="preserve"> the</w:t>
      </w:r>
      <w:r w:rsidRPr="008B3AD6">
        <w:rPr>
          <w:rStyle w:val="Strong"/>
          <w:rFonts w:eastAsiaTheme="majorEastAsia"/>
          <w:b w:val="0"/>
          <w:color w:val="333333"/>
          <w:bdr w:val="none" w:sz="0" w:space="0" w:color="auto" w:frame="1"/>
        </w:rPr>
        <w:t xml:space="preserve"> hepatic immune response to </w:t>
      </w:r>
      <w:r w:rsidR="00E54E44">
        <w:rPr>
          <w:rStyle w:val="Strong"/>
          <w:rFonts w:eastAsiaTheme="majorEastAsia"/>
          <w:b w:val="0"/>
          <w:i/>
          <w:color w:val="333333"/>
          <w:bdr w:val="none" w:sz="0" w:space="0" w:color="auto" w:frame="1"/>
        </w:rPr>
        <w:t>L. donovani</w:t>
      </w:r>
      <w:r w:rsidR="00E54E44">
        <w:rPr>
          <w:rStyle w:val="Strong"/>
          <w:rFonts w:eastAsiaTheme="majorEastAsia"/>
          <w:b w:val="0"/>
          <w:color w:val="333333"/>
          <w:bdr w:val="none" w:sz="0" w:space="0" w:color="auto" w:frame="1"/>
        </w:rPr>
        <w:t xml:space="preserve"> infection</w:t>
      </w:r>
      <w:r w:rsidRPr="008B3AD6">
        <w:rPr>
          <w:rStyle w:val="Strong"/>
          <w:rFonts w:eastAsiaTheme="majorEastAsia"/>
          <w:b w:val="0"/>
          <w:color w:val="333333"/>
          <w:bdr w:val="none" w:sz="0" w:space="0" w:color="auto" w:frame="1"/>
        </w:rPr>
        <w:t xml:space="preserve">, the perturbation being the therapeutic intervention with </w:t>
      </w:r>
      <w:r w:rsidR="00A32111">
        <w:rPr>
          <w:rStyle w:val="Strong"/>
          <w:rFonts w:eastAsiaTheme="majorEastAsia"/>
          <w:b w:val="0"/>
          <w:color w:val="333333"/>
          <w:bdr w:val="none" w:sz="0" w:space="0" w:color="auto" w:frame="1"/>
        </w:rPr>
        <w:t>AmB</w:t>
      </w:r>
      <w:r w:rsidRPr="008B3AD6">
        <w:rPr>
          <w:rStyle w:val="Strong"/>
          <w:rFonts w:eastAsiaTheme="majorEastAsia"/>
          <w:b w:val="0"/>
          <w:color w:val="333333"/>
          <w:bdr w:val="none" w:sz="0" w:space="0" w:color="auto" w:frame="1"/>
        </w:rPr>
        <w:t xml:space="preserve">, </w:t>
      </w:r>
      <w:r w:rsidR="00E54E44">
        <w:rPr>
          <w:rStyle w:val="Strong"/>
          <w:rFonts w:eastAsiaTheme="majorEastAsia"/>
          <w:b w:val="0"/>
          <w:color w:val="333333"/>
          <w:bdr w:val="none" w:sz="0" w:space="0" w:color="auto" w:frame="1"/>
        </w:rPr>
        <w:lastRenderedPageBreak/>
        <w:t>additionally</w:t>
      </w:r>
      <w:r w:rsidRPr="008B3AD6">
        <w:rPr>
          <w:rStyle w:val="Strong"/>
          <w:rFonts w:eastAsiaTheme="majorEastAsia"/>
          <w:b w:val="0"/>
          <w:color w:val="333333"/>
          <w:bdr w:val="none" w:sz="0" w:space="0" w:color="auto" w:frame="1"/>
        </w:rPr>
        <w:t xml:space="preserve"> there is a scarcity of published quantitative data relating to the hepatic immune response to </w:t>
      </w:r>
      <w:r w:rsidR="00E54E44">
        <w:rPr>
          <w:rStyle w:val="Strong"/>
          <w:rFonts w:eastAsiaTheme="majorEastAsia"/>
          <w:b w:val="0"/>
          <w:i/>
          <w:color w:val="333333"/>
          <w:bdr w:val="none" w:sz="0" w:space="0" w:color="auto" w:frame="1"/>
        </w:rPr>
        <w:t>L. donovani</w:t>
      </w:r>
      <w:r w:rsidR="00E54E44">
        <w:rPr>
          <w:rStyle w:val="Strong"/>
          <w:rFonts w:eastAsiaTheme="majorEastAsia"/>
          <w:b w:val="0"/>
          <w:color w:val="333333"/>
          <w:bdr w:val="none" w:sz="0" w:space="0" w:color="auto" w:frame="1"/>
        </w:rPr>
        <w:t xml:space="preserve"> infection</w:t>
      </w:r>
      <w:r w:rsidRPr="008B3AD6">
        <w:rPr>
          <w:rStyle w:val="Strong"/>
          <w:rFonts w:eastAsiaTheme="majorEastAsia"/>
          <w:b w:val="0"/>
          <w:color w:val="333333"/>
          <w:bdr w:val="none" w:sz="0" w:space="0" w:color="auto" w:frame="1"/>
        </w:rPr>
        <w:t xml:space="preserve">. Next, </w:t>
      </w:r>
      <w:r w:rsidRPr="008B3AD6">
        <w:t xml:space="preserve">the CoSMoS process </w:t>
      </w:r>
      <w:r w:rsidRPr="008B3AD6">
        <w:fldChar w:fldCharType="begin"/>
      </w:r>
      <w:r w:rsidR="00812605" w:rsidRPr="008B3AD6">
        <w:instrText xml:space="preserve"> ADDIN ZOTERO_ITEM CSL_CITATION {"citationID":"FFcerEt0","properties":{"formattedCitation":"(Andrews et al. 2010)","plainCitation":"(Andrews et al. 2010)","noteIndex":0},"citationItems":[{"id":307,"uris":["http://zotero.org/users/2628971/items/39PAA9VH"],"uri":["http://zotero.org/users/2628971/items/39PAA9VH"],"itemData":{"id":307,"type":"article-journal","title":"The CoSMoS Process, Version 0.1: A Process for the Modelling and Simulation of Complex Systems","container-title":"The CoSMoS Process, Version 0.1: A Process for the Modelling and Simulation of Complex Systems","URL":"http://www-users.cs.york.ac.uk/~susan/bib/ss/nonstd/tr453.pdf","author":[{"family":"Andrews","given":"Paul S."},{"family":"Polack","given":"Fiona A. C."},{"family":"Sampson","given":"Adam T."},{"family":"Stepney","given":"Susan"},{"family":"Timmis","given":"Jon"},{"family":"Andrews","given":"Paul S."},{"family":"Polack","given":"Fiona A. C."},{"family":"Sampson","given":"Adam T."},{"family":"Stepney","given":"Susan"},{"family":"Timmis","given":"Jon"}],"issued":{"date-parts":[["2010",3,1]]}}}],"schema":"https://github.com/citation-style-language/schema/raw/master/csl-citation.json"} </w:instrText>
      </w:r>
      <w:r w:rsidRPr="008B3AD6">
        <w:fldChar w:fldCharType="separate"/>
      </w:r>
      <w:r w:rsidRPr="008B3AD6">
        <w:t>(Andrews et al. 2010)</w:t>
      </w:r>
      <w:r w:rsidRPr="008B3AD6">
        <w:fldChar w:fldCharType="end"/>
      </w:r>
      <w:r w:rsidRPr="008B3AD6">
        <w:t xml:space="preserve">, a generic structured framework for the development of </w:t>
      </w:r>
      <w:r w:rsidRPr="008B3AD6">
        <w:rPr>
          <w:i/>
        </w:rPr>
        <w:t>in silico</w:t>
      </w:r>
      <w:r w:rsidRPr="008B3AD6">
        <w:t xml:space="preserve"> models based upon complex systems, was implemented. Within the CoSMoS process, diagrams representing the activity and state of agents</w:t>
      </w:r>
      <w:r w:rsidR="00FF1EC5">
        <w:t xml:space="preserve"> (see Section </w:t>
      </w:r>
      <w:fldSimple w:instr=" REF _Ref524272637 \n ">
        <w:r w:rsidR="00FF1EC5">
          <w:t>1.3.2.2</w:t>
        </w:r>
      </w:fldSimple>
      <w:r w:rsidR="00FF1EC5">
        <w:t>)</w:t>
      </w:r>
      <w:r w:rsidRPr="008B3AD6">
        <w:t xml:space="preserve"> </w:t>
      </w:r>
      <w:r w:rsidR="00FF1EC5">
        <w:t>are generated by the modeller. These diagrams employ an adaptation of the</w:t>
      </w:r>
      <w:r w:rsidRPr="008B3AD6">
        <w:t xml:space="preserve"> Unified Modelling Language (UML) have been employed in various models of biological systems </w:t>
      </w:r>
      <w:r w:rsidRPr="008B3AD6">
        <w:fldChar w:fldCharType="begin"/>
      </w:r>
      <w:r w:rsidR="00812605" w:rsidRPr="008B3AD6">
        <w:instrText xml:space="preserve"> ADDIN ZOTERO_ITEM CSL_CITATION {"citationID":"zHvKtHMb","properties":{"formattedCitation":"(Alden et al. 2012; Williams, Timmis, and Qwarnstrom 2014; M. Read et al. 2014)","plainCitation":"(Alden et al. 2012; Williams, Timmis, and Qwarnstrom 2014; M. Read et al. 2014)","noteIndex":0},"citationItems":[{"id":2604,"uris":["http://zotero.org/users/2628971/items/T69YLHVT"],"uri":["http://zotero.org/users/2628971/items/T69YLHVT"],"itemData":{"id":2604,"type":"article-journal","title":"Pairing experimentation and computational modeling to understand the role of tissue inducer cells in the development of lymphoid organs","container-title":"Frontiers in Immunology","volume":"3","source":"Frontiers","abstract":"The use of genetic tools, imaging technologies and ex vivo culture systems has provided significant insights into the role of tissue inducer cells and associated signalling pathways in the formation and function of lymphoid organs. Despite advances in experimental technologies, the molecular and cellular process orchestrating the formation of a complex 3-dimensional tissue is difficult to dissect using current approaches. Therefore, a robust set of simulation tools have been developed to model the processes involved in lymphoid tissue development. Specifically the role of different tissue inducer cell populations in the dynamic formation of Peyer's Patches has been examined. Utilising approaches from critical systems engineering an unbiased model of lymphoid tissue inducer cell function has been developed, that permits the development of emerging behaviours that are statistically not different from that observed in vivo. These results provide the confidence to utilise statistical methods to explore how the simulator predicts cellular behaviour and outcomes under different physiological conditions. Such methods, known as sensitivity analysis techniques, can provide insight into when a component part of the system (such as a particular cell type, adhesion molecule, or chemokine) begins to have an influence on observed behaviour, and quantifies the effect a component part has on the end result: the formation of lymphoid tissue. Through use of such a principled approach in the design, calibration, and analysis of a computer simulation, a robust in silico tool can be developed which can both further the understanding of a biological system being explored, and act as a tool for the generation of hypotheses which can be tested utilising experimental approaches.","URL":"https://www.frontiersin.org/articles/10.3389/fimmu.2012.00172/full","DOI":"10.3389/fimmu.2012.00172","ISSN":"1664-3224","journalAbbreviation":"Front. Immunol.","language":"English","author":[{"family":"Alden","given":"Kieran"},{"family":"Timmis","given":"Jon"},{"family":"Andrews","given":"Paul S."},{"family":"Veiga-Fernandes","given":"Henrique"},{"family":"Coles","given":"Mark Christopher"}],"issued":{"date-parts":[["2012"]]},"accessed":{"date-parts":[["2018",6,18]]}}},{"id":2562,"uris":["http://zotero.org/users/2628971/items/9V5GDZCZ"],"uri":["http://zotero.org/users/2628971/items/9V5GDZCZ"],"itemData":{"id":2562,"type":"article-journal","title":"Computational Models of the NF-KB Signalling Pathway","container-title":"Computation","page":"131-158","volume":"2","issue":"4","source":"www.mdpi.com","abstract":"In this review article, we discuss the current state of computational modelling of the nuclear factor-kappa B (NF-ΚB) signalling pathway. NF-ΚB is a transcription factor, which is ubiquitous within cells and controls a number of immune responses, including inflammation and apoptosis. The NF-ΚB signalling pathway is tightly regulated, commencing with activation at the cell membrane, signal transduction through various components within the cytoplasm, translocation of NF-ΚB into the nucleus and, finally, the transcription of various genes relating to the innate and adaptive immune responses. There have been a number of computational (mathematical) models developed of the signalling pathway over the past decade. This review describes how these approaches have helped advance our understanding of NF-ΚB control.","DOI":"10.3390/computation2040131","language":"en","author":[{"family":"Williams","given":"Richard A."},{"family":"Timmis","given":"Jon"},{"family":"Qwarnstrom","given":"Eva E."}],"issued":{"date-parts":[["2014",9,29]]}}},{"id":2616,"uris":["http://zotero.org/users/2628971/items/XK6PXK5C"],"uri":["http://zotero.org/users/2628971/items/XK6PXK5C"],"itemData":{"id":2616,"type":"article-journal","title":"Modelling biological behaviours with the unified modelling language: an immunological case study and critique","container-title":"Journal of The Royal Society Interface","page":"20140704","volume":"11","issue":"99","source":"rsif.royalsocietypublishing.org","abstract":"We present a framework to assist the diagrammatic modelling of complex biological systems using the unified modelling language (UML). The framework comprises three levels of modelling, ranging in scope from the dynamics of individual model entities to system-level emergent properties. By way of an immunological case study of the mouse disease experimental autoimmune encephalomyelitis, we show how the framework can be used to produce models that capture and communicate the biological system, detailing how biological entities, interactions and behaviours lead to higher-level emergent properties observed in the real world. We demonstrate how the UML can be successfully applied within our framework, and provide a critique of UML's ability to capture concepts fundamental to immunology and biology more generally. We show how specialized, well-explained diagrams with less formal semantics can be used where no suitable UML formalism exists. We highlight UML's lack of expressive ability concerning cyclic feedbacks in cellular networks, and the compounding concurrency arising from huge numbers of stochastic, interacting agents. To compensate for this, we propose several additional relationships for expressing these concepts in UML's activity diagram. We also demonstrate the ambiguous nature of class diagrams when applied to complex biology, and question their utility in modelling such dynamic systems. Models created through our framework are non-executable, and expressly free of simulation implementation concerns. They are a valuable complement and precursor to simulation specifications and implementations, focusing purely on thoroughly exploring the biology, recording hypotheses and assumptions, and serve as a communication medium detailing exactly how a simulation relates to the real biology.","DOI":"10.1098/rsif.2014.0704","ISSN":"1742-5689, 1742-5662","note":"PMID: 25142524","shortTitle":"Modelling biological behaviours with the unified modelling language","language":"en","author":[{"family":"Read","given":"Mark"},{"family":"Andrews","given":"Paul S."},{"family":"Timmis","given":"Jon"},{"family":"Kumar","given":"Vipin"}],"issued":{"date-parts":[["2014",10,6]]}}}],"schema":"https://github.com/citation-style-language/schema/raw/master/csl-citation.json"} </w:instrText>
      </w:r>
      <w:r w:rsidRPr="008B3AD6">
        <w:fldChar w:fldCharType="separate"/>
      </w:r>
      <w:r w:rsidR="00812605" w:rsidRPr="008B3AD6">
        <w:t xml:space="preserve">(Alden et al. 2012; Williams, </w:t>
      </w:r>
      <w:r w:rsidR="00E5551E">
        <w:t xml:space="preserve">Timmis, and Qwarnstrom 2014; </w:t>
      </w:r>
      <w:r w:rsidR="00812605" w:rsidRPr="008B3AD6">
        <w:t>Read et al. 2014)</w:t>
      </w:r>
      <w:r w:rsidRPr="008B3AD6">
        <w:fldChar w:fldCharType="end"/>
      </w:r>
      <w:r w:rsidRPr="008B3AD6">
        <w:t>.</w:t>
      </w:r>
    </w:p>
    <w:p w14:paraId="03974BFF" w14:textId="48E5F56E" w:rsidR="00E54E44" w:rsidRDefault="00221D43" w:rsidP="009154C0">
      <w:pPr>
        <w:pStyle w:val="NormalWeb"/>
        <w:spacing w:before="0" w:beforeAutospacing="0" w:after="0" w:afterAutospacing="0" w:line="360" w:lineRule="auto"/>
        <w:jc w:val="both"/>
        <w:textAlignment w:val="baseline"/>
      </w:pPr>
      <w:r>
        <w:rPr>
          <w:noProof/>
        </w:rPr>
        <mc:AlternateContent>
          <mc:Choice Requires="wps">
            <w:drawing>
              <wp:anchor distT="0" distB="0" distL="114300" distR="114300" simplePos="0" relativeHeight="252056576" behindDoc="0" locked="0" layoutInCell="1" allowOverlap="1" wp14:anchorId="18EA0683" wp14:editId="67E01DFB">
                <wp:simplePos x="0" y="0"/>
                <wp:positionH relativeFrom="column">
                  <wp:posOffset>-56137</wp:posOffset>
                </wp:positionH>
                <wp:positionV relativeFrom="paragraph">
                  <wp:posOffset>2982071</wp:posOffset>
                </wp:positionV>
                <wp:extent cx="5575935" cy="1809004"/>
                <wp:effectExtent l="0" t="0" r="0" b="0"/>
                <wp:wrapSquare wrapText="bothSides"/>
                <wp:docPr id="452" name="Text Box 452"/>
                <wp:cNvGraphicFramePr/>
                <a:graphic xmlns:a="http://schemas.openxmlformats.org/drawingml/2006/main">
                  <a:graphicData uri="http://schemas.microsoft.com/office/word/2010/wordprocessingShape">
                    <wps:wsp>
                      <wps:cNvSpPr txBox="1"/>
                      <wps:spPr>
                        <a:xfrm>
                          <a:off x="0" y="0"/>
                          <a:ext cx="5575935" cy="1809004"/>
                        </a:xfrm>
                        <a:prstGeom prst="rect">
                          <a:avLst/>
                        </a:prstGeom>
                        <a:solidFill>
                          <a:prstClr val="white"/>
                        </a:solidFill>
                        <a:ln>
                          <a:noFill/>
                        </a:ln>
                      </wps:spPr>
                      <wps:txbx>
                        <w:txbxContent>
                          <w:p w14:paraId="4F7E7466" w14:textId="5D550AAC" w:rsidR="00F61130" w:rsidRPr="00394041" w:rsidRDefault="00F61130" w:rsidP="00E54E44">
                            <w:pPr>
                              <w:pStyle w:val="Caption"/>
                              <w:spacing w:line="360" w:lineRule="auto"/>
                              <w:jc w:val="both"/>
                              <w:rPr>
                                <w:noProof/>
                                <w:sz w:val="20"/>
                                <w:szCs w:val="20"/>
                              </w:rPr>
                            </w:pPr>
                            <w:bookmarkStart w:id="326" w:name="_Ref518563482"/>
                            <w:bookmarkStart w:id="327" w:name="_Toc525227206"/>
                            <w:bookmarkStart w:id="328" w:name="_Toc536814145"/>
                            <w:r w:rsidRPr="00394041">
                              <w:rPr>
                                <w:b/>
                                <w:sz w:val="20"/>
                                <w:szCs w:val="20"/>
                              </w:rPr>
                              <w:t xml:space="preserve">Figure </w:t>
                            </w:r>
                            <w:r>
                              <w:rPr>
                                <w:b/>
                                <w:sz w:val="20"/>
                                <w:szCs w:val="20"/>
                              </w:rPr>
                              <w:fldChar w:fldCharType="begin"/>
                            </w:r>
                            <w:r>
                              <w:rPr>
                                <w:b/>
                                <w:sz w:val="20"/>
                                <w:szCs w:val="20"/>
                              </w:rPr>
                              <w:instrText xml:space="preserve"> STYLEREF 1 \s </w:instrText>
                            </w:r>
                            <w:r>
                              <w:rPr>
                                <w:b/>
                                <w:sz w:val="20"/>
                                <w:szCs w:val="20"/>
                              </w:rPr>
                              <w:fldChar w:fldCharType="separate"/>
                            </w:r>
                            <w:r>
                              <w:rPr>
                                <w:b/>
                                <w:noProof/>
                                <w:sz w:val="20"/>
                                <w:szCs w:val="20"/>
                              </w:rPr>
                              <w:t>4</w:t>
                            </w:r>
                            <w:r>
                              <w:rPr>
                                <w:b/>
                                <w:sz w:val="20"/>
                                <w:szCs w:val="20"/>
                              </w:rPr>
                              <w:fldChar w:fldCharType="end"/>
                            </w:r>
                            <w:r>
                              <w:rPr>
                                <w:b/>
                                <w:sz w:val="20"/>
                                <w:szCs w:val="20"/>
                              </w:rPr>
                              <w:t>.</w:t>
                            </w:r>
                            <w:r>
                              <w:rPr>
                                <w:b/>
                                <w:sz w:val="20"/>
                                <w:szCs w:val="20"/>
                              </w:rPr>
                              <w:fldChar w:fldCharType="begin"/>
                            </w:r>
                            <w:r>
                              <w:rPr>
                                <w:b/>
                                <w:sz w:val="20"/>
                                <w:szCs w:val="20"/>
                              </w:rPr>
                              <w:instrText xml:space="preserve"> SEQ Figure \* ARABIC \s 1 </w:instrText>
                            </w:r>
                            <w:r>
                              <w:rPr>
                                <w:b/>
                                <w:sz w:val="20"/>
                                <w:szCs w:val="20"/>
                              </w:rPr>
                              <w:fldChar w:fldCharType="separate"/>
                            </w:r>
                            <w:r>
                              <w:rPr>
                                <w:b/>
                                <w:noProof/>
                                <w:sz w:val="20"/>
                                <w:szCs w:val="20"/>
                              </w:rPr>
                              <w:t>1</w:t>
                            </w:r>
                            <w:r>
                              <w:rPr>
                                <w:b/>
                                <w:sz w:val="20"/>
                                <w:szCs w:val="20"/>
                              </w:rPr>
                              <w:fldChar w:fldCharType="end"/>
                            </w:r>
                            <w:bookmarkEnd w:id="326"/>
                            <w:r w:rsidRPr="00394041">
                              <w:rPr>
                                <w:b/>
                                <w:sz w:val="20"/>
                                <w:szCs w:val="20"/>
                              </w:rPr>
                              <w:t xml:space="preserve"> - Diagrammatic representation of </w:t>
                            </w:r>
                            <w:r>
                              <w:rPr>
                                <w:b/>
                                <w:i/>
                                <w:sz w:val="20"/>
                                <w:szCs w:val="20"/>
                              </w:rPr>
                              <w:t xml:space="preserve">in silico </w:t>
                            </w:r>
                            <w:r w:rsidRPr="00394041">
                              <w:rPr>
                                <w:b/>
                                <w:sz w:val="20"/>
                                <w:szCs w:val="20"/>
                              </w:rPr>
                              <w:t xml:space="preserve">model development </w:t>
                            </w:r>
                            <w:r>
                              <w:rPr>
                                <w:b/>
                                <w:sz w:val="20"/>
                                <w:szCs w:val="20"/>
                              </w:rPr>
                              <w:t>using</w:t>
                            </w:r>
                            <w:r w:rsidRPr="00394041">
                              <w:rPr>
                                <w:b/>
                                <w:sz w:val="20"/>
                                <w:szCs w:val="20"/>
                              </w:rPr>
                              <w:t xml:space="preserve"> the CoSMoS process.</w:t>
                            </w:r>
                            <w:r w:rsidRPr="00394041">
                              <w:rPr>
                                <w:sz w:val="20"/>
                                <w:szCs w:val="20"/>
                              </w:rPr>
                              <w:t xml:space="preserve"> Within the CoSMoS process a </w:t>
                            </w:r>
                            <w:r>
                              <w:rPr>
                                <w:sz w:val="20"/>
                                <w:szCs w:val="20"/>
                              </w:rPr>
                              <w:t>domain model</w:t>
                            </w:r>
                            <w:r w:rsidRPr="00394041">
                              <w:rPr>
                                <w:sz w:val="20"/>
                                <w:szCs w:val="20"/>
                              </w:rPr>
                              <w:t xml:space="preserve"> is defined leading to the development of a </w:t>
                            </w:r>
                            <w:r>
                              <w:rPr>
                                <w:sz w:val="20"/>
                                <w:szCs w:val="20"/>
                              </w:rPr>
                              <w:t>platform model, this p</w:t>
                            </w:r>
                            <w:r w:rsidRPr="00394041">
                              <w:rPr>
                                <w:sz w:val="20"/>
                                <w:szCs w:val="20"/>
                              </w:rPr>
                              <w:t xml:space="preserve">latform </w:t>
                            </w:r>
                            <w:r>
                              <w:rPr>
                                <w:sz w:val="20"/>
                                <w:szCs w:val="20"/>
                              </w:rPr>
                              <w:t xml:space="preserve">model </w:t>
                            </w:r>
                            <w:r w:rsidRPr="00394041">
                              <w:rPr>
                                <w:sz w:val="20"/>
                                <w:szCs w:val="20"/>
                              </w:rPr>
                              <w:t xml:space="preserve">is then progressed into a Simulation model, here represented as 3 sequential iterations (with </w:t>
                            </w:r>
                            <w:r>
                              <w:rPr>
                                <w:sz w:val="20"/>
                                <w:szCs w:val="20"/>
                              </w:rPr>
                              <w:t>additional or updated representations biological processes incorporated</w:t>
                            </w:r>
                            <w:r w:rsidRPr="00394041">
                              <w:rPr>
                                <w:sz w:val="20"/>
                                <w:szCs w:val="20"/>
                              </w:rPr>
                              <w:t xml:space="preserve"> at each iteration), whereby the derived information (shown in italics) is progressed into the next model. Biological data feeds into the parameterisation of these models and the final model is stati</w:t>
                            </w:r>
                            <w:r>
                              <w:rPr>
                                <w:sz w:val="20"/>
                                <w:szCs w:val="20"/>
                              </w:rPr>
                              <w:t>sti</w:t>
                            </w:r>
                            <w:r w:rsidRPr="00394041">
                              <w:rPr>
                                <w:sz w:val="20"/>
                                <w:szCs w:val="20"/>
                              </w:rPr>
                              <w:t xml:space="preserve">cally validated before </w:t>
                            </w:r>
                            <w:r>
                              <w:rPr>
                                <w:sz w:val="20"/>
                                <w:szCs w:val="20"/>
                              </w:rPr>
                              <w:t>experimental exploration using the model is carried, which would lead to the results model, a representation of our novel insight into the system from utilisation of the model.</w:t>
                            </w:r>
                            <w:bookmarkEnd w:id="327"/>
                            <w:bookmarkEnd w:id="328"/>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18EA0683" id="Text Box 452" o:spid="_x0000_s1084" type="#_x0000_t202" style="position:absolute;left:0;text-align:left;margin-left:-4.4pt;margin-top:234.8pt;width:439.05pt;height:142.45pt;z-index:2520565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TT5rNNQIAAG0EAAAOAAAAZHJzL2Uyb0RvYy54bWysVMFu2zAMvQ/YPwi6L3ayekuNOEWWIsOA&#13;&#10;oC2QDD0rshwLkEVNUmJnXz9KttOu22nYRaZIitJ7j/TirmsUOQvrJOiCTicpJUJzKKU+FvT7fvNh&#13;&#10;TonzTJdMgRYFvQhH75bv3y1ak4sZ1KBKYQkW0S5vTUFr702eJI7XomFuAkZoDFZgG+Zxa49JaVmL&#13;&#10;1RuVzNL0U9KCLY0FLpxD730fpMtYv6oE949V5YQnqqD4Nh9XG9dDWJPlguVHy0wt+fAM9g+vaJjU&#13;&#10;eOm11D3zjJys/KNUI7kFB5WfcGgSqCrJRcSAaKbpGzS7mhkRsSA5zlxpcv+vLH84P1kiy4LeZDNK&#13;&#10;NGtQpL3oPPkCHQk+ZKg1LsfEncFU32EAlR79Dp0BeFfZJnwREsE4cn258hvKcXRm2efs9mNGCcfY&#13;&#10;dJ7epulNqJO8HDfW+a8CGhKMgloUMPLKzlvn+9QxJdzmQMlyI5UKmxBYK0vODMVua+nFUPy3LKVD&#13;&#10;roZwqi8YPEnA2GMJlu8OXWQlm49AD1BeEL+Fvoec4RuJF26Z80/MYtMgZBwE/4hLpaAtKAwWJTXY&#13;&#10;n3/zh3zUEqOUtNiEBXU/TswKStQ3jSqHjh0NOxqH0dCnZg0IdYojZng08YD1ajQrC80zzscq3IIh&#13;&#10;pjneVVA/mmvfjwLOFxerVUzCvjTMb/XO8FB6JHbfPTNrBlk8KvoAY3uy/I06fW5P8+rkoZJRukBs&#13;&#10;z+LAN/Z0FH+YvzA0r/cx6+UvsfwFAAD//wMAUEsDBBQABgAIAAAAIQAGRK0Y5gAAAA8BAAAPAAAA&#13;&#10;ZHJzL2Rvd25yZXYueG1sTI/BbsIwEETvlfoP1lbqpQKnFEwIcVBLyq09QBFnEy9J1HgdxQ4Jf1/3&#13;&#10;1F5WGu3uzJt0M5qGXbFztSUJz9MIGFJhdU2lhOPXbhIDc16RVo0llHBDB5vs/i5VibYD7fF68CUL&#13;&#10;JuQSJaHyvk04d0WFRrmpbZHC7mI7o3yQXcl1p4Zgbho+iyLBjaopJFSqxW2FxfehNxJE3vXDnrZP&#13;&#10;+fH9Q3225ez0djtJ+fgw5uswXtfAPI7+7wN+OwR+yALY2fakHWskTOKA7yXMxUoACwexWL0AO0tY&#13;&#10;LuYL4FnK//fIfgAAAP//AwBQSwECLQAUAAYACAAAACEAtoM4kv4AAADhAQAAEwAAAAAAAAAAAAAA&#13;&#10;AAAAAAAAW0NvbnRlbnRfVHlwZXNdLnhtbFBLAQItABQABgAIAAAAIQA4/SH/1gAAAJQBAAALAAAA&#13;&#10;AAAAAAAAAAAAAC8BAABfcmVscy8ucmVsc1BLAQItABQABgAIAAAAIQBTT5rNNQIAAG0EAAAOAAAA&#13;&#10;AAAAAAAAAAAAAC4CAABkcnMvZTJvRG9jLnhtbFBLAQItABQABgAIAAAAIQAGRK0Y5gAAAA8BAAAP&#13;&#10;AAAAAAAAAAAAAAAAAI8EAABkcnMvZG93bnJldi54bWxQSwUGAAAAAAQABADzAAAAogUAAAAA&#13;&#10;" stroked="f">
                <v:textbox inset="0,0,0,0">
                  <w:txbxContent>
                    <w:p w14:paraId="4F7E7466" w14:textId="5D550AAC" w:rsidR="00F61130" w:rsidRPr="00394041" w:rsidRDefault="00F61130" w:rsidP="00E54E44">
                      <w:pPr>
                        <w:pStyle w:val="Caption"/>
                        <w:spacing w:line="360" w:lineRule="auto"/>
                        <w:jc w:val="both"/>
                        <w:rPr>
                          <w:noProof/>
                          <w:sz w:val="20"/>
                          <w:szCs w:val="20"/>
                        </w:rPr>
                      </w:pPr>
                      <w:bookmarkStart w:id="329" w:name="_Ref518563482"/>
                      <w:bookmarkStart w:id="330" w:name="_Toc525227206"/>
                      <w:bookmarkStart w:id="331" w:name="_Toc536814145"/>
                      <w:r w:rsidRPr="00394041">
                        <w:rPr>
                          <w:b/>
                          <w:sz w:val="20"/>
                          <w:szCs w:val="20"/>
                        </w:rPr>
                        <w:t xml:space="preserve">Figure </w:t>
                      </w:r>
                      <w:r>
                        <w:rPr>
                          <w:b/>
                          <w:sz w:val="20"/>
                          <w:szCs w:val="20"/>
                        </w:rPr>
                        <w:fldChar w:fldCharType="begin"/>
                      </w:r>
                      <w:r>
                        <w:rPr>
                          <w:b/>
                          <w:sz w:val="20"/>
                          <w:szCs w:val="20"/>
                        </w:rPr>
                        <w:instrText xml:space="preserve"> STYLEREF 1 \s </w:instrText>
                      </w:r>
                      <w:r>
                        <w:rPr>
                          <w:b/>
                          <w:sz w:val="20"/>
                          <w:szCs w:val="20"/>
                        </w:rPr>
                        <w:fldChar w:fldCharType="separate"/>
                      </w:r>
                      <w:r>
                        <w:rPr>
                          <w:b/>
                          <w:noProof/>
                          <w:sz w:val="20"/>
                          <w:szCs w:val="20"/>
                        </w:rPr>
                        <w:t>4</w:t>
                      </w:r>
                      <w:r>
                        <w:rPr>
                          <w:b/>
                          <w:sz w:val="20"/>
                          <w:szCs w:val="20"/>
                        </w:rPr>
                        <w:fldChar w:fldCharType="end"/>
                      </w:r>
                      <w:r>
                        <w:rPr>
                          <w:b/>
                          <w:sz w:val="20"/>
                          <w:szCs w:val="20"/>
                        </w:rPr>
                        <w:t>.</w:t>
                      </w:r>
                      <w:r>
                        <w:rPr>
                          <w:b/>
                          <w:sz w:val="20"/>
                          <w:szCs w:val="20"/>
                        </w:rPr>
                        <w:fldChar w:fldCharType="begin"/>
                      </w:r>
                      <w:r>
                        <w:rPr>
                          <w:b/>
                          <w:sz w:val="20"/>
                          <w:szCs w:val="20"/>
                        </w:rPr>
                        <w:instrText xml:space="preserve"> SEQ Figure \* ARABIC \s 1 </w:instrText>
                      </w:r>
                      <w:r>
                        <w:rPr>
                          <w:b/>
                          <w:sz w:val="20"/>
                          <w:szCs w:val="20"/>
                        </w:rPr>
                        <w:fldChar w:fldCharType="separate"/>
                      </w:r>
                      <w:r>
                        <w:rPr>
                          <w:b/>
                          <w:noProof/>
                          <w:sz w:val="20"/>
                          <w:szCs w:val="20"/>
                        </w:rPr>
                        <w:t>1</w:t>
                      </w:r>
                      <w:r>
                        <w:rPr>
                          <w:b/>
                          <w:sz w:val="20"/>
                          <w:szCs w:val="20"/>
                        </w:rPr>
                        <w:fldChar w:fldCharType="end"/>
                      </w:r>
                      <w:bookmarkEnd w:id="329"/>
                      <w:r w:rsidRPr="00394041">
                        <w:rPr>
                          <w:b/>
                          <w:sz w:val="20"/>
                          <w:szCs w:val="20"/>
                        </w:rPr>
                        <w:t xml:space="preserve"> - Diagrammatic representation of </w:t>
                      </w:r>
                      <w:r>
                        <w:rPr>
                          <w:b/>
                          <w:i/>
                          <w:sz w:val="20"/>
                          <w:szCs w:val="20"/>
                        </w:rPr>
                        <w:t xml:space="preserve">in silico </w:t>
                      </w:r>
                      <w:r w:rsidRPr="00394041">
                        <w:rPr>
                          <w:b/>
                          <w:sz w:val="20"/>
                          <w:szCs w:val="20"/>
                        </w:rPr>
                        <w:t xml:space="preserve">model development </w:t>
                      </w:r>
                      <w:r>
                        <w:rPr>
                          <w:b/>
                          <w:sz w:val="20"/>
                          <w:szCs w:val="20"/>
                        </w:rPr>
                        <w:t>using</w:t>
                      </w:r>
                      <w:r w:rsidRPr="00394041">
                        <w:rPr>
                          <w:b/>
                          <w:sz w:val="20"/>
                          <w:szCs w:val="20"/>
                        </w:rPr>
                        <w:t xml:space="preserve"> the CoSMoS process.</w:t>
                      </w:r>
                      <w:r w:rsidRPr="00394041">
                        <w:rPr>
                          <w:sz w:val="20"/>
                          <w:szCs w:val="20"/>
                        </w:rPr>
                        <w:t xml:space="preserve"> Within the CoSMoS process a </w:t>
                      </w:r>
                      <w:r>
                        <w:rPr>
                          <w:sz w:val="20"/>
                          <w:szCs w:val="20"/>
                        </w:rPr>
                        <w:t>domain model</w:t>
                      </w:r>
                      <w:r w:rsidRPr="00394041">
                        <w:rPr>
                          <w:sz w:val="20"/>
                          <w:szCs w:val="20"/>
                        </w:rPr>
                        <w:t xml:space="preserve"> is defined leading to the development of a </w:t>
                      </w:r>
                      <w:r>
                        <w:rPr>
                          <w:sz w:val="20"/>
                          <w:szCs w:val="20"/>
                        </w:rPr>
                        <w:t>platform model, this p</w:t>
                      </w:r>
                      <w:r w:rsidRPr="00394041">
                        <w:rPr>
                          <w:sz w:val="20"/>
                          <w:szCs w:val="20"/>
                        </w:rPr>
                        <w:t xml:space="preserve">latform </w:t>
                      </w:r>
                      <w:r>
                        <w:rPr>
                          <w:sz w:val="20"/>
                          <w:szCs w:val="20"/>
                        </w:rPr>
                        <w:t xml:space="preserve">model </w:t>
                      </w:r>
                      <w:r w:rsidRPr="00394041">
                        <w:rPr>
                          <w:sz w:val="20"/>
                          <w:szCs w:val="20"/>
                        </w:rPr>
                        <w:t xml:space="preserve">is then progressed into a Simulation model, here represented as 3 sequential iterations (with </w:t>
                      </w:r>
                      <w:r>
                        <w:rPr>
                          <w:sz w:val="20"/>
                          <w:szCs w:val="20"/>
                        </w:rPr>
                        <w:t>additional or updated representations biological processes incorporated</w:t>
                      </w:r>
                      <w:r w:rsidRPr="00394041">
                        <w:rPr>
                          <w:sz w:val="20"/>
                          <w:szCs w:val="20"/>
                        </w:rPr>
                        <w:t xml:space="preserve"> at each iteration), whereby the derived information (shown in italics) is progressed into the next model. Biological data feeds into the parameterisation of these models and the final model is stati</w:t>
                      </w:r>
                      <w:r>
                        <w:rPr>
                          <w:sz w:val="20"/>
                          <w:szCs w:val="20"/>
                        </w:rPr>
                        <w:t>sti</w:t>
                      </w:r>
                      <w:r w:rsidRPr="00394041">
                        <w:rPr>
                          <w:sz w:val="20"/>
                          <w:szCs w:val="20"/>
                        </w:rPr>
                        <w:t xml:space="preserve">cally validated before </w:t>
                      </w:r>
                      <w:r>
                        <w:rPr>
                          <w:sz w:val="20"/>
                          <w:szCs w:val="20"/>
                        </w:rPr>
                        <w:t>experimental exploration using the model is carried, which would lead to the results model, a representation of our novel insight into the system from utilisation of the model.</w:t>
                      </w:r>
                      <w:bookmarkEnd w:id="330"/>
                      <w:bookmarkEnd w:id="331"/>
                    </w:p>
                  </w:txbxContent>
                </v:textbox>
                <w10:wrap type="square"/>
              </v:shape>
            </w:pict>
          </mc:Fallback>
        </mc:AlternateContent>
      </w:r>
      <w:r>
        <w:rPr>
          <w:noProof/>
        </w:rPr>
        <w:drawing>
          <wp:anchor distT="0" distB="0" distL="114300" distR="114300" simplePos="0" relativeHeight="252057600" behindDoc="0" locked="0" layoutInCell="1" allowOverlap="1" wp14:anchorId="390549D7" wp14:editId="1BEB1D2C">
            <wp:simplePos x="0" y="0"/>
            <wp:positionH relativeFrom="column">
              <wp:posOffset>-137160</wp:posOffset>
            </wp:positionH>
            <wp:positionV relativeFrom="paragraph">
              <wp:posOffset>251460</wp:posOffset>
            </wp:positionV>
            <wp:extent cx="5727700" cy="2602535"/>
            <wp:effectExtent l="0" t="0" r="0" b="1270"/>
            <wp:wrapSquare wrapText="bothSides"/>
            <wp:docPr id="470" name="Picture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0" name="Picture 470"/>
                    <pic:cNvPicPr>
                      <a:picLocks noChangeAspect="1"/>
                    </pic:cNvPicPr>
                  </pic:nvPicPr>
                  <pic:blipFill>
                    <a:blip r:embed="rId46">
                      <a:extLst>
                        <a:ext uri="{28A0092B-C50C-407E-A947-70E740481C1C}">
                          <a14:useLocalDpi xmlns:a14="http://schemas.microsoft.com/office/drawing/2010/main" val="0"/>
                        </a:ext>
                      </a:extLst>
                    </a:blip>
                    <a:stretch>
                      <a:fillRect/>
                    </a:stretch>
                  </pic:blipFill>
                  <pic:spPr>
                    <a:xfrm>
                      <a:off x="0" y="0"/>
                      <a:ext cx="5727700" cy="2602535"/>
                    </a:xfrm>
                    <a:prstGeom prst="rect">
                      <a:avLst/>
                    </a:prstGeom>
                  </pic:spPr>
                </pic:pic>
              </a:graphicData>
            </a:graphic>
          </wp:anchor>
        </w:drawing>
      </w:r>
    </w:p>
    <w:p w14:paraId="01811139" w14:textId="67212482" w:rsidR="00E54E44" w:rsidRPr="008B3AD6" w:rsidRDefault="00E54E44" w:rsidP="009154C0">
      <w:pPr>
        <w:pStyle w:val="NormalWeb"/>
        <w:spacing w:before="0" w:beforeAutospacing="0" w:after="0" w:afterAutospacing="0" w:line="360" w:lineRule="auto"/>
        <w:jc w:val="both"/>
        <w:textAlignment w:val="baseline"/>
      </w:pPr>
    </w:p>
    <w:p w14:paraId="73662ABE" w14:textId="61132D60" w:rsidR="00221D43" w:rsidRDefault="00FF1EC5" w:rsidP="00FF1EC5">
      <w:pPr>
        <w:pStyle w:val="NormalWeb"/>
        <w:spacing w:before="0" w:beforeAutospacing="0" w:after="0" w:afterAutospacing="0" w:line="360" w:lineRule="auto"/>
        <w:jc w:val="both"/>
        <w:textAlignment w:val="baseline"/>
      </w:pPr>
      <w:r>
        <w:t>Our utilisation of the</w:t>
      </w:r>
      <w:r w:rsidR="00B2378D" w:rsidRPr="008B3AD6">
        <w:t xml:space="preserve"> CoSMoS </w:t>
      </w:r>
      <w:r w:rsidR="00B2378D" w:rsidRPr="00FF1EC5">
        <w:t>process</w:t>
      </w:r>
      <w:r>
        <w:t>, shown in</w:t>
      </w:r>
      <w:r w:rsidRPr="00FF1EC5">
        <w:t xml:space="preserve"> </w:t>
      </w:r>
      <w:r w:rsidRPr="00FF1EC5">
        <w:fldChar w:fldCharType="begin"/>
      </w:r>
      <w:r w:rsidRPr="00FF1EC5">
        <w:instrText xml:space="preserve"> REF _Ref518563482 </w:instrText>
      </w:r>
      <w:r>
        <w:instrText xml:space="preserve"> \* MERGEFORMAT </w:instrText>
      </w:r>
      <w:r w:rsidRPr="00FF1EC5">
        <w:fldChar w:fldCharType="separate"/>
      </w:r>
      <w:r w:rsidRPr="00FF1EC5">
        <w:rPr>
          <w:b/>
        </w:rPr>
        <w:t xml:space="preserve">Figure </w:t>
      </w:r>
      <w:r w:rsidRPr="00FF1EC5">
        <w:rPr>
          <w:b/>
          <w:noProof/>
        </w:rPr>
        <w:t>4</w:t>
      </w:r>
      <w:r w:rsidRPr="00FF1EC5">
        <w:rPr>
          <w:b/>
        </w:rPr>
        <w:t>.</w:t>
      </w:r>
      <w:r w:rsidRPr="00FF1EC5">
        <w:rPr>
          <w:b/>
          <w:noProof/>
        </w:rPr>
        <w:t>1</w:t>
      </w:r>
      <w:r w:rsidRPr="00FF1EC5">
        <w:fldChar w:fldCharType="end"/>
      </w:r>
      <w:r w:rsidRPr="00FF1EC5">
        <w:t>,</w:t>
      </w:r>
      <w:r w:rsidR="00B2378D" w:rsidRPr="00FF1EC5">
        <w:t xml:space="preserve"> </w:t>
      </w:r>
      <w:r w:rsidR="00331551" w:rsidRPr="00FF1EC5">
        <w:t>began</w:t>
      </w:r>
      <w:r w:rsidR="00331551">
        <w:t xml:space="preserve"> with establishing the</w:t>
      </w:r>
      <w:r w:rsidR="00B2378D" w:rsidRPr="008B3AD6">
        <w:t xml:space="preserve"> domain, the area of study. The domain </w:t>
      </w:r>
      <w:r w:rsidR="00331551">
        <w:t>was</w:t>
      </w:r>
      <w:r w:rsidR="00B2378D" w:rsidRPr="008B3AD6">
        <w:t xml:space="preserve"> defined by the research context</w:t>
      </w:r>
      <w:r w:rsidR="00965815">
        <w:t xml:space="preserve"> (see Section </w:t>
      </w:r>
      <w:fldSimple w:instr=" REF _Ref525116850 \n ">
        <w:r w:rsidR="00965815">
          <w:t>2.15.2</w:t>
        </w:r>
      </w:fldSimple>
      <w:r w:rsidR="00965815">
        <w:t>)</w:t>
      </w:r>
      <w:r w:rsidR="00B2378D" w:rsidRPr="008B3AD6">
        <w:t xml:space="preserve">. We first </w:t>
      </w:r>
      <w:r w:rsidR="00EA5CBB" w:rsidRPr="008B3AD6">
        <w:t>created</w:t>
      </w:r>
      <w:r w:rsidR="00B2378D" w:rsidRPr="008B3AD6">
        <w:t xml:space="preserve"> a</w:t>
      </w:r>
      <w:r>
        <w:t xml:space="preserve"> domain model</w:t>
      </w:r>
      <w:r w:rsidR="00965815">
        <w:t xml:space="preserve"> (see Section </w:t>
      </w:r>
      <w:fldSimple w:instr=" REF _Ref525116858 \n ">
        <w:r w:rsidR="00965815">
          <w:t>2.15.3</w:t>
        </w:r>
      </w:fldSimple>
      <w:r w:rsidR="00965815">
        <w:t>)</w:t>
      </w:r>
      <w:r>
        <w:t xml:space="preserve"> encapsulating</w:t>
      </w:r>
      <w:r w:rsidR="00B2378D" w:rsidRPr="008B3AD6">
        <w:t xml:space="preserve"> </w:t>
      </w:r>
      <w:r>
        <w:t>the</w:t>
      </w:r>
      <w:r w:rsidR="00B2378D" w:rsidRPr="008B3AD6">
        <w:t xml:space="preserve"> different processes and activities occurring within the hepatic immune response to </w:t>
      </w:r>
      <w:r w:rsidR="00331551">
        <w:rPr>
          <w:i/>
        </w:rPr>
        <w:t>L. donovani</w:t>
      </w:r>
      <w:r w:rsidR="00B2378D" w:rsidRPr="008B3AD6">
        <w:t xml:space="preserve"> infection. The domain model </w:t>
      </w:r>
      <w:r w:rsidR="00331551">
        <w:t>was</w:t>
      </w:r>
      <w:r w:rsidR="00B2378D" w:rsidRPr="008B3AD6">
        <w:t xml:space="preserve"> then used as a basis for the development of a platform model</w:t>
      </w:r>
      <w:r>
        <w:t xml:space="preserve"> </w:t>
      </w:r>
      <w:r w:rsidR="00965815">
        <w:t xml:space="preserve">(see Section </w:t>
      </w:r>
      <w:fldSimple w:instr=" REF _Ref525116893 \n ">
        <w:r w:rsidR="00965815">
          <w:t>2.15.4</w:t>
        </w:r>
      </w:fldSimple>
      <w:r w:rsidR="00965815">
        <w:t xml:space="preserve">) </w:t>
      </w:r>
      <w:r>
        <w:t xml:space="preserve">which </w:t>
      </w:r>
      <w:r w:rsidR="00B2378D" w:rsidRPr="008B3AD6">
        <w:t xml:space="preserve">was then encoded into a </w:t>
      </w:r>
      <w:r w:rsidR="00331551">
        <w:t xml:space="preserve">mathematical model </w:t>
      </w:r>
      <w:r w:rsidR="00B2378D" w:rsidRPr="008B3AD6">
        <w:t>to form the simulation model</w:t>
      </w:r>
      <w:r w:rsidR="00965815">
        <w:t xml:space="preserve"> (see Section </w:t>
      </w:r>
      <w:fldSimple w:instr=" REF _Ref525116898 \n ">
        <w:r w:rsidR="00965815">
          <w:t>2.15.5</w:t>
        </w:r>
      </w:fldSimple>
      <w:r w:rsidR="00965815">
        <w:t>)</w:t>
      </w:r>
      <w:r w:rsidR="00B2378D" w:rsidRPr="008B3AD6">
        <w:t xml:space="preserve">. </w:t>
      </w:r>
      <w:r w:rsidR="00EA5CBB" w:rsidRPr="008B3AD6">
        <w:t>Th</w:t>
      </w:r>
      <w:r w:rsidR="00EA5026">
        <w:t>is</w:t>
      </w:r>
      <w:r w:rsidR="00EA5CBB" w:rsidRPr="008B3AD6">
        <w:t xml:space="preserve"> simulation model was </w:t>
      </w:r>
      <w:r w:rsidR="00EA5026">
        <w:t>calibrated</w:t>
      </w:r>
      <w:r w:rsidR="00B2378D" w:rsidRPr="008B3AD6">
        <w:t xml:space="preserve"> in an iterative </w:t>
      </w:r>
      <w:r w:rsidR="00331551">
        <w:t>fashion</w:t>
      </w:r>
      <w:r w:rsidR="00B2378D" w:rsidRPr="008B3AD6">
        <w:t xml:space="preserve">, </w:t>
      </w:r>
      <w:r w:rsidR="00331551">
        <w:t xml:space="preserve">for this we identified areas of the mathematical model which could be isolated and </w:t>
      </w:r>
      <w:r w:rsidR="00331551">
        <w:lastRenderedPageBreak/>
        <w:t>independently calibrated, for instance in our final simulation model T cells are independent of other populations/population processes and as such could be calibrated separately thereby reducing the parameter search space</w:t>
      </w:r>
      <w:r w:rsidR="00EA5026">
        <w:t xml:space="preserve"> for the final model</w:t>
      </w:r>
      <w:r w:rsidR="00331551">
        <w:t>.</w:t>
      </w:r>
      <w:r w:rsidR="00B2378D" w:rsidRPr="008B3AD6">
        <w:t xml:space="preserve"> </w:t>
      </w:r>
      <w:r w:rsidR="00EA5026">
        <w:t>This iterative process concluded when all parameter values and initial conditions had been derived. Selected outputs from the calibrated model were then compared to biological data which had not taken part in any of the model calibration and analysed to determine if they differed significantly. Once this was complete, the investigation of scientific scenarios of interest and the resulting analysis of</w:t>
      </w:r>
      <w:r>
        <w:t xml:space="preserve"> the data could be carried out.</w:t>
      </w:r>
    </w:p>
    <w:p w14:paraId="2B535E72" w14:textId="77777777" w:rsidR="00FF1EC5" w:rsidRDefault="00FF1EC5" w:rsidP="00FF1EC5">
      <w:pPr>
        <w:pStyle w:val="NormalWeb"/>
        <w:spacing w:before="0" w:beforeAutospacing="0" w:after="0" w:afterAutospacing="0" w:line="360" w:lineRule="auto"/>
        <w:jc w:val="both"/>
        <w:textAlignment w:val="baseline"/>
      </w:pPr>
    </w:p>
    <w:p w14:paraId="62151F01" w14:textId="72F7BC61" w:rsidR="00B2378D" w:rsidRPr="008B3AD6" w:rsidRDefault="00B2378D" w:rsidP="009154C0">
      <w:pPr>
        <w:spacing w:line="360" w:lineRule="auto"/>
        <w:jc w:val="both"/>
      </w:pPr>
      <w:r w:rsidRPr="008B3AD6">
        <w:t>This chapter develops our investigative</w:t>
      </w:r>
      <w:r w:rsidR="00843E82" w:rsidRPr="00843E82">
        <w:rPr>
          <w:i/>
        </w:rPr>
        <w:t xml:space="preserve"> </w:t>
      </w:r>
      <w:r w:rsidR="00843E82">
        <w:rPr>
          <w:i/>
        </w:rPr>
        <w:t xml:space="preserve">in silico </w:t>
      </w:r>
      <w:r w:rsidRPr="008B3AD6">
        <w:t xml:space="preserve">model </w:t>
      </w:r>
      <w:r w:rsidR="00843E82">
        <w:t xml:space="preserve">using the CoSMoS process. </w:t>
      </w:r>
      <w:r w:rsidR="00EA5CBB" w:rsidRPr="008B3AD6">
        <w:t xml:space="preserve">As </w:t>
      </w:r>
      <w:r w:rsidR="008D575A" w:rsidRPr="008B3AD6">
        <w:t>discussed,</w:t>
      </w:r>
      <w:r w:rsidR="00EA5CBB" w:rsidRPr="008B3AD6">
        <w:t xml:space="preserve"> the data described in </w:t>
      </w:r>
      <w:r w:rsidR="00CA55CD" w:rsidRPr="008B3AD6">
        <w:fldChar w:fldCharType="begin"/>
      </w:r>
      <w:r w:rsidR="00CA55CD" w:rsidRPr="008B3AD6">
        <w:instrText xml:space="preserve"> REF _Ref518738258 \n </w:instrText>
      </w:r>
      <w:r w:rsidR="004638CA" w:rsidRPr="008B3AD6">
        <w:instrText xml:space="preserve"> \* MERGEFORMAT </w:instrText>
      </w:r>
      <w:r w:rsidR="00CA55CD" w:rsidRPr="008B3AD6">
        <w:fldChar w:fldCharType="separate"/>
      </w:r>
      <w:r w:rsidR="00031DCA">
        <w:t>Chapter 3</w:t>
      </w:r>
      <w:r w:rsidR="00CA55CD" w:rsidRPr="008B3AD6">
        <w:fldChar w:fldCharType="end"/>
      </w:r>
      <w:r w:rsidR="00EA5CBB" w:rsidRPr="008B3AD6">
        <w:t xml:space="preserve"> describes a perturbed system and so this model will describe the unperturbed system which will be extended in </w:t>
      </w:r>
      <w:r w:rsidR="00CA55CD" w:rsidRPr="008B3AD6">
        <w:fldChar w:fldCharType="begin"/>
      </w:r>
      <w:r w:rsidR="00CA55CD" w:rsidRPr="008B3AD6">
        <w:instrText xml:space="preserve"> REF _Ref518937182 \n </w:instrText>
      </w:r>
      <w:r w:rsidR="004638CA" w:rsidRPr="008B3AD6">
        <w:instrText xml:space="preserve"> \* MERGEFORMAT </w:instrText>
      </w:r>
      <w:r w:rsidR="00CA55CD" w:rsidRPr="008B3AD6">
        <w:fldChar w:fldCharType="separate"/>
      </w:r>
      <w:r w:rsidR="00031DCA">
        <w:t>Chapter 5</w:t>
      </w:r>
      <w:r w:rsidR="00CA55CD" w:rsidRPr="008B3AD6">
        <w:fldChar w:fldCharType="end"/>
      </w:r>
      <w:r w:rsidR="00EA5CBB" w:rsidRPr="008B3AD6">
        <w:t xml:space="preserve"> to include the </w:t>
      </w:r>
      <w:r w:rsidR="008D575A" w:rsidRPr="008B3AD6">
        <w:t>perturbation</w:t>
      </w:r>
      <w:r w:rsidR="00EA5CBB" w:rsidRPr="008B3AD6">
        <w:t xml:space="preserve"> to fully investigate the system.</w:t>
      </w:r>
    </w:p>
    <w:p w14:paraId="2A8D66DE" w14:textId="17A32B72" w:rsidR="00394041" w:rsidRDefault="00394041" w:rsidP="009154C0">
      <w:pPr>
        <w:spacing w:line="360" w:lineRule="auto"/>
        <w:jc w:val="both"/>
      </w:pPr>
    </w:p>
    <w:p w14:paraId="34B08011" w14:textId="47D2F432" w:rsidR="00F37F83" w:rsidRPr="008B3AD6" w:rsidRDefault="00F37F83" w:rsidP="0090615D">
      <w:pPr>
        <w:pStyle w:val="Heading2"/>
        <w:jc w:val="both"/>
      </w:pPr>
      <w:bookmarkStart w:id="332" w:name="_Ref518735771"/>
      <w:bookmarkStart w:id="333" w:name="_Ref518744049"/>
      <w:bookmarkStart w:id="334" w:name="_Toc3716104"/>
      <w:r w:rsidRPr="008B3AD6">
        <w:t>Aims</w:t>
      </w:r>
      <w:bookmarkEnd w:id="332"/>
      <w:bookmarkEnd w:id="333"/>
      <w:bookmarkEnd w:id="334"/>
    </w:p>
    <w:p w14:paraId="129738BB" w14:textId="14897D04" w:rsidR="00394041" w:rsidRPr="008B3AD6" w:rsidRDefault="009A7602" w:rsidP="009C676C">
      <w:pPr>
        <w:spacing w:line="360" w:lineRule="auto"/>
        <w:jc w:val="both"/>
      </w:pPr>
      <w:r w:rsidRPr="008B3AD6">
        <w:t>The aim of this chapter was to</w:t>
      </w:r>
      <w:r w:rsidR="009C676C">
        <w:t xml:space="preserve"> derive a</w:t>
      </w:r>
      <w:r w:rsidR="003367D7">
        <w:t>n</w:t>
      </w:r>
      <w:r w:rsidR="009C676C">
        <w:t xml:space="preserve"> </w:t>
      </w:r>
      <w:r w:rsidR="00843E82">
        <w:rPr>
          <w:i/>
        </w:rPr>
        <w:t>in silico</w:t>
      </w:r>
      <w:r w:rsidR="009C676C">
        <w:t xml:space="preserve"> model of</w:t>
      </w:r>
      <w:r w:rsidRPr="008B3AD6">
        <w:t xml:space="preserve"> the immune response to hepatic </w:t>
      </w:r>
      <w:r w:rsidRPr="008B3AD6">
        <w:rPr>
          <w:i/>
        </w:rPr>
        <w:t>L. donovani</w:t>
      </w:r>
      <w:r w:rsidRPr="008B3AD6">
        <w:t xml:space="preserve"> infection</w:t>
      </w:r>
      <w:r w:rsidR="009C676C">
        <w:t xml:space="preserve"> that could be utilised for investigating the likely immune mechanisms that influence </w:t>
      </w:r>
      <w:r w:rsidR="00A32111">
        <w:t>AmB</w:t>
      </w:r>
      <w:r w:rsidR="009C676C">
        <w:t xml:space="preserve"> pharmacokinetics/pharmacodynamics in the liver</w:t>
      </w:r>
      <w:r w:rsidR="00843E82">
        <w:t xml:space="preserve">. To aid in the </w:t>
      </w:r>
      <w:r w:rsidRPr="008B3AD6">
        <w:t>development</w:t>
      </w:r>
      <w:r w:rsidR="00843E82">
        <w:t xml:space="preserve"> of the </w:t>
      </w:r>
      <w:r w:rsidR="00843E82">
        <w:rPr>
          <w:i/>
        </w:rPr>
        <w:t xml:space="preserve">in silico </w:t>
      </w:r>
      <w:r w:rsidR="00843E82">
        <w:t>model</w:t>
      </w:r>
      <w:r w:rsidRPr="008B3AD6">
        <w:t xml:space="preserve">, the objectives were to derive biological datasets pertaining to the hepatic immune response to </w:t>
      </w:r>
      <w:r w:rsidRPr="008B3AD6">
        <w:rPr>
          <w:i/>
        </w:rPr>
        <w:t>L. donovani</w:t>
      </w:r>
      <w:r w:rsidRPr="008B3AD6">
        <w:t xml:space="preserve"> infection, synthesise a</w:t>
      </w:r>
      <w:r w:rsidR="00843E82">
        <w:t xml:space="preserve">n </w:t>
      </w:r>
      <w:r w:rsidR="00843E82">
        <w:rPr>
          <w:i/>
        </w:rPr>
        <w:t>in silico</w:t>
      </w:r>
      <w:r w:rsidRPr="008B3AD6">
        <w:t xml:space="preserve"> model describing this response using the CoSMoS process, parameterise this model using the derived biological datasets and finally to ensure the model is fit for investigative use, to statistically validate the model against unseen datasets.</w:t>
      </w:r>
      <w:r w:rsidR="00394041" w:rsidRPr="008B3AD6">
        <w:t xml:space="preserve"> The process for achieving </w:t>
      </w:r>
      <w:r w:rsidR="00EE6B38" w:rsidRPr="008B3AD6">
        <w:t>these aims</w:t>
      </w:r>
      <w:r w:rsidR="00394041" w:rsidRPr="008B3AD6">
        <w:t xml:space="preserve"> is defined in </w:t>
      </w:r>
      <w:r w:rsidR="00EE6B38" w:rsidRPr="00195944">
        <w:rPr>
          <w:b/>
        </w:rPr>
        <w:fldChar w:fldCharType="begin"/>
      </w:r>
      <w:r w:rsidR="00EE6B38" w:rsidRPr="00195944">
        <w:rPr>
          <w:b/>
        </w:rPr>
        <w:instrText xml:space="preserve"> REF _Ref518563482  \* MERGEFORMAT </w:instrText>
      </w:r>
      <w:r w:rsidR="00EE6B38" w:rsidRPr="00195944">
        <w:rPr>
          <w:b/>
        </w:rPr>
        <w:fldChar w:fldCharType="separate"/>
      </w:r>
      <w:r w:rsidR="00031DCA" w:rsidRPr="00031DCA">
        <w:rPr>
          <w:b/>
        </w:rPr>
        <w:t>Figure 4.1</w:t>
      </w:r>
      <w:r w:rsidR="00EE6B38" w:rsidRPr="00195944">
        <w:rPr>
          <w:b/>
        </w:rPr>
        <w:fldChar w:fldCharType="end"/>
      </w:r>
      <w:r w:rsidR="00394041" w:rsidRPr="008B3AD6">
        <w:t>.</w:t>
      </w:r>
      <w:r w:rsidRPr="008B3AD6">
        <w:t xml:space="preserve"> The scope of the</w:t>
      </w:r>
      <w:r w:rsidR="00843E82">
        <w:t xml:space="preserve"> </w:t>
      </w:r>
      <w:r w:rsidR="00843E82">
        <w:rPr>
          <w:i/>
        </w:rPr>
        <w:t>in silico</w:t>
      </w:r>
      <w:r w:rsidRPr="008B3AD6">
        <w:t xml:space="preserve"> model was limited to the hepatic site of infection.</w:t>
      </w:r>
    </w:p>
    <w:p w14:paraId="08096AFC" w14:textId="2D72FFE5" w:rsidR="009A6371" w:rsidRPr="008B3AD6" w:rsidRDefault="009A6371" w:rsidP="009154C0">
      <w:pPr>
        <w:spacing w:line="240" w:lineRule="auto"/>
        <w:jc w:val="both"/>
      </w:pPr>
      <w:r w:rsidRPr="008B3AD6">
        <w:br w:type="page"/>
      </w:r>
    </w:p>
    <w:p w14:paraId="7AA5026F" w14:textId="113B164E" w:rsidR="004D3F97" w:rsidRPr="008B3AD6" w:rsidRDefault="004D3F97" w:rsidP="009154C0">
      <w:pPr>
        <w:pStyle w:val="Heading2"/>
        <w:jc w:val="both"/>
      </w:pPr>
      <w:bookmarkStart w:id="335" w:name="_Ref518738284"/>
      <w:bookmarkStart w:id="336" w:name="_Ref518744062"/>
      <w:bookmarkStart w:id="337" w:name="_Toc3716105"/>
      <w:bookmarkEnd w:id="3"/>
      <w:bookmarkEnd w:id="2"/>
      <w:r w:rsidRPr="008B3AD6">
        <w:lastRenderedPageBreak/>
        <w:t>Results</w:t>
      </w:r>
      <w:bookmarkEnd w:id="337"/>
    </w:p>
    <w:p w14:paraId="1DD4D719" w14:textId="1CCCDF73" w:rsidR="006B1176" w:rsidRPr="008B3AD6" w:rsidRDefault="003520B6" w:rsidP="004D3F97">
      <w:pPr>
        <w:pStyle w:val="Heading3"/>
      </w:pPr>
      <w:bookmarkStart w:id="338" w:name="_Ref523511938"/>
      <w:bookmarkStart w:id="339" w:name="_Toc3716106"/>
      <w:r w:rsidRPr="008B3AD6">
        <w:t>Biological Data Generation</w:t>
      </w:r>
      <w:bookmarkEnd w:id="335"/>
      <w:bookmarkEnd w:id="336"/>
      <w:bookmarkEnd w:id="338"/>
      <w:bookmarkEnd w:id="339"/>
    </w:p>
    <w:p w14:paraId="6D9DAD3C" w14:textId="67A44AD3" w:rsidR="00EA7973" w:rsidRPr="008B3AD6" w:rsidRDefault="007A73BA" w:rsidP="00620BEB">
      <w:pPr>
        <w:spacing w:line="360" w:lineRule="auto"/>
        <w:jc w:val="both"/>
      </w:pPr>
      <w:r>
        <w:rPr>
          <w:noProof/>
        </w:rPr>
        <mc:AlternateContent>
          <mc:Choice Requires="wps">
            <w:drawing>
              <wp:anchor distT="0" distB="0" distL="114300" distR="114300" simplePos="0" relativeHeight="252037120" behindDoc="0" locked="0" layoutInCell="1" allowOverlap="1" wp14:anchorId="2B044389" wp14:editId="25CAE58C">
                <wp:simplePos x="0" y="0"/>
                <wp:positionH relativeFrom="column">
                  <wp:posOffset>-47625</wp:posOffset>
                </wp:positionH>
                <wp:positionV relativeFrom="paragraph">
                  <wp:posOffset>6803552</wp:posOffset>
                </wp:positionV>
                <wp:extent cx="5671820" cy="2179320"/>
                <wp:effectExtent l="0" t="0" r="5080" b="5080"/>
                <wp:wrapNone/>
                <wp:docPr id="21" name="Text Box 21"/>
                <wp:cNvGraphicFramePr/>
                <a:graphic xmlns:a="http://schemas.openxmlformats.org/drawingml/2006/main">
                  <a:graphicData uri="http://schemas.microsoft.com/office/word/2010/wordprocessingShape">
                    <wps:wsp>
                      <wps:cNvSpPr txBox="1"/>
                      <wps:spPr>
                        <a:xfrm>
                          <a:off x="0" y="0"/>
                          <a:ext cx="5671820" cy="2179320"/>
                        </a:xfrm>
                        <a:prstGeom prst="rect">
                          <a:avLst/>
                        </a:prstGeom>
                        <a:noFill/>
                        <a:ln>
                          <a:noFill/>
                        </a:ln>
                      </wps:spPr>
                      <wps:txbx>
                        <w:txbxContent>
                          <w:p w14:paraId="679C213E" w14:textId="548752C0" w:rsidR="00F61130" w:rsidRPr="009A7602" w:rsidRDefault="00F61130" w:rsidP="00D376DB">
                            <w:pPr>
                              <w:pStyle w:val="Caption"/>
                              <w:spacing w:line="360" w:lineRule="auto"/>
                              <w:jc w:val="both"/>
                              <w:rPr>
                                <w:b/>
                                <w:noProof/>
                                <w:sz w:val="20"/>
                                <w:szCs w:val="20"/>
                                <w:lang w:eastAsia="en-GB"/>
                              </w:rPr>
                            </w:pPr>
                            <w:bookmarkStart w:id="340" w:name="_Ref518563553"/>
                            <w:bookmarkStart w:id="341" w:name="_Toc525227207"/>
                            <w:bookmarkStart w:id="342" w:name="_Toc536814146"/>
                            <w:r w:rsidRPr="009A7602">
                              <w:rPr>
                                <w:b/>
                                <w:sz w:val="20"/>
                                <w:szCs w:val="20"/>
                              </w:rPr>
                              <w:t xml:space="preserve">Figure </w:t>
                            </w:r>
                            <w:r>
                              <w:rPr>
                                <w:b/>
                                <w:sz w:val="20"/>
                                <w:szCs w:val="20"/>
                              </w:rPr>
                              <w:fldChar w:fldCharType="begin"/>
                            </w:r>
                            <w:r>
                              <w:rPr>
                                <w:b/>
                                <w:sz w:val="20"/>
                                <w:szCs w:val="20"/>
                              </w:rPr>
                              <w:instrText xml:space="preserve"> STYLEREF 1 \s </w:instrText>
                            </w:r>
                            <w:r>
                              <w:rPr>
                                <w:b/>
                                <w:sz w:val="20"/>
                                <w:szCs w:val="20"/>
                              </w:rPr>
                              <w:fldChar w:fldCharType="separate"/>
                            </w:r>
                            <w:r>
                              <w:rPr>
                                <w:b/>
                                <w:noProof/>
                                <w:sz w:val="20"/>
                                <w:szCs w:val="20"/>
                              </w:rPr>
                              <w:t>4</w:t>
                            </w:r>
                            <w:r>
                              <w:rPr>
                                <w:b/>
                                <w:sz w:val="20"/>
                                <w:szCs w:val="20"/>
                              </w:rPr>
                              <w:fldChar w:fldCharType="end"/>
                            </w:r>
                            <w:r>
                              <w:rPr>
                                <w:b/>
                                <w:sz w:val="20"/>
                                <w:szCs w:val="20"/>
                              </w:rPr>
                              <w:t>.</w:t>
                            </w:r>
                            <w:r>
                              <w:rPr>
                                <w:b/>
                                <w:sz w:val="20"/>
                                <w:szCs w:val="20"/>
                              </w:rPr>
                              <w:fldChar w:fldCharType="begin"/>
                            </w:r>
                            <w:r>
                              <w:rPr>
                                <w:b/>
                                <w:sz w:val="20"/>
                                <w:szCs w:val="20"/>
                              </w:rPr>
                              <w:instrText xml:space="preserve"> SEQ Figure \* ARABIC \s 1 </w:instrText>
                            </w:r>
                            <w:r>
                              <w:rPr>
                                <w:b/>
                                <w:sz w:val="20"/>
                                <w:szCs w:val="20"/>
                              </w:rPr>
                              <w:fldChar w:fldCharType="separate"/>
                            </w:r>
                            <w:r>
                              <w:rPr>
                                <w:b/>
                                <w:noProof/>
                                <w:sz w:val="20"/>
                                <w:szCs w:val="20"/>
                              </w:rPr>
                              <w:t>2</w:t>
                            </w:r>
                            <w:r>
                              <w:rPr>
                                <w:b/>
                                <w:sz w:val="20"/>
                                <w:szCs w:val="20"/>
                              </w:rPr>
                              <w:fldChar w:fldCharType="end"/>
                            </w:r>
                            <w:bookmarkEnd w:id="340"/>
                            <w:r w:rsidRPr="009A7602">
                              <w:rPr>
                                <w:b/>
                                <w:sz w:val="20"/>
                                <w:szCs w:val="20"/>
                              </w:rPr>
                              <w:t xml:space="preserve"> - Gating strategy for flow cytometry to characterise leukocyte subsets.</w:t>
                            </w:r>
                            <w:r w:rsidRPr="009A7602">
                              <w:rPr>
                                <w:sz w:val="20"/>
                                <w:szCs w:val="20"/>
                              </w:rPr>
                              <w:t xml:space="preserve"> Pseudo-colour plots of purified hepatic cells from a day 21 post-infection (</w:t>
                            </w:r>
                            <w:r w:rsidRPr="009A7602">
                              <w:rPr>
                                <w:i/>
                                <w:sz w:val="20"/>
                                <w:szCs w:val="20"/>
                              </w:rPr>
                              <w:t>L. donovani</w:t>
                            </w:r>
                            <w:r w:rsidRPr="009A7602">
                              <w:rPr>
                                <w:sz w:val="20"/>
                                <w:szCs w:val="20"/>
                              </w:rPr>
                              <w:t>) B6 mouse. All subsets are initially characterised as Single Live CD45</w:t>
                            </w:r>
                            <w:r w:rsidRPr="00843E82">
                              <w:rPr>
                                <w:sz w:val="20"/>
                                <w:szCs w:val="20"/>
                                <w:vertAlign w:val="superscript"/>
                              </w:rPr>
                              <w:t>+</w:t>
                            </w:r>
                            <w:r w:rsidRPr="009A7602">
                              <w:rPr>
                                <w:sz w:val="20"/>
                                <w:szCs w:val="20"/>
                              </w:rPr>
                              <w:t xml:space="preserve"> Cells, further characterisation is based upon expression of addition</w:t>
                            </w:r>
                            <w:r>
                              <w:rPr>
                                <w:sz w:val="20"/>
                                <w:szCs w:val="20"/>
                              </w:rPr>
                              <w:t>al</w:t>
                            </w:r>
                            <w:r w:rsidRPr="009A7602">
                              <w:rPr>
                                <w:sz w:val="20"/>
                                <w:szCs w:val="20"/>
                              </w:rPr>
                              <w:t xml:space="preserve"> markers</w:t>
                            </w:r>
                            <w:r>
                              <w:rPr>
                                <w:sz w:val="20"/>
                                <w:szCs w:val="20"/>
                              </w:rPr>
                              <w:t>. TCR</w:t>
                            </w:r>
                            <w:r>
                              <w:rPr>
                                <w:sz w:val="20"/>
                                <w:szCs w:val="20"/>
                              </w:rPr>
                              <w:sym w:font="Symbol" w:char="F062"/>
                            </w:r>
                            <w:r>
                              <w:rPr>
                                <w:sz w:val="20"/>
                                <w:szCs w:val="20"/>
                              </w:rPr>
                              <w:t xml:space="preserve"> &amp; Ly6G both were conjugated with the fluorochrome PerCP-Cy5.5 (shown as ‘TCRb, Ly6G – PerCP-Cy5.5’ on plot axes) which when leukocytes were separated as lymphoid vs. myeloid cells allowed for the discrimination of T Cells (Lymphoid cells which are PerCP-Cy5.5</w:t>
                            </w:r>
                            <w:r>
                              <w:rPr>
                                <w:sz w:val="20"/>
                                <w:szCs w:val="20"/>
                                <w:vertAlign w:val="superscript"/>
                              </w:rPr>
                              <w:t>+</w:t>
                            </w:r>
                            <w:r>
                              <w:rPr>
                                <w:sz w:val="20"/>
                                <w:szCs w:val="20"/>
                              </w:rPr>
                              <w:t>) and Neutrophils (Myeloid cells which are PerCP-Cy5.5</w:t>
                            </w:r>
                            <w:r>
                              <w:rPr>
                                <w:sz w:val="20"/>
                                <w:szCs w:val="20"/>
                                <w:vertAlign w:val="superscript"/>
                              </w:rPr>
                              <w:t>+</w:t>
                            </w:r>
                            <w:r>
                              <w:rPr>
                                <w:sz w:val="20"/>
                                <w:szCs w:val="20"/>
                              </w:rPr>
                              <w:t>)</w:t>
                            </w:r>
                            <w:r w:rsidRPr="009A7602">
                              <w:rPr>
                                <w:sz w:val="20"/>
                                <w:szCs w:val="20"/>
                              </w:rPr>
                              <w:t xml:space="preserve">. Subsets </w:t>
                            </w:r>
                            <w:r>
                              <w:rPr>
                                <w:sz w:val="20"/>
                                <w:szCs w:val="20"/>
                              </w:rPr>
                              <w:t>were analysed as: neutrophils (</w:t>
                            </w:r>
                            <w:r w:rsidRPr="009A7602">
                              <w:rPr>
                                <w:sz w:val="20"/>
                                <w:szCs w:val="20"/>
                              </w:rPr>
                              <w:t>CD3</w:t>
                            </w:r>
                            <w:r w:rsidRPr="00843E82">
                              <w:rPr>
                                <w:sz w:val="20"/>
                                <w:szCs w:val="20"/>
                                <w:vertAlign w:val="superscript"/>
                              </w:rPr>
                              <w:t>-</w:t>
                            </w:r>
                            <w:r w:rsidRPr="009A7602">
                              <w:rPr>
                                <w:sz w:val="20"/>
                                <w:szCs w:val="20"/>
                              </w:rPr>
                              <w:t>,</w:t>
                            </w:r>
                            <w:r>
                              <w:rPr>
                                <w:sz w:val="20"/>
                                <w:szCs w:val="20"/>
                              </w:rPr>
                              <w:t xml:space="preserve"> </w:t>
                            </w:r>
                            <w:r w:rsidRPr="009A7602">
                              <w:rPr>
                                <w:sz w:val="20"/>
                                <w:szCs w:val="20"/>
                              </w:rPr>
                              <w:t>B220</w:t>
                            </w:r>
                            <w:r w:rsidRPr="00843E82">
                              <w:rPr>
                                <w:sz w:val="20"/>
                                <w:szCs w:val="20"/>
                                <w:vertAlign w:val="superscript"/>
                              </w:rPr>
                              <w:t>-</w:t>
                            </w:r>
                            <w:r w:rsidRPr="009A7602">
                              <w:rPr>
                                <w:sz w:val="20"/>
                                <w:szCs w:val="20"/>
                              </w:rPr>
                              <w:t>,</w:t>
                            </w:r>
                            <w:r>
                              <w:rPr>
                                <w:sz w:val="20"/>
                                <w:szCs w:val="20"/>
                              </w:rPr>
                              <w:t xml:space="preserve"> </w:t>
                            </w:r>
                            <w:r w:rsidRPr="009A7602">
                              <w:rPr>
                                <w:sz w:val="20"/>
                                <w:szCs w:val="20"/>
                              </w:rPr>
                              <w:t>NK1.1</w:t>
                            </w:r>
                            <w:r w:rsidRPr="00843E82">
                              <w:rPr>
                                <w:sz w:val="20"/>
                                <w:szCs w:val="20"/>
                                <w:vertAlign w:val="superscript"/>
                              </w:rPr>
                              <w:t>-</w:t>
                            </w:r>
                            <w:r>
                              <w:rPr>
                                <w:sz w:val="20"/>
                                <w:szCs w:val="20"/>
                              </w:rPr>
                              <w:t xml:space="preserve"> &amp;</w:t>
                            </w:r>
                            <w:r w:rsidRPr="009A7602">
                              <w:rPr>
                                <w:sz w:val="20"/>
                                <w:szCs w:val="20"/>
                              </w:rPr>
                              <w:t xml:space="preserve"> Ly6G</w:t>
                            </w:r>
                            <w:r w:rsidRPr="00843E82">
                              <w:rPr>
                                <w:sz w:val="20"/>
                                <w:szCs w:val="20"/>
                                <w:vertAlign w:val="superscript"/>
                              </w:rPr>
                              <w:t>+</w:t>
                            </w:r>
                            <w:r w:rsidRPr="009A7602">
                              <w:rPr>
                                <w:sz w:val="20"/>
                                <w:szCs w:val="20"/>
                              </w:rPr>
                              <w:t>), dendritic cells (CD3</w:t>
                            </w:r>
                            <w:r w:rsidRPr="00843E82">
                              <w:rPr>
                                <w:sz w:val="20"/>
                                <w:szCs w:val="20"/>
                                <w:vertAlign w:val="superscript"/>
                              </w:rPr>
                              <w:t>-</w:t>
                            </w:r>
                            <w:r w:rsidRPr="009A7602">
                              <w:rPr>
                                <w:sz w:val="20"/>
                                <w:szCs w:val="20"/>
                              </w:rPr>
                              <w:t>,</w:t>
                            </w:r>
                            <w:r>
                              <w:rPr>
                                <w:sz w:val="20"/>
                                <w:szCs w:val="20"/>
                              </w:rPr>
                              <w:t xml:space="preserve"> </w:t>
                            </w:r>
                            <w:r w:rsidRPr="009A7602">
                              <w:rPr>
                                <w:sz w:val="20"/>
                                <w:szCs w:val="20"/>
                              </w:rPr>
                              <w:t>B220</w:t>
                            </w:r>
                            <w:r w:rsidRPr="00843E82">
                              <w:rPr>
                                <w:sz w:val="20"/>
                                <w:szCs w:val="20"/>
                                <w:vertAlign w:val="superscript"/>
                              </w:rPr>
                              <w:t>-</w:t>
                            </w:r>
                            <w:r w:rsidRPr="009A7602">
                              <w:rPr>
                                <w:sz w:val="20"/>
                                <w:szCs w:val="20"/>
                              </w:rPr>
                              <w:t>,</w:t>
                            </w:r>
                            <w:r>
                              <w:rPr>
                                <w:sz w:val="20"/>
                                <w:szCs w:val="20"/>
                              </w:rPr>
                              <w:t xml:space="preserve"> </w:t>
                            </w:r>
                            <w:r w:rsidRPr="009A7602">
                              <w:rPr>
                                <w:sz w:val="20"/>
                                <w:szCs w:val="20"/>
                              </w:rPr>
                              <w:t>NK1.1</w:t>
                            </w:r>
                            <w:r w:rsidRPr="00843E82">
                              <w:rPr>
                                <w:sz w:val="20"/>
                                <w:szCs w:val="20"/>
                                <w:vertAlign w:val="superscript"/>
                              </w:rPr>
                              <w:t>-</w:t>
                            </w:r>
                            <w:r w:rsidRPr="009A7602">
                              <w:rPr>
                                <w:sz w:val="20"/>
                                <w:szCs w:val="20"/>
                              </w:rPr>
                              <w:t>, Ly6G</w:t>
                            </w:r>
                            <w:r w:rsidRPr="00843E82">
                              <w:rPr>
                                <w:sz w:val="20"/>
                                <w:szCs w:val="20"/>
                                <w:vertAlign w:val="superscript"/>
                              </w:rPr>
                              <w:t>-</w:t>
                            </w:r>
                            <w:r w:rsidRPr="009A7602">
                              <w:rPr>
                                <w:sz w:val="20"/>
                                <w:szCs w:val="20"/>
                              </w:rPr>
                              <w:t>, CD11c</w:t>
                            </w:r>
                            <w:r w:rsidRPr="00843E82">
                              <w:rPr>
                                <w:sz w:val="20"/>
                                <w:szCs w:val="20"/>
                                <w:vertAlign w:val="superscript"/>
                              </w:rPr>
                              <w:t>+</w:t>
                            </w:r>
                            <w:r>
                              <w:rPr>
                                <w:sz w:val="20"/>
                                <w:szCs w:val="20"/>
                              </w:rPr>
                              <w:t xml:space="preserve"> &amp;</w:t>
                            </w:r>
                            <w:r w:rsidRPr="009A7602">
                              <w:rPr>
                                <w:sz w:val="20"/>
                                <w:szCs w:val="20"/>
                              </w:rPr>
                              <w:t xml:space="preserve"> F4/80</w:t>
                            </w:r>
                            <w:r w:rsidRPr="00843E82">
                              <w:rPr>
                                <w:sz w:val="20"/>
                                <w:szCs w:val="20"/>
                                <w:vertAlign w:val="superscript"/>
                              </w:rPr>
                              <w:t>-</w:t>
                            </w:r>
                            <w:r w:rsidRPr="009A7602">
                              <w:rPr>
                                <w:sz w:val="20"/>
                                <w:szCs w:val="20"/>
                              </w:rPr>
                              <w:t>), macrophages &amp; monocytes (CD3</w:t>
                            </w:r>
                            <w:r w:rsidRPr="00843E82">
                              <w:rPr>
                                <w:sz w:val="20"/>
                                <w:szCs w:val="20"/>
                                <w:vertAlign w:val="superscript"/>
                              </w:rPr>
                              <w:t>-</w:t>
                            </w:r>
                            <w:r w:rsidRPr="009A7602">
                              <w:rPr>
                                <w:sz w:val="20"/>
                                <w:szCs w:val="20"/>
                              </w:rPr>
                              <w:t>,</w:t>
                            </w:r>
                            <w:r>
                              <w:rPr>
                                <w:sz w:val="20"/>
                                <w:szCs w:val="20"/>
                              </w:rPr>
                              <w:t xml:space="preserve"> </w:t>
                            </w:r>
                            <w:r w:rsidRPr="009A7602">
                              <w:rPr>
                                <w:sz w:val="20"/>
                                <w:szCs w:val="20"/>
                              </w:rPr>
                              <w:t>B220</w:t>
                            </w:r>
                            <w:r w:rsidRPr="00843E82">
                              <w:rPr>
                                <w:sz w:val="20"/>
                                <w:szCs w:val="20"/>
                                <w:vertAlign w:val="superscript"/>
                              </w:rPr>
                              <w:t>-</w:t>
                            </w:r>
                            <w:r w:rsidRPr="009A7602">
                              <w:rPr>
                                <w:sz w:val="20"/>
                                <w:szCs w:val="20"/>
                              </w:rPr>
                              <w:t>,</w:t>
                            </w:r>
                            <w:r>
                              <w:rPr>
                                <w:sz w:val="20"/>
                                <w:szCs w:val="20"/>
                              </w:rPr>
                              <w:t xml:space="preserve"> </w:t>
                            </w:r>
                            <w:r w:rsidRPr="009A7602">
                              <w:rPr>
                                <w:sz w:val="20"/>
                                <w:szCs w:val="20"/>
                              </w:rPr>
                              <w:t>NK1.1</w:t>
                            </w:r>
                            <w:r w:rsidRPr="00843E82">
                              <w:rPr>
                                <w:sz w:val="20"/>
                                <w:szCs w:val="20"/>
                                <w:vertAlign w:val="superscript"/>
                              </w:rPr>
                              <w:t>-</w:t>
                            </w:r>
                            <w:r w:rsidRPr="009A7602">
                              <w:rPr>
                                <w:sz w:val="20"/>
                                <w:szCs w:val="20"/>
                              </w:rPr>
                              <w:t>, Ly6G</w:t>
                            </w:r>
                            <w:r w:rsidRPr="00843E82">
                              <w:rPr>
                                <w:sz w:val="20"/>
                                <w:szCs w:val="20"/>
                                <w:vertAlign w:val="superscript"/>
                              </w:rPr>
                              <w:t>-</w:t>
                            </w:r>
                            <w:r w:rsidRPr="009A7602">
                              <w:rPr>
                                <w:sz w:val="20"/>
                                <w:szCs w:val="20"/>
                              </w:rPr>
                              <w:t>, CD11c</w:t>
                            </w:r>
                            <w:r w:rsidRPr="009A7602">
                              <w:rPr>
                                <w:sz w:val="20"/>
                                <w:szCs w:val="20"/>
                                <w:vertAlign w:val="superscript"/>
                              </w:rPr>
                              <w:t>int-hi</w:t>
                            </w:r>
                            <w:r>
                              <w:rPr>
                                <w:sz w:val="20"/>
                                <w:szCs w:val="20"/>
                              </w:rPr>
                              <w:t xml:space="preserve"> &amp; F4/80</w:t>
                            </w:r>
                            <w:r w:rsidRPr="00843E82">
                              <w:rPr>
                                <w:sz w:val="20"/>
                                <w:szCs w:val="20"/>
                                <w:vertAlign w:val="superscript"/>
                              </w:rPr>
                              <w:t>+</w:t>
                            </w:r>
                            <w:r>
                              <w:rPr>
                                <w:sz w:val="20"/>
                                <w:szCs w:val="20"/>
                              </w:rPr>
                              <w:t>), T cells (</w:t>
                            </w:r>
                            <w:r w:rsidRPr="009A7602">
                              <w:rPr>
                                <w:sz w:val="20"/>
                                <w:szCs w:val="20"/>
                              </w:rPr>
                              <w:t>CD3</w:t>
                            </w:r>
                            <w:r w:rsidRPr="00843E82">
                              <w:rPr>
                                <w:sz w:val="20"/>
                                <w:szCs w:val="20"/>
                                <w:vertAlign w:val="superscript"/>
                              </w:rPr>
                              <w:t>+</w:t>
                            </w:r>
                            <w:r w:rsidRPr="009A7602">
                              <w:rPr>
                                <w:sz w:val="20"/>
                                <w:szCs w:val="20"/>
                              </w:rPr>
                              <w:t>,</w:t>
                            </w:r>
                            <w:r>
                              <w:rPr>
                                <w:sz w:val="20"/>
                                <w:szCs w:val="20"/>
                              </w:rPr>
                              <w:t xml:space="preserve"> </w:t>
                            </w:r>
                            <w:r w:rsidRPr="009A7602">
                              <w:rPr>
                                <w:sz w:val="20"/>
                                <w:szCs w:val="20"/>
                              </w:rPr>
                              <w:t>B220</w:t>
                            </w:r>
                            <w:r w:rsidRPr="00843E82">
                              <w:rPr>
                                <w:sz w:val="20"/>
                                <w:szCs w:val="20"/>
                                <w:vertAlign w:val="superscript"/>
                              </w:rPr>
                              <w:t>-</w:t>
                            </w:r>
                            <w:r w:rsidRPr="009A7602">
                              <w:rPr>
                                <w:sz w:val="20"/>
                                <w:szCs w:val="20"/>
                              </w:rPr>
                              <w:t>,</w:t>
                            </w:r>
                            <w:r>
                              <w:rPr>
                                <w:sz w:val="20"/>
                                <w:szCs w:val="20"/>
                              </w:rPr>
                              <w:t xml:space="preserve"> </w:t>
                            </w:r>
                            <w:r w:rsidRPr="009A7602">
                              <w:rPr>
                                <w:sz w:val="20"/>
                                <w:szCs w:val="20"/>
                              </w:rPr>
                              <w:t>NK1.1</w:t>
                            </w:r>
                            <w:r w:rsidRPr="00843E82">
                              <w:rPr>
                                <w:sz w:val="20"/>
                                <w:szCs w:val="20"/>
                                <w:vertAlign w:val="superscript"/>
                              </w:rPr>
                              <w:t>-</w:t>
                            </w:r>
                            <w:r>
                              <w:rPr>
                                <w:sz w:val="20"/>
                                <w:szCs w:val="20"/>
                              </w:rPr>
                              <w:t xml:space="preserve"> &amp;</w:t>
                            </w:r>
                            <w:r w:rsidRPr="009A7602">
                              <w:rPr>
                                <w:sz w:val="20"/>
                                <w:szCs w:val="20"/>
                              </w:rPr>
                              <w:t xml:space="preserve"> TCR</w:t>
                            </w:r>
                            <w:r w:rsidRPr="009A7602">
                              <w:rPr>
                                <w:sz w:val="20"/>
                                <w:szCs w:val="20"/>
                              </w:rPr>
                              <w:sym w:font="Symbol" w:char="F062"/>
                            </w:r>
                            <w:r w:rsidRPr="00843E82">
                              <w:rPr>
                                <w:sz w:val="20"/>
                                <w:szCs w:val="20"/>
                                <w:vertAlign w:val="superscript"/>
                              </w:rPr>
                              <w:t>+</w:t>
                            </w:r>
                            <w:r w:rsidRPr="009A7602">
                              <w:rPr>
                                <w:sz w:val="20"/>
                                <w:szCs w:val="20"/>
                              </w:rPr>
                              <w:t>), NK cells (CD3</w:t>
                            </w:r>
                            <w:r w:rsidRPr="00843E82">
                              <w:rPr>
                                <w:sz w:val="20"/>
                                <w:szCs w:val="20"/>
                                <w:vertAlign w:val="superscript"/>
                              </w:rPr>
                              <w:t>+</w:t>
                            </w:r>
                            <w:r w:rsidRPr="009A7602">
                              <w:rPr>
                                <w:sz w:val="20"/>
                                <w:szCs w:val="20"/>
                              </w:rPr>
                              <w:t>,</w:t>
                            </w:r>
                            <w:r>
                              <w:rPr>
                                <w:sz w:val="20"/>
                                <w:szCs w:val="20"/>
                              </w:rPr>
                              <w:t xml:space="preserve"> </w:t>
                            </w:r>
                            <w:r w:rsidRPr="009A7602">
                              <w:rPr>
                                <w:sz w:val="20"/>
                                <w:szCs w:val="20"/>
                              </w:rPr>
                              <w:t>B220</w:t>
                            </w:r>
                            <w:r w:rsidRPr="00843E82">
                              <w:rPr>
                                <w:sz w:val="20"/>
                                <w:szCs w:val="20"/>
                                <w:vertAlign w:val="superscript"/>
                              </w:rPr>
                              <w:t>-</w:t>
                            </w:r>
                            <w:r w:rsidRPr="009A7602">
                              <w:rPr>
                                <w:sz w:val="20"/>
                                <w:szCs w:val="20"/>
                              </w:rPr>
                              <w:t>,</w:t>
                            </w:r>
                            <w:r>
                              <w:rPr>
                                <w:sz w:val="20"/>
                                <w:szCs w:val="20"/>
                              </w:rPr>
                              <w:t xml:space="preserve"> </w:t>
                            </w:r>
                            <w:r w:rsidRPr="009A7602">
                              <w:rPr>
                                <w:sz w:val="20"/>
                                <w:szCs w:val="20"/>
                              </w:rPr>
                              <w:t>NK1.1</w:t>
                            </w:r>
                            <w:r w:rsidRPr="00843E82">
                              <w:rPr>
                                <w:sz w:val="20"/>
                                <w:szCs w:val="20"/>
                                <w:vertAlign w:val="superscript"/>
                              </w:rPr>
                              <w:t>+</w:t>
                            </w:r>
                            <w:r w:rsidRPr="009A7602">
                              <w:rPr>
                                <w:sz w:val="20"/>
                                <w:szCs w:val="20"/>
                              </w:rPr>
                              <w:t>, TCR</w:t>
                            </w:r>
                            <w:r w:rsidRPr="009A7602">
                              <w:rPr>
                                <w:sz w:val="20"/>
                                <w:szCs w:val="20"/>
                              </w:rPr>
                              <w:sym w:font="Symbol" w:char="F062"/>
                            </w:r>
                            <w:r w:rsidRPr="00843E82">
                              <w:rPr>
                                <w:sz w:val="20"/>
                                <w:szCs w:val="20"/>
                                <w:vertAlign w:val="superscript"/>
                              </w:rPr>
                              <w:t>-</w:t>
                            </w:r>
                            <w:r>
                              <w:rPr>
                                <w:sz w:val="20"/>
                                <w:szCs w:val="20"/>
                              </w:rPr>
                              <w:t xml:space="preserve"> &amp; CD11b</w:t>
                            </w:r>
                            <w:r w:rsidRPr="00843E82">
                              <w:rPr>
                                <w:sz w:val="20"/>
                                <w:szCs w:val="20"/>
                                <w:vertAlign w:val="superscript"/>
                              </w:rPr>
                              <w:t>+</w:t>
                            </w:r>
                            <w:r>
                              <w:rPr>
                                <w:sz w:val="20"/>
                                <w:szCs w:val="20"/>
                              </w:rPr>
                              <w:t>) or B cells (</w:t>
                            </w:r>
                            <w:r w:rsidRPr="009A7602">
                              <w:rPr>
                                <w:sz w:val="20"/>
                                <w:szCs w:val="20"/>
                              </w:rPr>
                              <w:t>CD3</w:t>
                            </w:r>
                            <w:r w:rsidRPr="00843E82">
                              <w:rPr>
                                <w:sz w:val="20"/>
                                <w:szCs w:val="20"/>
                                <w:vertAlign w:val="superscript"/>
                              </w:rPr>
                              <w:t>-</w:t>
                            </w:r>
                            <w:r w:rsidRPr="009A7602">
                              <w:rPr>
                                <w:sz w:val="20"/>
                                <w:szCs w:val="20"/>
                              </w:rPr>
                              <w:t>,</w:t>
                            </w:r>
                            <w:r>
                              <w:rPr>
                                <w:sz w:val="20"/>
                                <w:szCs w:val="20"/>
                              </w:rPr>
                              <w:t xml:space="preserve"> </w:t>
                            </w:r>
                            <w:r w:rsidRPr="009A7602">
                              <w:rPr>
                                <w:sz w:val="20"/>
                                <w:szCs w:val="20"/>
                              </w:rPr>
                              <w:t>B220</w:t>
                            </w:r>
                            <w:r w:rsidRPr="00843E82">
                              <w:rPr>
                                <w:sz w:val="20"/>
                                <w:szCs w:val="20"/>
                                <w:vertAlign w:val="superscript"/>
                              </w:rPr>
                              <w:t>+</w:t>
                            </w:r>
                            <w:r w:rsidRPr="009A7602">
                              <w:rPr>
                                <w:sz w:val="20"/>
                                <w:szCs w:val="20"/>
                              </w:rPr>
                              <w:t>,</w:t>
                            </w:r>
                            <w:r>
                              <w:rPr>
                                <w:sz w:val="20"/>
                                <w:szCs w:val="20"/>
                              </w:rPr>
                              <w:t xml:space="preserve"> </w:t>
                            </w:r>
                            <w:r w:rsidRPr="009A7602">
                              <w:rPr>
                                <w:sz w:val="20"/>
                                <w:szCs w:val="20"/>
                              </w:rPr>
                              <w:t>NK1.1</w:t>
                            </w:r>
                            <w:r w:rsidRPr="00843E82">
                              <w:rPr>
                                <w:sz w:val="20"/>
                                <w:szCs w:val="20"/>
                                <w:vertAlign w:val="superscript"/>
                              </w:rPr>
                              <w:t>-</w:t>
                            </w:r>
                            <w:r w:rsidRPr="009A7602">
                              <w:rPr>
                                <w:sz w:val="20"/>
                                <w:szCs w:val="20"/>
                              </w:rPr>
                              <w:t>, TCR</w:t>
                            </w:r>
                            <w:r w:rsidRPr="009A7602">
                              <w:rPr>
                                <w:sz w:val="20"/>
                                <w:szCs w:val="20"/>
                              </w:rPr>
                              <w:sym w:font="Symbol" w:char="F062"/>
                            </w:r>
                            <w:r w:rsidRPr="00843E82">
                              <w:rPr>
                                <w:sz w:val="20"/>
                                <w:szCs w:val="20"/>
                                <w:vertAlign w:val="superscript"/>
                              </w:rPr>
                              <w:t>-</w:t>
                            </w:r>
                            <w:r w:rsidRPr="009A7602">
                              <w:rPr>
                                <w:sz w:val="20"/>
                                <w:szCs w:val="20"/>
                              </w:rPr>
                              <w:t>, CD11b</w:t>
                            </w:r>
                            <w:r w:rsidRPr="00843E82">
                              <w:rPr>
                                <w:sz w:val="20"/>
                                <w:szCs w:val="20"/>
                                <w:vertAlign w:val="superscript"/>
                              </w:rPr>
                              <w:t>-</w:t>
                            </w:r>
                            <w:r w:rsidRPr="009A7602">
                              <w:rPr>
                                <w:sz w:val="20"/>
                                <w:szCs w:val="20"/>
                              </w:rPr>
                              <w:t>).</w:t>
                            </w:r>
                            <w:r>
                              <w:rPr>
                                <w:sz w:val="20"/>
                                <w:szCs w:val="20"/>
                              </w:rPr>
                              <w:t xml:space="preserve"> Gating was carried out using staining protocol 1.</w:t>
                            </w:r>
                            <w:bookmarkEnd w:id="341"/>
                            <w:bookmarkEnd w:id="342"/>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B044389" id="Text Box 21" o:spid="_x0000_s1085" type="#_x0000_t202" style="position:absolute;left:0;text-align:left;margin-left:-3.75pt;margin-top:535.7pt;width:446.6pt;height:171.6pt;z-index:2520371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VeDiMHwIAAEMEAAAOAAAAZHJzL2Uyb0RvYy54bWysU01v2zAMvQ/YfxB0X5xk6JcRp8haZBgQ&#13;&#10;tAWSoWdFlhIDtqhJSuzs1+9Jjtuu22nYRaZI+pF8fJrddk3Njsr5ikzBJ6MxZ8pIKiuzK/j3zfLT&#13;&#10;NWc+CFOKmowq+El5fjv/+GHW2lxNaU91qRwDiPF5awu+D8HmWeblXjXCj8gqg6Am14iAq9tlpRMt&#13;&#10;0Js6m47Hl1lLrrSOpPIe3vs+yOcJX2slw6PWXgVWFxy9hXS6dG7jmc1nIt85YfeVPLch/qGLRlQG&#13;&#10;RV+g7kUQ7OCqP6CaSjrypMNIUpOR1pVUaQZMMxm/m2a9F1alWUCOty80+f8HKx+OT45VZcGnE86M&#13;&#10;aLCjjeoC+0Idgwv8tNbnSFtbJIYOfux58Hs449iddk38YiCGOJg+vbAb0SScF5dXk+spQhKx6eTq&#13;&#10;5jMuwM9ef7fOh6+KGhaNgjusL7Eqjisf+tQhJVYztKzqOq2wNr85gBk9Wey97zFaodt2adaLm2GA&#13;&#10;LZUnzOWoV4a3clmh9kr48CQcpIB+Ie/wiEPX1BaczhZne3I//+aP+dgQopy1kFbB/Y+DcIqz+pvB&#13;&#10;7qIOB8MNxnYwzKG5I6gV60A3ycQPLtSDqR01z1D9IlZBSBiJWgUPg3kXeoHj1Ui1WKQkqM2KsDJr&#13;&#10;KyN0JCsyuemehbNnugM29UCD6ET+jvU+t6d5cQikq7SSSGzP4plvKDUt9fyq4lN4e09Zr29//gsA&#13;&#10;AP//AwBQSwMEFAAGAAgAAAAhAL0n/cXlAAAAEQEAAA8AAABkcnMvZG93bnJldi54bWxMT8tugzAQ&#13;&#10;vFfqP1gbqbfEUBEgBBNFfZwqVSX00KMBB6zgNcVOQv++21N6WWlnZ+eR72YzsIuanLYoIFwFwBQ2&#13;&#10;ttXYCfisXpcpMOcltnKwqAT8KAe74v4ul1lrr1iqy8F3jETQZVJA7/2Yce6aXhnpVnZUSLejnYz0&#13;&#10;tE4dbyd5JXEz8McgiLmRGsmhl6N66lVzOpyNgP0Xli/6+73+KI+lrqpNgG/xSYiHxfy8pbHfAvNq&#13;&#10;9rcP+OtA+aGgYLU9Y+vYIGCZrIlJeJCEETBipOk6AVYTFIVRDLzI+f8mxS8AAAD//wMAUEsBAi0A&#13;&#10;FAAGAAgAAAAhALaDOJL+AAAA4QEAABMAAAAAAAAAAAAAAAAAAAAAAFtDb250ZW50X1R5cGVzXS54&#13;&#10;bWxQSwECLQAUAAYACAAAACEAOP0h/9YAAACUAQAACwAAAAAAAAAAAAAAAAAvAQAAX3JlbHMvLnJl&#13;&#10;bHNQSwECLQAUAAYACAAAACEAlXg4jB8CAABDBAAADgAAAAAAAAAAAAAAAAAuAgAAZHJzL2Uyb0Rv&#13;&#10;Yy54bWxQSwECLQAUAAYACAAAACEAvSf9xeUAAAARAQAADwAAAAAAAAAAAAAAAAB5BAAAZHJzL2Rv&#13;&#10;d25yZXYueG1sUEsFBgAAAAAEAAQA8wAAAIsFAAAAAA==&#13;&#10;" filled="f" stroked="f">
                <v:textbox inset="0,0,0,0">
                  <w:txbxContent>
                    <w:p w14:paraId="679C213E" w14:textId="548752C0" w:rsidR="00F61130" w:rsidRPr="009A7602" w:rsidRDefault="00F61130" w:rsidP="00D376DB">
                      <w:pPr>
                        <w:pStyle w:val="Caption"/>
                        <w:spacing w:line="360" w:lineRule="auto"/>
                        <w:jc w:val="both"/>
                        <w:rPr>
                          <w:b/>
                          <w:noProof/>
                          <w:sz w:val="20"/>
                          <w:szCs w:val="20"/>
                          <w:lang w:eastAsia="en-GB"/>
                        </w:rPr>
                      </w:pPr>
                      <w:bookmarkStart w:id="343" w:name="_Ref518563553"/>
                      <w:bookmarkStart w:id="344" w:name="_Toc525227207"/>
                      <w:bookmarkStart w:id="345" w:name="_Toc536814146"/>
                      <w:r w:rsidRPr="009A7602">
                        <w:rPr>
                          <w:b/>
                          <w:sz w:val="20"/>
                          <w:szCs w:val="20"/>
                        </w:rPr>
                        <w:t xml:space="preserve">Figure </w:t>
                      </w:r>
                      <w:r>
                        <w:rPr>
                          <w:b/>
                          <w:sz w:val="20"/>
                          <w:szCs w:val="20"/>
                        </w:rPr>
                        <w:fldChar w:fldCharType="begin"/>
                      </w:r>
                      <w:r>
                        <w:rPr>
                          <w:b/>
                          <w:sz w:val="20"/>
                          <w:szCs w:val="20"/>
                        </w:rPr>
                        <w:instrText xml:space="preserve"> STYLEREF 1 \s </w:instrText>
                      </w:r>
                      <w:r>
                        <w:rPr>
                          <w:b/>
                          <w:sz w:val="20"/>
                          <w:szCs w:val="20"/>
                        </w:rPr>
                        <w:fldChar w:fldCharType="separate"/>
                      </w:r>
                      <w:r>
                        <w:rPr>
                          <w:b/>
                          <w:noProof/>
                          <w:sz w:val="20"/>
                          <w:szCs w:val="20"/>
                        </w:rPr>
                        <w:t>4</w:t>
                      </w:r>
                      <w:r>
                        <w:rPr>
                          <w:b/>
                          <w:sz w:val="20"/>
                          <w:szCs w:val="20"/>
                        </w:rPr>
                        <w:fldChar w:fldCharType="end"/>
                      </w:r>
                      <w:r>
                        <w:rPr>
                          <w:b/>
                          <w:sz w:val="20"/>
                          <w:szCs w:val="20"/>
                        </w:rPr>
                        <w:t>.</w:t>
                      </w:r>
                      <w:r>
                        <w:rPr>
                          <w:b/>
                          <w:sz w:val="20"/>
                          <w:szCs w:val="20"/>
                        </w:rPr>
                        <w:fldChar w:fldCharType="begin"/>
                      </w:r>
                      <w:r>
                        <w:rPr>
                          <w:b/>
                          <w:sz w:val="20"/>
                          <w:szCs w:val="20"/>
                        </w:rPr>
                        <w:instrText xml:space="preserve"> SEQ Figure \* ARABIC \s 1 </w:instrText>
                      </w:r>
                      <w:r>
                        <w:rPr>
                          <w:b/>
                          <w:sz w:val="20"/>
                          <w:szCs w:val="20"/>
                        </w:rPr>
                        <w:fldChar w:fldCharType="separate"/>
                      </w:r>
                      <w:r>
                        <w:rPr>
                          <w:b/>
                          <w:noProof/>
                          <w:sz w:val="20"/>
                          <w:szCs w:val="20"/>
                        </w:rPr>
                        <w:t>2</w:t>
                      </w:r>
                      <w:r>
                        <w:rPr>
                          <w:b/>
                          <w:sz w:val="20"/>
                          <w:szCs w:val="20"/>
                        </w:rPr>
                        <w:fldChar w:fldCharType="end"/>
                      </w:r>
                      <w:bookmarkEnd w:id="343"/>
                      <w:r w:rsidRPr="009A7602">
                        <w:rPr>
                          <w:b/>
                          <w:sz w:val="20"/>
                          <w:szCs w:val="20"/>
                        </w:rPr>
                        <w:t xml:space="preserve"> - Gating strategy for flow cytometry to characterise leukocyte subsets.</w:t>
                      </w:r>
                      <w:r w:rsidRPr="009A7602">
                        <w:rPr>
                          <w:sz w:val="20"/>
                          <w:szCs w:val="20"/>
                        </w:rPr>
                        <w:t xml:space="preserve"> Pseudo-colour plots of purified hepatic cells from a day 21 post-infection (</w:t>
                      </w:r>
                      <w:r w:rsidRPr="009A7602">
                        <w:rPr>
                          <w:i/>
                          <w:sz w:val="20"/>
                          <w:szCs w:val="20"/>
                        </w:rPr>
                        <w:t>L. donovani</w:t>
                      </w:r>
                      <w:r w:rsidRPr="009A7602">
                        <w:rPr>
                          <w:sz w:val="20"/>
                          <w:szCs w:val="20"/>
                        </w:rPr>
                        <w:t>) B6 mouse. All subsets are initially characterised as Single Live CD45</w:t>
                      </w:r>
                      <w:r w:rsidRPr="00843E82">
                        <w:rPr>
                          <w:sz w:val="20"/>
                          <w:szCs w:val="20"/>
                          <w:vertAlign w:val="superscript"/>
                        </w:rPr>
                        <w:t>+</w:t>
                      </w:r>
                      <w:r w:rsidRPr="009A7602">
                        <w:rPr>
                          <w:sz w:val="20"/>
                          <w:szCs w:val="20"/>
                        </w:rPr>
                        <w:t xml:space="preserve"> Cells, further characterisation is based upon expression of addition</w:t>
                      </w:r>
                      <w:r>
                        <w:rPr>
                          <w:sz w:val="20"/>
                          <w:szCs w:val="20"/>
                        </w:rPr>
                        <w:t>al</w:t>
                      </w:r>
                      <w:r w:rsidRPr="009A7602">
                        <w:rPr>
                          <w:sz w:val="20"/>
                          <w:szCs w:val="20"/>
                        </w:rPr>
                        <w:t xml:space="preserve"> markers</w:t>
                      </w:r>
                      <w:r>
                        <w:rPr>
                          <w:sz w:val="20"/>
                          <w:szCs w:val="20"/>
                        </w:rPr>
                        <w:t>. TCR</w:t>
                      </w:r>
                      <w:r>
                        <w:rPr>
                          <w:sz w:val="20"/>
                          <w:szCs w:val="20"/>
                        </w:rPr>
                        <w:sym w:font="Symbol" w:char="F062"/>
                      </w:r>
                      <w:r>
                        <w:rPr>
                          <w:sz w:val="20"/>
                          <w:szCs w:val="20"/>
                        </w:rPr>
                        <w:t xml:space="preserve"> &amp; Ly6G both were conjugated with the fluorochrome PerCP-Cy5.5 (shown as ‘TCRb, Ly6G – PerCP-Cy5.5’ on plot axes) which when leukocytes were separated as lymphoid vs. myeloid cells allowed for the discrimination of T Cells (Lymphoid cells which are PerCP-Cy5.5</w:t>
                      </w:r>
                      <w:r>
                        <w:rPr>
                          <w:sz w:val="20"/>
                          <w:szCs w:val="20"/>
                          <w:vertAlign w:val="superscript"/>
                        </w:rPr>
                        <w:t>+</w:t>
                      </w:r>
                      <w:r>
                        <w:rPr>
                          <w:sz w:val="20"/>
                          <w:szCs w:val="20"/>
                        </w:rPr>
                        <w:t>) and Neutrophils (Myeloid cells which are PerCP-Cy5.5</w:t>
                      </w:r>
                      <w:r>
                        <w:rPr>
                          <w:sz w:val="20"/>
                          <w:szCs w:val="20"/>
                          <w:vertAlign w:val="superscript"/>
                        </w:rPr>
                        <w:t>+</w:t>
                      </w:r>
                      <w:r>
                        <w:rPr>
                          <w:sz w:val="20"/>
                          <w:szCs w:val="20"/>
                        </w:rPr>
                        <w:t>)</w:t>
                      </w:r>
                      <w:r w:rsidRPr="009A7602">
                        <w:rPr>
                          <w:sz w:val="20"/>
                          <w:szCs w:val="20"/>
                        </w:rPr>
                        <w:t xml:space="preserve">. Subsets </w:t>
                      </w:r>
                      <w:r>
                        <w:rPr>
                          <w:sz w:val="20"/>
                          <w:szCs w:val="20"/>
                        </w:rPr>
                        <w:t>were analysed as: neutrophils (</w:t>
                      </w:r>
                      <w:r w:rsidRPr="009A7602">
                        <w:rPr>
                          <w:sz w:val="20"/>
                          <w:szCs w:val="20"/>
                        </w:rPr>
                        <w:t>CD3</w:t>
                      </w:r>
                      <w:r w:rsidRPr="00843E82">
                        <w:rPr>
                          <w:sz w:val="20"/>
                          <w:szCs w:val="20"/>
                          <w:vertAlign w:val="superscript"/>
                        </w:rPr>
                        <w:t>-</w:t>
                      </w:r>
                      <w:r w:rsidRPr="009A7602">
                        <w:rPr>
                          <w:sz w:val="20"/>
                          <w:szCs w:val="20"/>
                        </w:rPr>
                        <w:t>,</w:t>
                      </w:r>
                      <w:r>
                        <w:rPr>
                          <w:sz w:val="20"/>
                          <w:szCs w:val="20"/>
                        </w:rPr>
                        <w:t xml:space="preserve"> </w:t>
                      </w:r>
                      <w:r w:rsidRPr="009A7602">
                        <w:rPr>
                          <w:sz w:val="20"/>
                          <w:szCs w:val="20"/>
                        </w:rPr>
                        <w:t>B220</w:t>
                      </w:r>
                      <w:r w:rsidRPr="00843E82">
                        <w:rPr>
                          <w:sz w:val="20"/>
                          <w:szCs w:val="20"/>
                          <w:vertAlign w:val="superscript"/>
                        </w:rPr>
                        <w:t>-</w:t>
                      </w:r>
                      <w:r w:rsidRPr="009A7602">
                        <w:rPr>
                          <w:sz w:val="20"/>
                          <w:szCs w:val="20"/>
                        </w:rPr>
                        <w:t>,</w:t>
                      </w:r>
                      <w:r>
                        <w:rPr>
                          <w:sz w:val="20"/>
                          <w:szCs w:val="20"/>
                        </w:rPr>
                        <w:t xml:space="preserve"> </w:t>
                      </w:r>
                      <w:r w:rsidRPr="009A7602">
                        <w:rPr>
                          <w:sz w:val="20"/>
                          <w:szCs w:val="20"/>
                        </w:rPr>
                        <w:t>NK1.1</w:t>
                      </w:r>
                      <w:r w:rsidRPr="00843E82">
                        <w:rPr>
                          <w:sz w:val="20"/>
                          <w:szCs w:val="20"/>
                          <w:vertAlign w:val="superscript"/>
                        </w:rPr>
                        <w:t>-</w:t>
                      </w:r>
                      <w:r>
                        <w:rPr>
                          <w:sz w:val="20"/>
                          <w:szCs w:val="20"/>
                        </w:rPr>
                        <w:t xml:space="preserve"> &amp;</w:t>
                      </w:r>
                      <w:r w:rsidRPr="009A7602">
                        <w:rPr>
                          <w:sz w:val="20"/>
                          <w:szCs w:val="20"/>
                        </w:rPr>
                        <w:t xml:space="preserve"> Ly6G</w:t>
                      </w:r>
                      <w:r w:rsidRPr="00843E82">
                        <w:rPr>
                          <w:sz w:val="20"/>
                          <w:szCs w:val="20"/>
                          <w:vertAlign w:val="superscript"/>
                        </w:rPr>
                        <w:t>+</w:t>
                      </w:r>
                      <w:r w:rsidRPr="009A7602">
                        <w:rPr>
                          <w:sz w:val="20"/>
                          <w:szCs w:val="20"/>
                        </w:rPr>
                        <w:t>), dendritic cells (CD3</w:t>
                      </w:r>
                      <w:r w:rsidRPr="00843E82">
                        <w:rPr>
                          <w:sz w:val="20"/>
                          <w:szCs w:val="20"/>
                          <w:vertAlign w:val="superscript"/>
                        </w:rPr>
                        <w:t>-</w:t>
                      </w:r>
                      <w:r w:rsidRPr="009A7602">
                        <w:rPr>
                          <w:sz w:val="20"/>
                          <w:szCs w:val="20"/>
                        </w:rPr>
                        <w:t>,</w:t>
                      </w:r>
                      <w:r>
                        <w:rPr>
                          <w:sz w:val="20"/>
                          <w:szCs w:val="20"/>
                        </w:rPr>
                        <w:t xml:space="preserve"> </w:t>
                      </w:r>
                      <w:r w:rsidRPr="009A7602">
                        <w:rPr>
                          <w:sz w:val="20"/>
                          <w:szCs w:val="20"/>
                        </w:rPr>
                        <w:t>B220</w:t>
                      </w:r>
                      <w:r w:rsidRPr="00843E82">
                        <w:rPr>
                          <w:sz w:val="20"/>
                          <w:szCs w:val="20"/>
                          <w:vertAlign w:val="superscript"/>
                        </w:rPr>
                        <w:t>-</w:t>
                      </w:r>
                      <w:r w:rsidRPr="009A7602">
                        <w:rPr>
                          <w:sz w:val="20"/>
                          <w:szCs w:val="20"/>
                        </w:rPr>
                        <w:t>,</w:t>
                      </w:r>
                      <w:r>
                        <w:rPr>
                          <w:sz w:val="20"/>
                          <w:szCs w:val="20"/>
                        </w:rPr>
                        <w:t xml:space="preserve"> </w:t>
                      </w:r>
                      <w:r w:rsidRPr="009A7602">
                        <w:rPr>
                          <w:sz w:val="20"/>
                          <w:szCs w:val="20"/>
                        </w:rPr>
                        <w:t>NK1.1</w:t>
                      </w:r>
                      <w:r w:rsidRPr="00843E82">
                        <w:rPr>
                          <w:sz w:val="20"/>
                          <w:szCs w:val="20"/>
                          <w:vertAlign w:val="superscript"/>
                        </w:rPr>
                        <w:t>-</w:t>
                      </w:r>
                      <w:r w:rsidRPr="009A7602">
                        <w:rPr>
                          <w:sz w:val="20"/>
                          <w:szCs w:val="20"/>
                        </w:rPr>
                        <w:t>, Ly6G</w:t>
                      </w:r>
                      <w:r w:rsidRPr="00843E82">
                        <w:rPr>
                          <w:sz w:val="20"/>
                          <w:szCs w:val="20"/>
                          <w:vertAlign w:val="superscript"/>
                        </w:rPr>
                        <w:t>-</w:t>
                      </w:r>
                      <w:r w:rsidRPr="009A7602">
                        <w:rPr>
                          <w:sz w:val="20"/>
                          <w:szCs w:val="20"/>
                        </w:rPr>
                        <w:t>, CD11c</w:t>
                      </w:r>
                      <w:r w:rsidRPr="00843E82">
                        <w:rPr>
                          <w:sz w:val="20"/>
                          <w:szCs w:val="20"/>
                          <w:vertAlign w:val="superscript"/>
                        </w:rPr>
                        <w:t>+</w:t>
                      </w:r>
                      <w:r>
                        <w:rPr>
                          <w:sz w:val="20"/>
                          <w:szCs w:val="20"/>
                        </w:rPr>
                        <w:t xml:space="preserve"> &amp;</w:t>
                      </w:r>
                      <w:r w:rsidRPr="009A7602">
                        <w:rPr>
                          <w:sz w:val="20"/>
                          <w:szCs w:val="20"/>
                        </w:rPr>
                        <w:t xml:space="preserve"> F4/80</w:t>
                      </w:r>
                      <w:r w:rsidRPr="00843E82">
                        <w:rPr>
                          <w:sz w:val="20"/>
                          <w:szCs w:val="20"/>
                          <w:vertAlign w:val="superscript"/>
                        </w:rPr>
                        <w:t>-</w:t>
                      </w:r>
                      <w:r w:rsidRPr="009A7602">
                        <w:rPr>
                          <w:sz w:val="20"/>
                          <w:szCs w:val="20"/>
                        </w:rPr>
                        <w:t>), macrophages &amp; monocytes (CD3</w:t>
                      </w:r>
                      <w:r w:rsidRPr="00843E82">
                        <w:rPr>
                          <w:sz w:val="20"/>
                          <w:szCs w:val="20"/>
                          <w:vertAlign w:val="superscript"/>
                        </w:rPr>
                        <w:t>-</w:t>
                      </w:r>
                      <w:r w:rsidRPr="009A7602">
                        <w:rPr>
                          <w:sz w:val="20"/>
                          <w:szCs w:val="20"/>
                        </w:rPr>
                        <w:t>,</w:t>
                      </w:r>
                      <w:r>
                        <w:rPr>
                          <w:sz w:val="20"/>
                          <w:szCs w:val="20"/>
                        </w:rPr>
                        <w:t xml:space="preserve"> </w:t>
                      </w:r>
                      <w:r w:rsidRPr="009A7602">
                        <w:rPr>
                          <w:sz w:val="20"/>
                          <w:szCs w:val="20"/>
                        </w:rPr>
                        <w:t>B220</w:t>
                      </w:r>
                      <w:r w:rsidRPr="00843E82">
                        <w:rPr>
                          <w:sz w:val="20"/>
                          <w:szCs w:val="20"/>
                          <w:vertAlign w:val="superscript"/>
                        </w:rPr>
                        <w:t>-</w:t>
                      </w:r>
                      <w:r w:rsidRPr="009A7602">
                        <w:rPr>
                          <w:sz w:val="20"/>
                          <w:szCs w:val="20"/>
                        </w:rPr>
                        <w:t>,</w:t>
                      </w:r>
                      <w:r>
                        <w:rPr>
                          <w:sz w:val="20"/>
                          <w:szCs w:val="20"/>
                        </w:rPr>
                        <w:t xml:space="preserve"> </w:t>
                      </w:r>
                      <w:r w:rsidRPr="009A7602">
                        <w:rPr>
                          <w:sz w:val="20"/>
                          <w:szCs w:val="20"/>
                        </w:rPr>
                        <w:t>NK1.1</w:t>
                      </w:r>
                      <w:r w:rsidRPr="00843E82">
                        <w:rPr>
                          <w:sz w:val="20"/>
                          <w:szCs w:val="20"/>
                          <w:vertAlign w:val="superscript"/>
                        </w:rPr>
                        <w:t>-</w:t>
                      </w:r>
                      <w:r w:rsidRPr="009A7602">
                        <w:rPr>
                          <w:sz w:val="20"/>
                          <w:szCs w:val="20"/>
                        </w:rPr>
                        <w:t>, Ly6G</w:t>
                      </w:r>
                      <w:r w:rsidRPr="00843E82">
                        <w:rPr>
                          <w:sz w:val="20"/>
                          <w:szCs w:val="20"/>
                          <w:vertAlign w:val="superscript"/>
                        </w:rPr>
                        <w:t>-</w:t>
                      </w:r>
                      <w:r w:rsidRPr="009A7602">
                        <w:rPr>
                          <w:sz w:val="20"/>
                          <w:szCs w:val="20"/>
                        </w:rPr>
                        <w:t>, CD11c</w:t>
                      </w:r>
                      <w:r w:rsidRPr="009A7602">
                        <w:rPr>
                          <w:sz w:val="20"/>
                          <w:szCs w:val="20"/>
                          <w:vertAlign w:val="superscript"/>
                        </w:rPr>
                        <w:t>int-hi</w:t>
                      </w:r>
                      <w:r>
                        <w:rPr>
                          <w:sz w:val="20"/>
                          <w:szCs w:val="20"/>
                        </w:rPr>
                        <w:t xml:space="preserve"> &amp; F4/80</w:t>
                      </w:r>
                      <w:r w:rsidRPr="00843E82">
                        <w:rPr>
                          <w:sz w:val="20"/>
                          <w:szCs w:val="20"/>
                          <w:vertAlign w:val="superscript"/>
                        </w:rPr>
                        <w:t>+</w:t>
                      </w:r>
                      <w:r>
                        <w:rPr>
                          <w:sz w:val="20"/>
                          <w:szCs w:val="20"/>
                        </w:rPr>
                        <w:t>), T cells (</w:t>
                      </w:r>
                      <w:r w:rsidRPr="009A7602">
                        <w:rPr>
                          <w:sz w:val="20"/>
                          <w:szCs w:val="20"/>
                        </w:rPr>
                        <w:t>CD3</w:t>
                      </w:r>
                      <w:r w:rsidRPr="00843E82">
                        <w:rPr>
                          <w:sz w:val="20"/>
                          <w:szCs w:val="20"/>
                          <w:vertAlign w:val="superscript"/>
                        </w:rPr>
                        <w:t>+</w:t>
                      </w:r>
                      <w:r w:rsidRPr="009A7602">
                        <w:rPr>
                          <w:sz w:val="20"/>
                          <w:szCs w:val="20"/>
                        </w:rPr>
                        <w:t>,</w:t>
                      </w:r>
                      <w:r>
                        <w:rPr>
                          <w:sz w:val="20"/>
                          <w:szCs w:val="20"/>
                        </w:rPr>
                        <w:t xml:space="preserve"> </w:t>
                      </w:r>
                      <w:r w:rsidRPr="009A7602">
                        <w:rPr>
                          <w:sz w:val="20"/>
                          <w:szCs w:val="20"/>
                        </w:rPr>
                        <w:t>B220</w:t>
                      </w:r>
                      <w:r w:rsidRPr="00843E82">
                        <w:rPr>
                          <w:sz w:val="20"/>
                          <w:szCs w:val="20"/>
                          <w:vertAlign w:val="superscript"/>
                        </w:rPr>
                        <w:t>-</w:t>
                      </w:r>
                      <w:r w:rsidRPr="009A7602">
                        <w:rPr>
                          <w:sz w:val="20"/>
                          <w:szCs w:val="20"/>
                        </w:rPr>
                        <w:t>,</w:t>
                      </w:r>
                      <w:r>
                        <w:rPr>
                          <w:sz w:val="20"/>
                          <w:szCs w:val="20"/>
                        </w:rPr>
                        <w:t xml:space="preserve"> </w:t>
                      </w:r>
                      <w:r w:rsidRPr="009A7602">
                        <w:rPr>
                          <w:sz w:val="20"/>
                          <w:szCs w:val="20"/>
                        </w:rPr>
                        <w:t>NK1.1</w:t>
                      </w:r>
                      <w:r w:rsidRPr="00843E82">
                        <w:rPr>
                          <w:sz w:val="20"/>
                          <w:szCs w:val="20"/>
                          <w:vertAlign w:val="superscript"/>
                        </w:rPr>
                        <w:t>-</w:t>
                      </w:r>
                      <w:r>
                        <w:rPr>
                          <w:sz w:val="20"/>
                          <w:szCs w:val="20"/>
                        </w:rPr>
                        <w:t xml:space="preserve"> &amp;</w:t>
                      </w:r>
                      <w:r w:rsidRPr="009A7602">
                        <w:rPr>
                          <w:sz w:val="20"/>
                          <w:szCs w:val="20"/>
                        </w:rPr>
                        <w:t xml:space="preserve"> TCR</w:t>
                      </w:r>
                      <w:r w:rsidRPr="009A7602">
                        <w:rPr>
                          <w:sz w:val="20"/>
                          <w:szCs w:val="20"/>
                        </w:rPr>
                        <w:sym w:font="Symbol" w:char="F062"/>
                      </w:r>
                      <w:r w:rsidRPr="00843E82">
                        <w:rPr>
                          <w:sz w:val="20"/>
                          <w:szCs w:val="20"/>
                          <w:vertAlign w:val="superscript"/>
                        </w:rPr>
                        <w:t>+</w:t>
                      </w:r>
                      <w:r w:rsidRPr="009A7602">
                        <w:rPr>
                          <w:sz w:val="20"/>
                          <w:szCs w:val="20"/>
                        </w:rPr>
                        <w:t>), NK cells (CD3</w:t>
                      </w:r>
                      <w:r w:rsidRPr="00843E82">
                        <w:rPr>
                          <w:sz w:val="20"/>
                          <w:szCs w:val="20"/>
                          <w:vertAlign w:val="superscript"/>
                        </w:rPr>
                        <w:t>+</w:t>
                      </w:r>
                      <w:r w:rsidRPr="009A7602">
                        <w:rPr>
                          <w:sz w:val="20"/>
                          <w:szCs w:val="20"/>
                        </w:rPr>
                        <w:t>,</w:t>
                      </w:r>
                      <w:r>
                        <w:rPr>
                          <w:sz w:val="20"/>
                          <w:szCs w:val="20"/>
                        </w:rPr>
                        <w:t xml:space="preserve"> </w:t>
                      </w:r>
                      <w:r w:rsidRPr="009A7602">
                        <w:rPr>
                          <w:sz w:val="20"/>
                          <w:szCs w:val="20"/>
                        </w:rPr>
                        <w:t>B220</w:t>
                      </w:r>
                      <w:r w:rsidRPr="00843E82">
                        <w:rPr>
                          <w:sz w:val="20"/>
                          <w:szCs w:val="20"/>
                          <w:vertAlign w:val="superscript"/>
                        </w:rPr>
                        <w:t>-</w:t>
                      </w:r>
                      <w:r w:rsidRPr="009A7602">
                        <w:rPr>
                          <w:sz w:val="20"/>
                          <w:szCs w:val="20"/>
                        </w:rPr>
                        <w:t>,</w:t>
                      </w:r>
                      <w:r>
                        <w:rPr>
                          <w:sz w:val="20"/>
                          <w:szCs w:val="20"/>
                        </w:rPr>
                        <w:t xml:space="preserve"> </w:t>
                      </w:r>
                      <w:r w:rsidRPr="009A7602">
                        <w:rPr>
                          <w:sz w:val="20"/>
                          <w:szCs w:val="20"/>
                        </w:rPr>
                        <w:t>NK1.1</w:t>
                      </w:r>
                      <w:r w:rsidRPr="00843E82">
                        <w:rPr>
                          <w:sz w:val="20"/>
                          <w:szCs w:val="20"/>
                          <w:vertAlign w:val="superscript"/>
                        </w:rPr>
                        <w:t>+</w:t>
                      </w:r>
                      <w:r w:rsidRPr="009A7602">
                        <w:rPr>
                          <w:sz w:val="20"/>
                          <w:szCs w:val="20"/>
                        </w:rPr>
                        <w:t>, TCR</w:t>
                      </w:r>
                      <w:r w:rsidRPr="009A7602">
                        <w:rPr>
                          <w:sz w:val="20"/>
                          <w:szCs w:val="20"/>
                        </w:rPr>
                        <w:sym w:font="Symbol" w:char="F062"/>
                      </w:r>
                      <w:r w:rsidRPr="00843E82">
                        <w:rPr>
                          <w:sz w:val="20"/>
                          <w:szCs w:val="20"/>
                          <w:vertAlign w:val="superscript"/>
                        </w:rPr>
                        <w:t>-</w:t>
                      </w:r>
                      <w:r>
                        <w:rPr>
                          <w:sz w:val="20"/>
                          <w:szCs w:val="20"/>
                        </w:rPr>
                        <w:t xml:space="preserve"> &amp; CD11b</w:t>
                      </w:r>
                      <w:r w:rsidRPr="00843E82">
                        <w:rPr>
                          <w:sz w:val="20"/>
                          <w:szCs w:val="20"/>
                          <w:vertAlign w:val="superscript"/>
                        </w:rPr>
                        <w:t>+</w:t>
                      </w:r>
                      <w:r>
                        <w:rPr>
                          <w:sz w:val="20"/>
                          <w:szCs w:val="20"/>
                        </w:rPr>
                        <w:t>) or B cells (</w:t>
                      </w:r>
                      <w:r w:rsidRPr="009A7602">
                        <w:rPr>
                          <w:sz w:val="20"/>
                          <w:szCs w:val="20"/>
                        </w:rPr>
                        <w:t>CD3</w:t>
                      </w:r>
                      <w:r w:rsidRPr="00843E82">
                        <w:rPr>
                          <w:sz w:val="20"/>
                          <w:szCs w:val="20"/>
                          <w:vertAlign w:val="superscript"/>
                        </w:rPr>
                        <w:t>-</w:t>
                      </w:r>
                      <w:r w:rsidRPr="009A7602">
                        <w:rPr>
                          <w:sz w:val="20"/>
                          <w:szCs w:val="20"/>
                        </w:rPr>
                        <w:t>,</w:t>
                      </w:r>
                      <w:r>
                        <w:rPr>
                          <w:sz w:val="20"/>
                          <w:szCs w:val="20"/>
                        </w:rPr>
                        <w:t xml:space="preserve"> </w:t>
                      </w:r>
                      <w:r w:rsidRPr="009A7602">
                        <w:rPr>
                          <w:sz w:val="20"/>
                          <w:szCs w:val="20"/>
                        </w:rPr>
                        <w:t>B220</w:t>
                      </w:r>
                      <w:r w:rsidRPr="00843E82">
                        <w:rPr>
                          <w:sz w:val="20"/>
                          <w:szCs w:val="20"/>
                          <w:vertAlign w:val="superscript"/>
                        </w:rPr>
                        <w:t>+</w:t>
                      </w:r>
                      <w:r w:rsidRPr="009A7602">
                        <w:rPr>
                          <w:sz w:val="20"/>
                          <w:szCs w:val="20"/>
                        </w:rPr>
                        <w:t>,</w:t>
                      </w:r>
                      <w:r>
                        <w:rPr>
                          <w:sz w:val="20"/>
                          <w:szCs w:val="20"/>
                        </w:rPr>
                        <w:t xml:space="preserve"> </w:t>
                      </w:r>
                      <w:r w:rsidRPr="009A7602">
                        <w:rPr>
                          <w:sz w:val="20"/>
                          <w:szCs w:val="20"/>
                        </w:rPr>
                        <w:t>NK1.1</w:t>
                      </w:r>
                      <w:r w:rsidRPr="00843E82">
                        <w:rPr>
                          <w:sz w:val="20"/>
                          <w:szCs w:val="20"/>
                          <w:vertAlign w:val="superscript"/>
                        </w:rPr>
                        <w:t>-</w:t>
                      </w:r>
                      <w:r w:rsidRPr="009A7602">
                        <w:rPr>
                          <w:sz w:val="20"/>
                          <w:szCs w:val="20"/>
                        </w:rPr>
                        <w:t>, TCR</w:t>
                      </w:r>
                      <w:r w:rsidRPr="009A7602">
                        <w:rPr>
                          <w:sz w:val="20"/>
                          <w:szCs w:val="20"/>
                        </w:rPr>
                        <w:sym w:font="Symbol" w:char="F062"/>
                      </w:r>
                      <w:r w:rsidRPr="00843E82">
                        <w:rPr>
                          <w:sz w:val="20"/>
                          <w:szCs w:val="20"/>
                          <w:vertAlign w:val="superscript"/>
                        </w:rPr>
                        <w:t>-</w:t>
                      </w:r>
                      <w:r w:rsidRPr="009A7602">
                        <w:rPr>
                          <w:sz w:val="20"/>
                          <w:szCs w:val="20"/>
                        </w:rPr>
                        <w:t>, CD11b</w:t>
                      </w:r>
                      <w:r w:rsidRPr="00843E82">
                        <w:rPr>
                          <w:sz w:val="20"/>
                          <w:szCs w:val="20"/>
                          <w:vertAlign w:val="superscript"/>
                        </w:rPr>
                        <w:t>-</w:t>
                      </w:r>
                      <w:r w:rsidRPr="009A7602">
                        <w:rPr>
                          <w:sz w:val="20"/>
                          <w:szCs w:val="20"/>
                        </w:rPr>
                        <w:t>).</w:t>
                      </w:r>
                      <w:r>
                        <w:rPr>
                          <w:sz w:val="20"/>
                          <w:szCs w:val="20"/>
                        </w:rPr>
                        <w:t xml:space="preserve"> Gating was carried out using staining protocol 1.</w:t>
                      </w:r>
                      <w:bookmarkEnd w:id="344"/>
                      <w:bookmarkEnd w:id="345"/>
                    </w:p>
                  </w:txbxContent>
                </v:textbox>
              </v:shape>
            </w:pict>
          </mc:Fallback>
        </mc:AlternateContent>
      </w:r>
      <w:r>
        <w:rPr>
          <w:noProof/>
        </w:rPr>
        <w:drawing>
          <wp:anchor distT="0" distB="0" distL="114300" distR="114300" simplePos="0" relativeHeight="252038144" behindDoc="0" locked="0" layoutInCell="1" allowOverlap="1" wp14:anchorId="32E5B11D" wp14:editId="73D4E70D">
            <wp:simplePos x="0" y="0"/>
            <wp:positionH relativeFrom="column">
              <wp:posOffset>-182880</wp:posOffset>
            </wp:positionH>
            <wp:positionV relativeFrom="paragraph">
              <wp:posOffset>1937237</wp:posOffset>
            </wp:positionV>
            <wp:extent cx="5941060" cy="4967605"/>
            <wp:effectExtent l="0" t="0" r="2540" b="0"/>
            <wp:wrapTopAndBottom/>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Picture 73"/>
                    <pic:cNvPicPr>
                      <a:picLocks noChangeAspect="1"/>
                    </pic:cNvPicPr>
                  </pic:nvPicPr>
                  <pic:blipFill>
                    <a:blip r:embed="rId47">
                      <a:extLst>
                        <a:ext uri="{28A0092B-C50C-407E-A947-70E740481C1C}">
                          <a14:useLocalDpi xmlns:a14="http://schemas.microsoft.com/office/drawing/2010/main" val="0"/>
                        </a:ext>
                      </a:extLst>
                    </a:blip>
                    <a:stretch>
                      <a:fillRect/>
                    </a:stretch>
                  </pic:blipFill>
                  <pic:spPr>
                    <a:xfrm>
                      <a:off x="0" y="0"/>
                      <a:ext cx="5941060" cy="4967605"/>
                    </a:xfrm>
                    <a:prstGeom prst="rect">
                      <a:avLst/>
                    </a:prstGeom>
                  </pic:spPr>
                </pic:pic>
              </a:graphicData>
            </a:graphic>
          </wp:anchor>
        </w:drawing>
      </w:r>
      <w:r w:rsidR="00EA7973" w:rsidRPr="008B3AD6">
        <w:t xml:space="preserve">Strong localised immune responses are generated in mice infected with </w:t>
      </w:r>
      <w:r w:rsidR="00EA7973" w:rsidRPr="008B3AD6">
        <w:rPr>
          <w:i/>
        </w:rPr>
        <w:t>L. donovani</w:t>
      </w:r>
      <w:r w:rsidR="00EA7973" w:rsidRPr="008B3AD6">
        <w:t xml:space="preserve">. However, there is limited quantitative data reflecting the changes in leucocyte numbers in the liver, data which is needed for model </w:t>
      </w:r>
      <w:r w:rsidR="00843E82">
        <w:t>calibration</w:t>
      </w:r>
      <w:r w:rsidR="00EA7973" w:rsidRPr="008B3AD6">
        <w:t xml:space="preserve"> (</w:t>
      </w:r>
      <w:r w:rsidR="00EA7973" w:rsidRPr="008B3AD6">
        <w:rPr>
          <w:b/>
        </w:rPr>
        <w:fldChar w:fldCharType="begin"/>
      </w:r>
      <w:r w:rsidR="00EA7973" w:rsidRPr="008B3AD6">
        <w:rPr>
          <w:b/>
        </w:rPr>
        <w:instrText xml:space="preserve"> REF _Ref518563482  \* MERGEFORMAT </w:instrText>
      </w:r>
      <w:r w:rsidR="00EA7973" w:rsidRPr="008B3AD6">
        <w:rPr>
          <w:b/>
        </w:rPr>
        <w:fldChar w:fldCharType="separate"/>
      </w:r>
      <w:r w:rsidR="00E5551E" w:rsidRPr="00E5551E">
        <w:rPr>
          <w:b/>
        </w:rPr>
        <w:t>Figure 4.1</w:t>
      </w:r>
      <w:r w:rsidR="00EA7973" w:rsidRPr="008B3AD6">
        <w:rPr>
          <w:b/>
        </w:rPr>
        <w:fldChar w:fldCharType="end"/>
      </w:r>
      <w:r w:rsidR="00EA7973" w:rsidRPr="008B3AD6">
        <w:t xml:space="preserve">). To determine population abundance over time for both leukocytes and </w:t>
      </w:r>
      <w:r w:rsidR="00EA7973" w:rsidRPr="008B3AD6">
        <w:rPr>
          <w:i/>
        </w:rPr>
        <w:t>L. donovani</w:t>
      </w:r>
      <w:r w:rsidR="00EA7973" w:rsidRPr="008B3AD6">
        <w:t xml:space="preserve">, livers from infected B6 mice were analysed for parasite burden (see Section </w:t>
      </w:r>
      <w:r w:rsidR="00EA7973" w:rsidRPr="008B3AD6">
        <w:fldChar w:fldCharType="begin"/>
      </w:r>
      <w:r w:rsidR="00EA7973" w:rsidRPr="008B3AD6">
        <w:instrText xml:space="preserve"> REF _Ref521771744 \n </w:instrText>
      </w:r>
      <w:r w:rsidR="00CF5FC6" w:rsidRPr="008B3AD6">
        <w:instrText xml:space="preserve"> \* MERGEFORMAT </w:instrText>
      </w:r>
      <w:r w:rsidR="00EA7973" w:rsidRPr="008B3AD6">
        <w:fldChar w:fldCharType="separate"/>
      </w:r>
      <w:r w:rsidR="00E5551E">
        <w:t>2.7</w:t>
      </w:r>
      <w:r w:rsidR="00EA7973" w:rsidRPr="008B3AD6">
        <w:fldChar w:fldCharType="end"/>
      </w:r>
      <w:r w:rsidR="00EA7973" w:rsidRPr="008B3AD6">
        <w:t>) and leukocyte</w:t>
      </w:r>
      <w:r w:rsidR="00843E82">
        <w:t xml:space="preserve"> relative proportions</w:t>
      </w:r>
      <w:r w:rsidR="00EA7973" w:rsidRPr="008B3AD6">
        <w:t xml:space="preserve"> analysed by flow cytometry (see Section </w:t>
      </w:r>
      <w:r w:rsidR="00EA7973" w:rsidRPr="008B3AD6">
        <w:fldChar w:fldCharType="begin"/>
      </w:r>
      <w:r w:rsidR="00EA7973" w:rsidRPr="008B3AD6">
        <w:instrText xml:space="preserve"> REF _Ref521771754 \n </w:instrText>
      </w:r>
      <w:r w:rsidR="00CF5FC6" w:rsidRPr="008B3AD6">
        <w:instrText xml:space="preserve"> \* MERGEFORMAT </w:instrText>
      </w:r>
      <w:r w:rsidR="00EA7973" w:rsidRPr="008B3AD6">
        <w:fldChar w:fldCharType="separate"/>
      </w:r>
      <w:r w:rsidR="00E5551E">
        <w:t>2.10</w:t>
      </w:r>
      <w:r w:rsidR="00EA7973" w:rsidRPr="008B3AD6">
        <w:fldChar w:fldCharType="end"/>
      </w:r>
      <w:r w:rsidR="00EA7973" w:rsidRPr="008B3AD6">
        <w:t>) to generate data on the changes in cellularity (</w:t>
      </w:r>
      <w:r w:rsidR="00EA7973" w:rsidRPr="008B3AD6">
        <w:rPr>
          <w:b/>
        </w:rPr>
        <w:fldChar w:fldCharType="begin"/>
      </w:r>
      <w:r w:rsidR="00EA7973" w:rsidRPr="008B3AD6">
        <w:rPr>
          <w:b/>
        </w:rPr>
        <w:instrText xml:space="preserve"> REF _Ref518563553  \* MERGEFORMAT </w:instrText>
      </w:r>
      <w:r w:rsidR="00EA7973" w:rsidRPr="008B3AD6">
        <w:rPr>
          <w:b/>
        </w:rPr>
        <w:fldChar w:fldCharType="separate"/>
      </w:r>
      <w:r w:rsidR="00E5551E" w:rsidRPr="00E5551E">
        <w:rPr>
          <w:b/>
        </w:rPr>
        <w:t>Figure 4.2</w:t>
      </w:r>
      <w:r w:rsidR="00EA7973" w:rsidRPr="008B3AD6">
        <w:rPr>
          <w:b/>
        </w:rPr>
        <w:fldChar w:fldCharType="end"/>
      </w:r>
      <w:r w:rsidR="00EA7973" w:rsidRPr="008B3AD6">
        <w:t>).</w:t>
      </w:r>
    </w:p>
    <w:p w14:paraId="550BD25A" w14:textId="465259C3" w:rsidR="00EA7973" w:rsidRPr="008B3AD6" w:rsidRDefault="00EA7973" w:rsidP="00EA7973">
      <w:pPr>
        <w:spacing w:line="360" w:lineRule="auto"/>
        <w:jc w:val="both"/>
      </w:pPr>
    </w:p>
    <w:p w14:paraId="5F7A6DE3" w14:textId="15423BD3" w:rsidR="008F277F" w:rsidRPr="008B3AD6" w:rsidRDefault="008F277F" w:rsidP="00EA7973">
      <w:pPr>
        <w:spacing w:line="360" w:lineRule="auto"/>
        <w:jc w:val="both"/>
      </w:pPr>
    </w:p>
    <w:p w14:paraId="4F7F62CD" w14:textId="31972151" w:rsidR="000B6BA5" w:rsidRPr="008B3AD6" w:rsidRDefault="00221D43" w:rsidP="009154C0">
      <w:pPr>
        <w:spacing w:line="360" w:lineRule="auto"/>
        <w:jc w:val="both"/>
      </w:pPr>
      <w:r>
        <w:rPr>
          <w:noProof/>
        </w:rPr>
        <w:lastRenderedPageBreak/>
        <w:drawing>
          <wp:anchor distT="0" distB="0" distL="114300" distR="114300" simplePos="0" relativeHeight="251167744" behindDoc="0" locked="0" layoutInCell="1" allowOverlap="1" wp14:anchorId="06679F7E" wp14:editId="49B0CA98">
            <wp:simplePos x="0" y="0"/>
            <wp:positionH relativeFrom="column">
              <wp:posOffset>0</wp:posOffset>
            </wp:positionH>
            <wp:positionV relativeFrom="paragraph">
              <wp:posOffset>2160270</wp:posOffset>
            </wp:positionV>
            <wp:extent cx="5575935" cy="2095133"/>
            <wp:effectExtent l="0" t="0" r="0" b="635"/>
            <wp:wrapTopAndBottom/>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a:picLocks noChangeAspect="1"/>
                    </pic:cNvPicPr>
                  </pic:nvPicPr>
                  <pic:blipFill rotWithShape="1">
                    <a:blip r:embed="rId48">
                      <a:extLst>
                        <a:ext uri="{28A0092B-C50C-407E-A947-70E740481C1C}">
                          <a14:useLocalDpi xmlns:a14="http://schemas.microsoft.com/office/drawing/2010/main" val="0"/>
                        </a:ext>
                      </a:extLst>
                    </a:blip>
                    <a:srcRect b="72781"/>
                    <a:stretch/>
                  </pic:blipFill>
                  <pic:spPr bwMode="auto">
                    <a:xfrm>
                      <a:off x="0" y="0"/>
                      <a:ext cx="5575935" cy="2095133"/>
                    </a:xfrm>
                    <a:prstGeom prst="rect">
                      <a:avLst/>
                    </a:prstGeom>
                    <a:ln>
                      <a:noFill/>
                    </a:ln>
                    <a:extLst>
                      <a:ext uri="{53640926-AAD7-44D8-BBD7-CCE9431645EC}">
                        <a14:shadowObscured xmlns:a14="http://schemas.microsoft.com/office/drawing/2010/main"/>
                      </a:ext>
                    </a:extLst>
                  </pic:spPr>
                </pic:pic>
              </a:graphicData>
            </a:graphic>
          </wp:anchor>
        </w:drawing>
      </w:r>
      <w:r>
        <w:rPr>
          <w:noProof/>
        </w:rPr>
        <mc:AlternateContent>
          <mc:Choice Requires="wps">
            <w:drawing>
              <wp:anchor distT="0" distB="0" distL="114300" distR="114300" simplePos="0" relativeHeight="251168768" behindDoc="0" locked="0" layoutInCell="1" allowOverlap="1" wp14:anchorId="0CE3A86D" wp14:editId="1E590036">
                <wp:simplePos x="0" y="0"/>
                <wp:positionH relativeFrom="column">
                  <wp:posOffset>0</wp:posOffset>
                </wp:positionH>
                <wp:positionV relativeFrom="paragraph">
                  <wp:posOffset>4306193</wp:posOffset>
                </wp:positionV>
                <wp:extent cx="5575935" cy="1177748"/>
                <wp:effectExtent l="0" t="0" r="0" b="3810"/>
                <wp:wrapTopAndBottom/>
                <wp:docPr id="23" name="Text Box 23"/>
                <wp:cNvGraphicFramePr/>
                <a:graphic xmlns:a="http://schemas.openxmlformats.org/drawingml/2006/main">
                  <a:graphicData uri="http://schemas.microsoft.com/office/word/2010/wordprocessingShape">
                    <wps:wsp>
                      <wps:cNvSpPr txBox="1"/>
                      <wps:spPr>
                        <a:xfrm>
                          <a:off x="0" y="0"/>
                          <a:ext cx="5575935" cy="1177748"/>
                        </a:xfrm>
                        <a:prstGeom prst="rect">
                          <a:avLst/>
                        </a:prstGeom>
                        <a:solidFill>
                          <a:prstClr val="white"/>
                        </a:solidFill>
                        <a:ln>
                          <a:noFill/>
                        </a:ln>
                      </wps:spPr>
                      <wps:txbx>
                        <w:txbxContent>
                          <w:p w14:paraId="52EC8047" w14:textId="17C228FD" w:rsidR="00F61130" w:rsidRPr="009A7602" w:rsidRDefault="00F61130" w:rsidP="00D376DB">
                            <w:pPr>
                              <w:pStyle w:val="Caption"/>
                              <w:spacing w:line="360" w:lineRule="auto"/>
                              <w:jc w:val="both"/>
                              <w:rPr>
                                <w:noProof/>
                                <w:sz w:val="20"/>
                                <w:szCs w:val="20"/>
                              </w:rPr>
                            </w:pPr>
                            <w:bookmarkStart w:id="346" w:name="_Ref518563598"/>
                            <w:bookmarkStart w:id="347" w:name="_Toc525227208"/>
                            <w:bookmarkStart w:id="348" w:name="_Toc536814147"/>
                            <w:r w:rsidRPr="005D122B">
                              <w:rPr>
                                <w:b/>
                                <w:sz w:val="20"/>
                                <w:szCs w:val="20"/>
                              </w:rPr>
                              <w:t xml:space="preserve">Figure </w:t>
                            </w:r>
                            <w:r>
                              <w:rPr>
                                <w:b/>
                                <w:sz w:val="20"/>
                                <w:szCs w:val="20"/>
                              </w:rPr>
                              <w:fldChar w:fldCharType="begin"/>
                            </w:r>
                            <w:r>
                              <w:rPr>
                                <w:b/>
                                <w:sz w:val="20"/>
                                <w:szCs w:val="20"/>
                              </w:rPr>
                              <w:instrText xml:space="preserve"> STYLEREF 1 \s </w:instrText>
                            </w:r>
                            <w:r>
                              <w:rPr>
                                <w:b/>
                                <w:sz w:val="20"/>
                                <w:szCs w:val="20"/>
                              </w:rPr>
                              <w:fldChar w:fldCharType="separate"/>
                            </w:r>
                            <w:r>
                              <w:rPr>
                                <w:b/>
                                <w:noProof/>
                                <w:sz w:val="20"/>
                                <w:szCs w:val="20"/>
                              </w:rPr>
                              <w:t>4</w:t>
                            </w:r>
                            <w:r>
                              <w:rPr>
                                <w:b/>
                                <w:sz w:val="20"/>
                                <w:szCs w:val="20"/>
                              </w:rPr>
                              <w:fldChar w:fldCharType="end"/>
                            </w:r>
                            <w:r>
                              <w:rPr>
                                <w:b/>
                                <w:sz w:val="20"/>
                                <w:szCs w:val="20"/>
                              </w:rPr>
                              <w:t>.</w:t>
                            </w:r>
                            <w:r>
                              <w:rPr>
                                <w:b/>
                                <w:sz w:val="20"/>
                                <w:szCs w:val="20"/>
                              </w:rPr>
                              <w:fldChar w:fldCharType="begin"/>
                            </w:r>
                            <w:r>
                              <w:rPr>
                                <w:b/>
                                <w:sz w:val="20"/>
                                <w:szCs w:val="20"/>
                              </w:rPr>
                              <w:instrText xml:space="preserve"> SEQ Figure \* ARABIC \s 1 </w:instrText>
                            </w:r>
                            <w:r>
                              <w:rPr>
                                <w:b/>
                                <w:sz w:val="20"/>
                                <w:szCs w:val="20"/>
                              </w:rPr>
                              <w:fldChar w:fldCharType="separate"/>
                            </w:r>
                            <w:r>
                              <w:rPr>
                                <w:b/>
                                <w:noProof/>
                                <w:sz w:val="20"/>
                                <w:szCs w:val="20"/>
                              </w:rPr>
                              <w:t>3</w:t>
                            </w:r>
                            <w:r>
                              <w:rPr>
                                <w:b/>
                                <w:sz w:val="20"/>
                                <w:szCs w:val="20"/>
                              </w:rPr>
                              <w:fldChar w:fldCharType="end"/>
                            </w:r>
                            <w:bookmarkStart w:id="349" w:name="_Ref518550627"/>
                            <w:bookmarkEnd w:id="346"/>
                            <w:r w:rsidRPr="005D122B">
                              <w:rPr>
                                <w:b/>
                                <w:sz w:val="20"/>
                                <w:szCs w:val="20"/>
                              </w:rPr>
                              <w:t xml:space="preserve"> </w:t>
                            </w:r>
                            <w:bookmarkEnd w:id="349"/>
                            <w:r w:rsidRPr="005D122B">
                              <w:rPr>
                                <w:b/>
                                <w:sz w:val="20"/>
                                <w:szCs w:val="20"/>
                              </w:rPr>
                              <w:t>- Abundance</w:t>
                            </w:r>
                            <w:r w:rsidRPr="009A7602">
                              <w:rPr>
                                <w:b/>
                                <w:sz w:val="20"/>
                                <w:szCs w:val="20"/>
                              </w:rPr>
                              <w:t xml:space="preserve"> of Lymphoid and Myeloid Cells during Hepatic </w:t>
                            </w:r>
                            <w:r>
                              <w:rPr>
                                <w:b/>
                                <w:sz w:val="20"/>
                                <w:szCs w:val="20"/>
                              </w:rPr>
                              <w:t xml:space="preserve">infection with </w:t>
                            </w:r>
                            <w:r>
                              <w:rPr>
                                <w:b/>
                                <w:i/>
                                <w:sz w:val="20"/>
                                <w:szCs w:val="20"/>
                              </w:rPr>
                              <w:t>L. donovani</w:t>
                            </w:r>
                            <w:r w:rsidRPr="009A7602">
                              <w:rPr>
                                <w:sz w:val="20"/>
                                <w:szCs w:val="20"/>
                              </w:rPr>
                              <w:t xml:space="preserve">. Absolute number of hepatic lymphoid (A) and myeloid (B) cells per liver determined by flow cytometry. Data </w:t>
                            </w:r>
                            <w:r>
                              <w:rPr>
                                <w:sz w:val="20"/>
                                <w:szCs w:val="20"/>
                              </w:rPr>
                              <w:t>are</w:t>
                            </w:r>
                            <w:r w:rsidRPr="009A7602">
                              <w:rPr>
                                <w:sz w:val="20"/>
                                <w:szCs w:val="20"/>
                              </w:rPr>
                              <w:t xml:space="preserve"> shown as mean </w:t>
                            </w:r>
                            <w:r w:rsidRPr="009A7602">
                              <w:rPr>
                                <w:sz w:val="20"/>
                                <w:szCs w:val="20"/>
                              </w:rPr>
                              <w:sym w:font="Symbol" w:char="F0B1"/>
                            </w:r>
                            <w:r w:rsidRPr="009A7602">
                              <w:rPr>
                                <w:sz w:val="20"/>
                                <w:szCs w:val="20"/>
                              </w:rPr>
                              <w:t xml:space="preserve"> SD (n = 4-5 biological replicates per time point). Data </w:t>
                            </w:r>
                            <w:r>
                              <w:rPr>
                                <w:sz w:val="20"/>
                                <w:szCs w:val="20"/>
                              </w:rPr>
                              <w:t>are</w:t>
                            </w:r>
                            <w:r w:rsidRPr="009A7602">
                              <w:rPr>
                                <w:sz w:val="20"/>
                                <w:szCs w:val="20"/>
                              </w:rPr>
                              <w:t xml:space="preserve"> representative of 1 infection experiment and was analysed using a Dunn’s Multiple Comparisons test (# denotes a p value of less than 0.05)</w:t>
                            </w:r>
                            <w:r>
                              <w:rPr>
                                <w:sz w:val="20"/>
                                <w:szCs w:val="20"/>
                              </w:rPr>
                              <w:t>. Samples were generated using digestion and staining protocol 1.</w:t>
                            </w:r>
                            <w:bookmarkEnd w:id="347"/>
                            <w:bookmarkEnd w:id="348"/>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0CE3A86D" id="Text Box 23" o:spid="_x0000_s1086" type="#_x0000_t202" style="position:absolute;left:0;text-align:left;margin-left:0;margin-top:339.05pt;width:439.05pt;height:92.75pt;z-index:2511687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7lNRiNAIAAGsEAAAOAAAAZHJzL2Uyb0RvYy54bWysVFFv2yAQfp+0/4B4X5ykS9NZcaosVaZJ&#13;&#10;VVspmfpMMI6RgGNAYme/fge2k63b07QXfNwdH9z33Xlx32pFTsJ5Caagk9GYEmE4lNIcCvptt/lw&#13;&#10;R4kPzJRMgREFPQtP75fv3y0am4sp1KBK4QiCGJ83tqB1CDbPMs9roZkfgRUGgxU4zQJu3SErHWsQ&#13;&#10;XatsOh7fZg240jrgwnv0PnRBukz4VSV4eK4qLwJRBcW3hbS6tO7jmi0XLD84ZmvJ+2ewf3iFZtLg&#13;&#10;pReoBxYYOTr5B5SW3IGHKow46AyqSnKRasBqJuM31WxrZkWqBcnx9kKT/3+w/On04ogsCzq9ocQw&#13;&#10;jRrtRBvIZ2gJupCfxvoc07YWE0OLftR58Ht0xrLbyun4xYIIxpHp84XdiMbROZvNZ59uZpRwjE0m&#13;&#10;8/n8413Eya7HrfPhiwBNolFQh/IlVtnp0YcudUiJt3lQstxIpeImBtbKkRNDqZtaBtGD/5alTMw1&#13;&#10;EE91gNGTxRq7WqIV2n2bOLlNDRJdeyjPWL+DroO85RuJFz4yH16Yw5bBknEMwjMulYKmoNBblNTg&#13;&#10;fvzNH/NRSYxS0mALFtR/PzInKFFfDWoc+3Uw3GDsB8Mc9Rqw1AkOmOXJxAMuqMGsHOhXnI5VvAVD&#13;&#10;zHC8q6BhMNehGwScLi5Wq5SEXWlZeDRbyyP0QOyufWXO9rIEVPQJhuZk+Rt1utyO5tUxQCWTdFcW&#13;&#10;e76xo5P4/fTFkfl1n7Ku/4jlTwAAAP//AwBQSwMEFAAGAAgAAAAhALI0BiDgAAAADQEAAA8AAABk&#13;&#10;cnMvZG93bnJldi54bWxMj0FPwzAMhe9I/IfISFwQSzekUnVNJ1jhBoeNaWevCW1F41RJunb/HsMF&#13;&#10;Ltaznvz8vmIz216cjQ+dIwXLRQLCUO10R42Cw8frfQYiRCSNvSOj4GICbMrrqwJz7SbamfM+NoJD&#13;&#10;KOSooI1xyKUMdWsshoUbDLH36bzFyKtvpPY4cbjt5SpJUmmxI/7Q4mC2ram/9qNVkFZ+nHa0vasO&#13;&#10;L2/4PjSr4/PlqNTtzVyteTytQUQzx78L+GHg/lBysZMbSQfRK2CayHGP2RIE29mvOLFIH1KQZSH/&#13;&#10;U5TfAAAA//8DAFBLAQItABQABgAIAAAAIQC2gziS/gAAAOEBAAATAAAAAAAAAAAAAAAAAAAAAABb&#13;&#10;Q29udGVudF9UeXBlc10ueG1sUEsBAi0AFAAGAAgAAAAhADj9If/WAAAAlAEAAAsAAAAAAAAAAAAA&#13;&#10;AAAALwEAAF9yZWxzLy5yZWxzUEsBAi0AFAAGAAgAAAAhAPuU1GI0AgAAawQAAA4AAAAAAAAAAAAA&#13;&#10;AAAALgIAAGRycy9lMm9Eb2MueG1sUEsBAi0AFAAGAAgAAAAhALI0BiDgAAAADQEAAA8AAAAAAAAA&#13;&#10;AAAAAAAAjgQAAGRycy9kb3ducmV2LnhtbFBLBQYAAAAABAAEAPMAAACbBQAAAAA=&#13;&#10;" stroked="f">
                <v:textbox inset="0,0,0,0">
                  <w:txbxContent>
                    <w:p w14:paraId="52EC8047" w14:textId="17C228FD" w:rsidR="00F61130" w:rsidRPr="009A7602" w:rsidRDefault="00F61130" w:rsidP="00D376DB">
                      <w:pPr>
                        <w:pStyle w:val="Caption"/>
                        <w:spacing w:line="360" w:lineRule="auto"/>
                        <w:jc w:val="both"/>
                        <w:rPr>
                          <w:noProof/>
                          <w:sz w:val="20"/>
                          <w:szCs w:val="20"/>
                        </w:rPr>
                      </w:pPr>
                      <w:bookmarkStart w:id="350" w:name="_Ref518563598"/>
                      <w:bookmarkStart w:id="351" w:name="_Toc525227208"/>
                      <w:bookmarkStart w:id="352" w:name="_Toc536814147"/>
                      <w:r w:rsidRPr="005D122B">
                        <w:rPr>
                          <w:b/>
                          <w:sz w:val="20"/>
                          <w:szCs w:val="20"/>
                        </w:rPr>
                        <w:t xml:space="preserve">Figure </w:t>
                      </w:r>
                      <w:r>
                        <w:rPr>
                          <w:b/>
                          <w:sz w:val="20"/>
                          <w:szCs w:val="20"/>
                        </w:rPr>
                        <w:fldChar w:fldCharType="begin"/>
                      </w:r>
                      <w:r>
                        <w:rPr>
                          <w:b/>
                          <w:sz w:val="20"/>
                          <w:szCs w:val="20"/>
                        </w:rPr>
                        <w:instrText xml:space="preserve"> STYLEREF 1 \s </w:instrText>
                      </w:r>
                      <w:r>
                        <w:rPr>
                          <w:b/>
                          <w:sz w:val="20"/>
                          <w:szCs w:val="20"/>
                        </w:rPr>
                        <w:fldChar w:fldCharType="separate"/>
                      </w:r>
                      <w:r>
                        <w:rPr>
                          <w:b/>
                          <w:noProof/>
                          <w:sz w:val="20"/>
                          <w:szCs w:val="20"/>
                        </w:rPr>
                        <w:t>4</w:t>
                      </w:r>
                      <w:r>
                        <w:rPr>
                          <w:b/>
                          <w:sz w:val="20"/>
                          <w:szCs w:val="20"/>
                        </w:rPr>
                        <w:fldChar w:fldCharType="end"/>
                      </w:r>
                      <w:r>
                        <w:rPr>
                          <w:b/>
                          <w:sz w:val="20"/>
                          <w:szCs w:val="20"/>
                        </w:rPr>
                        <w:t>.</w:t>
                      </w:r>
                      <w:r>
                        <w:rPr>
                          <w:b/>
                          <w:sz w:val="20"/>
                          <w:szCs w:val="20"/>
                        </w:rPr>
                        <w:fldChar w:fldCharType="begin"/>
                      </w:r>
                      <w:r>
                        <w:rPr>
                          <w:b/>
                          <w:sz w:val="20"/>
                          <w:szCs w:val="20"/>
                        </w:rPr>
                        <w:instrText xml:space="preserve"> SEQ Figure \* ARABIC \s 1 </w:instrText>
                      </w:r>
                      <w:r>
                        <w:rPr>
                          <w:b/>
                          <w:sz w:val="20"/>
                          <w:szCs w:val="20"/>
                        </w:rPr>
                        <w:fldChar w:fldCharType="separate"/>
                      </w:r>
                      <w:r>
                        <w:rPr>
                          <w:b/>
                          <w:noProof/>
                          <w:sz w:val="20"/>
                          <w:szCs w:val="20"/>
                        </w:rPr>
                        <w:t>3</w:t>
                      </w:r>
                      <w:r>
                        <w:rPr>
                          <w:b/>
                          <w:sz w:val="20"/>
                          <w:szCs w:val="20"/>
                        </w:rPr>
                        <w:fldChar w:fldCharType="end"/>
                      </w:r>
                      <w:bookmarkStart w:id="353" w:name="_Ref518550627"/>
                      <w:bookmarkEnd w:id="350"/>
                      <w:r w:rsidRPr="005D122B">
                        <w:rPr>
                          <w:b/>
                          <w:sz w:val="20"/>
                          <w:szCs w:val="20"/>
                        </w:rPr>
                        <w:t xml:space="preserve"> </w:t>
                      </w:r>
                      <w:bookmarkEnd w:id="353"/>
                      <w:r w:rsidRPr="005D122B">
                        <w:rPr>
                          <w:b/>
                          <w:sz w:val="20"/>
                          <w:szCs w:val="20"/>
                        </w:rPr>
                        <w:t>- Abundance</w:t>
                      </w:r>
                      <w:r w:rsidRPr="009A7602">
                        <w:rPr>
                          <w:b/>
                          <w:sz w:val="20"/>
                          <w:szCs w:val="20"/>
                        </w:rPr>
                        <w:t xml:space="preserve"> of Lymphoid and Myeloid Cells during Hepatic </w:t>
                      </w:r>
                      <w:r>
                        <w:rPr>
                          <w:b/>
                          <w:sz w:val="20"/>
                          <w:szCs w:val="20"/>
                        </w:rPr>
                        <w:t xml:space="preserve">infection with </w:t>
                      </w:r>
                      <w:r>
                        <w:rPr>
                          <w:b/>
                          <w:i/>
                          <w:sz w:val="20"/>
                          <w:szCs w:val="20"/>
                        </w:rPr>
                        <w:t>L. donovani</w:t>
                      </w:r>
                      <w:r w:rsidRPr="009A7602">
                        <w:rPr>
                          <w:sz w:val="20"/>
                          <w:szCs w:val="20"/>
                        </w:rPr>
                        <w:t xml:space="preserve">. Absolute number of hepatic lymphoid (A) and myeloid (B) cells per liver determined by flow cytometry. Data </w:t>
                      </w:r>
                      <w:r>
                        <w:rPr>
                          <w:sz w:val="20"/>
                          <w:szCs w:val="20"/>
                        </w:rPr>
                        <w:t>are</w:t>
                      </w:r>
                      <w:r w:rsidRPr="009A7602">
                        <w:rPr>
                          <w:sz w:val="20"/>
                          <w:szCs w:val="20"/>
                        </w:rPr>
                        <w:t xml:space="preserve"> shown as mean </w:t>
                      </w:r>
                      <w:r w:rsidRPr="009A7602">
                        <w:rPr>
                          <w:sz w:val="20"/>
                          <w:szCs w:val="20"/>
                        </w:rPr>
                        <w:sym w:font="Symbol" w:char="F0B1"/>
                      </w:r>
                      <w:r w:rsidRPr="009A7602">
                        <w:rPr>
                          <w:sz w:val="20"/>
                          <w:szCs w:val="20"/>
                        </w:rPr>
                        <w:t xml:space="preserve"> SD (n = 4-5 biological replicates per time point). Data </w:t>
                      </w:r>
                      <w:r>
                        <w:rPr>
                          <w:sz w:val="20"/>
                          <w:szCs w:val="20"/>
                        </w:rPr>
                        <w:t>are</w:t>
                      </w:r>
                      <w:r w:rsidRPr="009A7602">
                        <w:rPr>
                          <w:sz w:val="20"/>
                          <w:szCs w:val="20"/>
                        </w:rPr>
                        <w:t xml:space="preserve"> representative of 1 infection experiment and was analysed using a Dunn’s Multiple Comparisons test (# denotes a p value of less than 0.05)</w:t>
                      </w:r>
                      <w:r>
                        <w:rPr>
                          <w:sz w:val="20"/>
                          <w:szCs w:val="20"/>
                        </w:rPr>
                        <w:t>. Samples were generated using digestion and staining protocol 1.</w:t>
                      </w:r>
                      <w:bookmarkEnd w:id="351"/>
                      <w:bookmarkEnd w:id="352"/>
                    </w:p>
                  </w:txbxContent>
                </v:textbox>
                <w10:wrap type="topAndBottom"/>
              </v:shape>
            </w:pict>
          </mc:Fallback>
        </mc:AlternateContent>
      </w:r>
      <w:r>
        <w:rPr>
          <w:noProof/>
        </w:rPr>
        <mc:AlternateContent>
          <mc:Choice Requires="wps">
            <w:drawing>
              <wp:anchor distT="0" distB="0" distL="114300" distR="114300" simplePos="0" relativeHeight="251169792" behindDoc="0" locked="0" layoutInCell="1" allowOverlap="1" wp14:anchorId="1FEB7CED" wp14:editId="5769ED09">
                <wp:simplePos x="0" y="0"/>
                <wp:positionH relativeFrom="column">
                  <wp:posOffset>103367</wp:posOffset>
                </wp:positionH>
                <wp:positionV relativeFrom="paragraph">
                  <wp:posOffset>2000250</wp:posOffset>
                </wp:positionV>
                <wp:extent cx="360000" cy="359937"/>
                <wp:effectExtent l="0" t="0" r="0" b="0"/>
                <wp:wrapTopAndBottom/>
                <wp:docPr id="458" name="Text Box 458"/>
                <wp:cNvGraphicFramePr/>
                <a:graphic xmlns:a="http://schemas.openxmlformats.org/drawingml/2006/main">
                  <a:graphicData uri="http://schemas.microsoft.com/office/word/2010/wordprocessingShape">
                    <wps:wsp>
                      <wps:cNvSpPr txBox="1"/>
                      <wps:spPr>
                        <a:xfrm>
                          <a:off x="0" y="0"/>
                          <a:ext cx="360000" cy="359937"/>
                        </a:xfrm>
                        <a:prstGeom prst="rect">
                          <a:avLst/>
                        </a:prstGeom>
                        <a:noFill/>
                        <a:ln w="6350">
                          <a:noFill/>
                        </a:ln>
                      </wps:spPr>
                      <wps:txbx>
                        <w:txbxContent>
                          <w:p w14:paraId="3E74D001" w14:textId="67B2ACA4" w:rsidR="00F61130" w:rsidRDefault="00F61130" w:rsidP="00EE6B38">
                            <w:pPr>
                              <w:spacing w:line="240" w:lineRule="auto"/>
                              <w:jc w:val="center"/>
                            </w:pPr>
                            <w:r>
                              <w:t>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FEB7CED" id="Text Box 458" o:spid="_x0000_s1087" type="#_x0000_t202" style="position:absolute;left:0;text-align:left;margin-left:8.15pt;margin-top:157.5pt;width:28.35pt;height:28.35pt;z-index:2511697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yG81sMQIAAF4EAAAOAAAAZHJzL2Uyb0RvYy54bWysVFtv2jAUfp+0/2D5fSRcWxChYq2YJqG2&#13;&#10;Ekx9No5NItk+nm1I2K/fsQMUdXualgfH55Jz+76T+UOrFTkK52swBe33ckqE4VDWZl/QH9vVl3tK&#13;&#10;fGCmZAqMKOhJePqw+Pxp3tiZGEAFqhSOYBDjZ40taBWCnWWZ55XQzPfACoNGCU6zgKLbZ6VjDUbX&#13;&#10;Khvk+SRrwJXWARfeo/apM9JFii+l4OFFSi8CUQXF2kI6XTp38cwWczbbO2armp/LYP9QhWa1waTX&#13;&#10;UE8sMHJw9R+hdM0deJChx0FnIGXNReoBu+nnH7rZVMyK1AsOx9vrmPz/C8ufj6+O1GVBR2OEyjCN&#13;&#10;IG1FG8hXaEnU4YQa62fouLHoGlo0INIXvUdlbLyVTsc3tkTQjrM+Xecbw3FUDic5PpRwNA3H0+nw&#13;&#10;LkbJ3j+2zodvAjSJl4I6hC9NlR3XPnSuF5eYy8CqVipBqAxpCjoZjvP0wdWCwZXBHLGFrtR4C+2u&#13;&#10;TU1Prn3soDxhew46injLVzUWsWY+vDKHnMC6kefhBQ+pAJPB+UZJBe7X3/TRH6FCKyUNcqyg/ueB&#13;&#10;OUGJ+m4QxGl/NIqkTMJofDdAwd1adrcWc9CPgDTu40ZZnq7RP6jLVTrQb7gOy5gVTcxwzF1QHtxF&#13;&#10;eAwd93GhuFgukxsS0bKwNhvLY/A42DjkbfvGnD0jERDCZ7jwkc0+ANL5dpAsDwFkndCKo+7mekYA&#13;&#10;SZzwPi9c3JJbOXm9/xYWvwEAAP//AwBQSwMEFAAGAAgAAAAhAIQ2hXjjAAAADgEAAA8AAABkcnMv&#13;&#10;ZG93bnJldi54bWxMT8FOwzAMvSPxD5GRuCCWlsKKuqYTGkLqoZcNNGm3rDFNtSYpSdaVv8ec4GLr&#13;&#10;2c/P75Xr2QxsQh96ZwWkiwQY2tap3nYCPt7f7p+BhSitkoOzKOAbA6yr66tSFspd7BanXewYidhQ&#13;&#10;SAE6xrHgPLQajQwLN6Kl3afzRkaCvuPKywuJm4E/JMmSG9lb+qDliBuN7Wl3NgKmff2otpOO/m7T&#13;&#10;1El9ar7yQyPE7c38uqLysgIWcY5/F/CbgfxDRcaO7mxVYAPhZUZMAVn6RMGIkGfUjzTI0xx4VfL/&#13;&#10;MaofAAAA//8DAFBLAQItABQABgAIAAAAIQC2gziS/gAAAOEBAAATAAAAAAAAAAAAAAAAAAAAAABb&#13;&#10;Q29udGVudF9UeXBlc10ueG1sUEsBAi0AFAAGAAgAAAAhADj9If/WAAAAlAEAAAsAAAAAAAAAAAAA&#13;&#10;AAAALwEAAF9yZWxzLy5yZWxzUEsBAi0AFAAGAAgAAAAhAHIbzWwxAgAAXgQAAA4AAAAAAAAAAAAA&#13;&#10;AAAALgIAAGRycy9lMm9Eb2MueG1sUEsBAi0AFAAGAAgAAAAhAIQ2hXjjAAAADgEAAA8AAAAAAAAA&#13;&#10;AAAAAAAAiwQAAGRycy9kb3ducmV2LnhtbFBLBQYAAAAABAAEAPMAAACbBQAAAAA=&#13;&#10;" filled="f" stroked="f" strokeweight=".5pt">
                <v:textbox>
                  <w:txbxContent>
                    <w:p w14:paraId="3E74D001" w14:textId="67B2ACA4" w:rsidR="00F61130" w:rsidRDefault="00F61130" w:rsidP="00EE6B38">
                      <w:pPr>
                        <w:spacing w:line="240" w:lineRule="auto"/>
                        <w:jc w:val="center"/>
                      </w:pPr>
                      <w:r>
                        <w:t>A</w:t>
                      </w:r>
                    </w:p>
                  </w:txbxContent>
                </v:textbox>
                <w10:wrap type="topAndBottom"/>
              </v:shape>
            </w:pict>
          </mc:Fallback>
        </mc:AlternateContent>
      </w:r>
      <w:r>
        <w:rPr>
          <w:noProof/>
        </w:rPr>
        <mc:AlternateContent>
          <mc:Choice Requires="wps">
            <w:drawing>
              <wp:anchor distT="0" distB="0" distL="114300" distR="114300" simplePos="0" relativeHeight="251170816" behindDoc="0" locked="0" layoutInCell="1" allowOverlap="1" wp14:anchorId="6562CD74" wp14:editId="15B74ECF">
                <wp:simplePos x="0" y="0"/>
                <wp:positionH relativeFrom="column">
                  <wp:posOffset>2854518</wp:posOffset>
                </wp:positionH>
                <wp:positionV relativeFrom="paragraph">
                  <wp:posOffset>2000250</wp:posOffset>
                </wp:positionV>
                <wp:extent cx="360000" cy="359937"/>
                <wp:effectExtent l="0" t="0" r="0" b="0"/>
                <wp:wrapTopAndBottom/>
                <wp:docPr id="459" name="Text Box 459"/>
                <wp:cNvGraphicFramePr/>
                <a:graphic xmlns:a="http://schemas.openxmlformats.org/drawingml/2006/main">
                  <a:graphicData uri="http://schemas.microsoft.com/office/word/2010/wordprocessingShape">
                    <wps:wsp>
                      <wps:cNvSpPr txBox="1"/>
                      <wps:spPr>
                        <a:xfrm>
                          <a:off x="0" y="0"/>
                          <a:ext cx="360000" cy="359937"/>
                        </a:xfrm>
                        <a:prstGeom prst="rect">
                          <a:avLst/>
                        </a:prstGeom>
                        <a:noFill/>
                        <a:ln w="6350">
                          <a:noFill/>
                        </a:ln>
                      </wps:spPr>
                      <wps:txbx>
                        <w:txbxContent>
                          <w:p w14:paraId="6710C18E" w14:textId="24A18A30" w:rsidR="00F61130" w:rsidRDefault="00F61130" w:rsidP="00EE6B38">
                            <w:pPr>
                              <w:spacing w:line="240" w:lineRule="auto"/>
                              <w:jc w:val="center"/>
                            </w:pPr>
                            <w:r>
                              <w:t>B</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562CD74" id="Text Box 459" o:spid="_x0000_s1088" type="#_x0000_t202" style="position:absolute;left:0;text-align:left;margin-left:224.75pt;margin-top:157.5pt;width:28.35pt;height:28.35pt;z-index:2511708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5YRM9MgIAAF4EAAAOAAAAZHJzL2Uyb0RvYy54bWysVFtv2jAUfp+0/2D5fSRcWyJCxVoxTUJt&#13;&#10;JZj6bBybRIp9PNuQsF+/Y4dQ1O1pWh4cn0vO7ftOFg+tqslJWFeBzulwkFIiNIei0oec/titv9xT&#13;&#10;4jzTBatBi5yehaMPy8+fFo3JxAhKqAthCQbRLmtMTkvvTZYkjpdCMTcAIzQaJVjFPIr2kBSWNRhd&#13;&#10;1ckoTWdJA7YwFrhwDrVPnZEuY3wpBfcvUjrhSZ1TrM3H08ZzH85kuWDZwTJTVvxSBvuHKhSrNCa9&#13;&#10;hnpinpGjrf4IpSpuwYH0Aw4qASkrLmIP2M0w/dDNtmRGxF5wOM5cx+T+X1j+fHq1pCpyOpnOKdFM&#13;&#10;IUg70XryFVoSdDihxrgMHbcGXX2LBkS61ztUhsZbaVV4Y0sE7Tjr83W+IRxH5XiW4kMJR9N4Op+P&#13;&#10;70KU5P1jY53/JkCRcMmpRfjiVNlp43zn2ruEXBrWVV1HCGtNmpzOxtM0fnC1YPBaY47QQldquPl2&#13;&#10;38amZ6O+jz0UZ2zPQkcRZ/i6wiI2zPlXZpETWDfy3L/gIWvAZHC5UVKC/fU3ffBHqNBKSYMcy6n7&#13;&#10;eWRWUFJ/1wjifDiZBFJGYTK9G6Fgby37W4s+qkdAGg9xowyP1+Dv6/4qLag3XIdVyIompjnmzin3&#13;&#10;thcefcd9XCguVqvohkQ0zG/01vAQPAw2DHnXvjFrLkh4hPAZej6y7AMgnW8HyeroQVYRrTDqbq4X&#13;&#10;BJDEEe/LwoUtuZWj1/tvYfkbAAD//wMAUEsDBBQABgAIAAAAIQDgvtb95wAAABABAAAPAAAAZHJz&#13;&#10;L2Rvd25yZXYueG1sTI9BT8MwDIXvSPyHyEhcEEs62hW6phMaQuqhlw2ExC1rQlOtSUqSdeXf453g&#13;&#10;Ysn28/P7ys1sBjIpH3pnOSQLBkTZ1snedhze317vH4GEKKwUg7OKw48KsKmur0pRSHe2OzXtY0fQ&#13;&#10;xIZCcNAxjgWlodXKiLBwo7K4+3LeiIit76j04ozmZqBLxlbUiN7iBy1GtdWqPe5PhsP0UadyN+no&#13;&#10;77ZNzepj851/Npzf3swvayzPayBRzfHvAi4MmB8qDHZwJysDGTik6VOGUg4PSYZkqMjYagnkgJM8&#13;&#10;yYFWJf0PUv0CAAD//wMAUEsBAi0AFAAGAAgAAAAhALaDOJL+AAAA4QEAABMAAAAAAAAAAAAAAAAA&#13;&#10;AAAAAFtDb250ZW50X1R5cGVzXS54bWxQSwECLQAUAAYACAAAACEAOP0h/9YAAACUAQAACwAAAAAA&#13;&#10;AAAAAAAAAAAvAQAAX3JlbHMvLnJlbHNQSwECLQAUAAYACAAAACEAeWETPTICAABeBAAADgAAAAAA&#13;&#10;AAAAAAAAAAAuAgAAZHJzL2Uyb0RvYy54bWxQSwECLQAUAAYACAAAACEA4L7W/ecAAAAQAQAADwAA&#13;&#10;AAAAAAAAAAAAAACMBAAAZHJzL2Rvd25yZXYueG1sUEsFBgAAAAAEAAQA8wAAAKAFAAAAAA==&#13;&#10;" filled="f" stroked="f" strokeweight=".5pt">
                <v:textbox>
                  <w:txbxContent>
                    <w:p w14:paraId="6710C18E" w14:textId="24A18A30" w:rsidR="00F61130" w:rsidRDefault="00F61130" w:rsidP="00EE6B38">
                      <w:pPr>
                        <w:spacing w:line="240" w:lineRule="auto"/>
                        <w:jc w:val="center"/>
                      </w:pPr>
                      <w:r>
                        <w:t>B</w:t>
                      </w:r>
                    </w:p>
                  </w:txbxContent>
                </v:textbox>
                <w10:wrap type="topAndBottom"/>
              </v:shape>
            </w:pict>
          </mc:Fallback>
        </mc:AlternateContent>
      </w:r>
      <w:r w:rsidR="00EA7973" w:rsidRPr="008B3AD6">
        <w:t xml:space="preserve">Initially data </w:t>
      </w:r>
      <w:r w:rsidR="00407D15">
        <w:t>were</w:t>
      </w:r>
      <w:r w:rsidR="00407D15" w:rsidRPr="008B3AD6">
        <w:t xml:space="preserve"> </w:t>
      </w:r>
      <w:r w:rsidR="00EA7973" w:rsidRPr="008B3AD6">
        <w:t xml:space="preserve">generated for lymphoid and myeloid cells, using the gating strategy shown in </w:t>
      </w:r>
      <w:r w:rsidR="00EA7973" w:rsidRPr="008B3AD6">
        <w:rPr>
          <w:b/>
        </w:rPr>
        <w:fldChar w:fldCharType="begin"/>
      </w:r>
      <w:r w:rsidR="00EA7973" w:rsidRPr="008B3AD6">
        <w:rPr>
          <w:b/>
        </w:rPr>
        <w:instrText xml:space="preserve"> REF _Ref518563553  \* MERGEFORMAT </w:instrText>
      </w:r>
      <w:r w:rsidR="00EA7973" w:rsidRPr="008B3AD6">
        <w:rPr>
          <w:b/>
        </w:rPr>
        <w:fldChar w:fldCharType="separate"/>
      </w:r>
      <w:r w:rsidR="00E5551E" w:rsidRPr="00E5551E">
        <w:rPr>
          <w:b/>
        </w:rPr>
        <w:t xml:space="preserve">Figure </w:t>
      </w:r>
      <w:r w:rsidR="00E5551E" w:rsidRPr="00E5551E">
        <w:rPr>
          <w:b/>
          <w:noProof/>
        </w:rPr>
        <w:t>4.2</w:t>
      </w:r>
      <w:r w:rsidR="00EA7973" w:rsidRPr="008B3AD6">
        <w:rPr>
          <w:b/>
          <w:noProof/>
        </w:rPr>
        <w:fldChar w:fldCharType="end"/>
      </w:r>
      <w:r w:rsidR="00EA7973" w:rsidRPr="008B3AD6">
        <w:t>. The additional gating for myeloid cells was necessary to ensure that unclassified cells, i.e. live single CD45</w:t>
      </w:r>
      <w:r w:rsidR="00EA7973" w:rsidRPr="00843E82">
        <w:rPr>
          <w:vertAlign w:val="superscript"/>
        </w:rPr>
        <w:t>+</w:t>
      </w:r>
      <w:r w:rsidR="00EA7973" w:rsidRPr="008B3AD6">
        <w:t xml:space="preserve"> cells negative for all other markers, were not mislabelled as myeloid cells.</w:t>
      </w:r>
      <w:r w:rsidR="009B0B0A" w:rsidRPr="008B3AD6">
        <w:t xml:space="preserve"> As seen in </w:t>
      </w:r>
      <w:r w:rsidR="009B0B0A" w:rsidRPr="008B3AD6">
        <w:rPr>
          <w:b/>
        </w:rPr>
        <w:fldChar w:fldCharType="begin"/>
      </w:r>
      <w:r w:rsidR="009B0B0A" w:rsidRPr="008B3AD6">
        <w:rPr>
          <w:b/>
        </w:rPr>
        <w:instrText xml:space="preserve"> REF _Ref518563598  \* MERGEFORMAT </w:instrText>
      </w:r>
      <w:r w:rsidR="009B0B0A" w:rsidRPr="008B3AD6">
        <w:rPr>
          <w:b/>
        </w:rPr>
        <w:fldChar w:fldCharType="separate"/>
      </w:r>
      <w:r w:rsidR="00E5551E" w:rsidRPr="00E5551E">
        <w:rPr>
          <w:b/>
        </w:rPr>
        <w:t>Figure 4.3</w:t>
      </w:r>
      <w:r w:rsidR="009B0B0A" w:rsidRPr="008B3AD6">
        <w:rPr>
          <w:b/>
        </w:rPr>
        <w:fldChar w:fldCharType="end"/>
      </w:r>
      <w:r w:rsidR="009B0B0A" w:rsidRPr="008B3AD6">
        <w:t>, the lymphoid cells (</w:t>
      </w:r>
      <w:r w:rsidR="009B0B0A" w:rsidRPr="008B3AD6">
        <w:rPr>
          <w:b/>
        </w:rPr>
        <w:fldChar w:fldCharType="begin"/>
      </w:r>
      <w:r w:rsidR="009B0B0A" w:rsidRPr="008B3AD6">
        <w:rPr>
          <w:b/>
        </w:rPr>
        <w:instrText xml:space="preserve"> REF _Ref518563598  \* MERGEFORMAT </w:instrText>
      </w:r>
      <w:r w:rsidR="009B0B0A" w:rsidRPr="008B3AD6">
        <w:rPr>
          <w:b/>
        </w:rPr>
        <w:fldChar w:fldCharType="separate"/>
      </w:r>
      <w:r w:rsidR="00E5551E" w:rsidRPr="00E5551E">
        <w:rPr>
          <w:b/>
        </w:rPr>
        <w:t>Figure 4.3</w:t>
      </w:r>
      <w:r w:rsidR="009B0B0A" w:rsidRPr="008B3AD6">
        <w:rPr>
          <w:b/>
        </w:rPr>
        <w:fldChar w:fldCharType="end"/>
      </w:r>
      <w:r w:rsidR="009B0B0A" w:rsidRPr="008B3AD6">
        <w:rPr>
          <w:b/>
        </w:rPr>
        <w:t>A</w:t>
      </w:r>
      <w:r w:rsidR="009B0B0A" w:rsidRPr="008B3AD6">
        <w:t>) were present in greater numbers as compared to myeloid cells (</w:t>
      </w:r>
      <w:r w:rsidR="009B0B0A" w:rsidRPr="008B3AD6">
        <w:rPr>
          <w:b/>
        </w:rPr>
        <w:fldChar w:fldCharType="begin"/>
      </w:r>
      <w:r w:rsidR="009B0B0A" w:rsidRPr="008B3AD6">
        <w:rPr>
          <w:b/>
        </w:rPr>
        <w:instrText xml:space="preserve"> REF _Ref518563598  \* MERGEFORMAT </w:instrText>
      </w:r>
      <w:r w:rsidR="009B0B0A" w:rsidRPr="008B3AD6">
        <w:rPr>
          <w:b/>
        </w:rPr>
        <w:fldChar w:fldCharType="separate"/>
      </w:r>
      <w:r w:rsidR="00E5551E" w:rsidRPr="00E5551E">
        <w:rPr>
          <w:b/>
        </w:rPr>
        <w:t>Figure 4.3</w:t>
      </w:r>
      <w:r w:rsidR="009B0B0A" w:rsidRPr="008B3AD6">
        <w:rPr>
          <w:b/>
        </w:rPr>
        <w:fldChar w:fldCharType="end"/>
      </w:r>
      <w:r w:rsidR="009B0B0A" w:rsidRPr="008B3AD6">
        <w:rPr>
          <w:b/>
        </w:rPr>
        <w:t>B</w:t>
      </w:r>
      <w:r w:rsidR="009B0B0A" w:rsidRPr="008B3AD6">
        <w:t>), being significantly increased from pre-infection lymphoid levels at the earlier time of 21 days post-infection, compared to day 35 in myeloid cells.</w:t>
      </w:r>
    </w:p>
    <w:p w14:paraId="3D088A1E" w14:textId="6A7BCE9B" w:rsidR="007A33BC" w:rsidRPr="008B3AD6" w:rsidRDefault="007A33BC" w:rsidP="009154C0">
      <w:pPr>
        <w:spacing w:line="360" w:lineRule="auto"/>
        <w:jc w:val="both"/>
      </w:pPr>
    </w:p>
    <w:p w14:paraId="09AC773D" w14:textId="309A52C7" w:rsidR="009B0B0A" w:rsidRPr="008B3AD6" w:rsidRDefault="009B0B0A" w:rsidP="009B0B0A">
      <w:pPr>
        <w:spacing w:line="360" w:lineRule="auto"/>
        <w:jc w:val="both"/>
      </w:pPr>
      <w:r w:rsidRPr="008B3AD6">
        <w:t xml:space="preserve">Further to these sub-populations it is well documented that the control of hepatic </w:t>
      </w:r>
      <w:r w:rsidRPr="008B3AD6">
        <w:rPr>
          <w:i/>
        </w:rPr>
        <w:t>L. donovani</w:t>
      </w:r>
      <w:r w:rsidRPr="008B3AD6">
        <w:t xml:space="preserve"> infection is dependent on the activity of multiple leukocyte subsets </w:t>
      </w:r>
      <w:r w:rsidRPr="008B3AD6">
        <w:fldChar w:fldCharType="begin"/>
      </w:r>
      <w:r w:rsidRPr="008B3AD6">
        <w:instrText xml:space="preserve"> ADDIN ZOTERO_ITEM CSL_CITATION {"citationID":"X7kniQfV","properties":{"formattedCitation":"(H. Murray 2001)","plainCitation":"(H. Murray 2001)","dontUpdate":true,"noteIndex":0},"citationItems":[{"id":1110,"uris":["http://zotero.org/users/2628971/items/57TG9NVJ"],"uri":["http://zotero.org/users/2628971/items/57TG9NVJ"],"itemData":{"id":1110,"type":"webpage","title":"Tissue granuloma structure-function in experimental visceral leishmaniasis.","container-title":"Int J Exp Pathol","abstract":"In experimental visceral leishmaniasis in normal mice (BALB/c, C57BL/6) acquired resistance to Leishmania donovani, a protozoan which targets tissue macrophages, depends upon T cells, Th1 cell-type cytokine generation and activated mononuclear phagocytes. In the intact host, initial control and eventual resolution of L. donovani hepatic infection in normal mice is expressed by and accomplished within well-formed, mature tissue granulomas. In the liver, these immunologically active, inflammatory structures are assembled around a core of fused, parasitized resident macrophages (Kupffer cells) which come to be encircled by both cytokine-secreting T cells and influxing leishmanicidal blood monocytes. This pro-host defense granuloma structure-function relationship, in which histologically mature granulomas provide the microenvironment for intracellular L. donovani killing, however, is only one of seven which have been identified through experimental modifications in this model. This report reviews these structure-function relationships and illustrates the broad spectrum of additional possible responses. These responses range from structurally intact granulomas which provide no antileishmanial function (the 'ineffective' granuloma), to enlarged granulomas which show enhanced parasite killing (the 'hypertrophied' granuloma), to effective antileishmanial activity in the absence of any tissue reaction (the 'invisible' granuloma)., (C) 2001 Blackwell Science Ltd.","author":[{"family":"Murray","given":"Henry"}],"issued":{"date-parts":[["2001"]]}}}],"schema":"https://github.com/citation-style-language/schema/raw/master/csl-citation.json"} </w:instrText>
      </w:r>
      <w:r w:rsidRPr="008B3AD6">
        <w:fldChar w:fldCharType="separate"/>
      </w:r>
      <w:r w:rsidRPr="008B3AD6">
        <w:t>(Murray 2001)</w:t>
      </w:r>
      <w:r w:rsidRPr="008B3AD6">
        <w:fldChar w:fldCharType="end"/>
      </w:r>
      <w:r w:rsidRPr="008B3AD6">
        <w:t>. To characterise th</w:t>
      </w:r>
      <w:r w:rsidR="00843E82">
        <w:t xml:space="preserve">e individual abundances of subset </w:t>
      </w:r>
      <w:r w:rsidRPr="008B3AD6">
        <w:t>population</w:t>
      </w:r>
      <w:r w:rsidR="00843E82">
        <w:t>s</w:t>
      </w:r>
      <w:r w:rsidRPr="008B3AD6">
        <w:t xml:space="preserve">, the purified leukocytes from the previous step were stained with antibodies against various surface markers and analysed using flow cytometry, with gating shown in </w:t>
      </w:r>
      <w:r w:rsidRPr="008B3AD6">
        <w:rPr>
          <w:b/>
        </w:rPr>
        <w:fldChar w:fldCharType="begin"/>
      </w:r>
      <w:r w:rsidRPr="008B3AD6">
        <w:rPr>
          <w:b/>
        </w:rPr>
        <w:instrText xml:space="preserve"> REF _Ref518563553  \* MERGEFORMAT </w:instrText>
      </w:r>
      <w:r w:rsidRPr="008B3AD6">
        <w:rPr>
          <w:b/>
        </w:rPr>
        <w:fldChar w:fldCharType="separate"/>
      </w:r>
      <w:r w:rsidR="00372981" w:rsidRPr="00372981">
        <w:rPr>
          <w:b/>
        </w:rPr>
        <w:t>Figure 4.2</w:t>
      </w:r>
      <w:r w:rsidRPr="008B3AD6">
        <w:rPr>
          <w:b/>
        </w:rPr>
        <w:fldChar w:fldCharType="end"/>
      </w:r>
      <w:r w:rsidRPr="008B3AD6">
        <w:t xml:space="preserve">. </w:t>
      </w:r>
    </w:p>
    <w:p w14:paraId="38670B85" w14:textId="77777777" w:rsidR="009B0B0A" w:rsidRPr="008B3AD6" w:rsidRDefault="009B0B0A" w:rsidP="009B0B0A">
      <w:pPr>
        <w:spacing w:line="360" w:lineRule="auto"/>
        <w:jc w:val="both"/>
      </w:pPr>
    </w:p>
    <w:p w14:paraId="6431B52C" w14:textId="42B52F0B" w:rsidR="009B0B0A" w:rsidRPr="008B3AD6" w:rsidRDefault="009B0B0A" w:rsidP="009B0B0A">
      <w:pPr>
        <w:spacing w:line="360" w:lineRule="auto"/>
        <w:jc w:val="both"/>
      </w:pPr>
      <w:r w:rsidRPr="008B3AD6">
        <w:t>As before, all subsets were characterised as live single cells expressing CD45 with initial characterisation lymphoid cells as (CD3</w:t>
      </w:r>
      <w:r w:rsidRPr="00843E82">
        <w:rPr>
          <w:vertAlign w:val="superscript"/>
        </w:rPr>
        <w:t>+</w:t>
      </w:r>
      <w:r w:rsidRPr="008B3AD6">
        <w:t>, B220</w:t>
      </w:r>
      <w:r w:rsidRPr="00843E82">
        <w:rPr>
          <w:vertAlign w:val="superscript"/>
        </w:rPr>
        <w:t>+</w:t>
      </w:r>
      <w:r w:rsidRPr="008B3AD6">
        <w:t>, NK1.1</w:t>
      </w:r>
      <w:r w:rsidRPr="00843E82">
        <w:rPr>
          <w:vertAlign w:val="superscript"/>
        </w:rPr>
        <w:t>+</w:t>
      </w:r>
      <w:r w:rsidRPr="008B3AD6">
        <w:t>) and myeloid cells as (CD3</w:t>
      </w:r>
      <w:r w:rsidRPr="00843E82">
        <w:rPr>
          <w:vertAlign w:val="superscript"/>
        </w:rPr>
        <w:t>-</w:t>
      </w:r>
      <w:r w:rsidRPr="008B3AD6">
        <w:t>, B220</w:t>
      </w:r>
      <w:r w:rsidRPr="00843E82">
        <w:rPr>
          <w:vertAlign w:val="superscript"/>
        </w:rPr>
        <w:t>-</w:t>
      </w:r>
      <w:r w:rsidRPr="008B3AD6">
        <w:t>, NK1.1</w:t>
      </w:r>
      <w:r w:rsidRPr="00843E82">
        <w:rPr>
          <w:vertAlign w:val="superscript"/>
        </w:rPr>
        <w:t>-</w:t>
      </w:r>
      <w:r w:rsidRPr="008B3AD6">
        <w:t>, CD11b</w:t>
      </w:r>
      <w:r w:rsidRPr="008B3AD6">
        <w:rPr>
          <w:vertAlign w:val="superscript"/>
        </w:rPr>
        <w:t>lo-hi</w:t>
      </w:r>
      <w:r w:rsidRPr="008B3AD6">
        <w:t>, Ly6G</w:t>
      </w:r>
      <w:r w:rsidRPr="008B3AD6">
        <w:rPr>
          <w:vertAlign w:val="superscript"/>
        </w:rPr>
        <w:t>lo-hi</w:t>
      </w:r>
      <w:r w:rsidRPr="008B3AD6">
        <w:t>, CD11c</w:t>
      </w:r>
      <w:r w:rsidRPr="008B3AD6">
        <w:rPr>
          <w:vertAlign w:val="superscript"/>
        </w:rPr>
        <w:t>int-hi</w:t>
      </w:r>
      <w:r w:rsidRPr="008B3AD6">
        <w:t xml:space="preserve"> &amp; F4/80</w:t>
      </w:r>
      <w:r w:rsidRPr="008B3AD6">
        <w:rPr>
          <w:vertAlign w:val="superscript"/>
        </w:rPr>
        <w:t>int-hi</w:t>
      </w:r>
      <w:r w:rsidRPr="008B3AD6">
        <w:t>). These cells were then additionally characterised as either neutrophils (CD3</w:t>
      </w:r>
      <w:r w:rsidRPr="00843E82">
        <w:rPr>
          <w:vertAlign w:val="superscript"/>
        </w:rPr>
        <w:t>-</w:t>
      </w:r>
      <w:r w:rsidRPr="008B3AD6">
        <w:t>, B220</w:t>
      </w:r>
      <w:r w:rsidRPr="00843E82">
        <w:rPr>
          <w:vertAlign w:val="superscript"/>
        </w:rPr>
        <w:t>-</w:t>
      </w:r>
      <w:r w:rsidRPr="008B3AD6">
        <w:t>, NK1.1</w:t>
      </w:r>
      <w:r w:rsidRPr="00843E82">
        <w:rPr>
          <w:vertAlign w:val="superscript"/>
        </w:rPr>
        <w:t>-</w:t>
      </w:r>
      <w:r w:rsidRPr="008B3AD6">
        <w:t xml:space="preserve"> &amp; Ly6G</w:t>
      </w:r>
      <w:r w:rsidRPr="00843E82">
        <w:rPr>
          <w:vertAlign w:val="superscript"/>
        </w:rPr>
        <w:t>+</w:t>
      </w:r>
      <w:r w:rsidRPr="008B3AD6">
        <w:t>), dendritic cells (CD3</w:t>
      </w:r>
      <w:r w:rsidRPr="00843E82">
        <w:rPr>
          <w:vertAlign w:val="superscript"/>
        </w:rPr>
        <w:t>-</w:t>
      </w:r>
      <w:r w:rsidRPr="008B3AD6">
        <w:t>, B220</w:t>
      </w:r>
      <w:r w:rsidRPr="00843E82">
        <w:rPr>
          <w:vertAlign w:val="superscript"/>
        </w:rPr>
        <w:t>-</w:t>
      </w:r>
      <w:r w:rsidRPr="008B3AD6">
        <w:t>, NK1.1</w:t>
      </w:r>
      <w:r w:rsidRPr="00843E82">
        <w:rPr>
          <w:vertAlign w:val="superscript"/>
        </w:rPr>
        <w:t>-</w:t>
      </w:r>
      <w:r w:rsidRPr="008B3AD6">
        <w:t>, Ly6G</w:t>
      </w:r>
      <w:r w:rsidRPr="00843E82">
        <w:rPr>
          <w:vertAlign w:val="superscript"/>
        </w:rPr>
        <w:t>-</w:t>
      </w:r>
      <w:r w:rsidRPr="008B3AD6">
        <w:t>, CD11c</w:t>
      </w:r>
      <w:r w:rsidRPr="00843E82">
        <w:rPr>
          <w:vertAlign w:val="superscript"/>
        </w:rPr>
        <w:t>+</w:t>
      </w:r>
      <w:r w:rsidRPr="008B3AD6">
        <w:t xml:space="preserve"> &amp; F4/80</w:t>
      </w:r>
      <w:r w:rsidRPr="00843E82">
        <w:rPr>
          <w:vertAlign w:val="superscript"/>
        </w:rPr>
        <w:t>-</w:t>
      </w:r>
      <w:r w:rsidRPr="008B3AD6">
        <w:t>), macrophages &amp; monocytes (CD3</w:t>
      </w:r>
      <w:r w:rsidRPr="00843E82">
        <w:rPr>
          <w:vertAlign w:val="superscript"/>
        </w:rPr>
        <w:t>-</w:t>
      </w:r>
      <w:r w:rsidRPr="008B3AD6">
        <w:t>, B220</w:t>
      </w:r>
      <w:r w:rsidRPr="00843E82">
        <w:rPr>
          <w:vertAlign w:val="superscript"/>
        </w:rPr>
        <w:t>-</w:t>
      </w:r>
      <w:r w:rsidRPr="008B3AD6">
        <w:t>, NK1.1</w:t>
      </w:r>
      <w:r w:rsidRPr="00843E82">
        <w:rPr>
          <w:vertAlign w:val="superscript"/>
        </w:rPr>
        <w:t>-</w:t>
      </w:r>
      <w:r w:rsidRPr="008B3AD6">
        <w:t>, Ly6G</w:t>
      </w:r>
      <w:r w:rsidRPr="00843E82">
        <w:rPr>
          <w:vertAlign w:val="superscript"/>
        </w:rPr>
        <w:t>-</w:t>
      </w:r>
      <w:r w:rsidRPr="008B3AD6">
        <w:t>, CD11c</w:t>
      </w:r>
      <w:r w:rsidRPr="008B3AD6">
        <w:rPr>
          <w:vertAlign w:val="superscript"/>
        </w:rPr>
        <w:t>int-hi</w:t>
      </w:r>
      <w:r w:rsidRPr="008B3AD6">
        <w:t xml:space="preserve"> &amp; F4/80</w:t>
      </w:r>
      <w:r w:rsidRPr="008B3AD6">
        <w:rPr>
          <w:vertAlign w:val="superscript"/>
        </w:rPr>
        <w:t>int-hi</w:t>
      </w:r>
      <w:r w:rsidRPr="008B3AD6">
        <w:t>), T cells (CD3</w:t>
      </w:r>
      <w:r w:rsidRPr="00843E82">
        <w:rPr>
          <w:vertAlign w:val="superscript"/>
        </w:rPr>
        <w:t>+</w:t>
      </w:r>
      <w:r w:rsidRPr="008B3AD6">
        <w:t>, B220</w:t>
      </w:r>
      <w:r w:rsidRPr="00843E82">
        <w:rPr>
          <w:vertAlign w:val="superscript"/>
        </w:rPr>
        <w:t>-</w:t>
      </w:r>
      <w:r w:rsidRPr="008B3AD6">
        <w:t>, NK1.1</w:t>
      </w:r>
      <w:r w:rsidRPr="00843E82">
        <w:rPr>
          <w:vertAlign w:val="superscript"/>
        </w:rPr>
        <w:t>-</w:t>
      </w:r>
      <w:r w:rsidRPr="008B3AD6">
        <w:t xml:space="preserve"> &amp; TCR</w:t>
      </w:r>
      <w:r w:rsidRPr="008B3AD6">
        <w:sym w:font="Symbol" w:char="F062"/>
      </w:r>
      <w:r w:rsidRPr="00843E82">
        <w:rPr>
          <w:vertAlign w:val="superscript"/>
        </w:rPr>
        <w:t>+</w:t>
      </w:r>
      <w:r w:rsidRPr="008B3AD6">
        <w:t xml:space="preserve">), </w:t>
      </w:r>
      <w:r w:rsidRPr="008B3AD6">
        <w:lastRenderedPageBreak/>
        <w:t>NK cells (CD3</w:t>
      </w:r>
      <w:r w:rsidRPr="00843E82">
        <w:rPr>
          <w:vertAlign w:val="superscript"/>
        </w:rPr>
        <w:t>+</w:t>
      </w:r>
      <w:r w:rsidRPr="008B3AD6">
        <w:t>, B220</w:t>
      </w:r>
      <w:r w:rsidRPr="00843E82">
        <w:rPr>
          <w:vertAlign w:val="superscript"/>
        </w:rPr>
        <w:t>-</w:t>
      </w:r>
      <w:r w:rsidRPr="008B3AD6">
        <w:t>, NK1.1</w:t>
      </w:r>
      <w:r w:rsidRPr="00843E82">
        <w:rPr>
          <w:vertAlign w:val="superscript"/>
        </w:rPr>
        <w:t>+</w:t>
      </w:r>
      <w:r w:rsidRPr="008B3AD6">
        <w:t>, TCR</w:t>
      </w:r>
      <w:r w:rsidRPr="008B3AD6">
        <w:sym w:font="Symbol" w:char="F062"/>
      </w:r>
      <w:r w:rsidRPr="00843E82">
        <w:rPr>
          <w:vertAlign w:val="superscript"/>
        </w:rPr>
        <w:t>-</w:t>
      </w:r>
      <w:r w:rsidRPr="008B3AD6">
        <w:t xml:space="preserve"> &amp; CD11b</w:t>
      </w:r>
      <w:r w:rsidRPr="00843E82">
        <w:rPr>
          <w:vertAlign w:val="superscript"/>
        </w:rPr>
        <w:t>+</w:t>
      </w:r>
      <w:r w:rsidRPr="008B3AD6">
        <w:t>) or B cells (CD3</w:t>
      </w:r>
      <w:r w:rsidRPr="00843E82">
        <w:rPr>
          <w:vertAlign w:val="superscript"/>
        </w:rPr>
        <w:t>-</w:t>
      </w:r>
      <w:r w:rsidRPr="008B3AD6">
        <w:t>, B220</w:t>
      </w:r>
      <w:r w:rsidRPr="00843E82">
        <w:rPr>
          <w:vertAlign w:val="superscript"/>
        </w:rPr>
        <w:t>+</w:t>
      </w:r>
      <w:r w:rsidRPr="008B3AD6">
        <w:t>, NK1.1</w:t>
      </w:r>
      <w:r w:rsidRPr="00843E82">
        <w:rPr>
          <w:vertAlign w:val="superscript"/>
        </w:rPr>
        <w:t>-</w:t>
      </w:r>
      <w:r w:rsidRPr="008B3AD6">
        <w:t>, TCR</w:t>
      </w:r>
      <w:r w:rsidRPr="008B3AD6">
        <w:sym w:font="Symbol" w:char="F062"/>
      </w:r>
      <w:r w:rsidRPr="00843E82">
        <w:rPr>
          <w:vertAlign w:val="superscript"/>
        </w:rPr>
        <w:t>-</w:t>
      </w:r>
      <w:r w:rsidRPr="008B3AD6">
        <w:t xml:space="preserve"> &amp; CD11b</w:t>
      </w:r>
      <w:r w:rsidRPr="00843E82">
        <w:rPr>
          <w:vertAlign w:val="superscript"/>
        </w:rPr>
        <w:t>-</w:t>
      </w:r>
      <w:r w:rsidRPr="008B3AD6">
        <w:t xml:space="preserve">). </w:t>
      </w:r>
    </w:p>
    <w:p w14:paraId="62003A3D" w14:textId="77777777" w:rsidR="009B0B0A" w:rsidRPr="008B3AD6" w:rsidRDefault="009B0B0A" w:rsidP="009B0B0A">
      <w:pPr>
        <w:spacing w:line="360" w:lineRule="auto"/>
        <w:jc w:val="both"/>
      </w:pPr>
    </w:p>
    <w:p w14:paraId="2AB1FFBB" w14:textId="2016AE96" w:rsidR="009B0B0A" w:rsidRPr="008B3AD6" w:rsidRDefault="00843E82" w:rsidP="009B0B0A">
      <w:pPr>
        <w:spacing w:line="360" w:lineRule="auto"/>
        <w:jc w:val="both"/>
      </w:pPr>
      <w:r>
        <w:rPr>
          <w:noProof/>
        </w:rPr>
        <mc:AlternateContent>
          <mc:Choice Requires="wps">
            <w:drawing>
              <wp:anchor distT="0" distB="0" distL="114300" distR="114300" simplePos="0" relativeHeight="252049408" behindDoc="0" locked="0" layoutInCell="1" allowOverlap="1" wp14:anchorId="2A912F46" wp14:editId="34571B30">
                <wp:simplePos x="0" y="0"/>
                <wp:positionH relativeFrom="column">
                  <wp:posOffset>2791460</wp:posOffset>
                </wp:positionH>
                <wp:positionV relativeFrom="paragraph">
                  <wp:posOffset>5267960</wp:posOffset>
                </wp:positionV>
                <wp:extent cx="359410" cy="358775"/>
                <wp:effectExtent l="0" t="0" r="0" b="0"/>
                <wp:wrapSquare wrapText="bothSides"/>
                <wp:docPr id="466" name="Text Box 466"/>
                <wp:cNvGraphicFramePr/>
                <a:graphic xmlns:a="http://schemas.openxmlformats.org/drawingml/2006/main">
                  <a:graphicData uri="http://schemas.microsoft.com/office/word/2010/wordprocessingShape">
                    <wps:wsp>
                      <wps:cNvSpPr txBox="1"/>
                      <wps:spPr>
                        <a:xfrm>
                          <a:off x="0" y="0"/>
                          <a:ext cx="359410" cy="358775"/>
                        </a:xfrm>
                        <a:prstGeom prst="rect">
                          <a:avLst/>
                        </a:prstGeom>
                        <a:noFill/>
                        <a:ln w="6350">
                          <a:noFill/>
                        </a:ln>
                      </wps:spPr>
                      <wps:txbx>
                        <w:txbxContent>
                          <w:p w14:paraId="2378C030" w14:textId="77777777" w:rsidR="00F61130" w:rsidRDefault="00F61130" w:rsidP="009B0B0A">
                            <w:pPr>
                              <w:spacing w:line="240" w:lineRule="auto"/>
                              <w:jc w:val="center"/>
                            </w:pPr>
                            <w:r>
                              <w:t>F</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A912F46" id="Text Box 466" o:spid="_x0000_s1089" type="#_x0000_t202" style="position:absolute;left:0;text-align:left;margin-left:219.8pt;margin-top:414.8pt;width:28.3pt;height:28.25pt;z-index:2520494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fmvH6MgIAAF4EAAAOAAAAZHJzL2Uyb0RvYy54bWysVEtvGjEQvlfqf7B8L8ubBLFENBFVJZRE&#13;&#10;gipn47XZlWyPaxt26a/v2MsSlPZU9WJm5pud1zfD4qHRipyE8xWYnA56fUqE4VBU5pDTH7v1lztK&#13;&#10;fGCmYAqMyOlZePqw/PxpUdu5GEIJqhCOYBDj57XNaRmCnWeZ56XQzPfACoOgBKdZQNUdssKxGqNr&#13;&#10;lQ37/WlWgyusAy68R+tTC9Jlii+l4OFFSi8CUTnF2kJ6XXr38c2WCzY/OGbLil/KYP9QhWaVwaTX&#13;&#10;UE8sMHJ01R+hdMUdeJChx0FnIGXFReoBuxn0P3SzLZkVqRccjrfXMfn/F5Y/n14dqYqcjqdTSgzT&#13;&#10;SNJONIF8hYZEG06otn6OjluLrqFBAJnu7B6NsfFGOh1/sSWCOM76fJ1vDMfROJrcjweIcIRGk7vZ&#13;&#10;bBKjZO8fW+fDNwGaRCGnDulLU2WnjQ+ta+cScxlYV0olCpUhdU6no0k/fXBFMLgymCO20JYapdDs&#13;&#10;m9T0dNT1sYfijO05aFfEW76usIgN8+GVOdwJrBv3PLzgIxVgMrhIlJTgfv3NHv2RKkQpqXHHcup/&#13;&#10;HpkTlKjvBkm8H4zHcSmTMp7Mhqi4W2R/i5ijfgRc4wFelOVJjP5BdaJ0oN/wHFYxK0LMcMydUx5c&#13;&#10;pzyGdvfxoLhYrZIbLqJlYWO2lsfgcbBxyLvmjTl7YSIghc/Q7SObfyCk9W0pWR0DyCqxFUfdzvXC&#13;&#10;AC5x4vtycPFKbvXk9f63sPwNAAD//wMAUEsDBBQABgAIAAAAIQDmfJms5QAAABABAAAPAAAAZHJz&#13;&#10;L2Rvd25yZXYueG1sTE87T8MwEN6R+A/WIbEg6jREIU3jVKgIKUOWFoTE5sYmjhqfQ+ym4d9zncpy&#13;&#10;usd336PYzLZnkx5951DAchEB09g41WEr4OP97TED5oNEJXuHWsCv9rApb28KmSt3xp2e9qFlRII+&#13;&#10;lwJMCEPOuW+MttIv3KCRbt9utDLQOLZcjfJM5LbncRSl3MoOScHIQW+Nbo77kxUwfVaJ2k0mjA/b&#13;&#10;uoqqY/3z/FULcX83v66pvKyBBT2H6wdcMpB/KMnYwZ1QedYLSJ5WKUEFZPGlIUSySmNgB9pk6RJ4&#13;&#10;WfD/Qco/AAAA//8DAFBLAQItABQABgAIAAAAIQC2gziS/gAAAOEBAAATAAAAAAAAAAAAAAAAAAAA&#13;&#10;AABbQ29udGVudF9UeXBlc10ueG1sUEsBAi0AFAAGAAgAAAAhADj9If/WAAAAlAEAAAsAAAAAAAAA&#13;&#10;AAAAAAAALwEAAF9yZWxzLy5yZWxzUEsBAi0AFAAGAAgAAAAhAF+a8foyAgAAXgQAAA4AAAAAAAAA&#13;&#10;AAAAAAAALgIAAGRycy9lMm9Eb2MueG1sUEsBAi0AFAAGAAgAAAAhAOZ8mazlAAAAEAEAAA8AAAAA&#13;&#10;AAAAAAAAAAAAjAQAAGRycy9kb3ducmV2LnhtbFBLBQYAAAAABAAEAPMAAACeBQAAAAA=&#13;&#10;" filled="f" stroked="f" strokeweight=".5pt">
                <v:textbox>
                  <w:txbxContent>
                    <w:p w14:paraId="2378C030" w14:textId="77777777" w:rsidR="00F61130" w:rsidRDefault="00F61130" w:rsidP="009B0B0A">
                      <w:pPr>
                        <w:spacing w:line="240" w:lineRule="auto"/>
                        <w:jc w:val="center"/>
                      </w:pPr>
                      <w:r>
                        <w:t>F</w:t>
                      </w:r>
                    </w:p>
                  </w:txbxContent>
                </v:textbox>
                <w10:wrap type="square"/>
              </v:shape>
            </w:pict>
          </mc:Fallback>
        </mc:AlternateContent>
      </w:r>
      <w:r>
        <w:rPr>
          <w:noProof/>
        </w:rPr>
        <mc:AlternateContent>
          <mc:Choice Requires="wps">
            <w:drawing>
              <wp:anchor distT="0" distB="0" distL="114300" distR="114300" simplePos="0" relativeHeight="252048384" behindDoc="0" locked="0" layoutInCell="1" allowOverlap="1" wp14:anchorId="4D08C478" wp14:editId="0CBADEED">
                <wp:simplePos x="0" y="0"/>
                <wp:positionH relativeFrom="column">
                  <wp:posOffset>127635</wp:posOffset>
                </wp:positionH>
                <wp:positionV relativeFrom="paragraph">
                  <wp:posOffset>5267960</wp:posOffset>
                </wp:positionV>
                <wp:extent cx="359410" cy="358775"/>
                <wp:effectExtent l="0" t="0" r="0" b="0"/>
                <wp:wrapSquare wrapText="bothSides"/>
                <wp:docPr id="465" name="Text Box 465"/>
                <wp:cNvGraphicFramePr/>
                <a:graphic xmlns:a="http://schemas.openxmlformats.org/drawingml/2006/main">
                  <a:graphicData uri="http://schemas.microsoft.com/office/word/2010/wordprocessingShape">
                    <wps:wsp>
                      <wps:cNvSpPr txBox="1"/>
                      <wps:spPr>
                        <a:xfrm>
                          <a:off x="0" y="0"/>
                          <a:ext cx="359410" cy="358775"/>
                        </a:xfrm>
                        <a:prstGeom prst="rect">
                          <a:avLst/>
                        </a:prstGeom>
                        <a:noFill/>
                        <a:ln w="6350">
                          <a:noFill/>
                        </a:ln>
                      </wps:spPr>
                      <wps:txbx>
                        <w:txbxContent>
                          <w:p w14:paraId="2BD84917" w14:textId="77777777" w:rsidR="00F61130" w:rsidRDefault="00F61130" w:rsidP="009B0B0A">
                            <w:pPr>
                              <w:spacing w:line="240" w:lineRule="auto"/>
                              <w:jc w:val="center"/>
                            </w:pPr>
                            <w:r>
                              <w:t>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D08C478" id="Text Box 465" o:spid="_x0000_s1090" type="#_x0000_t202" style="position:absolute;left:0;text-align:left;margin-left:10.05pt;margin-top:414.8pt;width:28.3pt;height:28.25pt;z-index:2520483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v13LINAIAAF4EAAAOAAAAZHJzL2Uyb0RvYy54bWysVEuP2jAQvlfqf7B8L+ERYDcirOiuqCqh&#13;&#10;3ZWg2rNxbBLJ8bi2IaG/vmOHsGjbU9WL45lvPK9vJouHtlbkJKyrQOd0NBhSIjSHotKHnP7Yrb/c&#13;&#10;UeI80wVToEVOz8LRh+XnT4vGZGIMJahCWIJOtMsak9PSe5MlieOlqJkbgBEaQQm2Zh5Fe0gKyxr0&#13;&#10;XqtkPBzOkgZsYSxw4RxqnzqQLqN/KQX3L1I64YnKKebm42njuQ9nslyw7GCZKSt+SYP9QxY1qzQG&#13;&#10;vbp6Yp6Ro63+cFVX3IID6Qcc6gSkrLiINWA1o+GHarYlMyLWgs1x5tom9//c8ufTqyVVkdN0NqVE&#13;&#10;sxpJ2onWk6/QkqDDDjXGZWi4NWjqWwSQ6V7vUBkKb6WtwxdLIohjr8/X/gZ3HJWT6X06QoQjNJne&#13;&#10;zefRe/L+2FjnvwmoSbjk1CJ9savstHEeE0HT3iTE0rCulIoUKk2anM4m02F8cEXwhdL4MJTQpRpu&#13;&#10;vt23sehZ2texh+KM5VnoRsQZvq4wiQ1z/pVZnAnMG+fcv+AhFWAwuNwoKcH++ps+2CNViFLS4Izl&#13;&#10;1P08MisoUd81kng/StMwlFFIp/MxCvYW2d8i+lg/Ao7xCDfK8HgN9l71V2mhfsN1WIWoCDHNMXZO&#13;&#10;ube98Oi72ceF4mK1imY4iIb5jd4aHpyHxoYm79o3Zs2FCY8UPkM/jyz7QEhn21GyOnqQVWQrtLrr&#13;&#10;64UBHOJI4mXhwpbcytHq/bew/A0AAP//AwBQSwMEFAAGAAgAAAAhALuE3PjkAAAADgEAAA8AAABk&#13;&#10;cnMvZG93bnJldi54bWxMTz1PwzAQ3ZH4D9YhsaDWToSSkMapUBFShiwtCKmbG5s4amwH203Dv+eY&#13;&#10;YDnp7r17H9V2MSOZlQ+DsxySNQOibOfkYHsO72+vqwJIiMJKMTqrOHyrANv69qYSpXRXu1fzIfYE&#13;&#10;RWwoBQcd41RSGjqtjAhrNymL2KfzRkRcfU+lF1cUNyNNGcuoEYNFBy0mtdOqOx8uhsP80TzK/ayj&#13;&#10;f9i1DWvO7Vd+bDm/v1teNjieN0CiWuLfB/x2wPxQY7CTu1gZyMghZQkyORTpUwYECXmWAznhocgS&#13;&#10;oHVF/9eofwAAAP//AwBQSwECLQAUAAYACAAAACEAtoM4kv4AAADhAQAAEwAAAAAAAAAAAAAAAAAA&#13;&#10;AAAAW0NvbnRlbnRfVHlwZXNdLnhtbFBLAQItABQABgAIAAAAIQA4/SH/1gAAAJQBAAALAAAAAAAA&#13;&#10;AAAAAAAAAC8BAABfcmVscy8ucmVsc1BLAQItABQABgAIAAAAIQCv13LINAIAAF4EAAAOAAAAAAAA&#13;&#10;AAAAAAAAAC4CAABkcnMvZTJvRG9jLnhtbFBLAQItABQABgAIAAAAIQC7hNz45AAAAA4BAAAPAAAA&#13;&#10;AAAAAAAAAAAAAI4EAABkcnMvZG93bnJldi54bWxQSwUGAAAAAAQABADzAAAAnwUAAAAA&#13;&#10;" filled="f" stroked="f" strokeweight=".5pt">
                <v:textbox>
                  <w:txbxContent>
                    <w:p w14:paraId="2BD84917" w14:textId="77777777" w:rsidR="00F61130" w:rsidRDefault="00F61130" w:rsidP="009B0B0A">
                      <w:pPr>
                        <w:spacing w:line="240" w:lineRule="auto"/>
                        <w:jc w:val="center"/>
                      </w:pPr>
                      <w:r>
                        <w:t>E</w:t>
                      </w:r>
                    </w:p>
                  </w:txbxContent>
                </v:textbox>
                <w10:wrap type="square"/>
              </v:shape>
            </w:pict>
          </mc:Fallback>
        </mc:AlternateContent>
      </w:r>
      <w:r>
        <w:rPr>
          <w:noProof/>
        </w:rPr>
        <mc:AlternateContent>
          <mc:Choice Requires="wps">
            <w:drawing>
              <wp:anchor distT="0" distB="0" distL="114300" distR="114300" simplePos="0" relativeHeight="252047360" behindDoc="0" locked="0" layoutInCell="1" allowOverlap="1" wp14:anchorId="1B3197B1" wp14:editId="7806DF72">
                <wp:simplePos x="0" y="0"/>
                <wp:positionH relativeFrom="column">
                  <wp:posOffset>2791460</wp:posOffset>
                </wp:positionH>
                <wp:positionV relativeFrom="paragraph">
                  <wp:posOffset>3439160</wp:posOffset>
                </wp:positionV>
                <wp:extent cx="359410" cy="358775"/>
                <wp:effectExtent l="0" t="0" r="0" b="0"/>
                <wp:wrapSquare wrapText="bothSides"/>
                <wp:docPr id="464" name="Text Box 464"/>
                <wp:cNvGraphicFramePr/>
                <a:graphic xmlns:a="http://schemas.openxmlformats.org/drawingml/2006/main">
                  <a:graphicData uri="http://schemas.microsoft.com/office/word/2010/wordprocessingShape">
                    <wps:wsp>
                      <wps:cNvSpPr txBox="1"/>
                      <wps:spPr>
                        <a:xfrm>
                          <a:off x="0" y="0"/>
                          <a:ext cx="359410" cy="358775"/>
                        </a:xfrm>
                        <a:prstGeom prst="rect">
                          <a:avLst/>
                        </a:prstGeom>
                        <a:noFill/>
                        <a:ln w="6350">
                          <a:noFill/>
                        </a:ln>
                      </wps:spPr>
                      <wps:txbx>
                        <w:txbxContent>
                          <w:p w14:paraId="03A6AA1A" w14:textId="77777777" w:rsidR="00F61130" w:rsidRDefault="00F61130" w:rsidP="009B0B0A">
                            <w:pPr>
                              <w:spacing w:line="240" w:lineRule="auto"/>
                              <w:jc w:val="center"/>
                            </w:pPr>
                            <w:r>
                              <w:t>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B3197B1" id="Text Box 464" o:spid="_x0000_s1091" type="#_x0000_t202" style="position:absolute;left:0;text-align:left;margin-left:219.8pt;margin-top:270.8pt;width:28.3pt;height:28.25pt;z-index:2520473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Jbk1ZMgIAAF4EAAAOAAAAZHJzL2Uyb0RvYy54bWysVEtvGjEQvlfqf7B8L8tjIQliiWgiqkoo&#13;&#10;iQRVzsZrsyvZHtc27NJf37GXl9Keql7MzHyz8/pmmD22WpGDcL4GU9BBr0+JMBzK2uwK+mOz/HJP&#13;&#10;iQ/MlEyBEQU9Ck8f558/zRo7FUOoQJXCEQxi/LSxBa1CsNMs87wSmvkeWGEQlOA0C6i6XVY61mB0&#13;&#10;rbJhvz/JGnCldcCF92h97kA6T/GlFDy8SulFIKqgWFtIr0vvNr7ZfMamO8dsVfNTGewfqtCsNpj0&#13;&#10;EuqZBUb2rv4jlK65Aw8y9DjoDKSsuUg9YDeD/odu1hWzIvWCw/H2Mib//8Lyl8ObI3VZ0HySU2KY&#13;&#10;RpI2og3kK7Qk2nBCjfVTdFxbdA0tAsj02e7RGBtvpdPxF1siiOOsj5f5xnAcjaPxQz5AhCM0Gt/f&#13;&#10;3Y1jlOz6sXU+fBOgSRQK6pC+NFV2WPnQuZ5dYi4Dy1qpRKEypCnoZDTupw8uCAZXBnPEFrpSoxTa&#13;&#10;bZuanqQKomkL5RHbc9CtiLd8WWMRK+bDG3O4E1g37nl4xUcqwGRwkiipwP36mz36I1WIUtLgjhXU&#13;&#10;/9wzJyhR3w2S+DDI87iUScnHd0NU3C2yvUXMXj8BrvEAL8ryJEb/oM6idKDf8RwWMStCzHDMXVAe&#13;&#10;3Fl5Ct3u40FxsVgkN1xEy8LKrC2PweNg45A37Ttz9sREQApf4LyPbPqBkM63o2SxDyDrxNZ1ricG&#13;&#10;cIkT36eDi1dyqyev69/C/DcAAAD//wMAUEsDBBQABgAIAAAAIQCZ8OEW5QAAABABAAAPAAAAZHJz&#13;&#10;L2Rvd25yZXYueG1sTE87T8MwEN6R+A/WIbEg6qSE0KRxKlSElCFLC0Jic2MTR43PIXbT8O+5TrCc&#13;&#10;7vHd9yg2s+3ZpEffORQQLyJgGhunOmwFvL+93q+A+SBRyd6hFvCjPWzK66tC5sqdcaenfWgZkaDP&#13;&#10;pQATwpBz7hujrfQLN2ik25cbrQw0ji1XozwTue35MopSbmWHpGDkoLdGN8f9yQqYPqpE7SYTxrtt&#13;&#10;XUXVsf5++qyFuL2ZX9ZUntfAgp7D3wdcMpB/KMnYwZ1QedYLSB6ylKACHpOYGkIkWboEdqBNtoqB&#13;&#10;lwX/H6T8BQAA//8DAFBLAQItABQABgAIAAAAIQC2gziS/gAAAOEBAAATAAAAAAAAAAAAAAAAAAAA&#13;&#10;AABbQ29udGVudF9UeXBlc10ueG1sUEsBAi0AFAAGAAgAAAAhADj9If/WAAAAlAEAAAsAAAAAAAAA&#13;&#10;AAAAAAAALwEAAF9yZWxzLy5yZWxzUEsBAi0AFAAGAAgAAAAhAEluTVkyAgAAXgQAAA4AAAAAAAAA&#13;&#10;AAAAAAAALgIAAGRycy9lMm9Eb2MueG1sUEsBAi0AFAAGAAgAAAAhAJnw4RblAAAAEAEAAA8AAAAA&#13;&#10;AAAAAAAAAAAAjAQAAGRycy9kb3ducmV2LnhtbFBLBQYAAAAABAAEAPMAAACeBQAAAAA=&#13;&#10;" filled="f" stroked="f" strokeweight=".5pt">
                <v:textbox>
                  <w:txbxContent>
                    <w:p w14:paraId="03A6AA1A" w14:textId="77777777" w:rsidR="00F61130" w:rsidRDefault="00F61130" w:rsidP="009B0B0A">
                      <w:pPr>
                        <w:spacing w:line="240" w:lineRule="auto"/>
                        <w:jc w:val="center"/>
                      </w:pPr>
                      <w:r>
                        <w:t>D</w:t>
                      </w:r>
                    </w:p>
                  </w:txbxContent>
                </v:textbox>
                <w10:wrap type="square"/>
              </v:shape>
            </w:pict>
          </mc:Fallback>
        </mc:AlternateContent>
      </w:r>
      <w:r>
        <w:rPr>
          <w:noProof/>
        </w:rPr>
        <mc:AlternateContent>
          <mc:Choice Requires="wps">
            <w:drawing>
              <wp:anchor distT="0" distB="0" distL="114300" distR="114300" simplePos="0" relativeHeight="252046336" behindDoc="0" locked="0" layoutInCell="1" allowOverlap="1" wp14:anchorId="7FE5F68B" wp14:editId="3AB6FED7">
                <wp:simplePos x="0" y="0"/>
                <wp:positionH relativeFrom="column">
                  <wp:posOffset>127635</wp:posOffset>
                </wp:positionH>
                <wp:positionV relativeFrom="paragraph">
                  <wp:posOffset>3439160</wp:posOffset>
                </wp:positionV>
                <wp:extent cx="359410" cy="358775"/>
                <wp:effectExtent l="0" t="0" r="0" b="0"/>
                <wp:wrapSquare wrapText="bothSides"/>
                <wp:docPr id="463" name="Text Box 463"/>
                <wp:cNvGraphicFramePr/>
                <a:graphic xmlns:a="http://schemas.openxmlformats.org/drawingml/2006/main">
                  <a:graphicData uri="http://schemas.microsoft.com/office/word/2010/wordprocessingShape">
                    <wps:wsp>
                      <wps:cNvSpPr txBox="1"/>
                      <wps:spPr>
                        <a:xfrm>
                          <a:off x="0" y="0"/>
                          <a:ext cx="359410" cy="358775"/>
                        </a:xfrm>
                        <a:prstGeom prst="rect">
                          <a:avLst/>
                        </a:prstGeom>
                        <a:noFill/>
                        <a:ln w="6350">
                          <a:noFill/>
                        </a:ln>
                      </wps:spPr>
                      <wps:txbx>
                        <w:txbxContent>
                          <w:p w14:paraId="78B2EFCE" w14:textId="77777777" w:rsidR="00F61130" w:rsidRDefault="00F61130" w:rsidP="009B0B0A">
                            <w:pPr>
                              <w:spacing w:line="240" w:lineRule="auto"/>
                              <w:jc w:val="center"/>
                            </w:pPr>
                            <w:r>
                              <w:t>C</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FE5F68B" id="Text Box 463" o:spid="_x0000_s1092" type="#_x0000_t202" style="position:absolute;left:0;text-align:left;margin-left:10.05pt;margin-top:270.8pt;width:28.3pt;height:28.25pt;z-index:2520463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izqNCMgIAAF4EAAAOAAAAZHJzL2Uyb0RvYy54bWysVEtvGjEQvlfqf7B8L8ubBLFENBFVJZRE&#13;&#10;gipn47XZlWyPaxt26a/v2MsSlPZU9WJm5pud1zfD4qHRipyE8xWYnA56fUqE4VBU5pDTH7v1lztK&#13;&#10;fGCmYAqMyOlZePqw/PxpUdu5GEIJqhCOYBDj57XNaRmCnWeZ56XQzPfACoOgBKdZQNUdssKxGqNr&#13;&#10;lQ37/WlWgyusAy68R+tTC9Jlii+l4OFFSi8CUTnF2kJ6XXr38c2WCzY/OGbLil/KYP9QhWaVwaTX&#13;&#10;UE8sMHJ01R+hdMUdeJChx0FnIGXFReoBuxn0P3SzLZkVqRccjrfXMfn/F5Y/n14dqYqcjqcjSgzT&#13;&#10;SNJONIF8hYZEG06otn6OjluLrqFBAJnu7B6NsfFGOh1/sSWCOM76fJ1vDMfROJrcjweIcIRGk7vZ&#13;&#10;bBKjZO8fW+fDNwGaRCGnDulLU2WnjQ+ta+cScxlYV0olCpUhdU6no0k/fXBFMLgymCO20JYapdDs&#13;&#10;m9T0dNr1sYfijO05aFfEW76usIgN8+GVOdwJrBv3PLzgIxVgMrhIlJTgfv3NHv2RKkQpqXHHcup/&#13;&#10;HpkTlKjvBkm8H4zHcSmTMp7Mhqi4W2R/i5ijfgRc4wFelOVJjP5BdaJ0oN/wHFYxK0LMcMydUx5c&#13;&#10;pzyGdvfxoLhYrZIbLqJlYWO2lsfgcbBxyLvmjTl7YSIghc/Q7SObfyCk9W0pWR0DyCqxFUfdzvXC&#13;&#10;AC5x4vtycPFKbvXk9f63sPwNAAD//wMAUEsDBBQABgAIAAAAIQD1REV95AAAAA4BAAAPAAAAZHJz&#13;&#10;L2Rvd25yZXYueG1sTE89T8MwEN2R+A/WIbEgaqcqSUnjVKgIKUOWFoTE5sZHHDW2Q+ym4d9zTLCc&#13;&#10;dPfevY9iO9ueTTiGzjsJyUIAQ9d43blWwtvry/0aWIjKadV7hxK+McC2vL4qVK79xe1xOsSWkYgL&#13;&#10;uZJgYhxyzkNj0Kqw8AM6wj79aFWkdWy5HtWFxG3Pl0Kk3KrOkYNRA+4MNqfD2UqY3quV3k8mjne7&#13;&#10;uhLVqf7KPmopb2/m5w2Npw2wiHP8+4DfDpQfSgp29GenA+slLEVCTAkPqyQFRoQszYAd6fC4ToCX&#13;&#10;Bf9fo/wBAAD//wMAUEsBAi0AFAAGAAgAAAAhALaDOJL+AAAA4QEAABMAAAAAAAAAAAAAAAAAAAAA&#13;&#10;AFtDb250ZW50X1R5cGVzXS54bWxQSwECLQAUAAYACAAAACEAOP0h/9YAAACUAQAACwAAAAAAAAAA&#13;&#10;AAAAAAAvAQAAX3JlbHMvLnJlbHNQSwECLQAUAAYACAAAACEA4s6jQjICAABeBAAADgAAAAAAAAAA&#13;&#10;AAAAAAAuAgAAZHJzL2Uyb0RvYy54bWxQSwECLQAUAAYACAAAACEA9URFfeQAAAAOAQAADwAAAAAA&#13;&#10;AAAAAAAAAACMBAAAZHJzL2Rvd25yZXYueG1sUEsFBgAAAAAEAAQA8wAAAJ0FAAAAAA==&#13;&#10;" filled="f" stroked="f" strokeweight=".5pt">
                <v:textbox>
                  <w:txbxContent>
                    <w:p w14:paraId="78B2EFCE" w14:textId="77777777" w:rsidR="00F61130" w:rsidRDefault="00F61130" w:rsidP="009B0B0A">
                      <w:pPr>
                        <w:spacing w:line="240" w:lineRule="auto"/>
                        <w:jc w:val="center"/>
                      </w:pPr>
                      <w:r>
                        <w:t>C</w:t>
                      </w:r>
                    </w:p>
                  </w:txbxContent>
                </v:textbox>
                <w10:wrap type="square"/>
              </v:shape>
            </w:pict>
          </mc:Fallback>
        </mc:AlternateContent>
      </w:r>
      <w:r>
        <w:rPr>
          <w:noProof/>
        </w:rPr>
        <mc:AlternateContent>
          <mc:Choice Requires="wps">
            <w:drawing>
              <wp:anchor distT="0" distB="0" distL="114300" distR="114300" simplePos="0" relativeHeight="252045312" behindDoc="0" locked="0" layoutInCell="1" allowOverlap="1" wp14:anchorId="6D400E68" wp14:editId="195B63A3">
                <wp:simplePos x="0" y="0"/>
                <wp:positionH relativeFrom="column">
                  <wp:posOffset>2791460</wp:posOffset>
                </wp:positionH>
                <wp:positionV relativeFrom="paragraph">
                  <wp:posOffset>1809750</wp:posOffset>
                </wp:positionV>
                <wp:extent cx="359410" cy="358775"/>
                <wp:effectExtent l="0" t="0" r="0" b="0"/>
                <wp:wrapSquare wrapText="bothSides"/>
                <wp:docPr id="462" name="Text Box 462"/>
                <wp:cNvGraphicFramePr/>
                <a:graphic xmlns:a="http://schemas.openxmlformats.org/drawingml/2006/main">
                  <a:graphicData uri="http://schemas.microsoft.com/office/word/2010/wordprocessingShape">
                    <wps:wsp>
                      <wps:cNvSpPr txBox="1"/>
                      <wps:spPr>
                        <a:xfrm>
                          <a:off x="0" y="0"/>
                          <a:ext cx="359410" cy="358775"/>
                        </a:xfrm>
                        <a:prstGeom prst="rect">
                          <a:avLst/>
                        </a:prstGeom>
                        <a:noFill/>
                        <a:ln w="6350">
                          <a:noFill/>
                        </a:ln>
                      </wps:spPr>
                      <wps:txbx>
                        <w:txbxContent>
                          <w:p w14:paraId="7E360035" w14:textId="77777777" w:rsidR="00F61130" w:rsidRDefault="00F61130" w:rsidP="009B0B0A">
                            <w:pPr>
                              <w:spacing w:line="240" w:lineRule="auto"/>
                              <w:jc w:val="center"/>
                            </w:pPr>
                            <w:r>
                              <w:t>B</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D400E68" id="Text Box 462" o:spid="_x0000_s1093" type="#_x0000_t202" style="position:absolute;left:0;text-align:left;margin-left:219.8pt;margin-top:142.5pt;width:28.3pt;height:28.25pt;z-index:2520453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Ed5zTMgIAAF4EAAAOAAAAZHJzL2Uyb0RvYy54bWysVEtvGjEQvlfqf7B8L8ubBLFENBFVJZRE&#13;&#10;gipn47XZlWyPaxt26a/v2MsSlPZU9WJm5pud1zfD4qHRipyE8xWYnA56fUqE4VBU5pDTH7v1lztK&#13;&#10;fGCmYAqMyOlZePqw/PxpUdu5GEIJqhCOYBDj57XNaRmCnWeZ56XQzPfACoOgBKdZQNUdssKxGqNr&#13;&#10;lQ37/WlWgyusAy68R+tTC9Jlii+l4OFFSi8CUTnF2kJ6XXr38c2WCzY/OGbLil/KYP9QhWaVwaTX&#13;&#10;UE8sMHJ01R+hdMUdeJChx0FnIGXFReoBuxn0P3SzLZkVqRccjrfXMfn/F5Y/n14dqYqcjqdDSgzT&#13;&#10;SNJONIF8hYZEG06otn6OjluLrqFBAJnu7B6NsfFGOh1/sSWCOM76fJ1vDMfROJrcjweIcIRGk7vZ&#13;&#10;bBKjZO8fW+fDNwGaRCGnDulLU2WnjQ+ta+cScxlYV0olCpUhdU6no0k/fXBFMLgymCO20JYapdDs&#13;&#10;m9T0dNb1sYfijO05aFfEW76usIgN8+GVOdwJrBv3PLzgIxVgMrhIlJTgfv3NHv2RKkQpqXHHcup/&#13;&#10;HpkTlKjvBkm8H4zHcSmTMp7Mhqi4W2R/i5ijfgRc4wFelOVJjP5BdaJ0oN/wHFYxK0LMcMydUx5c&#13;&#10;pzyGdvfxoLhYrZIbLqJlYWO2lsfgcbBxyLvmjTl7YSIghc/Q7SObfyCk9W0pWR0DyCqxFUfdzvXC&#13;&#10;AC5x4vtycPFKbvXk9f63sPwNAAD//wMAUEsDBBQABgAIAAAAIQDuy9Qw6AAAABABAAAPAAAAZHJz&#13;&#10;L2Rvd25yZXYueG1sTI/BTsMwEETvSPyDtUhcEHWapqFN41SoCCmHXFoQEjc3XuKosR1iNw1/z/YE&#13;&#10;l5VWOzM7L99OpmMjDr51VsB8FgFDWzvV2kbA+9vr4wqYD9Iq2TmLAn7Qw7a4vcllptzF7nE8hIZR&#13;&#10;iPWZFKBD6DPOfa3RSD9zPVq6fbnByEDr0HA1yAuFm47HUZRyI1tLH7TscaexPh3ORsD4USZqP+ow&#13;&#10;POyqMipP1ffTZyXE/d30sqHxvAEWcAp/DrgyUH8oqNjRna3yrBOQLNYpSQXEqyWRkSJZpzGwo4BF&#13;&#10;Ml8CL3L+H6T4BQAA//8DAFBLAQItABQABgAIAAAAIQC2gziS/gAAAOEBAAATAAAAAAAAAAAAAAAA&#13;&#10;AAAAAABbQ29udGVudF9UeXBlc10ueG1sUEsBAi0AFAAGAAgAAAAhADj9If/WAAAAlAEAAAsAAAAA&#13;&#10;AAAAAAAAAAAALwEAAF9yZWxzLy5yZWxzUEsBAi0AFAAGAAgAAAAhAAR3nNMyAgAAXgQAAA4AAAAA&#13;&#10;AAAAAAAAAAAALgIAAGRycy9lMm9Eb2MueG1sUEsBAi0AFAAGAAgAAAAhAO7L1DDoAAAAEAEAAA8A&#13;&#10;AAAAAAAAAAAAAAAAjAQAAGRycy9kb3ducmV2LnhtbFBLBQYAAAAABAAEAPMAAAChBQAAAAA=&#13;&#10;" filled="f" stroked="f" strokeweight=".5pt">
                <v:textbox>
                  <w:txbxContent>
                    <w:p w14:paraId="7E360035" w14:textId="77777777" w:rsidR="00F61130" w:rsidRDefault="00F61130" w:rsidP="009B0B0A">
                      <w:pPr>
                        <w:spacing w:line="240" w:lineRule="auto"/>
                        <w:jc w:val="center"/>
                      </w:pPr>
                      <w:r>
                        <w:t>B</w:t>
                      </w:r>
                    </w:p>
                  </w:txbxContent>
                </v:textbox>
                <w10:wrap type="square"/>
              </v:shape>
            </w:pict>
          </mc:Fallback>
        </mc:AlternateContent>
      </w:r>
      <w:r>
        <w:rPr>
          <w:noProof/>
        </w:rPr>
        <mc:AlternateContent>
          <mc:Choice Requires="wps">
            <w:drawing>
              <wp:anchor distT="0" distB="0" distL="114300" distR="114300" simplePos="0" relativeHeight="252044288" behindDoc="0" locked="0" layoutInCell="1" allowOverlap="1" wp14:anchorId="277F567D" wp14:editId="620A1C69">
                <wp:simplePos x="0" y="0"/>
                <wp:positionH relativeFrom="column">
                  <wp:posOffset>136525</wp:posOffset>
                </wp:positionH>
                <wp:positionV relativeFrom="paragraph">
                  <wp:posOffset>1809750</wp:posOffset>
                </wp:positionV>
                <wp:extent cx="359410" cy="358775"/>
                <wp:effectExtent l="0" t="0" r="0" b="0"/>
                <wp:wrapSquare wrapText="bothSides"/>
                <wp:docPr id="461" name="Text Box 461"/>
                <wp:cNvGraphicFramePr/>
                <a:graphic xmlns:a="http://schemas.openxmlformats.org/drawingml/2006/main">
                  <a:graphicData uri="http://schemas.microsoft.com/office/word/2010/wordprocessingShape">
                    <wps:wsp>
                      <wps:cNvSpPr txBox="1"/>
                      <wps:spPr>
                        <a:xfrm>
                          <a:off x="0" y="0"/>
                          <a:ext cx="359410" cy="358775"/>
                        </a:xfrm>
                        <a:prstGeom prst="rect">
                          <a:avLst/>
                        </a:prstGeom>
                        <a:noFill/>
                        <a:ln w="6350">
                          <a:noFill/>
                        </a:ln>
                      </wps:spPr>
                      <wps:txbx>
                        <w:txbxContent>
                          <w:p w14:paraId="66419D22" w14:textId="77777777" w:rsidR="00F61130" w:rsidRDefault="00F61130" w:rsidP="009B0B0A">
                            <w:pPr>
                              <w:spacing w:line="240" w:lineRule="auto"/>
                              <w:jc w:val="center"/>
                            </w:pPr>
                            <w:r>
                              <w:t>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77F567D" id="Text Box 461" o:spid="_x0000_s1094" type="#_x0000_t202" style="position:absolute;left:0;text-align:left;margin-left:10.75pt;margin-top:142.5pt;width:28.3pt;height:28.25pt;z-index:2520442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COXpUMgIAAF4EAAAOAAAAZHJzL2Uyb0RvYy54bWysVE1vGjEQvVfqf7B8L8t3CGKJaCKqSiiJ&#13;&#10;BFXOxmuzK9ke1zbs0l/fsZclKO2p6sV45s3O13tm8dBoRU7C+QpMTge9PiXCcCgqc8jpj936y4wS&#13;&#10;H5gpmAIjcnoWnj4sP39a1HYuhlCCKoQjmMT4eW1zWoZg51nmeSk08z2wwiAowWkW0HSHrHCsxuxa&#13;&#10;ZcN+f5rV4ArrgAvv0fvUgnSZ8kspeHiR0otAVE6xt5BOl859PLPlgs0Pjtmy4pc22D90oVllsOg1&#13;&#10;1RMLjBxd9UcqXXEHHmTocdAZSFlxkWbAaQb9D9NsS2ZFmgWX4+11Tf7/peXPp1dHqiKn4+mAEsM0&#13;&#10;krQTTSBfoSHRhxuqrZ9j4NZiaGgQQKY7v0dnHLyRTsdfHIkgjrs+X/cb03F0jib34wEiHKHRZHZ3&#13;&#10;N4lZsvePrfPhmwBN4iWnDulLW2WnjQ9taBcSaxlYV0olCpUhdU6no0k/fXBFMLkyWCOO0LYab6HZ&#13;&#10;N2no6aybYw/FGcdz0ErEW76usIkN8+GVOdQE9o06Dy94SAVYDC43Skpwv/7mj/FIFaKU1KixnPqf&#13;&#10;R+YEJeq7QRLvB+NxFGUyxpO7IRruFtnfIuaoHwFljDRhd+ka44PqrtKBfsPnsIpVEWKGY+2c8uA6&#13;&#10;4zG02scHxcVqlcJQiJaFjdlaHpPHxcYl75o35uyFiYAUPkOnRzb/QEgb21KyOgaQVWIrrrrd64UB&#13;&#10;FHHi+/Lg4iu5tVPU+9/C8jcAAAD//wMAUEsDBBQABgAIAAAAIQClyT5p4wAAAA4BAAAPAAAAZHJz&#13;&#10;L2Rvd25yZXYueG1sTE/LTsMwELwj8Q/WInFBrZPSR5TGqVARUg65tCAkbm5s4qjxOthuGv6e5QSX&#13;&#10;Xa1mdh7FbrI9G7UPnUMB6TwBprFxqsNWwNvryywDFqJEJXuHWsC3DrArb28KmSt3xYMej7FlJIIh&#13;&#10;lwJMjEPOeWiMtjLM3aCRsE/nrYx0+pYrL68kbnu+SJI1t7JDcjBy0Hujm/PxYgWM79VSHUYT/cO+&#13;&#10;rpLqXH9tPmoh7u+m5y2Npy2wqKf49wG/HSg/lBTs5C6oAusFLNIVMWlnKypGhE2WAjsJeFwSwsuC&#13;&#10;/69R/gAAAP//AwBQSwECLQAUAAYACAAAACEAtoM4kv4AAADhAQAAEwAAAAAAAAAAAAAAAAAAAAAA&#13;&#10;W0NvbnRlbnRfVHlwZXNdLnhtbFBLAQItABQABgAIAAAAIQA4/SH/1gAAAJQBAAALAAAAAAAAAAAA&#13;&#10;AAAAAC8BAABfcmVscy8ucmVsc1BLAQItABQABgAIAAAAIQDCOXpUMgIAAF4EAAAOAAAAAAAAAAAA&#13;&#10;AAAAAC4CAABkcnMvZTJvRG9jLnhtbFBLAQItABQABgAIAAAAIQClyT5p4wAAAA4BAAAPAAAAAAAA&#13;&#10;AAAAAAAAAIwEAABkcnMvZG93bnJldi54bWxQSwUGAAAAAAQABADzAAAAnAUAAAAA&#13;&#10;" filled="f" stroked="f" strokeweight=".5pt">
                <v:textbox>
                  <w:txbxContent>
                    <w:p w14:paraId="66419D22" w14:textId="77777777" w:rsidR="00F61130" w:rsidRDefault="00F61130" w:rsidP="009B0B0A">
                      <w:pPr>
                        <w:spacing w:line="240" w:lineRule="auto"/>
                        <w:jc w:val="center"/>
                      </w:pPr>
                      <w:r>
                        <w:t>A</w:t>
                      </w:r>
                    </w:p>
                  </w:txbxContent>
                </v:textbox>
                <w10:wrap type="square"/>
              </v:shape>
            </w:pict>
          </mc:Fallback>
        </mc:AlternateContent>
      </w:r>
      <w:r>
        <w:rPr>
          <w:noProof/>
        </w:rPr>
        <w:drawing>
          <wp:anchor distT="0" distB="0" distL="114300" distR="114300" simplePos="0" relativeHeight="252042240" behindDoc="0" locked="0" layoutInCell="1" allowOverlap="1" wp14:anchorId="29FC7DEC" wp14:editId="38F0CAD3">
            <wp:simplePos x="0" y="0"/>
            <wp:positionH relativeFrom="column">
              <wp:posOffset>0</wp:posOffset>
            </wp:positionH>
            <wp:positionV relativeFrom="paragraph">
              <wp:posOffset>1988820</wp:posOffset>
            </wp:positionV>
            <wp:extent cx="5575935" cy="5269865"/>
            <wp:effectExtent l="0" t="0" r="0" b="635"/>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a:picLocks noChangeAspect="1"/>
                    </pic:cNvPicPr>
                  </pic:nvPicPr>
                  <pic:blipFill rotWithShape="1">
                    <a:blip r:embed="rId48">
                      <a:extLst>
                        <a:ext uri="{28A0092B-C50C-407E-A947-70E740481C1C}">
                          <a14:useLocalDpi xmlns:a14="http://schemas.microsoft.com/office/drawing/2010/main" val="0"/>
                        </a:ext>
                      </a:extLst>
                    </a:blip>
                    <a:srcRect t="31014" b="525"/>
                    <a:stretch/>
                  </pic:blipFill>
                  <pic:spPr bwMode="auto">
                    <a:xfrm>
                      <a:off x="0" y="0"/>
                      <a:ext cx="5575935" cy="5269865"/>
                    </a:xfrm>
                    <a:prstGeom prst="rect">
                      <a:avLst/>
                    </a:prstGeom>
                    <a:ln>
                      <a:noFill/>
                    </a:ln>
                    <a:extLst>
                      <a:ext uri="{53640926-AAD7-44D8-BBD7-CCE9431645EC}">
                        <a14:shadowObscured xmlns:a14="http://schemas.microsoft.com/office/drawing/2010/main"/>
                      </a:ext>
                    </a:extLst>
                  </pic:spPr>
                </pic:pic>
              </a:graphicData>
            </a:graphic>
          </wp:anchor>
        </w:drawing>
      </w:r>
      <w:r>
        <w:rPr>
          <w:noProof/>
        </w:rPr>
        <mc:AlternateContent>
          <mc:Choice Requires="wps">
            <w:drawing>
              <wp:anchor distT="0" distB="0" distL="114300" distR="114300" simplePos="0" relativeHeight="252043264" behindDoc="0" locked="0" layoutInCell="1" allowOverlap="1" wp14:anchorId="62A21D08" wp14:editId="08A1E2F6">
                <wp:simplePos x="0" y="0"/>
                <wp:positionH relativeFrom="column">
                  <wp:posOffset>0</wp:posOffset>
                </wp:positionH>
                <wp:positionV relativeFrom="paragraph">
                  <wp:posOffset>7263230</wp:posOffset>
                </wp:positionV>
                <wp:extent cx="5575935" cy="1180465"/>
                <wp:effectExtent l="0" t="0" r="12065" b="635"/>
                <wp:wrapSquare wrapText="bothSides"/>
                <wp:docPr id="59" name="Text Box 59"/>
                <wp:cNvGraphicFramePr/>
                <a:graphic xmlns:a="http://schemas.openxmlformats.org/drawingml/2006/main">
                  <a:graphicData uri="http://schemas.microsoft.com/office/word/2010/wordprocessingShape">
                    <wps:wsp>
                      <wps:cNvSpPr txBox="1"/>
                      <wps:spPr>
                        <a:xfrm>
                          <a:off x="0" y="0"/>
                          <a:ext cx="5575935" cy="1180465"/>
                        </a:xfrm>
                        <a:prstGeom prst="rect">
                          <a:avLst/>
                        </a:prstGeom>
                        <a:noFill/>
                        <a:ln>
                          <a:noFill/>
                        </a:ln>
                      </wps:spPr>
                      <wps:txbx>
                        <w:txbxContent>
                          <w:p w14:paraId="28D74A14" w14:textId="5ECC5828" w:rsidR="00F61130" w:rsidRPr="009A7602" w:rsidRDefault="00F61130" w:rsidP="009B0B0A">
                            <w:pPr>
                              <w:pStyle w:val="Caption"/>
                              <w:spacing w:line="360" w:lineRule="auto"/>
                              <w:jc w:val="both"/>
                              <w:rPr>
                                <w:noProof/>
                                <w:sz w:val="20"/>
                                <w:szCs w:val="20"/>
                              </w:rPr>
                            </w:pPr>
                            <w:bookmarkStart w:id="354" w:name="_Ref518563634"/>
                            <w:bookmarkStart w:id="355" w:name="_Toc525227209"/>
                            <w:bookmarkStart w:id="356" w:name="_Toc536814148"/>
                            <w:r w:rsidRPr="009A7602">
                              <w:rPr>
                                <w:b/>
                                <w:sz w:val="20"/>
                                <w:szCs w:val="20"/>
                              </w:rPr>
                              <w:t xml:space="preserve">Figure </w:t>
                            </w:r>
                            <w:r>
                              <w:rPr>
                                <w:b/>
                                <w:sz w:val="20"/>
                                <w:szCs w:val="20"/>
                              </w:rPr>
                              <w:fldChar w:fldCharType="begin"/>
                            </w:r>
                            <w:r>
                              <w:rPr>
                                <w:b/>
                                <w:sz w:val="20"/>
                                <w:szCs w:val="20"/>
                              </w:rPr>
                              <w:instrText xml:space="preserve"> STYLEREF 1 \s </w:instrText>
                            </w:r>
                            <w:r>
                              <w:rPr>
                                <w:b/>
                                <w:sz w:val="20"/>
                                <w:szCs w:val="20"/>
                              </w:rPr>
                              <w:fldChar w:fldCharType="separate"/>
                            </w:r>
                            <w:r>
                              <w:rPr>
                                <w:b/>
                                <w:noProof/>
                                <w:sz w:val="20"/>
                                <w:szCs w:val="20"/>
                              </w:rPr>
                              <w:t>4</w:t>
                            </w:r>
                            <w:r>
                              <w:rPr>
                                <w:b/>
                                <w:sz w:val="20"/>
                                <w:szCs w:val="20"/>
                              </w:rPr>
                              <w:fldChar w:fldCharType="end"/>
                            </w:r>
                            <w:r>
                              <w:rPr>
                                <w:b/>
                                <w:sz w:val="20"/>
                                <w:szCs w:val="20"/>
                              </w:rPr>
                              <w:t>.</w:t>
                            </w:r>
                            <w:r>
                              <w:rPr>
                                <w:b/>
                                <w:sz w:val="20"/>
                                <w:szCs w:val="20"/>
                              </w:rPr>
                              <w:fldChar w:fldCharType="begin"/>
                            </w:r>
                            <w:r>
                              <w:rPr>
                                <w:b/>
                                <w:sz w:val="20"/>
                                <w:szCs w:val="20"/>
                              </w:rPr>
                              <w:instrText xml:space="preserve"> SEQ Figure \* ARABIC \s 1 </w:instrText>
                            </w:r>
                            <w:r>
                              <w:rPr>
                                <w:b/>
                                <w:sz w:val="20"/>
                                <w:szCs w:val="20"/>
                              </w:rPr>
                              <w:fldChar w:fldCharType="separate"/>
                            </w:r>
                            <w:r>
                              <w:rPr>
                                <w:b/>
                                <w:noProof/>
                                <w:sz w:val="20"/>
                                <w:szCs w:val="20"/>
                              </w:rPr>
                              <w:t>4</w:t>
                            </w:r>
                            <w:r>
                              <w:rPr>
                                <w:b/>
                                <w:sz w:val="20"/>
                                <w:szCs w:val="20"/>
                              </w:rPr>
                              <w:fldChar w:fldCharType="end"/>
                            </w:r>
                            <w:bookmarkEnd w:id="354"/>
                            <w:r w:rsidRPr="009A7602">
                              <w:rPr>
                                <w:b/>
                                <w:sz w:val="20"/>
                                <w:szCs w:val="20"/>
                              </w:rPr>
                              <w:t xml:space="preserve"> - Abundance of Leukocyte Subsets during Hepatic </w:t>
                            </w:r>
                            <w:r>
                              <w:rPr>
                                <w:b/>
                                <w:sz w:val="20"/>
                                <w:szCs w:val="20"/>
                              </w:rPr>
                              <w:t xml:space="preserve">infection with </w:t>
                            </w:r>
                            <w:r>
                              <w:rPr>
                                <w:b/>
                                <w:i/>
                                <w:sz w:val="20"/>
                                <w:szCs w:val="20"/>
                              </w:rPr>
                              <w:t>L. donovani</w:t>
                            </w:r>
                            <w:r w:rsidRPr="009A7602">
                              <w:rPr>
                                <w:b/>
                                <w:sz w:val="20"/>
                                <w:szCs w:val="20"/>
                              </w:rPr>
                              <w:t>.</w:t>
                            </w:r>
                            <w:r w:rsidRPr="009A7602">
                              <w:rPr>
                                <w:sz w:val="20"/>
                                <w:szCs w:val="20"/>
                              </w:rPr>
                              <w:t xml:space="preserve"> Absolute number of </w:t>
                            </w:r>
                            <w:r>
                              <w:rPr>
                                <w:sz w:val="20"/>
                                <w:szCs w:val="20"/>
                              </w:rPr>
                              <w:t>hepatic T cells</w:t>
                            </w:r>
                            <w:r w:rsidRPr="009A7602">
                              <w:rPr>
                                <w:sz w:val="20"/>
                                <w:szCs w:val="20"/>
                              </w:rPr>
                              <w:t xml:space="preserve"> (A)</w:t>
                            </w:r>
                            <w:r>
                              <w:rPr>
                                <w:sz w:val="20"/>
                                <w:szCs w:val="20"/>
                              </w:rPr>
                              <w:t>,</w:t>
                            </w:r>
                            <w:r w:rsidRPr="009A7602">
                              <w:rPr>
                                <w:sz w:val="20"/>
                                <w:szCs w:val="20"/>
                              </w:rPr>
                              <w:t xml:space="preserve"> </w:t>
                            </w:r>
                            <w:r>
                              <w:rPr>
                                <w:sz w:val="20"/>
                                <w:szCs w:val="20"/>
                              </w:rPr>
                              <w:t>neutrophils</w:t>
                            </w:r>
                            <w:r w:rsidRPr="009A7602">
                              <w:rPr>
                                <w:sz w:val="20"/>
                                <w:szCs w:val="20"/>
                              </w:rPr>
                              <w:t xml:space="preserve"> (B)</w:t>
                            </w:r>
                            <w:r>
                              <w:rPr>
                                <w:sz w:val="20"/>
                                <w:szCs w:val="20"/>
                              </w:rPr>
                              <w:t>, B</w:t>
                            </w:r>
                            <w:r w:rsidRPr="009A7602">
                              <w:rPr>
                                <w:sz w:val="20"/>
                                <w:szCs w:val="20"/>
                              </w:rPr>
                              <w:t xml:space="preserve"> cells</w:t>
                            </w:r>
                            <w:r>
                              <w:rPr>
                                <w:sz w:val="20"/>
                                <w:szCs w:val="20"/>
                              </w:rPr>
                              <w:t xml:space="preserve"> (C), macrophages &amp; monocytes (D), NK Cells (E) and dendritic cells (F)</w:t>
                            </w:r>
                            <w:r w:rsidRPr="009A7602">
                              <w:rPr>
                                <w:sz w:val="20"/>
                                <w:szCs w:val="20"/>
                              </w:rPr>
                              <w:t xml:space="preserve"> per liver determined by flow cytometry. Data </w:t>
                            </w:r>
                            <w:r>
                              <w:rPr>
                                <w:sz w:val="20"/>
                                <w:szCs w:val="20"/>
                              </w:rPr>
                              <w:t>are</w:t>
                            </w:r>
                            <w:r w:rsidRPr="009A7602">
                              <w:rPr>
                                <w:sz w:val="20"/>
                                <w:szCs w:val="20"/>
                              </w:rPr>
                              <w:t xml:space="preserve"> shown as mean </w:t>
                            </w:r>
                            <w:r w:rsidRPr="009A7602">
                              <w:rPr>
                                <w:sz w:val="20"/>
                                <w:szCs w:val="20"/>
                              </w:rPr>
                              <w:sym w:font="Symbol" w:char="F0B1"/>
                            </w:r>
                            <w:r w:rsidRPr="009A7602">
                              <w:rPr>
                                <w:sz w:val="20"/>
                                <w:szCs w:val="20"/>
                              </w:rPr>
                              <w:t xml:space="preserve"> SD (n = 4-5 biological replicates per time point). Data </w:t>
                            </w:r>
                            <w:r>
                              <w:rPr>
                                <w:sz w:val="20"/>
                                <w:szCs w:val="20"/>
                              </w:rPr>
                              <w:t>are</w:t>
                            </w:r>
                            <w:r w:rsidRPr="009A7602">
                              <w:rPr>
                                <w:sz w:val="20"/>
                                <w:szCs w:val="20"/>
                              </w:rPr>
                              <w:t xml:space="preserve"> representative of 1 infection experiment and was analysed using a Dunn’s Multiple Comparisons test (# denotes a p value of less than 0.05)</w:t>
                            </w:r>
                            <w:r>
                              <w:rPr>
                                <w:sz w:val="20"/>
                                <w:szCs w:val="20"/>
                              </w:rPr>
                              <w:t>. Samples were generated using digestion and staining protocol 1.</w:t>
                            </w:r>
                            <w:bookmarkEnd w:id="355"/>
                            <w:bookmarkEnd w:id="356"/>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62A21D08" id="Text Box 59" o:spid="_x0000_s1095" type="#_x0000_t202" style="position:absolute;left:0;text-align:left;margin-left:0;margin-top:571.9pt;width:439.05pt;height:92.95pt;z-index:2520432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nOBoIQIAAEMEAAAOAAAAZHJzL2Uyb0RvYy54bWysU8Fu2zAMvQ/YPwi6L066OWuDOEXWIsOA&#13;&#10;oC2QDD0rshQbsESNUmJnXz9KjtOu22nYRaZJ6lF8fJzfdqZhR4W+BlvwyWjMmbISytruC/59u/pw&#13;&#10;zZkPwpaiAasKflKe3y7ev5u3bqauoIKmVMgIxPpZ6wpeheBmWeZlpYzwI3DKUlADGhHoF/dZiaIl&#13;&#10;dNNkV+PxNGsBS4cglffkve+DfJHwtVYyPGrtVWBNweltIZ2Yzl08s8VczPYoXFXL8zPEP7zCiNpS&#13;&#10;0QvUvQiCHbD+A8rUEsGDDiMJJgOta6lSD9TNZPymm00lnEq9EDneXWjy/w9WPhyfkNVlwfMbzqww&#13;&#10;NKOt6gL7Ah0jF/HTOj+jtI2jxNCRn+Y8+D05Y9udRhO/1BCjODF9urAb0SQ58/xzfvMx50xSbDK5&#13;&#10;Hn+a5hEne7nu0IevCgyLRsGRxpdYFce1D33qkBKrWVjVTZNG2NjfHIQZPVl8e//GaIVu16Vep5fG&#13;&#10;dlCeqC+EXhneyVVNtdfChyeBJAVqheQdHunQDbQFh7PFWQX482/+mE8ToihnLUmr4P7HQaDirPlm&#13;&#10;aXZRh4OBg7EbDHswd0BqndDiOJlMuoChGUyNYJ5J9ctYhULCSqpV8DCYd6EXOG2NVMtlSiK1ORHW&#13;&#10;duNkhI5kRSa33bNAd6Y70KQeYBCdmL1hvc/taV4eAug6jSQS27N45puUmoZ63qq4Cq//U9bL7i9+&#13;&#10;AQAA//8DAFBLAwQUAAYACAAAACEAmSM3kuQAAAAPAQAADwAAAGRycy9kb3ducmV2LnhtbEyPzU7D&#13;&#10;MBCE70i8g7VI3KiTFrVpGqeq+DkhIdJw4OjE2yRqvA6x24a3ZzmVy0o7o52dL9tOthdnHH3nSEE8&#13;&#10;i0Ag1c501Cj4LF8fEhA+aDK6d4QKftDDNr+9yXRq3IUKPO9DIziEfKoVtCEMqZS+btFqP3MDEnsH&#13;&#10;N1odeB0baUZ94XDby3kULaXVHfGHVg/41GJ93J+sgt0XFS/d93v1URyKrizXEb0tj0rd303PGx67&#13;&#10;DYiAU7hewB8D94eci1XuRMaLXgHTBFbjxwVjsJ+skhhExdJivl6BzDP5nyP/BQAA//8DAFBLAQIt&#13;&#10;ABQABgAIAAAAIQC2gziS/gAAAOEBAAATAAAAAAAAAAAAAAAAAAAAAABbQ29udGVudF9UeXBlc10u&#13;&#10;eG1sUEsBAi0AFAAGAAgAAAAhADj9If/WAAAAlAEAAAsAAAAAAAAAAAAAAAAALwEAAF9yZWxzLy5y&#13;&#10;ZWxzUEsBAi0AFAAGAAgAAAAhAB+c4GghAgAAQwQAAA4AAAAAAAAAAAAAAAAALgIAAGRycy9lMm9E&#13;&#10;b2MueG1sUEsBAi0AFAAGAAgAAAAhAJkjN5LkAAAADwEAAA8AAAAAAAAAAAAAAAAAewQAAGRycy9k&#13;&#10;b3ducmV2LnhtbFBLBQYAAAAABAAEAPMAAACMBQAAAAA=&#13;&#10;" filled="f" stroked="f">
                <v:textbox inset="0,0,0,0">
                  <w:txbxContent>
                    <w:p w14:paraId="28D74A14" w14:textId="5ECC5828" w:rsidR="00F61130" w:rsidRPr="009A7602" w:rsidRDefault="00F61130" w:rsidP="009B0B0A">
                      <w:pPr>
                        <w:pStyle w:val="Caption"/>
                        <w:spacing w:line="360" w:lineRule="auto"/>
                        <w:jc w:val="both"/>
                        <w:rPr>
                          <w:noProof/>
                          <w:sz w:val="20"/>
                          <w:szCs w:val="20"/>
                        </w:rPr>
                      </w:pPr>
                      <w:bookmarkStart w:id="357" w:name="_Ref518563634"/>
                      <w:bookmarkStart w:id="358" w:name="_Toc525227209"/>
                      <w:bookmarkStart w:id="359" w:name="_Toc536814148"/>
                      <w:r w:rsidRPr="009A7602">
                        <w:rPr>
                          <w:b/>
                          <w:sz w:val="20"/>
                          <w:szCs w:val="20"/>
                        </w:rPr>
                        <w:t xml:space="preserve">Figure </w:t>
                      </w:r>
                      <w:r>
                        <w:rPr>
                          <w:b/>
                          <w:sz w:val="20"/>
                          <w:szCs w:val="20"/>
                        </w:rPr>
                        <w:fldChar w:fldCharType="begin"/>
                      </w:r>
                      <w:r>
                        <w:rPr>
                          <w:b/>
                          <w:sz w:val="20"/>
                          <w:szCs w:val="20"/>
                        </w:rPr>
                        <w:instrText xml:space="preserve"> STYLEREF 1 \s </w:instrText>
                      </w:r>
                      <w:r>
                        <w:rPr>
                          <w:b/>
                          <w:sz w:val="20"/>
                          <w:szCs w:val="20"/>
                        </w:rPr>
                        <w:fldChar w:fldCharType="separate"/>
                      </w:r>
                      <w:r>
                        <w:rPr>
                          <w:b/>
                          <w:noProof/>
                          <w:sz w:val="20"/>
                          <w:szCs w:val="20"/>
                        </w:rPr>
                        <w:t>4</w:t>
                      </w:r>
                      <w:r>
                        <w:rPr>
                          <w:b/>
                          <w:sz w:val="20"/>
                          <w:szCs w:val="20"/>
                        </w:rPr>
                        <w:fldChar w:fldCharType="end"/>
                      </w:r>
                      <w:r>
                        <w:rPr>
                          <w:b/>
                          <w:sz w:val="20"/>
                          <w:szCs w:val="20"/>
                        </w:rPr>
                        <w:t>.</w:t>
                      </w:r>
                      <w:r>
                        <w:rPr>
                          <w:b/>
                          <w:sz w:val="20"/>
                          <w:szCs w:val="20"/>
                        </w:rPr>
                        <w:fldChar w:fldCharType="begin"/>
                      </w:r>
                      <w:r>
                        <w:rPr>
                          <w:b/>
                          <w:sz w:val="20"/>
                          <w:szCs w:val="20"/>
                        </w:rPr>
                        <w:instrText xml:space="preserve"> SEQ Figure \* ARABIC \s 1 </w:instrText>
                      </w:r>
                      <w:r>
                        <w:rPr>
                          <w:b/>
                          <w:sz w:val="20"/>
                          <w:szCs w:val="20"/>
                        </w:rPr>
                        <w:fldChar w:fldCharType="separate"/>
                      </w:r>
                      <w:r>
                        <w:rPr>
                          <w:b/>
                          <w:noProof/>
                          <w:sz w:val="20"/>
                          <w:szCs w:val="20"/>
                        </w:rPr>
                        <w:t>4</w:t>
                      </w:r>
                      <w:r>
                        <w:rPr>
                          <w:b/>
                          <w:sz w:val="20"/>
                          <w:szCs w:val="20"/>
                        </w:rPr>
                        <w:fldChar w:fldCharType="end"/>
                      </w:r>
                      <w:bookmarkEnd w:id="357"/>
                      <w:r w:rsidRPr="009A7602">
                        <w:rPr>
                          <w:b/>
                          <w:sz w:val="20"/>
                          <w:szCs w:val="20"/>
                        </w:rPr>
                        <w:t xml:space="preserve"> - Abundance of Leukocyte Subsets during Hepatic </w:t>
                      </w:r>
                      <w:r>
                        <w:rPr>
                          <w:b/>
                          <w:sz w:val="20"/>
                          <w:szCs w:val="20"/>
                        </w:rPr>
                        <w:t xml:space="preserve">infection with </w:t>
                      </w:r>
                      <w:r>
                        <w:rPr>
                          <w:b/>
                          <w:i/>
                          <w:sz w:val="20"/>
                          <w:szCs w:val="20"/>
                        </w:rPr>
                        <w:t>L. donovani</w:t>
                      </w:r>
                      <w:r w:rsidRPr="009A7602">
                        <w:rPr>
                          <w:b/>
                          <w:sz w:val="20"/>
                          <w:szCs w:val="20"/>
                        </w:rPr>
                        <w:t>.</w:t>
                      </w:r>
                      <w:r w:rsidRPr="009A7602">
                        <w:rPr>
                          <w:sz w:val="20"/>
                          <w:szCs w:val="20"/>
                        </w:rPr>
                        <w:t xml:space="preserve"> Absolute number of </w:t>
                      </w:r>
                      <w:r>
                        <w:rPr>
                          <w:sz w:val="20"/>
                          <w:szCs w:val="20"/>
                        </w:rPr>
                        <w:t>hepatic T cells</w:t>
                      </w:r>
                      <w:r w:rsidRPr="009A7602">
                        <w:rPr>
                          <w:sz w:val="20"/>
                          <w:szCs w:val="20"/>
                        </w:rPr>
                        <w:t xml:space="preserve"> (A)</w:t>
                      </w:r>
                      <w:r>
                        <w:rPr>
                          <w:sz w:val="20"/>
                          <w:szCs w:val="20"/>
                        </w:rPr>
                        <w:t>,</w:t>
                      </w:r>
                      <w:r w:rsidRPr="009A7602">
                        <w:rPr>
                          <w:sz w:val="20"/>
                          <w:szCs w:val="20"/>
                        </w:rPr>
                        <w:t xml:space="preserve"> </w:t>
                      </w:r>
                      <w:r>
                        <w:rPr>
                          <w:sz w:val="20"/>
                          <w:szCs w:val="20"/>
                        </w:rPr>
                        <w:t>neutrophils</w:t>
                      </w:r>
                      <w:r w:rsidRPr="009A7602">
                        <w:rPr>
                          <w:sz w:val="20"/>
                          <w:szCs w:val="20"/>
                        </w:rPr>
                        <w:t xml:space="preserve"> (B)</w:t>
                      </w:r>
                      <w:r>
                        <w:rPr>
                          <w:sz w:val="20"/>
                          <w:szCs w:val="20"/>
                        </w:rPr>
                        <w:t>, B</w:t>
                      </w:r>
                      <w:r w:rsidRPr="009A7602">
                        <w:rPr>
                          <w:sz w:val="20"/>
                          <w:szCs w:val="20"/>
                        </w:rPr>
                        <w:t xml:space="preserve"> cells</w:t>
                      </w:r>
                      <w:r>
                        <w:rPr>
                          <w:sz w:val="20"/>
                          <w:szCs w:val="20"/>
                        </w:rPr>
                        <w:t xml:space="preserve"> (C), macrophages &amp; monocytes (D), NK Cells (E) and dendritic cells (F)</w:t>
                      </w:r>
                      <w:r w:rsidRPr="009A7602">
                        <w:rPr>
                          <w:sz w:val="20"/>
                          <w:szCs w:val="20"/>
                        </w:rPr>
                        <w:t xml:space="preserve"> per liver determined by flow cytometry. Data </w:t>
                      </w:r>
                      <w:r>
                        <w:rPr>
                          <w:sz w:val="20"/>
                          <w:szCs w:val="20"/>
                        </w:rPr>
                        <w:t>are</w:t>
                      </w:r>
                      <w:r w:rsidRPr="009A7602">
                        <w:rPr>
                          <w:sz w:val="20"/>
                          <w:szCs w:val="20"/>
                        </w:rPr>
                        <w:t xml:space="preserve"> shown as mean </w:t>
                      </w:r>
                      <w:r w:rsidRPr="009A7602">
                        <w:rPr>
                          <w:sz w:val="20"/>
                          <w:szCs w:val="20"/>
                        </w:rPr>
                        <w:sym w:font="Symbol" w:char="F0B1"/>
                      </w:r>
                      <w:r w:rsidRPr="009A7602">
                        <w:rPr>
                          <w:sz w:val="20"/>
                          <w:szCs w:val="20"/>
                        </w:rPr>
                        <w:t xml:space="preserve"> SD (n = 4-5 biological replicates per time point). Data </w:t>
                      </w:r>
                      <w:r>
                        <w:rPr>
                          <w:sz w:val="20"/>
                          <w:szCs w:val="20"/>
                        </w:rPr>
                        <w:t>are</w:t>
                      </w:r>
                      <w:r w:rsidRPr="009A7602">
                        <w:rPr>
                          <w:sz w:val="20"/>
                          <w:szCs w:val="20"/>
                        </w:rPr>
                        <w:t xml:space="preserve"> representative of 1 infection experiment and was analysed using a Dunn’s Multiple Comparisons test (# denotes a p value of less than 0.05)</w:t>
                      </w:r>
                      <w:r>
                        <w:rPr>
                          <w:sz w:val="20"/>
                          <w:szCs w:val="20"/>
                        </w:rPr>
                        <w:t>. Samples were generated using digestion and staining protocol 1.</w:t>
                      </w:r>
                      <w:bookmarkEnd w:id="358"/>
                      <w:bookmarkEnd w:id="359"/>
                    </w:p>
                  </w:txbxContent>
                </v:textbox>
                <w10:wrap type="square"/>
              </v:shape>
            </w:pict>
          </mc:Fallback>
        </mc:AlternateContent>
      </w:r>
      <w:r w:rsidR="009B0B0A" w:rsidRPr="008B3AD6">
        <w:t>The subsets of both the lymphoid and myeloid lineages displayed different kinetics in response to infection (</w:t>
      </w:r>
      <w:r w:rsidR="009B0B0A" w:rsidRPr="008B3AD6">
        <w:rPr>
          <w:b/>
        </w:rPr>
        <w:fldChar w:fldCharType="begin"/>
      </w:r>
      <w:r w:rsidR="009B0B0A" w:rsidRPr="008B3AD6">
        <w:rPr>
          <w:b/>
        </w:rPr>
        <w:instrText xml:space="preserve"> REF _Ref518563634  \* MERGEFORMAT </w:instrText>
      </w:r>
      <w:r w:rsidR="009B0B0A" w:rsidRPr="008B3AD6">
        <w:rPr>
          <w:b/>
        </w:rPr>
        <w:fldChar w:fldCharType="separate"/>
      </w:r>
      <w:r w:rsidR="00E5551E" w:rsidRPr="00E5551E">
        <w:rPr>
          <w:b/>
        </w:rPr>
        <w:t xml:space="preserve">Figure </w:t>
      </w:r>
      <w:r w:rsidR="00E5551E" w:rsidRPr="00E5551E">
        <w:rPr>
          <w:b/>
          <w:noProof/>
        </w:rPr>
        <w:t>4.4</w:t>
      </w:r>
      <w:r w:rsidR="009B0B0A" w:rsidRPr="008B3AD6">
        <w:rPr>
          <w:b/>
          <w:noProof/>
        </w:rPr>
        <w:fldChar w:fldCharType="end"/>
      </w:r>
      <w:r w:rsidR="009B0B0A" w:rsidRPr="008B3AD6">
        <w:t>). All subsets show significant increases post-infection with T cells, neutrophils, macrophages &amp; monocytes and dendritic cells (</w:t>
      </w:r>
      <w:r w:rsidR="009B0B0A" w:rsidRPr="008B3AD6">
        <w:rPr>
          <w:b/>
        </w:rPr>
        <w:fldChar w:fldCharType="begin"/>
      </w:r>
      <w:r w:rsidR="009B0B0A" w:rsidRPr="008B3AD6">
        <w:rPr>
          <w:b/>
        </w:rPr>
        <w:instrText xml:space="preserve"> REF _Ref518563634  \* MERGEFORMAT </w:instrText>
      </w:r>
      <w:r w:rsidR="009B0B0A" w:rsidRPr="008B3AD6">
        <w:rPr>
          <w:b/>
        </w:rPr>
        <w:fldChar w:fldCharType="separate"/>
      </w:r>
      <w:r w:rsidR="00E5551E" w:rsidRPr="00E5551E">
        <w:rPr>
          <w:b/>
        </w:rPr>
        <w:t>Figure 4.4</w:t>
      </w:r>
      <w:r w:rsidR="009B0B0A" w:rsidRPr="008B3AD6">
        <w:rPr>
          <w:b/>
        </w:rPr>
        <w:fldChar w:fldCharType="end"/>
      </w:r>
      <w:r w:rsidR="009B0B0A" w:rsidRPr="008B3AD6">
        <w:rPr>
          <w:b/>
        </w:rPr>
        <w:t xml:space="preserve">A, </w:t>
      </w:r>
      <w:r w:rsidR="009B0B0A" w:rsidRPr="008B3AD6">
        <w:rPr>
          <w:b/>
        </w:rPr>
        <w:fldChar w:fldCharType="begin"/>
      </w:r>
      <w:r w:rsidR="009B0B0A" w:rsidRPr="008B3AD6">
        <w:rPr>
          <w:b/>
        </w:rPr>
        <w:instrText xml:space="preserve"> REF _Ref518563634  \* MERGEFORMAT </w:instrText>
      </w:r>
      <w:r w:rsidR="009B0B0A" w:rsidRPr="008B3AD6">
        <w:rPr>
          <w:b/>
        </w:rPr>
        <w:fldChar w:fldCharType="separate"/>
      </w:r>
      <w:r w:rsidR="00E5551E" w:rsidRPr="00E5551E">
        <w:rPr>
          <w:b/>
        </w:rPr>
        <w:t>Figure 4.4</w:t>
      </w:r>
      <w:r w:rsidR="009B0B0A" w:rsidRPr="008B3AD6">
        <w:rPr>
          <w:b/>
        </w:rPr>
        <w:fldChar w:fldCharType="end"/>
      </w:r>
      <w:r w:rsidR="009B0B0A" w:rsidRPr="008B3AD6">
        <w:rPr>
          <w:b/>
        </w:rPr>
        <w:t xml:space="preserve">B, </w:t>
      </w:r>
      <w:r w:rsidR="009B0B0A" w:rsidRPr="008B3AD6">
        <w:rPr>
          <w:b/>
        </w:rPr>
        <w:fldChar w:fldCharType="begin"/>
      </w:r>
      <w:r w:rsidR="009B0B0A" w:rsidRPr="008B3AD6">
        <w:rPr>
          <w:b/>
        </w:rPr>
        <w:instrText xml:space="preserve"> REF _Ref518563634  \* MERGEFORMAT </w:instrText>
      </w:r>
      <w:r w:rsidR="009B0B0A" w:rsidRPr="008B3AD6">
        <w:rPr>
          <w:b/>
        </w:rPr>
        <w:fldChar w:fldCharType="separate"/>
      </w:r>
      <w:r w:rsidR="00E5551E" w:rsidRPr="00E5551E">
        <w:rPr>
          <w:b/>
        </w:rPr>
        <w:t>Figure 4.4</w:t>
      </w:r>
      <w:r w:rsidR="009B0B0A" w:rsidRPr="008B3AD6">
        <w:rPr>
          <w:b/>
        </w:rPr>
        <w:fldChar w:fldCharType="end"/>
      </w:r>
      <w:r w:rsidR="009B0B0A" w:rsidRPr="008B3AD6">
        <w:rPr>
          <w:b/>
        </w:rPr>
        <w:t xml:space="preserve">D, and </w:t>
      </w:r>
      <w:r w:rsidR="009B0B0A" w:rsidRPr="008B3AD6">
        <w:rPr>
          <w:b/>
        </w:rPr>
        <w:fldChar w:fldCharType="begin"/>
      </w:r>
      <w:r w:rsidR="009B0B0A" w:rsidRPr="008B3AD6">
        <w:rPr>
          <w:b/>
        </w:rPr>
        <w:instrText xml:space="preserve"> REF _Ref518563634  \* MERGEFORMAT </w:instrText>
      </w:r>
      <w:r w:rsidR="009B0B0A" w:rsidRPr="008B3AD6">
        <w:rPr>
          <w:b/>
        </w:rPr>
        <w:fldChar w:fldCharType="separate"/>
      </w:r>
      <w:r w:rsidR="00E5551E" w:rsidRPr="00E5551E">
        <w:rPr>
          <w:b/>
        </w:rPr>
        <w:t>Figure 4.4</w:t>
      </w:r>
      <w:r w:rsidR="009B0B0A" w:rsidRPr="008B3AD6">
        <w:rPr>
          <w:b/>
        </w:rPr>
        <w:fldChar w:fldCharType="end"/>
      </w:r>
      <w:r w:rsidR="009B0B0A" w:rsidRPr="008B3AD6">
        <w:rPr>
          <w:b/>
        </w:rPr>
        <w:t>F</w:t>
      </w:r>
      <w:r w:rsidR="009B0B0A" w:rsidRPr="008B3AD6">
        <w:t>) all displaying logistic growth</w:t>
      </w:r>
      <w:r>
        <w:t>-like</w:t>
      </w:r>
      <w:r w:rsidR="009B0B0A" w:rsidRPr="008B3AD6">
        <w:t xml:space="preserve"> population kinetics, but on different magnitudes of scale. B and NK cells (</w:t>
      </w:r>
      <w:r w:rsidR="009B0B0A" w:rsidRPr="008B3AD6">
        <w:rPr>
          <w:b/>
        </w:rPr>
        <w:fldChar w:fldCharType="begin"/>
      </w:r>
      <w:r w:rsidR="009B0B0A" w:rsidRPr="008B3AD6">
        <w:rPr>
          <w:b/>
        </w:rPr>
        <w:instrText xml:space="preserve"> REF _Ref518563634  \* MERGEFORMAT </w:instrText>
      </w:r>
      <w:r w:rsidR="009B0B0A" w:rsidRPr="008B3AD6">
        <w:rPr>
          <w:b/>
        </w:rPr>
        <w:fldChar w:fldCharType="separate"/>
      </w:r>
      <w:r w:rsidR="00E5551E" w:rsidRPr="00E5551E">
        <w:rPr>
          <w:b/>
        </w:rPr>
        <w:t>Figure 4.4</w:t>
      </w:r>
      <w:r w:rsidR="009B0B0A" w:rsidRPr="008B3AD6">
        <w:rPr>
          <w:b/>
        </w:rPr>
        <w:fldChar w:fldCharType="end"/>
      </w:r>
      <w:r w:rsidR="009B0B0A" w:rsidRPr="008B3AD6">
        <w:rPr>
          <w:b/>
        </w:rPr>
        <w:t xml:space="preserve">C and </w:t>
      </w:r>
      <w:r w:rsidR="009B0B0A" w:rsidRPr="008B3AD6">
        <w:rPr>
          <w:b/>
        </w:rPr>
        <w:fldChar w:fldCharType="begin"/>
      </w:r>
      <w:r w:rsidR="009B0B0A" w:rsidRPr="008B3AD6">
        <w:rPr>
          <w:b/>
        </w:rPr>
        <w:instrText xml:space="preserve"> REF _Ref518563634  \* MERGEFORMAT </w:instrText>
      </w:r>
      <w:r w:rsidR="009B0B0A" w:rsidRPr="008B3AD6">
        <w:rPr>
          <w:b/>
        </w:rPr>
        <w:fldChar w:fldCharType="separate"/>
      </w:r>
      <w:r w:rsidR="00E5551E" w:rsidRPr="00E5551E">
        <w:rPr>
          <w:b/>
        </w:rPr>
        <w:t>Figure 4.4</w:t>
      </w:r>
      <w:r w:rsidR="009B0B0A" w:rsidRPr="008B3AD6">
        <w:rPr>
          <w:b/>
        </w:rPr>
        <w:fldChar w:fldCharType="end"/>
      </w:r>
      <w:r w:rsidR="009B0B0A" w:rsidRPr="008B3AD6">
        <w:rPr>
          <w:b/>
        </w:rPr>
        <w:t>E</w:t>
      </w:r>
      <w:r w:rsidR="009B0B0A" w:rsidRPr="008B3AD6">
        <w:t>) appear to be decreasing by day 35 post-infection, indicating differential requirements for their sustainment within the liver.</w:t>
      </w:r>
    </w:p>
    <w:p w14:paraId="51EFA04E" w14:textId="53F60DB0" w:rsidR="007A33BC" w:rsidRPr="008B3AD6" w:rsidRDefault="007A33BC" w:rsidP="009154C0">
      <w:pPr>
        <w:spacing w:line="360" w:lineRule="auto"/>
        <w:jc w:val="both"/>
      </w:pPr>
    </w:p>
    <w:p w14:paraId="211B7614" w14:textId="38EE5CBE" w:rsidR="009A2724" w:rsidRPr="008B3AD6" w:rsidRDefault="00221D43" w:rsidP="009A2724">
      <w:pPr>
        <w:spacing w:line="360" w:lineRule="auto"/>
        <w:jc w:val="both"/>
        <w:rPr>
          <w:color w:val="000000" w:themeColor="text1"/>
        </w:rPr>
      </w:pPr>
      <w:r>
        <w:rPr>
          <w:noProof/>
          <w:color w:val="000000" w:themeColor="text1"/>
        </w:rPr>
        <mc:AlternateContent>
          <mc:Choice Requires="wps">
            <w:drawing>
              <wp:anchor distT="0" distB="0" distL="114300" distR="114300" simplePos="0" relativeHeight="252052480" behindDoc="0" locked="0" layoutInCell="1" allowOverlap="1" wp14:anchorId="79CCB3F3" wp14:editId="458CB6D5">
                <wp:simplePos x="0" y="0"/>
                <wp:positionH relativeFrom="column">
                  <wp:posOffset>365760</wp:posOffset>
                </wp:positionH>
                <wp:positionV relativeFrom="paragraph">
                  <wp:posOffset>3281483</wp:posOffset>
                </wp:positionV>
                <wp:extent cx="4673600" cy="1079697"/>
                <wp:effectExtent l="0" t="0" r="0" b="0"/>
                <wp:wrapTopAndBottom/>
                <wp:docPr id="61" name="Text Box 61"/>
                <wp:cNvGraphicFramePr/>
                <a:graphic xmlns:a="http://schemas.openxmlformats.org/drawingml/2006/main">
                  <a:graphicData uri="http://schemas.microsoft.com/office/word/2010/wordprocessingShape">
                    <wps:wsp>
                      <wps:cNvSpPr txBox="1"/>
                      <wps:spPr>
                        <a:xfrm>
                          <a:off x="0" y="0"/>
                          <a:ext cx="4673600" cy="1079697"/>
                        </a:xfrm>
                        <a:prstGeom prst="rect">
                          <a:avLst/>
                        </a:prstGeom>
                        <a:solidFill>
                          <a:prstClr val="white"/>
                        </a:solidFill>
                        <a:ln>
                          <a:noFill/>
                        </a:ln>
                      </wps:spPr>
                      <wps:txbx>
                        <w:txbxContent>
                          <w:p w14:paraId="48EBA1F3" w14:textId="2588CF35" w:rsidR="00F61130" w:rsidRPr="009A7602" w:rsidRDefault="00F61130" w:rsidP="009B0B0A">
                            <w:pPr>
                              <w:pStyle w:val="Caption"/>
                              <w:spacing w:line="360" w:lineRule="auto"/>
                              <w:jc w:val="both"/>
                              <w:rPr>
                                <w:noProof/>
                                <w:sz w:val="20"/>
                                <w:szCs w:val="20"/>
                              </w:rPr>
                            </w:pPr>
                            <w:bookmarkStart w:id="360" w:name="_Ref518564273"/>
                            <w:bookmarkStart w:id="361" w:name="_Toc525227210"/>
                            <w:bookmarkStart w:id="362" w:name="_Toc536814149"/>
                            <w:r w:rsidRPr="009A7602">
                              <w:rPr>
                                <w:b/>
                                <w:sz w:val="20"/>
                                <w:szCs w:val="20"/>
                              </w:rPr>
                              <w:t xml:space="preserve">Figure </w:t>
                            </w:r>
                            <w:r>
                              <w:rPr>
                                <w:b/>
                                <w:sz w:val="20"/>
                                <w:szCs w:val="20"/>
                              </w:rPr>
                              <w:fldChar w:fldCharType="begin"/>
                            </w:r>
                            <w:r>
                              <w:rPr>
                                <w:b/>
                                <w:sz w:val="20"/>
                                <w:szCs w:val="20"/>
                              </w:rPr>
                              <w:instrText xml:space="preserve"> STYLEREF 1 \s </w:instrText>
                            </w:r>
                            <w:r>
                              <w:rPr>
                                <w:b/>
                                <w:sz w:val="20"/>
                                <w:szCs w:val="20"/>
                              </w:rPr>
                              <w:fldChar w:fldCharType="separate"/>
                            </w:r>
                            <w:r>
                              <w:rPr>
                                <w:b/>
                                <w:noProof/>
                                <w:sz w:val="20"/>
                                <w:szCs w:val="20"/>
                              </w:rPr>
                              <w:t>4</w:t>
                            </w:r>
                            <w:r>
                              <w:rPr>
                                <w:b/>
                                <w:sz w:val="20"/>
                                <w:szCs w:val="20"/>
                              </w:rPr>
                              <w:fldChar w:fldCharType="end"/>
                            </w:r>
                            <w:r>
                              <w:rPr>
                                <w:b/>
                                <w:sz w:val="20"/>
                                <w:szCs w:val="20"/>
                              </w:rPr>
                              <w:t>.</w:t>
                            </w:r>
                            <w:r>
                              <w:rPr>
                                <w:b/>
                                <w:sz w:val="20"/>
                                <w:szCs w:val="20"/>
                              </w:rPr>
                              <w:fldChar w:fldCharType="begin"/>
                            </w:r>
                            <w:r>
                              <w:rPr>
                                <w:b/>
                                <w:sz w:val="20"/>
                                <w:szCs w:val="20"/>
                              </w:rPr>
                              <w:instrText xml:space="preserve"> SEQ Figure \* ARABIC \s 1 </w:instrText>
                            </w:r>
                            <w:r>
                              <w:rPr>
                                <w:b/>
                                <w:sz w:val="20"/>
                                <w:szCs w:val="20"/>
                              </w:rPr>
                              <w:fldChar w:fldCharType="separate"/>
                            </w:r>
                            <w:r>
                              <w:rPr>
                                <w:b/>
                                <w:noProof/>
                                <w:sz w:val="20"/>
                                <w:szCs w:val="20"/>
                              </w:rPr>
                              <w:t>5</w:t>
                            </w:r>
                            <w:r>
                              <w:rPr>
                                <w:b/>
                                <w:sz w:val="20"/>
                                <w:szCs w:val="20"/>
                              </w:rPr>
                              <w:fldChar w:fldCharType="end"/>
                            </w:r>
                            <w:bookmarkEnd w:id="360"/>
                            <w:r w:rsidRPr="009A7602">
                              <w:rPr>
                                <w:b/>
                                <w:sz w:val="20"/>
                                <w:szCs w:val="20"/>
                              </w:rPr>
                              <w:t xml:space="preserve"> - </w:t>
                            </w:r>
                            <w:r w:rsidRPr="009A7602">
                              <w:rPr>
                                <w:b/>
                                <w:noProof/>
                                <w:sz w:val="20"/>
                                <w:szCs w:val="20"/>
                              </w:rPr>
                              <w:t xml:space="preserve">Abundance of </w:t>
                            </w:r>
                            <w:r w:rsidRPr="009A7602">
                              <w:rPr>
                                <w:b/>
                                <w:i/>
                                <w:noProof/>
                                <w:sz w:val="20"/>
                                <w:szCs w:val="20"/>
                              </w:rPr>
                              <w:t>Leishmania donovani</w:t>
                            </w:r>
                            <w:r w:rsidRPr="009A7602">
                              <w:rPr>
                                <w:b/>
                                <w:noProof/>
                                <w:sz w:val="20"/>
                                <w:szCs w:val="20"/>
                              </w:rPr>
                              <w:t xml:space="preserve"> during </w:t>
                            </w:r>
                            <w:r w:rsidRPr="009A7602">
                              <w:rPr>
                                <w:b/>
                                <w:sz w:val="20"/>
                                <w:szCs w:val="20"/>
                              </w:rPr>
                              <w:t xml:space="preserve">Hepatic </w:t>
                            </w:r>
                            <w:r>
                              <w:rPr>
                                <w:b/>
                                <w:sz w:val="20"/>
                                <w:szCs w:val="20"/>
                              </w:rPr>
                              <w:t xml:space="preserve">infection with </w:t>
                            </w:r>
                            <w:r>
                              <w:rPr>
                                <w:b/>
                                <w:i/>
                                <w:sz w:val="20"/>
                                <w:szCs w:val="20"/>
                              </w:rPr>
                              <w:t>L. donovani</w:t>
                            </w:r>
                            <w:r w:rsidRPr="009A7602">
                              <w:rPr>
                                <w:b/>
                                <w:noProof/>
                                <w:sz w:val="20"/>
                                <w:szCs w:val="20"/>
                              </w:rPr>
                              <w:t>.</w:t>
                            </w:r>
                            <w:r w:rsidRPr="009A7602">
                              <w:rPr>
                                <w:noProof/>
                                <w:sz w:val="20"/>
                                <w:szCs w:val="20"/>
                              </w:rPr>
                              <w:t xml:space="preserve"> </w:t>
                            </w:r>
                            <w:r w:rsidRPr="009A7602">
                              <w:rPr>
                                <w:sz w:val="20"/>
                                <w:szCs w:val="20"/>
                              </w:rPr>
                              <w:t xml:space="preserve">Hepatic parasite burden determined from impression smears and stated as Leishman-Donovan units (LDU). Data </w:t>
                            </w:r>
                            <w:r>
                              <w:rPr>
                                <w:sz w:val="20"/>
                                <w:szCs w:val="20"/>
                              </w:rPr>
                              <w:t>are</w:t>
                            </w:r>
                            <w:r w:rsidRPr="009A7602">
                              <w:rPr>
                                <w:sz w:val="20"/>
                                <w:szCs w:val="20"/>
                              </w:rPr>
                              <w:t xml:space="preserve"> shown as mean </w:t>
                            </w:r>
                            <w:r w:rsidRPr="009A7602">
                              <w:rPr>
                                <w:sz w:val="20"/>
                                <w:szCs w:val="20"/>
                              </w:rPr>
                              <w:sym w:font="Symbol" w:char="F0B1"/>
                            </w:r>
                            <w:r w:rsidRPr="009A7602">
                              <w:rPr>
                                <w:sz w:val="20"/>
                                <w:szCs w:val="20"/>
                              </w:rPr>
                              <w:t xml:space="preserve"> SD (n = 4-5 biological replicates per time point). Data </w:t>
                            </w:r>
                            <w:r>
                              <w:rPr>
                                <w:sz w:val="20"/>
                                <w:szCs w:val="20"/>
                              </w:rPr>
                              <w:t>are</w:t>
                            </w:r>
                            <w:r w:rsidRPr="009A7602">
                              <w:rPr>
                                <w:sz w:val="20"/>
                                <w:szCs w:val="20"/>
                              </w:rPr>
                              <w:t xml:space="preserve"> representative of 1 infection experiment and was analysed using a Dunn’s Multiple Comparisons test (# denotes a p value of less than 0.05)</w:t>
                            </w:r>
                            <w:bookmarkEnd w:id="361"/>
                            <w:bookmarkEnd w:id="362"/>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79CCB3F3" id="Text Box 61" o:spid="_x0000_s1096" type="#_x0000_t202" style="position:absolute;left:0;text-align:left;margin-left:28.8pt;margin-top:258.4pt;width:368pt;height:85pt;z-index:2520524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RSJZ3MgIAAGsEAAAOAAAAZHJzL2Uyb0RvYy54bWysVFFv2yAQfp+0/4B4X+x0U7JacaosVaZJ&#13;&#10;VVspmfpMMI6RgGNAYme/fge2k67b07QXfNwdH9z33Xlx12lFTsJ5Caak00lOiTAcKmkOJf2+23z4&#13;&#10;TIkPzFRMgRElPQtP75bv3y1aW4gbaEBVwhEEMb5obUmbEGyRZZ43QjM/ASsMBmtwmgXcukNWOdYi&#13;&#10;ulbZTZ7PshZcZR1w4T167/sgXSb8uhY8PNW1F4GokuLbQlpdWvdxzZYLVhwcs43kwzPYP7xCM2nw&#13;&#10;0gvUPQuMHJ38A0pL7sBDHSYcdAZ1LblINWA10/xNNduGWZFqQXK8vdDk/x8sfzw9OyKrks6mlBim&#13;&#10;UaOd6AL5Ah1BF/LTWl9g2tZiYujQjzqPfo/OWHZXOx2/WBDBODJ9vrAb0Tg6P83mH2c5hjjGpvn8&#13;&#10;dnY7jzjZ9bh1PnwVoEk0SupQvsQqOz340KeOKfE2D0pWG6lU3MTAWjlyYih128ggBvDfspSJuQbi&#13;&#10;qR4werJYY19LtEK37xIn89Qg0bWH6oz1O+g7yFu+kXjhA/PhmTlsGawLxyA84VIraEsKg0VJA+7n&#13;&#10;3/wxH5XEKCUttmBJ/Y8jc4IS9c2gxrFfR8ONxn40zFGvAUtF2fA1ycQDLqjRrB3oF5yOVbwFQ8xw&#13;&#10;vKukYTTXoR8EnC4uVquUhF1pWXgwW8sj9Ejsrnthzg6yBFT0EcbmZMUbdfrcnubVMUAtk3RXFge+&#13;&#10;saOT+MP0xZF5vU9Z13/E8hcAAAD//wMAUEsDBBQABgAIAAAAIQB8YFdD4QAAAA8BAAAPAAAAZHJz&#13;&#10;L2Rvd25yZXYueG1sTE/BTsMwDL0j8Q+Rkbgglm6IbnRNJ1jhBoeNaWevCW1F41RJunZ/jznBxZaf&#13;&#10;n5/fyzeT7cTZ+NA6UjCfJSAMVU63VCs4fL7dr0CEiKSxc2QUXEyATXF9lWOm3Ug7c97HWrAIhQwV&#13;&#10;NDH2mZShaozFMHO9Id59OW8x8uhrqT2OLG47uUiSVFpsiT802JttY6rv/WAVpKUfxh1t78rD6zt+&#13;&#10;9PXi+HI5KnV7M5VrLs9rENFM8e8CfjOwfyjY2MkNpIPoFDwuU2Zyn6ecgwnLpwdGTvxixYgscvk/&#13;&#10;R/EDAAD//wMAUEsBAi0AFAAGAAgAAAAhALaDOJL+AAAA4QEAABMAAAAAAAAAAAAAAAAAAAAAAFtD&#13;&#10;b250ZW50X1R5cGVzXS54bWxQSwECLQAUAAYACAAAACEAOP0h/9YAAACUAQAACwAAAAAAAAAAAAAA&#13;&#10;AAAvAQAAX3JlbHMvLnJlbHNQSwECLQAUAAYACAAAACEAEUiWdzICAABrBAAADgAAAAAAAAAAAAAA&#13;&#10;AAAuAgAAZHJzL2Uyb0RvYy54bWxQSwECLQAUAAYACAAAACEAfGBXQ+EAAAAPAQAADwAAAAAAAAAA&#13;&#10;AAAAAACMBAAAZHJzL2Rvd25yZXYueG1sUEsFBgAAAAAEAAQA8wAAAJoFAAAAAA==&#13;&#10;" stroked="f">
                <v:textbox inset="0,0,0,0">
                  <w:txbxContent>
                    <w:p w14:paraId="48EBA1F3" w14:textId="2588CF35" w:rsidR="00F61130" w:rsidRPr="009A7602" w:rsidRDefault="00F61130" w:rsidP="009B0B0A">
                      <w:pPr>
                        <w:pStyle w:val="Caption"/>
                        <w:spacing w:line="360" w:lineRule="auto"/>
                        <w:jc w:val="both"/>
                        <w:rPr>
                          <w:noProof/>
                          <w:sz w:val="20"/>
                          <w:szCs w:val="20"/>
                        </w:rPr>
                      </w:pPr>
                      <w:bookmarkStart w:id="363" w:name="_Ref518564273"/>
                      <w:bookmarkStart w:id="364" w:name="_Toc525227210"/>
                      <w:bookmarkStart w:id="365" w:name="_Toc536814149"/>
                      <w:r w:rsidRPr="009A7602">
                        <w:rPr>
                          <w:b/>
                          <w:sz w:val="20"/>
                          <w:szCs w:val="20"/>
                        </w:rPr>
                        <w:t xml:space="preserve">Figure </w:t>
                      </w:r>
                      <w:r>
                        <w:rPr>
                          <w:b/>
                          <w:sz w:val="20"/>
                          <w:szCs w:val="20"/>
                        </w:rPr>
                        <w:fldChar w:fldCharType="begin"/>
                      </w:r>
                      <w:r>
                        <w:rPr>
                          <w:b/>
                          <w:sz w:val="20"/>
                          <w:szCs w:val="20"/>
                        </w:rPr>
                        <w:instrText xml:space="preserve"> STYLEREF 1 \s </w:instrText>
                      </w:r>
                      <w:r>
                        <w:rPr>
                          <w:b/>
                          <w:sz w:val="20"/>
                          <w:szCs w:val="20"/>
                        </w:rPr>
                        <w:fldChar w:fldCharType="separate"/>
                      </w:r>
                      <w:r>
                        <w:rPr>
                          <w:b/>
                          <w:noProof/>
                          <w:sz w:val="20"/>
                          <w:szCs w:val="20"/>
                        </w:rPr>
                        <w:t>4</w:t>
                      </w:r>
                      <w:r>
                        <w:rPr>
                          <w:b/>
                          <w:sz w:val="20"/>
                          <w:szCs w:val="20"/>
                        </w:rPr>
                        <w:fldChar w:fldCharType="end"/>
                      </w:r>
                      <w:r>
                        <w:rPr>
                          <w:b/>
                          <w:sz w:val="20"/>
                          <w:szCs w:val="20"/>
                        </w:rPr>
                        <w:t>.</w:t>
                      </w:r>
                      <w:r>
                        <w:rPr>
                          <w:b/>
                          <w:sz w:val="20"/>
                          <w:szCs w:val="20"/>
                        </w:rPr>
                        <w:fldChar w:fldCharType="begin"/>
                      </w:r>
                      <w:r>
                        <w:rPr>
                          <w:b/>
                          <w:sz w:val="20"/>
                          <w:szCs w:val="20"/>
                        </w:rPr>
                        <w:instrText xml:space="preserve"> SEQ Figure \* ARABIC \s 1 </w:instrText>
                      </w:r>
                      <w:r>
                        <w:rPr>
                          <w:b/>
                          <w:sz w:val="20"/>
                          <w:szCs w:val="20"/>
                        </w:rPr>
                        <w:fldChar w:fldCharType="separate"/>
                      </w:r>
                      <w:r>
                        <w:rPr>
                          <w:b/>
                          <w:noProof/>
                          <w:sz w:val="20"/>
                          <w:szCs w:val="20"/>
                        </w:rPr>
                        <w:t>5</w:t>
                      </w:r>
                      <w:r>
                        <w:rPr>
                          <w:b/>
                          <w:sz w:val="20"/>
                          <w:szCs w:val="20"/>
                        </w:rPr>
                        <w:fldChar w:fldCharType="end"/>
                      </w:r>
                      <w:bookmarkEnd w:id="363"/>
                      <w:r w:rsidRPr="009A7602">
                        <w:rPr>
                          <w:b/>
                          <w:sz w:val="20"/>
                          <w:szCs w:val="20"/>
                        </w:rPr>
                        <w:t xml:space="preserve"> - </w:t>
                      </w:r>
                      <w:r w:rsidRPr="009A7602">
                        <w:rPr>
                          <w:b/>
                          <w:noProof/>
                          <w:sz w:val="20"/>
                          <w:szCs w:val="20"/>
                        </w:rPr>
                        <w:t xml:space="preserve">Abundance of </w:t>
                      </w:r>
                      <w:r w:rsidRPr="009A7602">
                        <w:rPr>
                          <w:b/>
                          <w:i/>
                          <w:noProof/>
                          <w:sz w:val="20"/>
                          <w:szCs w:val="20"/>
                        </w:rPr>
                        <w:t>Leishmania donovani</w:t>
                      </w:r>
                      <w:r w:rsidRPr="009A7602">
                        <w:rPr>
                          <w:b/>
                          <w:noProof/>
                          <w:sz w:val="20"/>
                          <w:szCs w:val="20"/>
                        </w:rPr>
                        <w:t xml:space="preserve"> during </w:t>
                      </w:r>
                      <w:r w:rsidRPr="009A7602">
                        <w:rPr>
                          <w:b/>
                          <w:sz w:val="20"/>
                          <w:szCs w:val="20"/>
                        </w:rPr>
                        <w:t xml:space="preserve">Hepatic </w:t>
                      </w:r>
                      <w:r>
                        <w:rPr>
                          <w:b/>
                          <w:sz w:val="20"/>
                          <w:szCs w:val="20"/>
                        </w:rPr>
                        <w:t xml:space="preserve">infection with </w:t>
                      </w:r>
                      <w:r>
                        <w:rPr>
                          <w:b/>
                          <w:i/>
                          <w:sz w:val="20"/>
                          <w:szCs w:val="20"/>
                        </w:rPr>
                        <w:t>L. donovani</w:t>
                      </w:r>
                      <w:r w:rsidRPr="009A7602">
                        <w:rPr>
                          <w:b/>
                          <w:noProof/>
                          <w:sz w:val="20"/>
                          <w:szCs w:val="20"/>
                        </w:rPr>
                        <w:t>.</w:t>
                      </w:r>
                      <w:r w:rsidRPr="009A7602">
                        <w:rPr>
                          <w:noProof/>
                          <w:sz w:val="20"/>
                          <w:szCs w:val="20"/>
                        </w:rPr>
                        <w:t xml:space="preserve"> </w:t>
                      </w:r>
                      <w:r w:rsidRPr="009A7602">
                        <w:rPr>
                          <w:sz w:val="20"/>
                          <w:szCs w:val="20"/>
                        </w:rPr>
                        <w:t xml:space="preserve">Hepatic parasite burden determined from impression smears and stated as Leishman-Donovan units (LDU). Data </w:t>
                      </w:r>
                      <w:r>
                        <w:rPr>
                          <w:sz w:val="20"/>
                          <w:szCs w:val="20"/>
                        </w:rPr>
                        <w:t>are</w:t>
                      </w:r>
                      <w:r w:rsidRPr="009A7602">
                        <w:rPr>
                          <w:sz w:val="20"/>
                          <w:szCs w:val="20"/>
                        </w:rPr>
                        <w:t xml:space="preserve"> shown as mean </w:t>
                      </w:r>
                      <w:r w:rsidRPr="009A7602">
                        <w:rPr>
                          <w:sz w:val="20"/>
                          <w:szCs w:val="20"/>
                        </w:rPr>
                        <w:sym w:font="Symbol" w:char="F0B1"/>
                      </w:r>
                      <w:r w:rsidRPr="009A7602">
                        <w:rPr>
                          <w:sz w:val="20"/>
                          <w:szCs w:val="20"/>
                        </w:rPr>
                        <w:t xml:space="preserve"> SD (n = 4-5 biological replicates per time point). Data </w:t>
                      </w:r>
                      <w:r>
                        <w:rPr>
                          <w:sz w:val="20"/>
                          <w:szCs w:val="20"/>
                        </w:rPr>
                        <w:t>are</w:t>
                      </w:r>
                      <w:r w:rsidRPr="009A7602">
                        <w:rPr>
                          <w:sz w:val="20"/>
                          <w:szCs w:val="20"/>
                        </w:rPr>
                        <w:t xml:space="preserve"> representative of 1 infection experiment and was analysed using a Dunn’s Multiple Comparisons test (# denotes a p value of less than 0.05)</w:t>
                      </w:r>
                      <w:bookmarkEnd w:id="364"/>
                      <w:bookmarkEnd w:id="365"/>
                    </w:p>
                  </w:txbxContent>
                </v:textbox>
                <w10:wrap type="topAndBottom"/>
              </v:shape>
            </w:pict>
          </mc:Fallback>
        </mc:AlternateContent>
      </w:r>
      <w:r>
        <w:rPr>
          <w:noProof/>
          <w:color w:val="000000" w:themeColor="text1"/>
        </w:rPr>
        <w:drawing>
          <wp:anchor distT="0" distB="0" distL="114300" distR="114300" simplePos="0" relativeHeight="252053504" behindDoc="0" locked="0" layoutInCell="1" allowOverlap="1" wp14:anchorId="4A764886" wp14:editId="424EDD73">
            <wp:simplePos x="0" y="0"/>
            <wp:positionH relativeFrom="column">
              <wp:posOffset>1051560</wp:posOffset>
            </wp:positionH>
            <wp:positionV relativeFrom="paragraph">
              <wp:posOffset>1097280</wp:posOffset>
            </wp:positionV>
            <wp:extent cx="3308350" cy="2159440"/>
            <wp:effectExtent l="0" t="0" r="0" b="0"/>
            <wp:wrapTopAndBottom/>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2"/>
                    <pic:cNvPicPr>
                      <a:picLocks noChangeAspect="1"/>
                    </pic:cNvPicPr>
                  </pic:nvPicPr>
                  <pic:blipFill>
                    <a:blip r:embed="rId49">
                      <a:extLst>
                        <a:ext uri="{28A0092B-C50C-407E-A947-70E740481C1C}">
                          <a14:useLocalDpi xmlns:a14="http://schemas.microsoft.com/office/drawing/2010/main" val="0"/>
                        </a:ext>
                      </a:extLst>
                    </a:blip>
                    <a:stretch>
                      <a:fillRect/>
                    </a:stretch>
                  </pic:blipFill>
                  <pic:spPr>
                    <a:xfrm>
                      <a:off x="0" y="0"/>
                      <a:ext cx="3308350" cy="2159440"/>
                    </a:xfrm>
                    <a:prstGeom prst="rect">
                      <a:avLst/>
                    </a:prstGeom>
                  </pic:spPr>
                </pic:pic>
              </a:graphicData>
            </a:graphic>
          </wp:anchor>
        </w:drawing>
      </w:r>
      <w:r w:rsidR="00843E82">
        <w:rPr>
          <w:color w:val="000000" w:themeColor="text1"/>
        </w:rPr>
        <w:t>The h</w:t>
      </w:r>
      <w:r w:rsidR="004100BA" w:rsidRPr="008B3AD6">
        <w:rPr>
          <w:color w:val="000000" w:themeColor="text1"/>
        </w:rPr>
        <w:t xml:space="preserve">epatic </w:t>
      </w:r>
      <w:r w:rsidR="004100BA" w:rsidRPr="008B3AD6">
        <w:rPr>
          <w:i/>
          <w:color w:val="000000" w:themeColor="text1"/>
        </w:rPr>
        <w:t>L. donovani</w:t>
      </w:r>
      <w:r w:rsidR="004100BA" w:rsidRPr="008B3AD6">
        <w:rPr>
          <w:color w:val="000000" w:themeColor="text1"/>
        </w:rPr>
        <w:t xml:space="preserve"> load increased post infection, peaking at 21 days post-infection and returning to a low but detectable level by </w:t>
      </w:r>
      <w:r w:rsidR="004100BA" w:rsidRPr="008B3AD6">
        <w:t>day 42 (</w:t>
      </w:r>
      <w:r w:rsidR="004100BA" w:rsidRPr="008B3AD6">
        <w:rPr>
          <w:b/>
        </w:rPr>
        <w:fldChar w:fldCharType="begin"/>
      </w:r>
      <w:r w:rsidR="004100BA" w:rsidRPr="008B3AD6">
        <w:rPr>
          <w:b/>
        </w:rPr>
        <w:instrText xml:space="preserve"> REF _Ref518564273  \* MERGEFORMAT </w:instrText>
      </w:r>
      <w:r w:rsidR="004100BA" w:rsidRPr="008B3AD6">
        <w:rPr>
          <w:b/>
        </w:rPr>
        <w:fldChar w:fldCharType="separate"/>
      </w:r>
      <w:r w:rsidR="00372981" w:rsidRPr="00372981">
        <w:rPr>
          <w:b/>
        </w:rPr>
        <w:t>Figure 4.5</w:t>
      </w:r>
      <w:r w:rsidR="004100BA" w:rsidRPr="008B3AD6">
        <w:rPr>
          <w:b/>
        </w:rPr>
        <w:fldChar w:fldCharType="end"/>
      </w:r>
      <w:r w:rsidR="004100BA" w:rsidRPr="008B3AD6">
        <w:t>). T</w:t>
      </w:r>
      <w:r w:rsidR="004100BA" w:rsidRPr="008B3AD6">
        <w:rPr>
          <w:color w:val="000000" w:themeColor="text1"/>
        </w:rPr>
        <w:t>he reduction in parasite numbers was not mirrored in leukocyte numbers suggesting that inflammation continues during and after parasite clearance.</w:t>
      </w:r>
    </w:p>
    <w:p w14:paraId="1AC8B6D9" w14:textId="3326E4D6" w:rsidR="009A2724" w:rsidRPr="008B3AD6" w:rsidRDefault="009A2724" w:rsidP="009154C0">
      <w:pPr>
        <w:spacing w:line="360" w:lineRule="auto"/>
        <w:jc w:val="both"/>
        <w:rPr>
          <w:color w:val="000000" w:themeColor="text1"/>
        </w:rPr>
      </w:pPr>
    </w:p>
    <w:p w14:paraId="57CE0A4C" w14:textId="7F726406" w:rsidR="006B1176" w:rsidRPr="008B3AD6" w:rsidRDefault="00B75AD7" w:rsidP="004D3F97">
      <w:pPr>
        <w:pStyle w:val="Heading3"/>
      </w:pPr>
      <w:bookmarkStart w:id="366" w:name="_Ref518744269"/>
      <w:bookmarkStart w:id="367" w:name="_Ref525222143"/>
      <w:bookmarkStart w:id="368" w:name="_Toc3716107"/>
      <w:r w:rsidRPr="008B3AD6">
        <w:t>Deriving a Domain Model</w:t>
      </w:r>
      <w:r w:rsidR="009E65EF" w:rsidRPr="008B3AD6">
        <w:t xml:space="preserve"> of</w:t>
      </w:r>
      <w:r w:rsidR="00BF00CD">
        <w:t xml:space="preserve"> the</w:t>
      </w:r>
      <w:r w:rsidR="009E65EF" w:rsidRPr="008B3AD6">
        <w:t xml:space="preserve"> </w:t>
      </w:r>
      <w:r w:rsidR="00BF00CD">
        <w:t>h</w:t>
      </w:r>
      <w:r w:rsidR="009E65EF" w:rsidRPr="008B3AD6">
        <w:t>epatic</w:t>
      </w:r>
      <w:bookmarkEnd w:id="366"/>
      <w:r w:rsidR="00BF00CD">
        <w:t xml:space="preserve"> immune response </w:t>
      </w:r>
      <w:r w:rsidR="00BF00CD">
        <w:rPr>
          <w:i/>
        </w:rPr>
        <w:t>L. donovani</w:t>
      </w:r>
      <w:r w:rsidR="00BF00CD">
        <w:t xml:space="preserve"> infection</w:t>
      </w:r>
      <w:bookmarkEnd w:id="367"/>
      <w:bookmarkEnd w:id="368"/>
    </w:p>
    <w:p w14:paraId="598AA98C" w14:textId="334A383A" w:rsidR="00406E0D" w:rsidRPr="008B3AD6" w:rsidRDefault="004A03C4" w:rsidP="009154C0">
      <w:pPr>
        <w:spacing w:line="360" w:lineRule="auto"/>
        <w:jc w:val="both"/>
      </w:pPr>
      <w:r>
        <w:t xml:space="preserve">Following from the generation of biological data, we next </w:t>
      </w:r>
      <w:r w:rsidR="00406E0D" w:rsidRPr="004A03C4">
        <w:t>develop</w:t>
      </w:r>
      <w:r w:rsidRPr="004A03C4">
        <w:t>ed</w:t>
      </w:r>
      <w:r w:rsidR="00406E0D" w:rsidRPr="004A03C4">
        <w:t xml:space="preserve"> a domain model of </w:t>
      </w:r>
      <w:r w:rsidR="00DF000F" w:rsidRPr="004A03C4">
        <w:t xml:space="preserve">the hepatic immune response to infection with </w:t>
      </w:r>
      <w:r w:rsidR="00DF000F" w:rsidRPr="004A03C4">
        <w:rPr>
          <w:i/>
        </w:rPr>
        <w:t>L. donovani</w:t>
      </w:r>
      <w:r w:rsidR="00DF000F" w:rsidRPr="004A03C4">
        <w:t xml:space="preserve"> </w:t>
      </w:r>
      <w:r w:rsidRPr="004A03C4">
        <w:t xml:space="preserve">as shown in </w:t>
      </w:r>
      <w:r w:rsidRPr="004A03C4">
        <w:fldChar w:fldCharType="begin"/>
      </w:r>
      <w:r w:rsidRPr="004A03C4">
        <w:instrText xml:space="preserve"> REF _Ref518563482 </w:instrText>
      </w:r>
      <w:r>
        <w:instrText xml:space="preserve"> \* MERGEFORMAT </w:instrText>
      </w:r>
      <w:r w:rsidRPr="004A03C4">
        <w:fldChar w:fldCharType="separate"/>
      </w:r>
      <w:r w:rsidR="00E5551E" w:rsidRPr="00E5551E">
        <w:rPr>
          <w:b/>
        </w:rPr>
        <w:t xml:space="preserve">Figure </w:t>
      </w:r>
      <w:r w:rsidR="00E5551E" w:rsidRPr="00E5551E">
        <w:rPr>
          <w:b/>
          <w:noProof/>
        </w:rPr>
        <w:t>4.1</w:t>
      </w:r>
      <w:r w:rsidRPr="004A03C4">
        <w:fldChar w:fldCharType="end"/>
      </w:r>
      <w:r w:rsidRPr="004A03C4">
        <w:t>.</w:t>
      </w:r>
      <w:r>
        <w:t xml:space="preserve"> A</w:t>
      </w:r>
      <w:r w:rsidR="00406E0D" w:rsidRPr="004A03C4">
        <w:t>n expected</w:t>
      </w:r>
      <w:r w:rsidR="00406E0D" w:rsidRPr="008B3AD6">
        <w:t xml:space="preserve"> behaviours diagram was created</w:t>
      </w:r>
      <w:r w:rsidR="00372981">
        <w:t xml:space="preserve"> (see Section </w:t>
      </w:r>
      <w:fldSimple w:instr=" REF _Ref524272637 \n ">
        <w:r w:rsidR="00E5551E">
          <w:t>1.3.2.2</w:t>
        </w:r>
      </w:fldSimple>
      <w:r w:rsidR="00372981">
        <w:t>)</w:t>
      </w:r>
      <w:r>
        <w:t>, shown in</w:t>
      </w:r>
      <w:r w:rsidR="00406E0D" w:rsidRPr="008B3AD6">
        <w:t xml:space="preserve"> </w:t>
      </w:r>
      <w:r w:rsidR="00265A23" w:rsidRPr="00195944">
        <w:rPr>
          <w:b/>
        </w:rPr>
        <w:fldChar w:fldCharType="begin"/>
      </w:r>
      <w:r w:rsidR="00265A23" w:rsidRPr="00195944">
        <w:rPr>
          <w:b/>
        </w:rPr>
        <w:instrText xml:space="preserve"> REF _Ref518566917  \* MERGEFORMAT </w:instrText>
      </w:r>
      <w:r w:rsidR="00265A23" w:rsidRPr="00195944">
        <w:rPr>
          <w:b/>
        </w:rPr>
        <w:fldChar w:fldCharType="separate"/>
      </w:r>
      <w:r w:rsidR="00E5551E" w:rsidRPr="00E5551E">
        <w:rPr>
          <w:b/>
        </w:rPr>
        <w:t>Figure 4.6</w:t>
      </w:r>
      <w:r w:rsidR="00265A23" w:rsidRPr="00195944">
        <w:rPr>
          <w:b/>
        </w:rPr>
        <w:fldChar w:fldCharType="end"/>
      </w:r>
      <w:r>
        <w:t>,</w:t>
      </w:r>
      <w:r w:rsidR="00265A23" w:rsidRPr="008B3AD6">
        <w:t xml:space="preserve"> </w:t>
      </w:r>
      <w:r w:rsidR="00406E0D" w:rsidRPr="008B3AD6">
        <w:t>captur</w:t>
      </w:r>
      <w:r>
        <w:t>ing</w:t>
      </w:r>
      <w:r w:rsidR="00406E0D" w:rsidRPr="008B3AD6">
        <w:t xml:space="preserve"> how multiple mechanisms combine to create observable phenomena within the</w:t>
      </w:r>
      <w:r>
        <w:t xml:space="preserve"> biological</w:t>
      </w:r>
      <w:r w:rsidR="00406E0D" w:rsidRPr="008B3AD6">
        <w:t xml:space="preserve"> system, the time scale of these events and the underlying hypothesis as to the mechanisms involved. The key phenomena within the system</w:t>
      </w:r>
      <w:r w:rsidR="00D376DB" w:rsidRPr="008B3AD6">
        <w:t>, labelled with bold labelling as EBx,</w:t>
      </w:r>
      <w:r w:rsidR="00406E0D" w:rsidRPr="008B3AD6">
        <w:t xml:space="preserve"> are the initial infection of resident liver macrophages (Kupffer cells) with </w:t>
      </w:r>
      <w:r w:rsidR="00406E0D" w:rsidRPr="008B3AD6">
        <w:rPr>
          <w:i/>
        </w:rPr>
        <w:t>L. donovani</w:t>
      </w:r>
      <w:r w:rsidR="00406E0D" w:rsidRPr="008B3AD6">
        <w:t xml:space="preserve"> (</w:t>
      </w:r>
      <w:r w:rsidR="00372981" w:rsidRPr="00195944">
        <w:rPr>
          <w:b/>
        </w:rPr>
        <w:fldChar w:fldCharType="begin"/>
      </w:r>
      <w:r w:rsidR="00372981" w:rsidRPr="00195944">
        <w:rPr>
          <w:b/>
        </w:rPr>
        <w:instrText xml:space="preserve"> REF _Ref518566917  \* MERGEFORMAT </w:instrText>
      </w:r>
      <w:r w:rsidR="00372981" w:rsidRPr="00195944">
        <w:rPr>
          <w:b/>
        </w:rPr>
        <w:fldChar w:fldCharType="separate"/>
      </w:r>
      <w:r w:rsidR="00E5551E" w:rsidRPr="00E5551E">
        <w:rPr>
          <w:b/>
        </w:rPr>
        <w:t>Figure 4.6</w:t>
      </w:r>
      <w:r w:rsidR="00372981" w:rsidRPr="00195944">
        <w:rPr>
          <w:b/>
        </w:rPr>
        <w:fldChar w:fldCharType="end"/>
      </w:r>
      <w:r w:rsidR="00372981" w:rsidRPr="008B3AD6">
        <w:t xml:space="preserve"> </w:t>
      </w:r>
      <w:r w:rsidR="00372981">
        <w:t xml:space="preserve">- </w:t>
      </w:r>
      <w:r w:rsidR="00265A23" w:rsidRPr="008B3AD6">
        <w:rPr>
          <w:b/>
        </w:rPr>
        <w:t>EB1</w:t>
      </w:r>
      <w:r w:rsidR="00406E0D" w:rsidRPr="008B3AD6">
        <w:t>), infected KCs with some immune cellular infiltrate</w:t>
      </w:r>
      <w:r w:rsidR="00265A23" w:rsidRPr="008B3AD6">
        <w:t xml:space="preserve"> (</w:t>
      </w:r>
      <w:r w:rsidR="00372981" w:rsidRPr="00195944">
        <w:rPr>
          <w:b/>
        </w:rPr>
        <w:fldChar w:fldCharType="begin"/>
      </w:r>
      <w:r w:rsidR="00372981" w:rsidRPr="00195944">
        <w:rPr>
          <w:b/>
        </w:rPr>
        <w:instrText xml:space="preserve"> REF _Ref518566917  \* MERGEFORMAT </w:instrText>
      </w:r>
      <w:r w:rsidR="00372981" w:rsidRPr="00195944">
        <w:rPr>
          <w:b/>
        </w:rPr>
        <w:fldChar w:fldCharType="separate"/>
      </w:r>
      <w:r w:rsidR="00E5551E" w:rsidRPr="00E5551E">
        <w:rPr>
          <w:b/>
        </w:rPr>
        <w:t>Figure 4.6</w:t>
      </w:r>
      <w:r w:rsidR="00372981" w:rsidRPr="00195944">
        <w:rPr>
          <w:b/>
        </w:rPr>
        <w:fldChar w:fldCharType="end"/>
      </w:r>
      <w:r w:rsidR="00372981" w:rsidRPr="008B3AD6">
        <w:t xml:space="preserve"> </w:t>
      </w:r>
      <w:r w:rsidR="00372981">
        <w:t xml:space="preserve">- </w:t>
      </w:r>
      <w:r w:rsidR="00265A23" w:rsidRPr="008B3AD6">
        <w:rPr>
          <w:b/>
        </w:rPr>
        <w:t>EB2</w:t>
      </w:r>
      <w:r w:rsidR="00265A23" w:rsidRPr="008B3AD6">
        <w:t>)</w:t>
      </w:r>
      <w:r w:rsidR="00406E0D" w:rsidRPr="008B3AD6">
        <w:t xml:space="preserve">, well organised myeloid and T cell infiltrate </w:t>
      </w:r>
      <w:r w:rsidR="00265A23" w:rsidRPr="008B3AD6">
        <w:t>(</w:t>
      </w:r>
      <w:r w:rsidR="00372981" w:rsidRPr="00195944">
        <w:rPr>
          <w:b/>
        </w:rPr>
        <w:fldChar w:fldCharType="begin"/>
      </w:r>
      <w:r w:rsidR="00372981" w:rsidRPr="00195944">
        <w:rPr>
          <w:b/>
        </w:rPr>
        <w:instrText xml:space="preserve"> REF _Ref518566917  \* MERGEFORMAT </w:instrText>
      </w:r>
      <w:r w:rsidR="00372981" w:rsidRPr="00195944">
        <w:rPr>
          <w:b/>
        </w:rPr>
        <w:fldChar w:fldCharType="separate"/>
      </w:r>
      <w:r w:rsidR="00E5551E" w:rsidRPr="00E5551E">
        <w:rPr>
          <w:b/>
        </w:rPr>
        <w:t>Figure 4.6</w:t>
      </w:r>
      <w:r w:rsidR="00372981" w:rsidRPr="00195944">
        <w:rPr>
          <w:b/>
        </w:rPr>
        <w:fldChar w:fldCharType="end"/>
      </w:r>
      <w:r w:rsidR="00372981" w:rsidRPr="008B3AD6">
        <w:t xml:space="preserve"> </w:t>
      </w:r>
      <w:r w:rsidR="00372981">
        <w:t xml:space="preserve">- </w:t>
      </w:r>
      <w:r w:rsidR="00265A23" w:rsidRPr="008B3AD6">
        <w:rPr>
          <w:b/>
        </w:rPr>
        <w:t>EB3</w:t>
      </w:r>
      <w:r w:rsidR="00265A23" w:rsidRPr="008B3AD6">
        <w:t xml:space="preserve">) </w:t>
      </w:r>
      <w:r w:rsidR="00406E0D" w:rsidRPr="008B3AD6">
        <w:t>and the sterilisation of infected KCs</w:t>
      </w:r>
      <w:r w:rsidR="00265A23" w:rsidRPr="008B3AD6">
        <w:t xml:space="preserve"> (</w:t>
      </w:r>
      <w:r w:rsidR="00372981" w:rsidRPr="00195944">
        <w:rPr>
          <w:b/>
        </w:rPr>
        <w:fldChar w:fldCharType="begin"/>
      </w:r>
      <w:r w:rsidR="00372981" w:rsidRPr="00195944">
        <w:rPr>
          <w:b/>
        </w:rPr>
        <w:instrText xml:space="preserve"> REF _Ref518566917  \* MERGEFORMAT </w:instrText>
      </w:r>
      <w:r w:rsidR="00372981" w:rsidRPr="00195944">
        <w:rPr>
          <w:b/>
        </w:rPr>
        <w:fldChar w:fldCharType="separate"/>
      </w:r>
      <w:r w:rsidR="00E5551E" w:rsidRPr="00E5551E">
        <w:rPr>
          <w:b/>
        </w:rPr>
        <w:t>Figure 4.6</w:t>
      </w:r>
      <w:r w:rsidR="00372981" w:rsidRPr="00195944">
        <w:rPr>
          <w:b/>
        </w:rPr>
        <w:fldChar w:fldCharType="end"/>
      </w:r>
      <w:r w:rsidR="00372981" w:rsidRPr="008B3AD6">
        <w:t xml:space="preserve"> </w:t>
      </w:r>
      <w:r w:rsidR="00372981">
        <w:t xml:space="preserve">- </w:t>
      </w:r>
      <w:r w:rsidR="00265A23" w:rsidRPr="008B3AD6">
        <w:rPr>
          <w:b/>
        </w:rPr>
        <w:t>EB4</w:t>
      </w:r>
      <w:r w:rsidR="00265A23" w:rsidRPr="008B3AD6">
        <w:t>)</w:t>
      </w:r>
      <w:r w:rsidR="00406E0D" w:rsidRPr="008B3AD6">
        <w:t>.</w:t>
      </w:r>
      <w:r>
        <w:t xml:space="preserve"> </w:t>
      </w:r>
      <w:r w:rsidRPr="008B3AD6">
        <w:t xml:space="preserve">As stated in Section </w:t>
      </w:r>
      <w:fldSimple w:instr=" REF _Ref518735771 \n  \* MERGEFORMAT ">
        <w:r w:rsidR="00E5551E">
          <w:t>4.2</w:t>
        </w:r>
      </w:fldSimple>
      <w:r w:rsidRPr="008B3AD6">
        <w:t>, the aim of this project is to</w:t>
      </w:r>
      <w:r>
        <w:t xml:space="preserve"> derive a </w:t>
      </w:r>
      <w:r>
        <w:rPr>
          <w:i/>
        </w:rPr>
        <w:t>in silico</w:t>
      </w:r>
      <w:r>
        <w:t xml:space="preserve"> model of</w:t>
      </w:r>
      <w:r w:rsidRPr="008B3AD6">
        <w:t xml:space="preserve"> the immune response to hepatic </w:t>
      </w:r>
      <w:r w:rsidRPr="008B3AD6">
        <w:rPr>
          <w:i/>
        </w:rPr>
        <w:t>L. donovani</w:t>
      </w:r>
      <w:r w:rsidRPr="008B3AD6">
        <w:t xml:space="preserve"> infection</w:t>
      </w:r>
      <w:r>
        <w:t xml:space="preserve"> with</w:t>
      </w:r>
      <w:r w:rsidRPr="008B3AD6">
        <w:t xml:space="preserve"> the scope set to the hepatic site of </w:t>
      </w:r>
      <w:r>
        <w:rPr>
          <w:i/>
        </w:rPr>
        <w:t xml:space="preserve">L. donovani </w:t>
      </w:r>
      <w:r>
        <w:t xml:space="preserve">infection thus </w:t>
      </w:r>
      <w:r w:rsidRPr="008B3AD6">
        <w:t>only the kinetics derived for leukocyte populations within the liver were considered for components of the model, leading to all other biological sites being grouped into a singular entity</w:t>
      </w:r>
      <w:r>
        <w:t>, referred to as Other Sites</w:t>
      </w:r>
      <w:r w:rsidRPr="008B3AD6">
        <w:t>.</w:t>
      </w:r>
    </w:p>
    <w:p w14:paraId="37975293" w14:textId="77777777" w:rsidR="00406E0D" w:rsidRPr="008B3AD6" w:rsidRDefault="00406E0D" w:rsidP="009154C0">
      <w:pPr>
        <w:spacing w:line="360" w:lineRule="auto"/>
        <w:jc w:val="both"/>
      </w:pPr>
    </w:p>
    <w:p w14:paraId="4AB6376A" w14:textId="7B03CBFD" w:rsidR="00406E0D" w:rsidRPr="008B3AD6" w:rsidRDefault="00DF000F" w:rsidP="009154C0">
      <w:pPr>
        <w:spacing w:line="360" w:lineRule="auto"/>
        <w:jc w:val="both"/>
      </w:pPr>
      <w:r w:rsidRPr="008B3AD6">
        <w:lastRenderedPageBreak/>
        <w:t xml:space="preserve">For studies utilising </w:t>
      </w:r>
      <w:r w:rsidRPr="008B3AD6">
        <w:rPr>
          <w:i/>
        </w:rPr>
        <w:t>in vivo</w:t>
      </w:r>
      <w:r w:rsidRPr="008B3AD6">
        <w:t xml:space="preserve"> models, </w:t>
      </w:r>
      <w:r w:rsidR="00406E0D" w:rsidRPr="008B3AD6">
        <w:rPr>
          <w:i/>
        </w:rPr>
        <w:t>L. donovani</w:t>
      </w:r>
      <w:r w:rsidR="00406E0D" w:rsidRPr="008B3AD6">
        <w:t xml:space="preserve"> is commonly first introduced as an artificial infection to induce the onset of </w:t>
      </w:r>
      <w:r w:rsidR="00A25753">
        <w:t>pathology</w:t>
      </w:r>
      <w:r w:rsidR="00406E0D" w:rsidRPr="008B3AD6">
        <w:t>.</w:t>
      </w:r>
      <w:r w:rsidR="00A25753">
        <w:t xml:space="preserve"> In mice,</w:t>
      </w:r>
      <w:r w:rsidR="00406E0D" w:rsidRPr="008B3AD6">
        <w:t xml:space="preserve"> </w:t>
      </w:r>
      <w:r w:rsidR="00406E0D" w:rsidRPr="008B3AD6">
        <w:rPr>
          <w:i/>
        </w:rPr>
        <w:t xml:space="preserve">L. donovani </w:t>
      </w:r>
      <w:r w:rsidR="00406E0D" w:rsidRPr="008B3AD6">
        <w:t xml:space="preserve">is </w:t>
      </w:r>
      <w:r w:rsidR="00A25753">
        <w:t>introduced</w:t>
      </w:r>
      <w:r w:rsidR="00406E0D" w:rsidRPr="008B3AD6">
        <w:t xml:space="preserve"> using various injection routes</w:t>
      </w:r>
      <w:r w:rsidR="000A66CE">
        <w:t>, none of which deposit parasite directly into the liver,</w:t>
      </w:r>
      <w:r w:rsidR="000A66CE" w:rsidRPr="008B3AD6">
        <w:t xml:space="preserve"> </w:t>
      </w:r>
      <w:r w:rsidR="00406E0D" w:rsidRPr="008B3AD6">
        <w:t xml:space="preserve"> and parasite </w:t>
      </w:r>
      <w:r w:rsidR="000A66CE">
        <w:t>life-cycle stages</w:t>
      </w:r>
      <w:r w:rsidR="00406E0D" w:rsidRPr="008B3AD6">
        <w:t xml:space="preserve"> </w:t>
      </w:r>
      <w:r w:rsidR="00406E0D" w:rsidRPr="008B3AD6">
        <w:fldChar w:fldCharType="begin"/>
      </w:r>
      <w:r w:rsidR="00812605" w:rsidRPr="008B3AD6">
        <w:instrText xml:space="preserve"> ADDIN ZOTERO_ITEM CSL_CITATION {"citationID":"aYZtSd75","properties":{"formattedCitation":"(Loeuillet, Ba\\uc0\\u241{}uls, and Hide 2016)","plainCitation":"(Loeuillet, Bañuls, and Hide 2016)","noteIndex":0},"citationItems":[{"id":2549,"uris":["http://zotero.org/users/2628971/items/53PRWDDK"],"uri":["http://zotero.org/users/2628971/items/53PRWDDK"],"itemData":{"id":2549,"type":"article-journal","title":"Study of Leishmania pathogenesis in mice: experimental considerations","container-title":"Parasites &amp; Vectors","page":"144","volume":"9","source":"BioMed Central","abstract":"Although leishmaniases are endemic in 98 countries, they are still considered neglected tropical diseases. Leishmaniases are characterized by the emergence of new virulent and asymptomatic strains of Leishmania spp. and, as a consequence, by a very diverse clinical spectrum. To fight more efficiently these parasites, the mechanisms of host defense and of parasite virulence need to be thoroughly investigated. To this aim, animal models are widely used. However, the results obtained with these models are influenced by several experimental parameters, such as the mouse genetic background, parasite genotype, inoculation route/infection site, parasite dose and phlebotome saliva. In this review, we propose an update on their influence in the two main clinical forms of the disease: cutaneous and visceral leishmaniases.","DOI":"10.1186/s13071-016-1413-9","ISSN":"1756-3305","shortTitle":"Study of Leishmania pathogenesis in mice","journalAbbreviation":"Parasites &amp; Vectors","author":[{"family":"Loeuillet","given":"Corinne"},{"family":"Bañuls","given":"Anne-Laure"},{"family":"Hide","given":"Mallorie"}],"issued":{"date-parts":[["2016",3,11]]}}}],"schema":"https://github.com/citation-style-language/schema/raw/master/csl-citation.json"} </w:instrText>
      </w:r>
      <w:r w:rsidR="00406E0D" w:rsidRPr="008B3AD6">
        <w:fldChar w:fldCharType="separate"/>
      </w:r>
      <w:r w:rsidR="00406E0D" w:rsidRPr="008B3AD6">
        <w:t>(Loeuillet, Bañuls, and Hide 2016)</w:t>
      </w:r>
      <w:r w:rsidR="00406E0D" w:rsidRPr="008B3AD6">
        <w:fldChar w:fldCharType="end"/>
      </w:r>
      <w:r w:rsidR="000A66CE">
        <w:t>. I</w:t>
      </w:r>
      <w:r w:rsidR="00406E0D" w:rsidRPr="008B3AD6">
        <w:t>nfected KCs can be seen as early as 5</w:t>
      </w:r>
      <w:r w:rsidR="008A1A2C" w:rsidRPr="008B3AD6">
        <w:t xml:space="preserve"> </w:t>
      </w:r>
      <w:r w:rsidR="00406E0D" w:rsidRPr="008B3AD6">
        <w:t xml:space="preserve">hours post-infection </w:t>
      </w:r>
      <w:r w:rsidR="00406E0D" w:rsidRPr="008B3AD6">
        <w:fldChar w:fldCharType="begin"/>
      </w:r>
      <w:r w:rsidR="00812605" w:rsidRPr="008B3AD6">
        <w:instrText xml:space="preserve"> ADDIN ZOTERO_ITEM CSL_CITATION {"citationID":"1Ov5QyHN","properties":{"formattedCitation":"(Beattie et al. 2011)","plainCitation":"(Beattie et al. 2011)","noteIndex":0},"citationItems":[{"id":2586,"uris":["http://zotero.org/users/2628971/items/JA6A6RLF"],"uri":["http://zotero.org/users/2628971/items/JA6A6RLF"],"itemData":{"id":2586,"type":"article-journal","title":"Interferon regulatory factor 7 contributes to the control of Leishmania donovani in the mouse liver","container-title":"Infection and Immunity","page":"1057-1066","volume":"79","issue":"3","source":"PubMed","abstract":"Optimal hepatic resistance to Leishmania donovani in mice requires the coordinated effort of a variety of leukocyte populations that together induce activation of local macrophages to a leishmanicidal state. Although nitric oxide and reactive oxygen intermediates are potent leishmanicidal effector molecules operating in the acquired phase of immunity, there have long been suggestions that other mechanisms of leishmanicidal activity exist. We recently discovered that Irf-7 regulates a novel innate leishmanicidal response in resident splenic macrophages that line the marginal zone. Here, we tested whether this mechanism also operates in Kupffer cells, the resident macrophage population of the liver and the major target for hepatic infection by L. donovani. Comparing the Kupffer cell responses in situ in B6 and B6.Irf-7(-/-) mice, we found no evidence that Irf-7 affected amastigote uptake or early survival. However, we did find that Irf-7-deficient mice had impaired acquired resistance to hepatic L. donovani infection. This phenotype was attributable to a reduction in the capacity of hepatic CD4(+) T cells, NK cells, and NKT cells to produce gamma interferon (IFN-γ) and also to defective induction of NOS2 in infected Kupffer cells. Our data therefore add interferon regulatory factor 7 (IRF-7) to the growing list of interferon regulatory factors that have effects on downstream events in the acquired cellular immune response to nonviral pathogens.","DOI":"10.1128/IAI.00633-10","ISSN":"1098-5522","note":"PMID: 21149596\nPMCID: PMC3067515","journalAbbreviation":"Infect. Immun.","language":"eng","author":[{"family":"Beattie","given":"Lynette"},{"family":"Phillips","given":"Rebecca"},{"family":"Brown","given":"Najmeeyah"},{"family":"Owens","given":"Benjamin M. J."},{"family":"Chauhan","given":"Neal"},{"family":"Dalton","given":"Jane E."},{"family":"Kaye","given":"Paul M."}],"issued":{"date-parts":[["2011",3]]}}}],"schema":"https://github.com/citation-style-language/schema/raw/master/csl-citation.json"} </w:instrText>
      </w:r>
      <w:r w:rsidR="00406E0D" w:rsidRPr="008B3AD6">
        <w:fldChar w:fldCharType="separate"/>
      </w:r>
      <w:r w:rsidR="00406E0D" w:rsidRPr="008B3AD6">
        <w:t>(Beattie et al. 2011)</w:t>
      </w:r>
      <w:r w:rsidR="00406E0D" w:rsidRPr="008B3AD6">
        <w:fldChar w:fldCharType="end"/>
      </w:r>
      <w:r w:rsidR="00A25753">
        <w:t xml:space="preserve"> and are observed at all time points until cure</w:t>
      </w:r>
      <w:r w:rsidR="00406E0D" w:rsidRPr="008B3AD6">
        <w:t xml:space="preserve"> </w:t>
      </w:r>
      <w:r w:rsidR="00406E0D" w:rsidRPr="008B3AD6">
        <w:fldChar w:fldCharType="begin"/>
      </w:r>
      <w:r w:rsidR="00812605" w:rsidRPr="008B3AD6">
        <w:instrText xml:space="preserve"> ADDIN ZOTERO_ITEM CSL_CITATION {"citationID":"CejNO51L","properties":{"formattedCitation":"(H. Murray 2001)","plainCitation":"(H. Murray 2001)","noteIndex":0},"citationItems":[{"id":1110,"uris":["http://zotero.org/users/2628971/items/57TG9NVJ"],"uri":["http://zotero.org/users/2628971/items/57TG9NVJ"],"itemData":{"id":1110,"type":"webpage","title":"Tissue granuloma structure-function in experimental visceral leishmaniasis.","container-title":"Int J Exp Pathol","abstract":"In experimental visceral leishmaniasis in normal mice (BALB/c, C57BL/6) acquired resistance to Leishmania donovani, a protozoan which targets tissue macrophages, depends upon T cells, Th1 cell-type cytokine generation and activated mononuclear phagocytes. In the intact host, initial control and eventual resolution of L. donovani hepatic infection in normal mice is expressed by and accomplished within well-formed, mature tissue granulomas. In the liver, these immunologically active, inflammatory structures are assembled around a core of fused, parasitized resident macrophages (Kupffer cells) which come to be encircled by both cytokine-secreting T cells and influxing leishmanicidal blood monocytes. This pro-host defense granuloma structure-function relationship, in which histologically mature granulomas provide the microenvironment for intracellular L. donovani killing, however, is only one of seven which have been identified through experimental modifications in this model. This report reviews these structure-function relationships and illustrates the broad spectrum of additional possible responses. These responses range from structurally intact granulomas which provide no antileishmanial function (the 'ineffective' granuloma), to enlarged granulomas which show enhanced parasite killing (the 'hypertrophied' granuloma), to effective antileishmanial activity in the absence of any tissue reaction (the 'invisible' granuloma)., (C) 2001 Blackwell Science Ltd.","author":[{"family":"Murray","given":"Henry"}],"issued":{"date-parts":[["2001"]]}}}],"schema":"https://github.com/citation-style-language/schema/raw/master/csl-citation.json"} </w:instrText>
      </w:r>
      <w:r w:rsidR="00406E0D" w:rsidRPr="008B3AD6">
        <w:fldChar w:fldCharType="separate"/>
      </w:r>
      <w:r w:rsidR="00812605" w:rsidRPr="008B3AD6">
        <w:t>(Murray 2001)</w:t>
      </w:r>
      <w:r w:rsidR="00406E0D" w:rsidRPr="008B3AD6">
        <w:fldChar w:fldCharType="end"/>
      </w:r>
      <w:r w:rsidR="00406E0D" w:rsidRPr="008B3AD6">
        <w:t xml:space="preserve">. Phagocytosis of </w:t>
      </w:r>
      <w:r w:rsidR="00406E0D" w:rsidRPr="008B3AD6">
        <w:rPr>
          <w:i/>
        </w:rPr>
        <w:t>Leishmania</w:t>
      </w:r>
      <w:r w:rsidR="008A1A2C" w:rsidRPr="008B3AD6">
        <w:rPr>
          <w:i/>
        </w:rPr>
        <w:t xml:space="preserve"> </w:t>
      </w:r>
      <w:r w:rsidR="008A1A2C" w:rsidRPr="008B3AD6">
        <w:t>spp.</w:t>
      </w:r>
      <w:r w:rsidR="00406E0D" w:rsidRPr="008B3AD6">
        <w:t xml:space="preserve">, </w:t>
      </w:r>
      <w:r w:rsidR="008A1A2C" w:rsidRPr="008B3AD6">
        <w:t xml:space="preserve">both </w:t>
      </w:r>
      <w:r w:rsidR="00406E0D" w:rsidRPr="008B3AD6">
        <w:t xml:space="preserve">promastigotes and amastigotes, is a receptor dependent process </w:t>
      </w:r>
      <w:r w:rsidR="00406E0D" w:rsidRPr="008B3AD6">
        <w:fldChar w:fldCharType="begin"/>
      </w:r>
      <w:r w:rsidR="00812605" w:rsidRPr="008B3AD6">
        <w:instrText xml:space="preserve"> ADDIN ZOTERO_ITEM CSL_CITATION {"citationID":"r0qgFqfX","properties":{"formattedCitation":"(Ueno and Wilson 2012)","plainCitation":"(Ueno and Wilson 2012)","noteIndex":0},"citationItems":[{"id":2579,"uris":["http://zotero.org/users/2628971/items/GNGECV9I"],"uri":["http://zotero.org/users/2628971/items/GNGECV9I"],"itemData":{"id":2579,"type":"article-journal","title":"Receptor-mediated phagocytosis of Leishmania: implications for intracellular survival","container-title":"Trends in Parasitology","page":"335-344","volume":"28","issue":"8","source":"PubMed","abstract":"The extracellular promastigote stage of Leishmania spp. is transmitted to mammals by a sand fly vector. Leishmania promastigotes ligate host macrophage receptors, triggering phagocytosis and subsequent internalization, a crucial step for survival. Parasites transform intracellularly to the amastigote stage. Many studies document different receptors detecting promastigotes and amastigotes, but the relative importance of each interaction is ill-defined. Recent studies suggest that the macrophage receptors utilized during phagocytosis impact the intracellular fate of the parasite. This review summarizes the receptors implicated in Leishmania phagocytosis over the past 30 years. It then proceeds to weigh the evidence for or against their potential roles in intracellular parasite trafficking.","DOI":"10.1016/j.pt.2012.05.002","ISSN":"1471-5007","note":"PMID: 22726697\nPMCID: PMC3399048","shortTitle":"Receptor-mediated phagocytosis of Leishmania","journalAbbreviation":"Trends Parasitol.","language":"eng","author":[{"family":"Ueno","given":"Norikiyo"},{"family":"Wilson","given":"Mary E."}],"issued":{"date-parts":[["2012",8]]}}}],"schema":"https://github.com/citation-style-language/schema/raw/master/csl-citation.json"} </w:instrText>
      </w:r>
      <w:r w:rsidR="00406E0D" w:rsidRPr="008B3AD6">
        <w:fldChar w:fldCharType="separate"/>
      </w:r>
      <w:r w:rsidR="00406E0D" w:rsidRPr="008B3AD6">
        <w:t>(Ueno and Wilson 2012)</w:t>
      </w:r>
      <w:r w:rsidR="00406E0D" w:rsidRPr="008B3AD6">
        <w:fldChar w:fldCharType="end"/>
      </w:r>
      <w:r w:rsidR="00406E0D" w:rsidRPr="008B3AD6">
        <w:t xml:space="preserve"> requiring contact between the susceptible host cell and the parasite and thus it is hypothesised that a successful contact between a susceptible KC and </w:t>
      </w:r>
      <w:r w:rsidR="00406E0D" w:rsidRPr="008B3AD6">
        <w:rPr>
          <w:i/>
        </w:rPr>
        <w:t>L. donovani</w:t>
      </w:r>
      <w:r w:rsidR="00406E0D" w:rsidRPr="008B3AD6">
        <w:t>, a contact where there is sufficient receptor binding to trigger phagocytosis, would lead to infection</w:t>
      </w:r>
      <w:r w:rsidR="00265A23" w:rsidRPr="008B3AD6">
        <w:t xml:space="preserve"> (</w:t>
      </w:r>
      <w:r w:rsidR="00265A23" w:rsidRPr="008B3AD6">
        <w:rPr>
          <w:b/>
        </w:rPr>
        <w:t>EB1</w:t>
      </w:r>
      <w:r w:rsidR="00265A23" w:rsidRPr="008B3AD6">
        <w:t>)</w:t>
      </w:r>
      <w:r w:rsidR="00406E0D" w:rsidRPr="008B3AD6">
        <w:t>.</w:t>
      </w:r>
      <w:r w:rsidR="00EA5026">
        <w:t xml:space="preserve"> </w:t>
      </w:r>
      <w:r w:rsidR="00406E0D" w:rsidRPr="008B3AD6">
        <w:t>Approximately 1-2 weeks after infection</w:t>
      </w:r>
      <w:r w:rsidR="009C676C">
        <w:t>,</w:t>
      </w:r>
      <w:r w:rsidR="00406E0D" w:rsidRPr="008B3AD6">
        <w:t xml:space="preserve"> infected KCs are seen as foci for some immune cell infiltrate </w:t>
      </w:r>
      <w:r w:rsidR="00406E0D" w:rsidRPr="00195944">
        <w:fldChar w:fldCharType="begin"/>
      </w:r>
      <w:r w:rsidR="00812605" w:rsidRPr="00195944">
        <w:instrText xml:space="preserve"> ADDIN ZOTERO_ITEM CSL_CITATION {"citationID":"rwWMgOyN","properties":{"formattedCitation":"(H. Murray 2001)","plainCitation":"(H. Murray 2001)","noteIndex":0},"citationItems":[{"id":1110,"uris":["http://zotero.org/users/2628971/items/57TG9NVJ"],"uri":["http://zotero.org/users/2628971/items/57TG9NVJ"],"itemData":{"id":1110,"type":"webpage","title":"Tissue granuloma structure-function in experimental visceral leishmaniasis.","container-title":"Int J Exp Pathol","abstract":"In experimental visceral leishmaniasis in normal mice (BALB/c, C57BL/6) acquired resistance to Leishmania donovani, a protozoan which targets tissue macrophages, depends upon T cells, Th1 cell-type cytokine generation and activated mononuclear phagocytes. In the intact host, initial control and eventual resolution of L. donovani hepatic infection in normal mice is expressed by and accomplished within well-formed, mature tissue granulomas. In the liver, these immunologically active, inflammatory structures are assembled around a core of fused, parasitized resident macrophages (Kupffer cells) which come to be encircled by both cytokine-secreting T cells and influxing leishmanicidal blood monocytes. This pro-host defense granuloma structure-function relationship, in which histologically mature granulomas provide the microenvironment for intracellular L. donovani killing, however, is only one of seven which have been identified through experimental modifications in this model. This report reviews these structure-function relationships and illustrates the broad spectrum of additional possible responses. These responses range from structurally intact granulomas which provide no antileishmanial function (the 'ineffective' granuloma), to enlarged granulomas which show enhanced parasite killing (the 'hypertrophied' granuloma), to effective antileishmanial activity in the absence of any tissue reaction (the 'invisible' granuloma)., (C) 2001 Blackwell Science Ltd.","author":[{"family":"Murray","given":"Henry"}],"issued":{"date-parts":[["2001"]]}}}],"schema":"https://github.com/citation-style-language/schema/raw/master/csl-citation.json"} </w:instrText>
      </w:r>
      <w:r w:rsidR="00406E0D" w:rsidRPr="00195944">
        <w:fldChar w:fldCharType="separate"/>
      </w:r>
      <w:r w:rsidR="00812605" w:rsidRPr="00195944">
        <w:t>(H. Murray 2001)</w:t>
      </w:r>
      <w:r w:rsidR="00406E0D" w:rsidRPr="00195944">
        <w:fldChar w:fldCharType="end"/>
      </w:r>
      <w:r w:rsidR="00406E0D" w:rsidRPr="00195944">
        <w:t xml:space="preserve">. As seen in </w:t>
      </w:r>
      <w:r w:rsidR="00195944" w:rsidRPr="00195944">
        <w:rPr>
          <w:b/>
        </w:rPr>
        <w:fldChar w:fldCharType="begin"/>
      </w:r>
      <w:r w:rsidR="00195944" w:rsidRPr="00195944">
        <w:instrText xml:space="preserve"> REF _Ref519016744 </w:instrText>
      </w:r>
      <w:r w:rsidR="00195944">
        <w:instrText xml:space="preserve"> \* MERGEFORMAT </w:instrText>
      </w:r>
      <w:r w:rsidR="00195944" w:rsidRPr="00195944">
        <w:rPr>
          <w:b/>
        </w:rPr>
        <w:fldChar w:fldCharType="separate"/>
      </w:r>
      <w:r w:rsidR="000A66CE" w:rsidRPr="000A66CE">
        <w:rPr>
          <w:b/>
        </w:rPr>
        <w:t xml:space="preserve">Figure </w:t>
      </w:r>
      <w:r w:rsidR="000A66CE" w:rsidRPr="000A66CE">
        <w:rPr>
          <w:b/>
          <w:noProof/>
        </w:rPr>
        <w:t>7.5</w:t>
      </w:r>
      <w:r w:rsidR="00195944" w:rsidRPr="00195944">
        <w:rPr>
          <w:b/>
        </w:rPr>
        <w:fldChar w:fldCharType="end"/>
      </w:r>
      <w:r w:rsidR="00406E0D" w:rsidRPr="00195944">
        <w:t xml:space="preserve"> there</w:t>
      </w:r>
      <w:r w:rsidR="00406E0D" w:rsidRPr="008B3AD6">
        <w:t xml:space="preserve"> are significant increases in lymphoid</w:t>
      </w:r>
      <w:r w:rsidR="00D376DB" w:rsidRPr="008B3AD6">
        <w:t xml:space="preserve"> </w:t>
      </w:r>
      <w:r w:rsidR="00406E0D" w:rsidRPr="008B3AD6">
        <w:t>and myeloid</w:t>
      </w:r>
      <w:r w:rsidR="00D376DB" w:rsidRPr="008B3AD6">
        <w:t xml:space="preserve"> </w:t>
      </w:r>
      <w:r w:rsidR="00406E0D" w:rsidRPr="008B3AD6">
        <w:t>cell numbers in the liver of a naïve mouse and those of a mouse at 13 days post-infection, which quantit</w:t>
      </w:r>
      <w:r w:rsidR="00195944">
        <w:t>at</w:t>
      </w:r>
      <w:r w:rsidR="00406E0D" w:rsidRPr="008B3AD6">
        <w:t xml:space="preserve">ively supports </w:t>
      </w:r>
      <w:r w:rsidR="00195944">
        <w:t>the histological picture</w:t>
      </w:r>
      <w:r w:rsidR="00406E0D" w:rsidRPr="008B3AD6">
        <w:t xml:space="preserve">. Previous studies </w:t>
      </w:r>
      <w:r w:rsidR="00406E0D" w:rsidRPr="008B3AD6">
        <w:fldChar w:fldCharType="begin"/>
      </w:r>
      <w:r w:rsidR="00812605" w:rsidRPr="008B3AD6">
        <w:instrText xml:space="preserve"> ADDIN ZOTERO_ITEM CSL_CITATION {"citationID":"Ck1YyZmz","properties":{"formattedCitation":"(Amprey et al. 2004; Stanley et al. 2008)","plainCitation":"(Amprey et al. 2004; Stanley et al. 2008)","noteIndex":0},"citationItems":[{"id":2478,"uris":["http://zotero.org/users/2628971/items/TRDFGX4B"],"uri":["http://zotero.org/users/2628971/items/TRDFGX4B"],"itemData":{"id":2478,"type":"article-journal","title":"A Subset of Liver NK T Cells Is Activated during &lt;i&gt;Leishmania donovani&lt;/i&gt; Infection by CD1d-bound Lipophosphoglycan","container-title":"The Journal of Experimental Medicine","page":"895-904","volume":"200","issue":"7","source":"CrossRef","DOI":"10.1084/jem.20040704","ISSN":"0022-1007, 1540-9538","language":"en","author":[{"family":"Amprey","given":"Joseph L."},{"family":"Im","given":"Jin S."},{"family":"Turco","given":"Salvatore J."},{"family":"Murray","given":"Henry W."},{"family":"Illarionov","given":"Petr A."},{"family":"Besra","given":"Gurdyal S."},{"family":"Porcelli","given":"Steven A."},{"family":"Späth","given":"Gerald F."}],"issued":{"date-parts":[["2004",10,4]]}}},{"id":2570,"uris":["http://zotero.org/users/2628971/items/CCZZCCD6"],"uri":["http://zotero.org/users/2628971/items/CCZZCCD6"],"itemData":{"id":2570,"type":"article-journal","title":"Activation of Invariant NKT Cells Exacerbates Experimental Visceral Leishmaniasis","container-title":"PLOS Pathogens","page":"e1000028","volume":"4","issue":"2","source":"PLoS Journals","abstract":"We report that natural killer T (NKT) cells play only a minor physiological role in protection from Leishmania donovani infection in C57BL/6 mice. Furthermore, attempts at therapeutic activation of invariant NKT (iNKT) cells with α-galactosylceramide (α-GalCer) during L. donovani infection exacerbated, rather than ameliorated, experimental visceral leishmaniasis. The inability of α-GalCer to promote anti-parasitic immunity did not result from inefficient antigen presentation caused by infection because α-GalCer–loaded bone marrow–derived dendritic cells were also unable to improve disease resolution. The immune-dampening affect of α-GalCer correlated with a bias towards increased IL-4 production by iNKT cells following α-GalCer stimulation in infected mice compared to naïve controls. However, studies in IL-4–deficient mice, and IL-4 neutralisation in cytokine-sufficient mice revealed that α-GalCer–induced IL-4 production during infection had only a minor role in impaired parasite control. Analysis of liver cell composition following α-GalCer stimulation during an established L. donovani infection revealed important differences, predominantly a decrease in IFNγ+ CD8+ T cells, compared with control-treated mice. Our data clearly illustrate the double-edged sword of NKT cell–based therapy, showing that in some circumstances, such as when sub-clinical or chronic infections exist, iNKT cell activation can have adverse outcomes.","DOI":"10.1371/journal.ppat.1000028","ISSN":"1553-7374","journalAbbreviation":"PLOS Pathogens","language":"en","author":[{"family":"Stanley","given":"Amanda C."},{"family":"Zhou","given":"Yonghong"},{"family":"Amante","given":"Fiona H."},{"family":"Randall","given":"Louise M."},{"family":"Haque","given":"Ashraful"},{"family":"Pellicci","given":"Daniel G."},{"family":"Hill","given":"Geoff R."},{"family":"Smyth","given":"Mark J."},{"family":"Godfrey","given":"Dale I."},{"family":"Engwerda","given":"Christian R."}],"issued":{"date-parts":[["2008",2,29]]}}}],"schema":"https://github.com/citation-style-language/schema/raw/master/csl-citation.json"} </w:instrText>
      </w:r>
      <w:r w:rsidR="00406E0D" w:rsidRPr="008B3AD6">
        <w:fldChar w:fldCharType="separate"/>
      </w:r>
      <w:r w:rsidR="00406E0D" w:rsidRPr="008B3AD6">
        <w:t>(Amprey et al. 2004; Stanley et al. 2008)</w:t>
      </w:r>
      <w:r w:rsidR="00406E0D" w:rsidRPr="008B3AD6">
        <w:fldChar w:fldCharType="end"/>
      </w:r>
      <w:r w:rsidR="00406E0D" w:rsidRPr="008B3AD6">
        <w:t xml:space="preserve"> have shown that a key-process for initial recruitment of cells is the interaction of infected </w:t>
      </w:r>
      <w:r w:rsidR="000A66CE">
        <w:t>KCs</w:t>
      </w:r>
      <w:r w:rsidR="00406E0D" w:rsidRPr="008B3AD6">
        <w:t xml:space="preserve"> and </w:t>
      </w:r>
      <w:r w:rsidR="000A66CE">
        <w:t>iNKTs</w:t>
      </w:r>
      <w:r w:rsidR="00406E0D" w:rsidRPr="008B3AD6">
        <w:t xml:space="preserve">, dependent on CD1d binding. This activates the iNKT cell to produce recruitment signals </w:t>
      </w:r>
      <w:r w:rsidR="00406E0D" w:rsidRPr="008B3AD6">
        <w:fldChar w:fldCharType="begin"/>
      </w:r>
      <w:r w:rsidR="00812605" w:rsidRPr="008B3AD6">
        <w:instrText xml:space="preserve"> ADDIN ZOTERO_ITEM CSL_CITATION {"citationID":"J07gOgot","properties":{"formattedCitation":"(Moore et al. 2013a)","plainCitation":"(Moore et al. 2013a)","noteIndex":0},"citationItems":[{"id":2468,"uris":["http://zotero.org/users/2628971/items/VE23BRVU"],"uri":["http://zotero.org/users/2628971/items/VE23BRVU"],"itemData":{"id":2468,"type":"article-journal","title":"Functional complexity of the Leishmania granuloma and the potential of in silico modeling","container-title":"Frontiers in Immunology","volume":"4","source":"CrossRef","URL":"http://journal.frontiersin.org/article/10.3389/fimmu.2013.00035/abstract","DOI":"10.3389/fimmu.2013.00035","ISSN":"1664-3224","author":[{"family":"Moore","given":"John W. J."},{"family":"Moyo","given":"Daniel"},{"family":"Beattie","given":"Lynette"},{"family":"Andrews","given":"Paul S."},{"family":"Timmis","given":"Jon"},{"family":"Kaye","given":"Paul M."}],"issued":{"date-parts":[["2013"]]},"accessed":{"date-parts":[["2017",5,23]]}}}],"schema":"https://github.com/citation-style-language/schema/raw/master/csl-citation.json"} </w:instrText>
      </w:r>
      <w:r w:rsidR="00406E0D" w:rsidRPr="008B3AD6">
        <w:fldChar w:fldCharType="separate"/>
      </w:r>
      <w:r w:rsidR="00406E0D" w:rsidRPr="008B3AD6">
        <w:t>(Moore et al. 2013)</w:t>
      </w:r>
      <w:r w:rsidR="00406E0D" w:rsidRPr="008B3AD6">
        <w:fldChar w:fldCharType="end"/>
      </w:r>
      <w:r w:rsidR="00406E0D" w:rsidRPr="008B3AD6">
        <w:t xml:space="preserve"> and pro-inflammatory signals </w:t>
      </w:r>
      <w:r w:rsidR="00406E0D" w:rsidRPr="008B3AD6">
        <w:fldChar w:fldCharType="begin"/>
      </w:r>
      <w:r w:rsidR="00812605" w:rsidRPr="008B3AD6">
        <w:instrText xml:space="preserve"> ADDIN ZOTERO_ITEM CSL_CITATION {"citationID":"YQ0N2WMK","properties":{"formattedCitation":"(Amprey et al. 2004)","plainCitation":"(Amprey et al. 2004)","noteIndex":0},"citationItems":[{"id":2478,"uris":["http://zotero.org/users/2628971/items/TRDFGX4B"],"uri":["http://zotero.org/users/2628971/items/TRDFGX4B"],"itemData":{"id":2478,"type":"article-journal","title":"A Subset of Liver NK T Cells Is Activated during &lt;i&gt;Leishmania donovani&lt;/i&gt; Infection by CD1d-bound Lipophosphoglycan","container-title":"The Journal of Experimental Medicine","page":"895-904","volume":"200","issue":"7","source":"CrossRef","DOI":"10.1084/jem.20040704","ISSN":"0022-1007, 1540-9538","language":"en","author":[{"family":"Amprey","given":"Joseph L."},{"family":"Im","given":"Jin S."},{"family":"Turco","given":"Salvatore J."},{"family":"Murray","given":"Henry W."},{"family":"Illarionov","given":"Petr A."},{"family":"Besra","given":"Gurdyal S."},{"family":"Porcelli","given":"Steven A."},{"family":"Späth","given":"Gerald F."}],"issued":{"date-parts":[["2004",10,4]]}}}],"schema":"https://github.com/citation-style-language/schema/raw/master/csl-citation.json"} </w:instrText>
      </w:r>
      <w:r w:rsidR="00406E0D" w:rsidRPr="008B3AD6">
        <w:fldChar w:fldCharType="separate"/>
      </w:r>
      <w:r w:rsidR="00406E0D" w:rsidRPr="008B3AD6">
        <w:t>(Amprey et al. 2004)</w:t>
      </w:r>
      <w:r w:rsidR="00406E0D" w:rsidRPr="008B3AD6">
        <w:fldChar w:fldCharType="end"/>
      </w:r>
      <w:r w:rsidR="00265A23" w:rsidRPr="008B3AD6">
        <w:t xml:space="preserve"> (</w:t>
      </w:r>
      <w:r w:rsidR="00265A23" w:rsidRPr="008B3AD6">
        <w:rPr>
          <w:b/>
        </w:rPr>
        <w:t>EB2</w:t>
      </w:r>
      <w:r w:rsidR="00265A23" w:rsidRPr="008B3AD6">
        <w:t>)</w:t>
      </w:r>
      <w:r w:rsidR="00406E0D" w:rsidRPr="008B3AD6">
        <w:t xml:space="preserve">. </w:t>
      </w:r>
    </w:p>
    <w:p w14:paraId="4B78BD57" w14:textId="77777777" w:rsidR="00406E0D" w:rsidRPr="008B3AD6" w:rsidRDefault="00406E0D" w:rsidP="009154C0">
      <w:pPr>
        <w:spacing w:line="360" w:lineRule="auto"/>
        <w:jc w:val="both"/>
      </w:pPr>
    </w:p>
    <w:p w14:paraId="70FA68A2" w14:textId="48211282" w:rsidR="00406E0D" w:rsidRPr="008B3AD6" w:rsidRDefault="00406E0D" w:rsidP="009154C0">
      <w:pPr>
        <w:spacing w:line="360" w:lineRule="auto"/>
        <w:jc w:val="both"/>
      </w:pPr>
      <w:r w:rsidRPr="008B3AD6">
        <w:t xml:space="preserve">After the recruitment of initial immune cell infiltrate at around 2-4 weeks post-infection well organised T cells and myeloid cells are seen around infected foci. It has been shown that whilst iNKTs transiently produce recruitment signals the continued production is reliant on T cells </w:t>
      </w:r>
      <w:r w:rsidRPr="008B3AD6">
        <w:fldChar w:fldCharType="begin"/>
      </w:r>
      <w:r w:rsidR="00812605" w:rsidRPr="008B3AD6">
        <w:instrText xml:space="preserve"> ADDIN ZOTERO_ITEM CSL_CITATION {"citationID":"pZjRtPIt","properties":{"formattedCitation":"(Cotterell, Engwerda, and Kaye 1999)","plainCitation":"(Cotterell, Engwerda, and Kaye 1999)","noteIndex":0},"citationItems":[{"id":2480,"uris":["http://zotero.org/users/2628971/items/8J9GZBFP"],"uri":["http://zotero.org/users/2628971/items/8J9GZBFP"],"itemData":{"id":2480,"type":"article-journal","title":"Leishmania donovani infection initiates T cell-independent chemokine responses, which are subsequently amplified in a T cell-dependent manner","container-title":"European Journal of Immunology","page":"203-214","volume":"29","issue":"1","source":"PubMed","abstract":"Control of Leishmania donovani infection in immunocompetent mice is associated with hepatic inflammation and granuloma formation, both of which are absent in severe combined immunodeficient (scid) mice. In both BALB/c and scid mice, L. donovani infection induced a rapid hepatic accumulation of mRNA encoding macrophage inflammatory protein-1alpha (MIP-(1alpha), monocyte chemoattractant protein-1 (MCP-1) and interferon-gamma inducible protein-10 (gammaIP-10). This response was not preceded by increased IL-4 production in either strain, unlike that reported in other infectious disease models. Interestingly, only gammaIP-10 mRNA was maintained at elevated levels throughout the first 7 days of infection, by mechanisms involving CD4+ and CD8+ T cells, and CD4+CD8+ cells not activated in scid mice. By in vivo depletion and reconstitution of scid mice it was demonstrated that T cells regulate the expression of all three chemokines studied, while they themselves only produce gammaIP-10 in appreciable quantities.","DOI":"10.1002/(SICI)1521-4141(199901)29:01&amp;#60;203::AID-IMMU203&amp;#62;3.0.CO;2-B","ISSN":"0014-2980","note":"PMID: 9933102","journalAbbreviation":"Eur. J. Immunol.","language":"eng","author":[{"family":"Cotterell","given":"S. E."},{"family":"Engwerda","given":"C. R."},{"family":"Kaye","given":"P. M."}],"issued":{"date-parts":[["1999",1]]}}}],"schema":"https://github.com/citation-style-language/schema/raw/master/csl-citation.json"} </w:instrText>
      </w:r>
      <w:r w:rsidRPr="008B3AD6">
        <w:fldChar w:fldCharType="separate"/>
      </w:r>
      <w:r w:rsidRPr="008B3AD6">
        <w:t>(Cotterell, Engwerda, and Kaye 1999)</w:t>
      </w:r>
      <w:r w:rsidRPr="008B3AD6">
        <w:fldChar w:fldCharType="end"/>
      </w:r>
      <w:r w:rsidRPr="008B3AD6">
        <w:t xml:space="preserve"> to sustain cellular recruitment. Thus, it is expected that the observation of well organised myeloid and T cells is due to the continued production of factors, such as chemokines, that allow for continued migration to infected foci</w:t>
      </w:r>
      <w:r w:rsidR="00265A23" w:rsidRPr="008B3AD6">
        <w:t xml:space="preserve"> (</w:t>
      </w:r>
      <w:r w:rsidR="00265A23" w:rsidRPr="008B3AD6">
        <w:rPr>
          <w:b/>
        </w:rPr>
        <w:t>EB3</w:t>
      </w:r>
      <w:r w:rsidR="00265A23" w:rsidRPr="008B3AD6">
        <w:t>)</w:t>
      </w:r>
      <w:r w:rsidRPr="008B3AD6">
        <w:t>.</w:t>
      </w:r>
      <w:r w:rsidR="00EA5026">
        <w:t xml:space="preserve"> </w:t>
      </w:r>
      <w:r w:rsidRPr="008B3AD6">
        <w:t>At around 4-8 weeks a well organised infiltrate of myel</w:t>
      </w:r>
      <w:r w:rsidR="00B15A80" w:rsidRPr="008B3AD6">
        <w:t>oid and T cells is seen, as in</w:t>
      </w:r>
      <w:r w:rsidR="003E5874">
        <w:t xml:space="preserve"> </w:t>
      </w:r>
      <w:r w:rsidR="003E5874" w:rsidRPr="008B3AD6">
        <w:rPr>
          <w:b/>
        </w:rPr>
        <w:t>EB3</w:t>
      </w:r>
      <w:r w:rsidRPr="008B3AD6">
        <w:t>, but around a sterilised KC. It is widely accepted that this is primarily due to a two-step process. In the first step, recruited T cells produce Interferon gamma (IFN</w:t>
      </w:r>
      <w:r w:rsidRPr="008B3AD6">
        <w:sym w:font="Symbol" w:char="F067"/>
      </w:r>
      <w:r w:rsidRPr="008B3AD6">
        <w:t xml:space="preserve">) as a result of antigenic stimulation, most likely occurring in the spleen </w:t>
      </w:r>
      <w:r w:rsidRPr="008B3AD6">
        <w:fldChar w:fldCharType="begin"/>
      </w:r>
      <w:r w:rsidR="00E664D4" w:rsidRPr="008B3AD6">
        <w:instrText xml:space="preserve"> ADDIN ZOTERO_ITEM CSL_CITATION {"citationID":"yBBLhP0w","properties":{"formattedCitation":"(Bunn et al. 2014b)","plainCitation":"(Bunn et al. 2014b)","noteIndex":0},"citationItems":[{"id":2589,"uris":["http://zotero.org/users/2628971/items/JPAG335B"],"uri":["http://zotero.org/users/2628971/items/JPAG335B"],"itemData":{"id":2589,"type":"article-journal","title":"Tissue requirements for establishing long-term CD4+ T cell-mediated immunity following Leishmania donovani infection","container-title":"Journal of Immunology (Baltimore, Md.: 1950)","page":"3709-3718","volume":"192","issue":"8","source":"PubMed","abstract":"Organ-specific immunity is a feature of many infectious diseases, including visceral leishmaniasis caused by Leishmania donovani. Experimental visceral leishmaniasis in genetically susceptible mice is characterized by an acute, resolving infection in the liver and chronic infection in the spleen. CD4+ T cell responses are critical for the establishment and maintenance of hepatic immunity in this disease model, but their role in chronically infected spleens remains unclear. In this study, we show that dendritic cells are critical for CD4+ T cell activation and expansion in all tissue sites examined. We found that FTY720-mediated blockade of T cell trafficking early in infection prevented Ag-specific CD4+ T cells from appearing in lymph nodes, but not the spleen and liver, suggesting that early CD4+ T cell priming does not occur in liver-draining lymph nodes. Extended treatment with FTY720 over the first month of infection increased parasite burdens, although this associated with blockade of lymphocyte egress from secondary lymphoid tissue, as well as with more generalized splenic lymphopenia. Importantly, we demonstrate that CD4+ T cells are required for the establishment and maintenance of antiparasitic immunity in the liver, as well as for immune surveillance and suppression of parasite outgrowth in chronically infected spleens. Finally, although early CD4+ T cell priming appeared to occur most effectively in the spleen, we unexpectedly revealed that protective CD4+ T cell-mediated hepatic immunity could be generated in the complete absence of all secondary lymphoid tissues.","DOI":"10.4049/jimmunol.1300768","ISSN":"1550-6606","note":"PMID: 24634490","journalAbbreviation":"J. Immunol.","language":"eng","author":[{"family":"Bunn","given":"Patrick T."},{"family":"Stanley","given":"Amanda C."},{"family":"Labastida Rivera","given":"Fabian","non-dropping-particle":"de"},{"family":"Mulherin","given":"Alexander"},{"family":"Sheel","given":"Meru"},{"family":"Alexander","given":"Clare E."},{"family":"Faleiro","given":"Rebecca J."},{"family":"Amante","given":"Fiona H."},{"family":"Montes De Oca","given":"Marcela"},{"family":"Best","given":"Shannon E."},{"family":"James","given":"Kylie R."},{"family":"Kaye","given":"Paul M."},{"family":"Haque","given":"Ashraful"},{"family":"Engwerda","given":"Christian R."}],"issued":{"date-parts":[["2014",4,15]]}}}],"schema":"https://github.com/citation-style-language/schema/raw/master/csl-citation.json"} </w:instrText>
      </w:r>
      <w:r w:rsidRPr="008B3AD6">
        <w:fldChar w:fldCharType="separate"/>
      </w:r>
      <w:r w:rsidR="00E664D4" w:rsidRPr="008B3AD6">
        <w:t>(Bunn et al. 2014b)</w:t>
      </w:r>
      <w:r w:rsidRPr="008B3AD6">
        <w:fldChar w:fldCharType="end"/>
      </w:r>
      <w:r w:rsidRPr="008B3AD6">
        <w:t>. This IFN</w:t>
      </w:r>
      <w:r w:rsidRPr="008B3AD6">
        <w:sym w:font="Symbol" w:char="F067"/>
      </w:r>
      <w:r w:rsidR="00195944">
        <w:t xml:space="preserve"> activates both in</w:t>
      </w:r>
      <w:r w:rsidRPr="008B3AD6">
        <w:t xml:space="preserve">fluxing inflammatory monocytes </w:t>
      </w:r>
      <w:r w:rsidRPr="008B3AD6">
        <w:fldChar w:fldCharType="begin"/>
      </w:r>
      <w:r w:rsidR="00812605" w:rsidRPr="008B3AD6">
        <w:instrText xml:space="preserve"> ADDIN ZOTERO_ITEM CSL_CITATION {"citationID":"6Ig9tTLM","properties":{"formattedCitation":"(H. Murray 2001; Zhang et al. 2013)","plainCitation":"(H. Murray 2001; Zhang et al. 2013)","noteIndex":0},"citationItems":[{"id":1110,"uris":["http://zotero.org/users/2628971/items/57TG9NVJ"],"uri":["http://zotero.org/users/2628971/items/57TG9NVJ"],"itemData":{"id":1110,"type":"webpage","title":"Tissue granuloma structure-function in experimental visceral leishmaniasis.","container-title":"Int J Exp Pathol","abstract":"In experimental visceral leishmaniasis in normal mice (BALB/c, C57BL/6) acquired resistance to Leishmania donovani, a protozoan which targets tissue macrophages, depends upon T cells, Th1 cell-type cytokine generation and activated mononuclear phagocytes. In the intact host, initial control and eventual resolution of L. donovani hepatic infection in normal mice is expressed by and accomplished within well-formed, mature tissue granulomas. In the liver, these immunologically active, inflammatory structures are assembled around a core of fused, parasitized resident macrophages (Kupffer cells) which come to be encircled by both cytokine-secreting T cells and influxing leishmanicidal blood monocytes. This pro-host defense granuloma structure-function relationship, in which histologically mature granulomas provide the microenvironment for intracellular L. donovani killing, however, is only one of seven which have been identified through experimental modifications in this model. This report reviews these structure-function relationships and illustrates the broad spectrum of additional possible responses. These responses range from structurally intact granulomas which provide no antileishmanial function (the 'ineffective' granuloma), to enlarged granulomas which show enhanced parasite killing (the 'hypertrophied' granuloma), to effective antileishmanial activity in the absence of any tissue reaction (the 'invisible' granuloma)., (C) 2001 Blackwell Science Ltd.","author":[{"family":"Murray","given":"Henry"}],"issued":{"date-parts":[["2001"]]}}},{"id":2546,"uris":["http://zotero.org/users/2628971/items/2QPH78Y8"],"uri":["http://zotero.org/users/2628971/items/2QPH78Y8"],"itemData":{"id":2546,"type":"article-journal","title":"ROS play a critical role in the differentiation of alternatively activated macrophages and the occurrence of tumor-associated macrophages","container-title":"Cell Research","page":"898-914","volume":"23","issue":"7","source":"PubMed Central","abstract":"Differentiation to different types of macrophages determines their distinct functions. Tumor-associated macrophages (TAMs) promote tumorigenesis owing to their proangiogenic and immune-suppressive functions similar to those of alternatively activated (M2) macrophages. We report that reactive oxygen species (ROS) production is critical for macrophage differentiation and that inhibition of superoxide (O2−) production specifically blocks the differentiation of M2 macrophages. We found that when monocytes are triggered to differentiate, O2− is generated and is needed for the biphasic ERK activation, which is critical for macrophage differentiation. We demonstrated that ROS elimination by butylated hydroxyanisole (BHA) and other ROS inhibitors blocks macrophage differentiation. However, the inhibitory effect of ROS elimination on macrophage differentiation is overcome when cells are polarized to classically activated (M1), but not M2, macrophages. More importantly, the continuous administration of the ROS inhibitor BHA efficiently blocked the occurrence of TAMs and markedly suppressed tumorigenesis in mouse cancer models. Targeting TAMs by blocking ROS can be a potentially effective method for cancer treatment.","DOI":"10.1038/cr.2013.75","ISSN":"1001-0602","note":"PMID: 23752925\nPMCID: PMC3698641","journalAbbreviation":"Cell Res","author":[{"family":"Zhang","given":"Yan"},{"family":"Choksi","given":"Swati"},{"family":"Chen","given":"Kun"},{"family":"Pobezinskaya","given":"Yelena"},{"family":"Linnoila","given":"Ilona"},{"family":"Liu","given":"Zheng-Gang"}],"issued":{"date-parts":[["2013",7]]}}}],"schema":"https://github.com/citation-style-language/schema/raw/master/csl-citation.json"} </w:instrText>
      </w:r>
      <w:r w:rsidRPr="008B3AD6">
        <w:fldChar w:fldCharType="separate"/>
      </w:r>
      <w:r w:rsidR="00E5551E">
        <w:t>(</w:t>
      </w:r>
      <w:r w:rsidR="00812605" w:rsidRPr="008B3AD6">
        <w:t>Murray 2001; Zhang et al. 2013)</w:t>
      </w:r>
      <w:r w:rsidRPr="008B3AD6">
        <w:fldChar w:fldCharType="end"/>
      </w:r>
      <w:r w:rsidRPr="008B3AD6">
        <w:t xml:space="preserve"> and </w:t>
      </w:r>
      <w:r w:rsidR="000A66CE">
        <w:t>KCs</w:t>
      </w:r>
      <w:r w:rsidRPr="008B3AD6">
        <w:t xml:space="preserve"> </w:t>
      </w:r>
      <w:r w:rsidRPr="008B3AD6">
        <w:fldChar w:fldCharType="begin"/>
      </w:r>
      <w:r w:rsidR="00812605" w:rsidRPr="008B3AD6">
        <w:instrText xml:space="preserve"> ADDIN ZOTERO_ITEM CSL_CITATION {"citationID":"A1AlHpFz","properties":{"formattedCitation":"(Stanley and Engwerda 2006)","plainCitation":"(Stanley and Engwerda 2006)","noteIndex":0},"citationItems":[{"id":172,"uris":["http://zotero.org/users/2628971/items/ICJ2M52F"],"uri":["http://zotero.org/users/2628971/items/ICJ2M52F"],"itemData":{"id":172,"type":"article-journal","title":"Balancing immunity and pathology in visceral leishmaniasis","container-title":"Immunology and Cell Biology","page":"138-147","volume":"85","issue":"2","source":"www.nature.com","abstract":"Experimental visceral leishmaniasis (VL) caused by infection with Leishmania donovani results in the development of organ-specific immunity in the two main target tissues of infection, the spleen and the liver. The liver is the site of an acute resolving infection associated with the development of inflammatory granulomas around infected Kupffer cells, and resistance to reinfection. Paradoxically, the spleen is an initial site for the generation of cell-mediated immune responses, but ultimately becomes a site of parasite persistence with associated immunopathological changes. These include splenomegaly and a breakdown in tissue architecture that is postulated to contribute to the immunocompromized status of the host. The progressive development of splenic pathology is largely associated with high levels of TNF and interleukin (IL)-10. Follicular dendritic cell (DC) networks are lost, whereas TNF mediates the destruction of marginal zone macrophages and gp38+ stromal cells, and IL-10 promotes impaired DC migration into T-cell areas with consequent ineffective T-cell priming. Splenic stromal cell function is also altered, promoting the selective development of IL-10-producing DC with immunoregulatory properties. Ultimately, a fine immunological balance determines responses that effectively promote parasite clearance in the liver and those that promote pathology in the spleen, and future investigation aims to separate these responses to offer further means of parasite control in chronically infected VL patients.","DOI":"10.1038/sj.icb7100011","ISSN":"0818-9641","journalAbbreviation":"Immunol Cell Biol","language":"en","author":[{"family":"Stanley","given":"Amanda C."},{"family":"Engwerda","given":"Christian R."}],"issued":{"date-parts":[["2006",12,5]]}}}],"schema":"https://github.com/citation-style-language/schema/raw/master/csl-citation.json"} </w:instrText>
      </w:r>
      <w:r w:rsidRPr="008B3AD6">
        <w:fldChar w:fldCharType="separate"/>
      </w:r>
      <w:r w:rsidRPr="008B3AD6">
        <w:t>(Stanley and Engwerda 2006)</w:t>
      </w:r>
      <w:r w:rsidRPr="008B3AD6">
        <w:fldChar w:fldCharType="end"/>
      </w:r>
      <w:r w:rsidRPr="008B3AD6">
        <w:t xml:space="preserve"> to produce reactive oxygen (ROS) and nitrogen (RNS) species which are anti-leishmanial in nature and sterilise the infected cells</w:t>
      </w:r>
      <w:r w:rsidR="00265A23" w:rsidRPr="008B3AD6">
        <w:t xml:space="preserve"> (</w:t>
      </w:r>
      <w:r w:rsidR="00265A23" w:rsidRPr="008B3AD6">
        <w:rPr>
          <w:b/>
        </w:rPr>
        <w:t>EB4</w:t>
      </w:r>
      <w:r w:rsidR="00265A23" w:rsidRPr="008B3AD6">
        <w:t>)</w:t>
      </w:r>
      <w:r w:rsidRPr="008B3AD6">
        <w:t>.</w:t>
      </w:r>
    </w:p>
    <w:p w14:paraId="518CFABF" w14:textId="77777777" w:rsidR="00406E0D" w:rsidRPr="008B3AD6" w:rsidRDefault="00406E0D" w:rsidP="009154C0">
      <w:pPr>
        <w:spacing w:line="360" w:lineRule="auto"/>
        <w:jc w:val="both"/>
        <w:sectPr w:rsidR="00406E0D" w:rsidRPr="008B3AD6" w:rsidSect="00E44977">
          <w:pgSz w:w="11900" w:h="16840"/>
          <w:pgMar w:top="1134" w:right="851" w:bottom="1134" w:left="2268" w:header="709" w:footer="709" w:gutter="0"/>
          <w:cols w:space="708"/>
          <w:docGrid w:linePitch="360"/>
        </w:sectPr>
      </w:pPr>
    </w:p>
    <w:p w14:paraId="287C60CF" w14:textId="1C0CB35D" w:rsidR="00406E0D" w:rsidRPr="008B3AD6" w:rsidRDefault="00221D43" w:rsidP="009154C0">
      <w:pPr>
        <w:spacing w:line="360" w:lineRule="auto"/>
        <w:jc w:val="both"/>
        <w:sectPr w:rsidR="00406E0D" w:rsidRPr="008B3AD6" w:rsidSect="00C34D65">
          <w:pgSz w:w="16840" w:h="11900" w:orient="landscape"/>
          <w:pgMar w:top="851" w:right="1134" w:bottom="2268" w:left="1134" w:header="709" w:footer="709" w:gutter="0"/>
          <w:cols w:space="708"/>
          <w:docGrid w:linePitch="360"/>
        </w:sectPr>
      </w:pPr>
      <w:r>
        <w:rPr>
          <w:noProof/>
        </w:rPr>
        <w:lastRenderedPageBreak/>
        <mc:AlternateContent>
          <mc:Choice Requires="wps">
            <w:drawing>
              <wp:anchor distT="0" distB="0" distL="114300" distR="114300" simplePos="0" relativeHeight="251190272" behindDoc="0" locked="0" layoutInCell="1" allowOverlap="1" wp14:anchorId="138CB1AD" wp14:editId="669256F9">
                <wp:simplePos x="0" y="0"/>
                <wp:positionH relativeFrom="column">
                  <wp:posOffset>171450</wp:posOffset>
                </wp:positionH>
                <wp:positionV relativeFrom="paragraph">
                  <wp:posOffset>5220335</wp:posOffset>
                </wp:positionV>
                <wp:extent cx="8924290" cy="565150"/>
                <wp:effectExtent l="0" t="0" r="3810" b="6350"/>
                <wp:wrapNone/>
                <wp:docPr id="19" name="Text Box 19"/>
                <wp:cNvGraphicFramePr/>
                <a:graphic xmlns:a="http://schemas.openxmlformats.org/drawingml/2006/main">
                  <a:graphicData uri="http://schemas.microsoft.com/office/word/2010/wordprocessingShape">
                    <wps:wsp>
                      <wps:cNvSpPr txBox="1"/>
                      <wps:spPr>
                        <a:xfrm>
                          <a:off x="0" y="0"/>
                          <a:ext cx="8924290" cy="565150"/>
                        </a:xfrm>
                        <a:prstGeom prst="rect">
                          <a:avLst/>
                        </a:prstGeom>
                        <a:solidFill>
                          <a:prstClr val="white"/>
                        </a:solidFill>
                        <a:ln>
                          <a:noFill/>
                        </a:ln>
                      </wps:spPr>
                      <wps:txbx>
                        <w:txbxContent>
                          <w:p w14:paraId="5391743B" w14:textId="1B8492AE" w:rsidR="00F61130" w:rsidRPr="00265A23" w:rsidRDefault="00F61130" w:rsidP="00D376DB">
                            <w:pPr>
                              <w:pStyle w:val="Caption"/>
                              <w:spacing w:line="360" w:lineRule="auto"/>
                              <w:jc w:val="both"/>
                              <w:rPr>
                                <w:sz w:val="20"/>
                              </w:rPr>
                            </w:pPr>
                            <w:bookmarkStart w:id="369" w:name="_Ref518566917"/>
                            <w:bookmarkStart w:id="370" w:name="_Toc525227211"/>
                            <w:bookmarkStart w:id="371" w:name="_Toc536814150"/>
                            <w:r w:rsidRPr="00265A23">
                              <w:rPr>
                                <w:b/>
                                <w:sz w:val="20"/>
                              </w:rPr>
                              <w:t xml:space="preserve">Figure </w:t>
                            </w:r>
                            <w:r>
                              <w:rPr>
                                <w:b/>
                                <w:sz w:val="20"/>
                              </w:rPr>
                              <w:fldChar w:fldCharType="begin"/>
                            </w:r>
                            <w:r>
                              <w:rPr>
                                <w:b/>
                                <w:sz w:val="20"/>
                              </w:rPr>
                              <w:instrText xml:space="preserve"> STYLEREF 1 \s </w:instrText>
                            </w:r>
                            <w:r>
                              <w:rPr>
                                <w:b/>
                                <w:sz w:val="20"/>
                              </w:rPr>
                              <w:fldChar w:fldCharType="separate"/>
                            </w:r>
                            <w:r>
                              <w:rPr>
                                <w:b/>
                                <w:noProof/>
                                <w:sz w:val="20"/>
                              </w:rPr>
                              <w:t>4</w:t>
                            </w:r>
                            <w:r>
                              <w:rPr>
                                <w:b/>
                                <w:sz w:val="20"/>
                              </w:rPr>
                              <w:fldChar w:fldCharType="end"/>
                            </w:r>
                            <w:r>
                              <w:rPr>
                                <w:b/>
                                <w:sz w:val="20"/>
                              </w:rPr>
                              <w:t>.</w:t>
                            </w:r>
                            <w:r>
                              <w:rPr>
                                <w:b/>
                                <w:sz w:val="20"/>
                              </w:rPr>
                              <w:fldChar w:fldCharType="begin"/>
                            </w:r>
                            <w:r>
                              <w:rPr>
                                <w:b/>
                                <w:sz w:val="20"/>
                              </w:rPr>
                              <w:instrText xml:space="preserve"> SEQ Figure \* ARABIC \s 1 </w:instrText>
                            </w:r>
                            <w:r>
                              <w:rPr>
                                <w:b/>
                                <w:sz w:val="20"/>
                              </w:rPr>
                              <w:fldChar w:fldCharType="separate"/>
                            </w:r>
                            <w:r>
                              <w:rPr>
                                <w:b/>
                                <w:noProof/>
                                <w:sz w:val="20"/>
                              </w:rPr>
                              <w:t>6</w:t>
                            </w:r>
                            <w:r>
                              <w:rPr>
                                <w:b/>
                                <w:sz w:val="20"/>
                              </w:rPr>
                              <w:fldChar w:fldCharType="end"/>
                            </w:r>
                            <w:bookmarkEnd w:id="369"/>
                            <w:r w:rsidRPr="00265A23">
                              <w:rPr>
                                <w:b/>
                                <w:sz w:val="20"/>
                              </w:rPr>
                              <w:t xml:space="preserve"> - Expected behaviours diagram for the murine liver during </w:t>
                            </w:r>
                            <w:r>
                              <w:rPr>
                                <w:b/>
                                <w:sz w:val="20"/>
                              </w:rPr>
                              <w:t xml:space="preserve">infection with </w:t>
                            </w:r>
                            <w:r>
                              <w:rPr>
                                <w:b/>
                                <w:i/>
                                <w:sz w:val="20"/>
                              </w:rPr>
                              <w:t>L. donovani</w:t>
                            </w:r>
                            <w:r w:rsidRPr="00265A23">
                              <w:rPr>
                                <w:b/>
                                <w:sz w:val="20"/>
                              </w:rPr>
                              <w:t>.</w:t>
                            </w:r>
                            <w:r w:rsidRPr="00265A23">
                              <w:rPr>
                                <w:sz w:val="20"/>
                              </w:rPr>
                              <w:t xml:space="preserve"> Illustration of the time scale of various observable phenomena that give rise to hypothesised expected behaviours in the system. These are linked to underlying generalised processes derived.</w:t>
                            </w:r>
                            <w:bookmarkEnd w:id="370"/>
                            <w:r>
                              <w:rPr>
                                <w:sz w:val="20"/>
                              </w:rPr>
                              <w:t xml:space="preserve"> The pro-inflammatory cytokines and the recruitment factors shown are the same entities and carry out the same activities and are affected by the same entities.</w:t>
                            </w:r>
                            <w:bookmarkEnd w:id="371"/>
                            <w:r>
                              <w:rPr>
                                <w:sz w:val="20"/>
                              </w:rP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38CB1AD" id="Text Box 19" o:spid="_x0000_s1097" type="#_x0000_t202" style="position:absolute;left:0;text-align:left;margin-left:13.5pt;margin-top:411.05pt;width:702.7pt;height:44.5pt;z-index:2511902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mkp6JMwIAAGoEAAAOAAAAZHJzL2Uyb0RvYy54bWysVMFu2zAMvQ/YPwi6r06CpWuNOkXWIsOA&#13;&#10;oi3QDj0rslwLkEVNUmJ3X78nOU63bqdhF5kiKUrvPdIXl0Nn2F75oMlWfH4y40xZSbW2zxX/9rj5&#13;&#10;cMZZiMLWwpBVFX9RgV+u3r+76F2pFtSSqZVnKGJD2buKtzG6siiCbFUnwgk5ZRFsyHciYuufi9qL&#13;&#10;HtU7Uyxms9OiJ187T1KFAO/1GOSrXL9plIx3TRNUZKbieFvMq8/rNq3F6kKUz164VsvDM8Q/vKIT&#13;&#10;2uLSY6lrEQXbef1HqU5LT4GaeCKpK6hptFQZA9DMZ2/QPLTCqYwF5AR3pCn8v7Lydn/vma6h3Tln&#13;&#10;VnTQ6FENkX2mgcEFfnoXSqQ9OCTGAX7kTv4AZ4I9NL5LXwBiiIPplyO7qZqE8+x88XFxjpBEbHm6&#13;&#10;nC8z/cXraedD/KKoY8mouId6mVSxvwkRL0HqlJIuC2R0vdHGpE0KXBnP9gJK962OKr0RJ37LMjbl&#13;&#10;WkqnxnDyFAniCCVZcdgOmZJPR5xbql8A39PYQMHJjcaFNyLEe+HRMYCFKYh3WBpDfcXpYHHWkv/x&#13;&#10;N3/Kh5CIctajAysevu+EV5yZrxYSp3adDD8Z28mwu+6KAHWO+XIymzjgo5nMxlP3hOFYp1sQElbi&#13;&#10;rorHybyK4xxguKRar3MSmtKJeGMfnEylJ2Ifhyfh3UGWCEFvaepNUb5RZ8zN+rj1LoLqLF0idmTx&#13;&#10;wDcaOutzGL40Mb/uc9brL2L1EwAA//8DAFBLAwQUAAYACAAAACEAmmI0gOcAAAAQAQAADwAAAGRy&#13;&#10;cy9kb3ducmV2LnhtbEyPMU/DMBCFdyT+g3VILIg6dqNS0lyqqsAAS0XowubGbhyI7ch22vDvcSdY&#13;&#10;Tnq6u/feV64n05OT8qFzFoHNMiDKNk52tkXYf7zcL4GEKKwUvbMK4UcFWFfXV6UopDvbd3WqY0uS&#13;&#10;iQ2FQNAxDgWlodHKiDBzg7Jpd3TeiJikb6n04pzMTU95li2oEZ1NCVoMaqtV812PBmGXf+703Xh8&#13;&#10;ftvkc/+6H7eLr7ZGvL2ZnlZpbFZAopri3wdcGFJ/qFKxgxutDKRH4A+JJyIsOWdALgf5nOdADgiP&#13;&#10;jDGgVUn/g1S/AAAA//8DAFBLAQItABQABgAIAAAAIQC2gziS/gAAAOEBAAATAAAAAAAAAAAAAAAA&#13;&#10;AAAAAABbQ29udGVudF9UeXBlc10ueG1sUEsBAi0AFAAGAAgAAAAhADj9If/WAAAAlAEAAAsAAAAA&#13;&#10;AAAAAAAAAAAALwEAAF9yZWxzLy5yZWxzUEsBAi0AFAAGAAgAAAAhAOaSnokzAgAAagQAAA4AAAAA&#13;&#10;AAAAAAAAAAAALgIAAGRycy9lMm9Eb2MueG1sUEsBAi0AFAAGAAgAAAAhAJpiNIDnAAAAEAEAAA8A&#13;&#10;AAAAAAAAAAAAAAAAjQQAAGRycy9kb3ducmV2LnhtbFBLBQYAAAAABAAEAPMAAAChBQAAAAA=&#13;&#10;" stroked="f">
                <v:textbox style="mso-fit-shape-to-text:t" inset="0,0,0,0">
                  <w:txbxContent>
                    <w:p w14:paraId="5391743B" w14:textId="1B8492AE" w:rsidR="00F61130" w:rsidRPr="00265A23" w:rsidRDefault="00F61130" w:rsidP="00D376DB">
                      <w:pPr>
                        <w:pStyle w:val="Caption"/>
                        <w:spacing w:line="360" w:lineRule="auto"/>
                        <w:jc w:val="both"/>
                        <w:rPr>
                          <w:sz w:val="20"/>
                        </w:rPr>
                      </w:pPr>
                      <w:bookmarkStart w:id="372" w:name="_Ref518566917"/>
                      <w:bookmarkStart w:id="373" w:name="_Toc525227211"/>
                      <w:bookmarkStart w:id="374" w:name="_Toc536814150"/>
                      <w:r w:rsidRPr="00265A23">
                        <w:rPr>
                          <w:b/>
                          <w:sz w:val="20"/>
                        </w:rPr>
                        <w:t xml:space="preserve">Figure </w:t>
                      </w:r>
                      <w:r>
                        <w:rPr>
                          <w:b/>
                          <w:sz w:val="20"/>
                        </w:rPr>
                        <w:fldChar w:fldCharType="begin"/>
                      </w:r>
                      <w:r>
                        <w:rPr>
                          <w:b/>
                          <w:sz w:val="20"/>
                        </w:rPr>
                        <w:instrText xml:space="preserve"> STYLEREF 1 \s </w:instrText>
                      </w:r>
                      <w:r>
                        <w:rPr>
                          <w:b/>
                          <w:sz w:val="20"/>
                        </w:rPr>
                        <w:fldChar w:fldCharType="separate"/>
                      </w:r>
                      <w:r>
                        <w:rPr>
                          <w:b/>
                          <w:noProof/>
                          <w:sz w:val="20"/>
                        </w:rPr>
                        <w:t>4</w:t>
                      </w:r>
                      <w:r>
                        <w:rPr>
                          <w:b/>
                          <w:sz w:val="20"/>
                        </w:rPr>
                        <w:fldChar w:fldCharType="end"/>
                      </w:r>
                      <w:r>
                        <w:rPr>
                          <w:b/>
                          <w:sz w:val="20"/>
                        </w:rPr>
                        <w:t>.</w:t>
                      </w:r>
                      <w:r>
                        <w:rPr>
                          <w:b/>
                          <w:sz w:val="20"/>
                        </w:rPr>
                        <w:fldChar w:fldCharType="begin"/>
                      </w:r>
                      <w:r>
                        <w:rPr>
                          <w:b/>
                          <w:sz w:val="20"/>
                        </w:rPr>
                        <w:instrText xml:space="preserve"> SEQ Figure \* ARABIC \s 1 </w:instrText>
                      </w:r>
                      <w:r>
                        <w:rPr>
                          <w:b/>
                          <w:sz w:val="20"/>
                        </w:rPr>
                        <w:fldChar w:fldCharType="separate"/>
                      </w:r>
                      <w:r>
                        <w:rPr>
                          <w:b/>
                          <w:noProof/>
                          <w:sz w:val="20"/>
                        </w:rPr>
                        <w:t>6</w:t>
                      </w:r>
                      <w:r>
                        <w:rPr>
                          <w:b/>
                          <w:sz w:val="20"/>
                        </w:rPr>
                        <w:fldChar w:fldCharType="end"/>
                      </w:r>
                      <w:bookmarkEnd w:id="372"/>
                      <w:r w:rsidRPr="00265A23">
                        <w:rPr>
                          <w:b/>
                          <w:sz w:val="20"/>
                        </w:rPr>
                        <w:t xml:space="preserve"> - Expected behaviours diagram for the murine liver during </w:t>
                      </w:r>
                      <w:r>
                        <w:rPr>
                          <w:b/>
                          <w:sz w:val="20"/>
                        </w:rPr>
                        <w:t xml:space="preserve">infection with </w:t>
                      </w:r>
                      <w:r>
                        <w:rPr>
                          <w:b/>
                          <w:i/>
                          <w:sz w:val="20"/>
                        </w:rPr>
                        <w:t>L. donovani</w:t>
                      </w:r>
                      <w:r w:rsidRPr="00265A23">
                        <w:rPr>
                          <w:b/>
                          <w:sz w:val="20"/>
                        </w:rPr>
                        <w:t>.</w:t>
                      </w:r>
                      <w:r w:rsidRPr="00265A23">
                        <w:rPr>
                          <w:sz w:val="20"/>
                        </w:rPr>
                        <w:t xml:space="preserve"> Illustration of the time scale of various observable phenomena that give rise to hypothesised expected behaviours in the system. These are linked to underlying generalised processes derived.</w:t>
                      </w:r>
                      <w:bookmarkEnd w:id="373"/>
                      <w:r>
                        <w:rPr>
                          <w:sz w:val="20"/>
                        </w:rPr>
                        <w:t xml:space="preserve"> The pro-inflammatory cytokines and the recruitment factors shown are the same entities and carry out the same activities and are affected by the same entities.</w:t>
                      </w:r>
                      <w:bookmarkEnd w:id="374"/>
                      <w:r>
                        <w:rPr>
                          <w:sz w:val="20"/>
                        </w:rPr>
                        <w:t xml:space="preserve"> </w:t>
                      </w:r>
                    </w:p>
                  </w:txbxContent>
                </v:textbox>
              </v:shape>
            </w:pict>
          </mc:Fallback>
        </mc:AlternateContent>
      </w:r>
      <w:r>
        <w:rPr>
          <w:noProof/>
        </w:rPr>
        <w:drawing>
          <wp:anchor distT="0" distB="0" distL="114300" distR="114300" simplePos="0" relativeHeight="251189248" behindDoc="0" locked="0" layoutInCell="1" allowOverlap="1" wp14:anchorId="4E93CFDE" wp14:editId="171F7244">
            <wp:simplePos x="0" y="0"/>
            <wp:positionH relativeFrom="column">
              <wp:posOffset>171450</wp:posOffset>
            </wp:positionH>
            <wp:positionV relativeFrom="paragraph">
              <wp:posOffset>8255</wp:posOffset>
            </wp:positionV>
            <wp:extent cx="8924290" cy="5147945"/>
            <wp:effectExtent l="0" t="0" r="3810" b="0"/>
            <wp:wrapTopAndBottom/>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pic:cNvPicPr>
                      <a:picLocks noChangeAspect="1"/>
                    </pic:cNvPicPr>
                  </pic:nvPicPr>
                  <pic:blipFill>
                    <a:blip r:embed="rId50">
                      <a:extLst>
                        <a:ext uri="{28A0092B-C50C-407E-A947-70E740481C1C}">
                          <a14:useLocalDpi xmlns:a14="http://schemas.microsoft.com/office/drawing/2010/main" val="0"/>
                        </a:ext>
                      </a:extLst>
                    </a:blip>
                    <a:stretch>
                      <a:fillRect/>
                    </a:stretch>
                  </pic:blipFill>
                  <pic:spPr>
                    <a:xfrm>
                      <a:off x="0" y="0"/>
                      <a:ext cx="8924290" cy="5147945"/>
                    </a:xfrm>
                    <a:prstGeom prst="rect">
                      <a:avLst/>
                    </a:prstGeom>
                  </pic:spPr>
                </pic:pic>
              </a:graphicData>
            </a:graphic>
          </wp:anchor>
        </w:drawing>
      </w:r>
    </w:p>
    <w:p w14:paraId="2BBB727B" w14:textId="62F7F24E" w:rsidR="00432561" w:rsidRPr="008B3AD6" w:rsidRDefault="00406E0D" w:rsidP="009154C0">
      <w:pPr>
        <w:spacing w:line="360" w:lineRule="auto"/>
        <w:jc w:val="both"/>
      </w:pPr>
      <w:r w:rsidRPr="008B3AD6">
        <w:lastRenderedPageBreak/>
        <w:t xml:space="preserve">Whilst it is known there are tissue specific differences </w:t>
      </w:r>
      <w:r w:rsidR="00195944">
        <w:t>within infected mice</w:t>
      </w:r>
      <w:r w:rsidRPr="008B3AD6">
        <w:t xml:space="preserve"> </w:t>
      </w:r>
      <w:r w:rsidRPr="008B3AD6">
        <w:fldChar w:fldCharType="begin"/>
      </w:r>
      <w:r w:rsidR="00812605" w:rsidRPr="008B3AD6">
        <w:instrText xml:space="preserve"> ADDIN ZOTERO_ITEM CSL_CITATION {"citationID":"YS0GwWOM","properties":{"formattedCitation":"(Engwerda and Kaye 2000)","plainCitation":"(Engwerda and Kaye 2000)","noteIndex":0},"citationItems":[{"id":2737,"uris":["http://zotero.org/users/2628971/items/VQXMNTZR"],"uri":["http://zotero.org/users/2628971/items/VQXMNTZR"],"itemData":{"id":2737,"type":"article-journal","title":"Organ-specific immune responses associated with infectious disease","container-title":"Immunology Today","page":"73-78","volume":"21","issue":"2","source":"PubMed","abstract":"The immune response to infection can vary markedly in different organs of the same animal. In some organs, the infection can resolve with subsequent immunity to re-infection, whereas in other organs, pathogens can persist. Here, Christian Engwerda and Paul Kaye highlight the importance of defining organ-specific immune mechanisms for developing strategies that deal effectively with infectious diseases and their associated pathologies.","ISSN":"0167-5699","note":"PMID: 10652464","journalAbbreviation":"Immunol. Today","language":"eng","author":[{"family":"Engwerda","given":"C. R."},{"family":"Kaye","given":"P. M."}],"issued":{"date-parts":[["2000",2]]}}}],"schema":"https://github.com/citation-style-language/schema/raw/master/csl-citation.json"} </w:instrText>
      </w:r>
      <w:r w:rsidRPr="008B3AD6">
        <w:fldChar w:fldCharType="separate"/>
      </w:r>
      <w:r w:rsidRPr="008B3AD6">
        <w:t>(Engwerda and Kaye 2000)</w:t>
      </w:r>
      <w:r w:rsidRPr="008B3AD6">
        <w:fldChar w:fldCharType="end"/>
      </w:r>
      <w:r w:rsidRPr="008B3AD6">
        <w:t xml:space="preserve">, it is assumed here that the rates of </w:t>
      </w:r>
      <w:r w:rsidR="00432561" w:rsidRPr="008B3AD6">
        <w:t xml:space="preserve">processes and not the processes </w:t>
      </w:r>
      <w:r w:rsidR="00037C73" w:rsidRPr="008B3AD6">
        <w:t xml:space="preserve">themselves are different between tissues, and so in this domain model processes are </w:t>
      </w:r>
      <w:r w:rsidR="00432561" w:rsidRPr="008B3AD6">
        <w:t>mirrored between the liver and other sites, unless otherwise stated.</w:t>
      </w:r>
    </w:p>
    <w:p w14:paraId="627A226F" w14:textId="0287EAD9" w:rsidR="00432561" w:rsidRPr="008B3AD6" w:rsidRDefault="00432561" w:rsidP="009154C0">
      <w:pPr>
        <w:spacing w:line="360" w:lineRule="auto"/>
        <w:jc w:val="both"/>
      </w:pPr>
    </w:p>
    <w:p w14:paraId="1AD8DFAE" w14:textId="66DD6307" w:rsidR="00432561" w:rsidRPr="008B3AD6" w:rsidRDefault="00432561" w:rsidP="009154C0">
      <w:pPr>
        <w:spacing w:line="360" w:lineRule="auto"/>
        <w:jc w:val="both"/>
        <w:rPr>
          <w:b/>
        </w:rPr>
      </w:pPr>
      <w:r w:rsidRPr="00195944">
        <w:rPr>
          <w:b/>
        </w:rPr>
        <w:fldChar w:fldCharType="begin"/>
      </w:r>
      <w:r w:rsidRPr="00195944">
        <w:rPr>
          <w:b/>
        </w:rPr>
        <w:instrText xml:space="preserve"> REF _Ref518570184  \* MERGEFORMAT </w:instrText>
      </w:r>
      <w:r w:rsidRPr="00195944">
        <w:rPr>
          <w:b/>
        </w:rPr>
        <w:fldChar w:fldCharType="separate"/>
      </w:r>
      <w:r w:rsidR="00E5551E" w:rsidRPr="00E5551E">
        <w:rPr>
          <w:b/>
        </w:rPr>
        <w:t>Figure 4.7</w:t>
      </w:r>
      <w:r w:rsidRPr="00195944">
        <w:rPr>
          <w:b/>
        </w:rPr>
        <w:fldChar w:fldCharType="end"/>
      </w:r>
      <w:r w:rsidRPr="008B3AD6">
        <w:t xml:space="preserve"> describes that underlying biological activities of T cells </w:t>
      </w:r>
      <w:r w:rsidR="003B34F0">
        <w:t>during infection</w:t>
      </w:r>
      <w:r w:rsidRPr="008B3AD6">
        <w:t xml:space="preserve"> that give rise to the overarching expected behaviours. T cells require three signals to activate: T cell receptor (TCR) binding of either MHC-I or MHC-II, co-stimulatory receptor binding, such as CD28 and a cytokine signal </w:t>
      </w:r>
      <w:r w:rsidRPr="008B3AD6">
        <w:fldChar w:fldCharType="begin"/>
      </w:r>
      <w:r w:rsidR="00812605" w:rsidRPr="008B3AD6">
        <w:instrText xml:space="preserve"> ADDIN ZOTERO_ITEM CSL_CITATION {"citationID":"FZYQQAXi","properties":{"formattedCitation":"(Pennock et al. 2013)","plainCitation":"(Pennock et al. 2013)","noteIndex":0},"citationItems":[{"id":2610,"uris":["http://zotero.org/users/2628971/items/W3CK9F7H"],"uri":["http://zotero.org/users/2628971/items/W3CK9F7H"],"itemData":{"id":2610,"type":"article-journal","title":"T cell responses: naïve to memory and everything in between","container-title":"Advances in Physiology Education","page":"273-283","volume":"37","issue":"4","source":"PubMed Central","DOI":"10.1152/advan.00066.2013","ISSN":"1043-4046","note":"PMID: 24292902\nPMCID: PMC4089090","shortTitle":"T cell responses","journalAbbreviation":"Adv Physiol Educ","author":[{"family":"Pennock","given":"Nathan D."},{"family":"White","given":"Jason T."},{"family":"Cross","given":"Eric W."},{"family":"Cheney","given":"Elizabeth E."},{"family":"Tamburini","given":"Beth A."},{"family":"Kedl","given":"Ross M."}],"issued":{"date-parts":[["2013",12]]}}}],"schema":"https://github.com/citation-style-language/schema/raw/master/csl-citation.json"} </w:instrText>
      </w:r>
      <w:r w:rsidRPr="008B3AD6">
        <w:fldChar w:fldCharType="separate"/>
      </w:r>
      <w:r w:rsidRPr="008B3AD6">
        <w:t>(Pennock et al. 2013)</w:t>
      </w:r>
      <w:r w:rsidRPr="008B3AD6">
        <w:fldChar w:fldCharType="end"/>
      </w:r>
      <w:r w:rsidRPr="008B3AD6">
        <w:t xml:space="preserve">. </w:t>
      </w:r>
      <w:r w:rsidR="0074700A">
        <w:t xml:space="preserve">The molecular mechanisms of receptor complex formation (such as CD3 + CD28) </w:t>
      </w:r>
      <w:r w:rsidR="009C676C">
        <w:t>were not considered for this model as molecular scale interactions would overtly increase the complexity of the implemented model whilst being unlikely to greatly contribute to investigations using the final model.</w:t>
      </w:r>
      <w:r w:rsidR="0074700A">
        <w:t xml:space="preserve"> </w:t>
      </w:r>
      <w:r w:rsidR="009C676C">
        <w:t>Thus, the</w:t>
      </w:r>
      <w:r w:rsidR="0074700A">
        <w:t xml:space="preserve"> binding of MHC-I or -II and a co-stimulatory receptor are considered a singular event. </w:t>
      </w:r>
      <w:r w:rsidR="00CB55EB">
        <w:t>Therefore,</w:t>
      </w:r>
      <w:r w:rsidR="0074700A">
        <w:t xml:space="preserve"> w</w:t>
      </w:r>
      <w:r w:rsidRPr="008B3AD6">
        <w:t xml:space="preserve">ithin the domain model </w:t>
      </w:r>
      <w:r w:rsidR="0074700A">
        <w:t>T cell activation</w:t>
      </w:r>
      <w:r w:rsidR="009C676C">
        <w:t xml:space="preserve"> is represented as occurring after</w:t>
      </w:r>
      <w:r w:rsidR="0074700A">
        <w:t xml:space="preserve"> </w:t>
      </w:r>
      <w:r w:rsidR="00195944">
        <w:t>antigen</w:t>
      </w:r>
      <w:r w:rsidRPr="008B3AD6">
        <w:t xml:space="preserve"> presentation (</w:t>
      </w:r>
      <w:r w:rsidR="000A66CE" w:rsidRPr="00195944">
        <w:rPr>
          <w:b/>
        </w:rPr>
        <w:fldChar w:fldCharType="begin"/>
      </w:r>
      <w:r w:rsidR="000A66CE" w:rsidRPr="00195944">
        <w:rPr>
          <w:b/>
        </w:rPr>
        <w:instrText xml:space="preserve"> REF _Ref518570184  \* MERGEFORMAT </w:instrText>
      </w:r>
      <w:r w:rsidR="000A66CE" w:rsidRPr="00195944">
        <w:rPr>
          <w:b/>
        </w:rPr>
        <w:fldChar w:fldCharType="separate"/>
      </w:r>
      <w:r w:rsidR="000A66CE" w:rsidRPr="000A66CE">
        <w:rPr>
          <w:b/>
        </w:rPr>
        <w:t>Figure 4.7</w:t>
      </w:r>
      <w:r w:rsidR="000A66CE" w:rsidRPr="00195944">
        <w:rPr>
          <w:b/>
        </w:rPr>
        <w:fldChar w:fldCharType="end"/>
      </w:r>
      <w:r w:rsidR="000A66CE">
        <w:rPr>
          <w:b/>
        </w:rPr>
        <w:t xml:space="preserve"> - </w:t>
      </w:r>
      <w:r w:rsidRPr="008B3AD6">
        <w:rPr>
          <w:b/>
        </w:rPr>
        <w:t>MC12, KC8, MC24</w:t>
      </w:r>
      <w:r w:rsidRPr="008B3AD6">
        <w:t xml:space="preserve">) and </w:t>
      </w:r>
      <w:r w:rsidR="009C676C">
        <w:t xml:space="preserve">detection of </w:t>
      </w:r>
      <w:r w:rsidRPr="008B3AD6">
        <w:t>a cytok</w:t>
      </w:r>
      <w:r w:rsidR="00D92C5C" w:rsidRPr="008B3AD6">
        <w:t>ine signal with</w:t>
      </w:r>
      <w:r w:rsidR="0074700A">
        <w:t>in</w:t>
      </w:r>
      <w:r w:rsidR="00D92C5C" w:rsidRPr="008B3AD6">
        <w:t xml:space="preserve"> the environment</w:t>
      </w:r>
      <w:r w:rsidR="0074700A">
        <w:t xml:space="preserve"> (</w:t>
      </w:r>
      <w:r w:rsidR="0074700A" w:rsidRPr="0074700A">
        <w:rPr>
          <w:b/>
        </w:rPr>
        <w:t>TC2, TC4, TC11, TC12, TC,17 TC18</w:t>
      </w:r>
      <w:r w:rsidR="00AE16A0">
        <w:t>).</w:t>
      </w:r>
    </w:p>
    <w:p w14:paraId="0D09C964" w14:textId="77777777" w:rsidR="00432561" w:rsidRPr="008B3AD6" w:rsidRDefault="00432561" w:rsidP="009154C0">
      <w:pPr>
        <w:spacing w:line="360" w:lineRule="auto"/>
        <w:jc w:val="both"/>
      </w:pPr>
    </w:p>
    <w:p w14:paraId="6C936C85" w14:textId="6C358E53" w:rsidR="00F40B16" w:rsidRDefault="00F40B16" w:rsidP="009154C0">
      <w:pPr>
        <w:spacing w:line="360" w:lineRule="auto"/>
        <w:jc w:val="both"/>
      </w:pPr>
      <w:r>
        <w:t>Activation of</w:t>
      </w:r>
      <w:r w:rsidR="00432561" w:rsidRPr="008B3AD6">
        <w:t xml:space="preserve"> T cell</w:t>
      </w:r>
      <w:r>
        <w:t>s, with either modulatory or pro-inflammatory cytokines</w:t>
      </w:r>
      <w:r w:rsidR="003B34F0">
        <w:t xml:space="preserve"> (i.e. the secondary signal)</w:t>
      </w:r>
      <w:r>
        <w:t xml:space="preserve"> and antigen presentation, will result in T cell proliferation </w:t>
      </w:r>
      <w:r w:rsidRPr="008B3AD6">
        <w:t>(</w:t>
      </w:r>
      <w:r w:rsidRPr="008B3AD6">
        <w:rPr>
          <w:b/>
        </w:rPr>
        <w:t>TC5, TC14</w:t>
      </w:r>
      <w:r w:rsidRPr="008B3AD6">
        <w:t>)</w:t>
      </w:r>
      <w:r>
        <w:t>. T cell proliferation has been described to have an</w:t>
      </w:r>
      <w:r w:rsidR="0090549D">
        <w:t xml:space="preserve"> initial</w:t>
      </w:r>
      <w:r>
        <w:t xml:space="preserve"> antigen-dependent stage</w:t>
      </w:r>
      <w:r w:rsidR="003B34F0">
        <w:t>, which activates T cells,</w:t>
      </w:r>
      <w:r>
        <w:t xml:space="preserve"> followed by an antigen independent stage </w:t>
      </w:r>
      <w:r w:rsidR="000A66CE">
        <w:fldChar w:fldCharType="begin"/>
      </w:r>
      <w:r w:rsidR="001E0E9E">
        <w:instrText xml:space="preserve"> ADDIN ZOTERO_ITEM CSL_CITATION {"citationID":"vPSOYmJK","properties":{"formattedCitation":"(Jelley-Gibbs et al. 2000)","plainCitation":"(Jelley-Gibbs et al. 2000)","noteIndex":0},"citationItems":[{"id":2569,"uris":["http://zotero.org/users/2628971/items/CBY5YQJV"],"uri":["http://zotero.org/users/2628971/items/CBY5YQJV"],"itemData":{"id":2569,"type":"article-journal","title":"Two distinct stages in the transition from naive CD4 T cells to effectors, early antigen-dependent and late cytokine-driven expansion and differentiation","container-title":"Journal of Immunology (Baltimore, Md.: 1950)","page":"5017-5026","volume":"165","issue":"9","source":"PubMed","abstract":"Efficient peptide presentation by professional APC to naive and effector CD4 T cells in vitro is limited to the first 1-2 days of culture, but is nonetheless optimum for effector expansion and cytokine production. In fact, prolonging Ag presentation leads to high levels of T cell death, decreased effector expansion, and decreased cytokine production by recovered effectors. Despite the absence of Ag presentation beyond day 2, T cell division continues at a constant rate throughout the 4-day culture. The Ag-independent later stage depends on the presence of IL-2, and we conclude optimum effector generation depends on an initial 2 days of TCR stimulation followed by an additional 2 days of Ag-independent, cytokine driven T cell expansion and differentiation.","ISSN":"0022-1767","note":"PMID: 11046030","journalAbbreviation":"J. Immunol.","language":"eng","author":[{"family":"Jelley-Gibbs","given":"D. M."},{"family":"Lepak","given":"N. M."},{"family":"Yen","given":"M."},{"family":"Swain","given":"S. L."}],"issued":{"date-parts":[["2000",11,1]]}}}],"schema":"https://github.com/citation-style-language/schema/raw/master/csl-citation.json"} </w:instrText>
      </w:r>
      <w:r w:rsidR="000A66CE">
        <w:fldChar w:fldCharType="separate"/>
      </w:r>
      <w:r w:rsidR="001E0E9E" w:rsidRPr="001E0E9E">
        <w:rPr>
          <w:lang w:val="en-US"/>
        </w:rPr>
        <w:t>(Jelley-Gibbs et al. 2000)</w:t>
      </w:r>
      <w:r w:rsidR="000A66CE">
        <w:fldChar w:fldCharType="end"/>
      </w:r>
      <w:r w:rsidR="0090549D">
        <w:t xml:space="preserve">, whereby IL-2 is </w:t>
      </w:r>
      <w:r>
        <w:t xml:space="preserve">a key driver of activated T cell proliferation </w:t>
      </w:r>
      <w:r w:rsidR="000A66CE">
        <w:fldChar w:fldCharType="begin"/>
      </w:r>
      <w:r w:rsidR="001E0E9E">
        <w:instrText xml:space="preserve"> ADDIN ZOTERO_ITEM CSL_CITATION {"citationID":"VHDv39m4","properties":{"formattedCitation":"(Crawley et al. 1997)","plainCitation":"(Crawley et al. 1997)","noteIndex":0},"citationItems":[{"id":3796,"uris":["http://zotero.org/users/2628971/items/J5RWRRIU"],"uri":["http://zotero.org/users/2628971/items/J5RWRRIU"],"itemData":{"id":3796,"type":"article-journal","title":"T Cell Proliferation in Response to Interleukins 2 and 7 Requires p38MAP Kinase Activation","container-title":"Journal of Biological Chemistry","page":"15023-15027","volume":"272","issue":"23","source":"www.jbc.org","abstract":"Interleukin-2 (IL-2) is a potent T cell mitogen. However, the signaling pathways by which IL-2 mediates its mitogenic effect are not fully understood. One of the members of the mitogen-activated protein kinase (MAPK) family, p42/44MAPK (ERK2/1), is known to be activated by IL-2. We have now investigated the response to IL-2 of two other members of the MAP kinase family, p54MAP kinase (stress-activated protein kinase (SAPK)/Jun-N-terminal kinase (JNK)) and p38MAP kinase (p38/Mpk2/CSBP/RK), which respond primarily to stressful and inflammatory stimuli (e.g. tumor necrosis factor-α, IL-1, and lipopolysaccharide). Here we show that IL-2, and another T cell growth factor, IL-7, activate both SAPK/JNK and p38MAP kinase. Furthermore, inhibition of p38MAP kinase activity with a specific pyrinidyl imidazole inhibitor SB203580 that prevents activation of its downstream effector, MAPK-activating protein kinase-2, correlated with suppression of IL-2- and IL-7-driven T cell proliferation. These data indicate that in T cells p38MAP kinase has a role in transducing the mitogenic signal.","DOI":"10.1074/jbc.272.23.15023","ISSN":"0021-9258, 1083-351X","note":"PMID: 9169478","journalAbbreviation":"J. Biol. Chem.","language":"en","author":[{"family":"Crawley","given":"James B."},{"family":"Rawlinson","given":"Lesley"},{"family":"Lali","given":"Ferdinand V."},{"family":"Page","given":"Theresa H."},{"family":"Saklatvala","given":"Jeremy"},{"family":"Foxwell","given":"Brian M. J."}],"issued":{"date-parts":[["1997",6,6]]}}}],"schema":"https://github.com/citation-style-language/schema/raw/master/csl-citation.json"} </w:instrText>
      </w:r>
      <w:r w:rsidR="000A66CE">
        <w:fldChar w:fldCharType="separate"/>
      </w:r>
      <w:r w:rsidR="001E0E9E" w:rsidRPr="001E0E9E">
        <w:rPr>
          <w:lang w:val="en-US"/>
        </w:rPr>
        <w:t>(Crawley et al. 1997)</w:t>
      </w:r>
      <w:r w:rsidR="000A66CE">
        <w:fldChar w:fldCharType="end"/>
      </w:r>
      <w:r>
        <w:t xml:space="preserve">, and factors such as IL-4 or </w:t>
      </w:r>
      <w:r w:rsidRPr="008B3AD6">
        <w:t>IFN</w:t>
      </w:r>
      <w:r w:rsidRPr="008B3AD6">
        <w:sym w:font="Symbol" w:char="F067"/>
      </w:r>
      <w:r>
        <w:t xml:space="preserve"> drive the differentiation of </w:t>
      </w:r>
      <w:r w:rsidR="003B34F0">
        <w:t>activated T</w:t>
      </w:r>
      <w:r>
        <w:t xml:space="preserve"> cells into different subsets. </w:t>
      </w:r>
      <w:r w:rsidR="00AE16A0">
        <w:t>The domain model captures this antigen dependency and cytokine driven expans</w:t>
      </w:r>
      <w:r w:rsidR="000A66CE">
        <w:t xml:space="preserve">ion as two separate activities with </w:t>
      </w:r>
      <w:r w:rsidR="00AE16A0">
        <w:t xml:space="preserve">differentiation captured as </w:t>
      </w:r>
      <w:r w:rsidR="00AE16A0" w:rsidRPr="00AE16A0">
        <w:t>state changes (</w:t>
      </w:r>
      <w:r w:rsidR="00AE16A0" w:rsidRPr="00AE16A0">
        <w:fldChar w:fldCharType="begin"/>
      </w:r>
      <w:r w:rsidR="00AE16A0" w:rsidRPr="00AE16A0">
        <w:instrText xml:space="preserve"> REF _Ref518570392 </w:instrText>
      </w:r>
      <w:r w:rsidR="00AE16A0">
        <w:instrText xml:space="preserve"> \* MERGEFORMAT </w:instrText>
      </w:r>
      <w:r w:rsidR="00AE16A0" w:rsidRPr="00AE16A0">
        <w:fldChar w:fldCharType="separate"/>
      </w:r>
      <w:r w:rsidR="00E5551E" w:rsidRPr="00E5551E">
        <w:rPr>
          <w:b/>
        </w:rPr>
        <w:t xml:space="preserve">Figure </w:t>
      </w:r>
      <w:r w:rsidR="00E5551E" w:rsidRPr="00E5551E">
        <w:rPr>
          <w:b/>
          <w:noProof/>
        </w:rPr>
        <w:t>4.8</w:t>
      </w:r>
      <w:r w:rsidR="00AE16A0" w:rsidRPr="00AE16A0">
        <w:fldChar w:fldCharType="end"/>
      </w:r>
      <w:r w:rsidR="00AE16A0" w:rsidRPr="00AE16A0">
        <w:t>)</w:t>
      </w:r>
      <w:r w:rsidR="00007C4A">
        <w:t>.</w:t>
      </w:r>
    </w:p>
    <w:p w14:paraId="03FB213D" w14:textId="77777777" w:rsidR="00F40B16" w:rsidRDefault="00F40B16" w:rsidP="009154C0">
      <w:pPr>
        <w:spacing w:line="360" w:lineRule="auto"/>
        <w:jc w:val="both"/>
      </w:pPr>
    </w:p>
    <w:p w14:paraId="4B7FB720" w14:textId="7D54D6D6" w:rsidR="00432561" w:rsidRPr="008B3AD6" w:rsidRDefault="00007C4A" w:rsidP="009154C0">
      <w:pPr>
        <w:spacing w:line="360" w:lineRule="auto"/>
        <w:jc w:val="both"/>
      </w:pPr>
      <w:r>
        <w:t xml:space="preserve">For T cell differentiation, </w:t>
      </w:r>
      <w:r w:rsidR="00432561" w:rsidRPr="008B3AD6">
        <w:t>where the secondary signal is a pro-inflammatory cytokine (PIC), here a simplification of entities such as TNF, lymphotoxin (LT), IFN</w:t>
      </w:r>
      <w:r w:rsidR="00432561" w:rsidRPr="008B3AD6">
        <w:sym w:font="Symbol" w:char="F067"/>
      </w:r>
      <w:r w:rsidR="00432561" w:rsidRPr="008B3AD6">
        <w:t xml:space="preserve"> and IL-12, will result in T cell proliferation (</w:t>
      </w:r>
      <w:r w:rsidR="00432561" w:rsidRPr="008B3AD6">
        <w:rPr>
          <w:b/>
        </w:rPr>
        <w:t>TC5, TC14</w:t>
      </w:r>
      <w:r w:rsidR="00432561" w:rsidRPr="008B3AD6">
        <w:t xml:space="preserve">) </w:t>
      </w:r>
      <w:r w:rsidR="00432561" w:rsidRPr="008B3AD6">
        <w:fldChar w:fldCharType="begin"/>
      </w:r>
      <w:r w:rsidR="00812605" w:rsidRPr="008B3AD6">
        <w:instrText xml:space="preserve"> ADDIN ZOTERO_ITEM CSL_CITATION {"citationID":"0mhYNvK9","properties":{"formattedCitation":"(Jelley-Gibbs et al. 2000; Albergante et al. 2013)","plainCitation":"(Jelley-Gibbs et al. 2000; Albergante et al. 2013)","noteIndex":0},"citationItems":[{"id":2569,"uris":["http://zotero.org/users/2628971/items/CBY5YQJV"],"uri":["http://zotero.org/users/2628971/items/CBY5YQJV"],"itemData":{"id":2569,"type":"article-journal","title":"Two distinct stages in the transition from naive CD4 T cells to effectors, early antigen-dependent and late cytokine-driven expansion and differentiation","container-title":"Journal of Immunology (Baltimore, Md.: 1950)","page":"5017-5026","volume":"165","issue":"9","source":"PubMed","abstract":"Efficient peptide presentation by professional APC to naive and effector CD4 T cells in vitro is limited to the first 1-2 days of culture, but is nonetheless optimum for effector expansion and cytokine production. In fact, prolonging Ag presentation leads to high levels of T cell death, decreased effector expansion, and decreased cytokine production by recovered effectors. Despite the absence of Ag presentation beyond day 2, T cell division continues at a constant rate throughout the 4-day culture. The Ag-independent later stage depends on the presence of IL-2, and we conclude optimum effector generation depends on an initial 2 days of TCR stimulation followed by an additional 2 days of Ag-independent, cytokine driven T cell expansion and differentiation.","ISSN":"0022-1767","note":"PMID: 11046030","journalAbbreviation":"J. Immunol.","language":"eng","author":[{"family":"Jelley-Gibbs","given":"D. M."},{"family":"Lepak","given":"N. M."},{"family":"Yen","given":"M."},{"family":"Swain","given":"S. L."}],"issued":{"date-parts":[["2000",11,1]]}}},{"id":2607,"uris":["http://zotero.org/users/2628971/items/V9Q4NYEZ"],"uri":["http://zotero.org/users/2628971/items/V9Q4NYEZ"],"itemData":{"id":2607,"type":"article-journal","title":"A Petri net model of granulomatous inflammation: implications for IL-10 mediated control of Leishmania donovani infection","container-title":"PLoS computational biology","page":"e1003334","volume":"9","issue":"11","source":"PubMed","abstract":"Experimental visceral leishmaniasis, caused by infection of mice with the protozoan parasite Leishmania donovani, is characterized by focal accumulation of inflammatory cells in the liver, forming discrete \"granulomas\" within which the parasite is eventually eliminated. To shed new light on fundamental aspects of granuloma formation and function, we have developed an in silico Petri net model that simulates hepatic granuloma development throughout the course of infection. The model was extensively validated by comparison with data derived from experimental studies in mice, and the model robustness was assessed by a sensitivity analysis. The model recapitulated the progression of disease as seen during experimental infection and also faithfully predicted many of the changes in cellular composition seen within granulomas over time. By conducting in silico experiments, we have identified a previously unappreciated level of inter-granuloma diversity in terms of the development of anti-leishmanial activity. Furthermore, by simulating the impact of IL-10 gene deficiency in a variety of lymphocyte and myeloid cell populations, our data suggest a dominant local regulatory role for IL-10 produced by infected Kupffer cells at the core of the granuloma.","DOI":"10.1371/journal.pcbi.1003334","ISSN":"1553-7358","note":"PMID: 24363630\nPMCID: PMC3867212","shortTitle":"A Petri net model of granulomatous inflammation","journalAbbreviation":"PLoS Comput. Biol.","language":"eng","author":[{"family":"Albergante","given":"Luca"},{"family":"Timmis","given":"Jon"},{"family":"Beattie","given":"Lynette"},{"family":"Kaye","given":"Paul M."}],"issued":{"date-parts":[["2013"]]}}}],"schema":"https://github.com/citation-style-language/schema/raw/master/csl-citation.json"} </w:instrText>
      </w:r>
      <w:r w:rsidR="00432561" w:rsidRPr="008B3AD6">
        <w:fldChar w:fldCharType="separate"/>
      </w:r>
      <w:r w:rsidR="00432561" w:rsidRPr="008B3AD6">
        <w:t>(Jelley-Gibbs et al. 2000; Albergante et al. 2013)</w:t>
      </w:r>
      <w:r w:rsidR="00432561" w:rsidRPr="008B3AD6">
        <w:fldChar w:fldCharType="end"/>
      </w:r>
      <w:r w:rsidR="00432561" w:rsidRPr="008B3AD6">
        <w:t>.</w:t>
      </w:r>
      <w:r w:rsidR="00F40B16">
        <w:t xml:space="preserve"> </w:t>
      </w:r>
      <w:r w:rsidR="00432561" w:rsidRPr="008B3AD6">
        <w:t>In the liver, a myeloid cell presenting antigen (</w:t>
      </w:r>
      <w:r w:rsidR="00432561" w:rsidRPr="008B3AD6">
        <w:rPr>
          <w:b/>
        </w:rPr>
        <w:t>MC12</w:t>
      </w:r>
      <w:r w:rsidR="00432561" w:rsidRPr="008B3AD6">
        <w:t>) accompanied by PIC (</w:t>
      </w:r>
      <w:r w:rsidR="00432561" w:rsidRPr="008B3AD6">
        <w:rPr>
          <w:b/>
        </w:rPr>
        <w:t>TC4</w:t>
      </w:r>
      <w:r w:rsidR="00432561" w:rsidRPr="008B3AD6">
        <w:t>) will induce the T cell to produce PIC and recruitment factors (RF) (</w:t>
      </w:r>
      <w:r w:rsidR="00432561" w:rsidRPr="008B3AD6">
        <w:rPr>
          <w:b/>
        </w:rPr>
        <w:t>TC6</w:t>
      </w:r>
      <w:r w:rsidR="00432561" w:rsidRPr="008B3AD6">
        <w:t xml:space="preserve">) </w:t>
      </w:r>
      <w:r w:rsidR="00432561" w:rsidRPr="008B3AD6">
        <w:fldChar w:fldCharType="begin"/>
      </w:r>
      <w:r w:rsidR="00812605" w:rsidRPr="008B3AD6">
        <w:instrText xml:space="preserve"> ADDIN ZOTERO_ITEM CSL_CITATION {"citationID":"iX5IhGkU","properties":{"formattedCitation":"(Pennock et al. 2013; Albergante et al. 2013; Romagnani 1999, 2; Kumar and Nyl\\uc0\\u233{}n 2012; Moore et al. 2013b)","plainCitation":"(Pennock et al. 2013; Albergante et al. 2013; Romagnani 1999, 2; Kumar and Nylén 2012; Moore et al. 2013b)","noteIndex":0},"citationItems":[{"id":2610,"uris":["http://zotero.org/users/2628971/items/W3CK9F7H"],"uri":["http://zotero.org/users/2628971/items/W3CK9F7H"],"itemData":{"id":2610,"type":"article-journal","title":"T cell responses: naïve to memory and everything in between","container-title":"Advances in Physiology Education","page":"273-283","volume":"37","issue":"4","source":"PubMed Central","DOI":"10.1152/advan.00066.2013","ISSN":"1043-4046","note":"PMID: 24292902\nPMCID: PMC4089090","shortTitle":"T cell responses","journalAbbreviation":"Adv Physiol Educ","author":[{"family":"Pennock","given":"Nathan D."},{"family":"White","given":"Jason T."},{"family":"Cross","given":"Eric W."},{"family":"Cheney","given":"Elizabeth E."},{"family":"Tamburini","given":"Beth A."},{"family":"Kedl","given":"Ross M."}],"issued":{"date-parts":[["2013",12]]}}},{"id":2607,"uris":["http://zotero.org/users/2628971/items/V9Q4NYEZ"],"uri":["http://zotero.org/users/2628971/items/V9Q4NYEZ"],"itemData":{"id":2607,"type":"article-journal","title":"A Petri net model of granulomatous inflammation: implications for IL-10 mediated control of Leishmania donovani infection","container-title":"PLoS computational biology","page":"e1003334","volume":"9","issue":"11","source":"PubMed","abstract":"Experimental visceral leishmaniasis, caused by infection of mice with the protozoan parasite Leishmania donovani, is characterized by focal accumulation of inflammatory cells in the liver, forming discrete \"granulomas\" within which the parasite is eventually eliminated. To shed new light on fundamental aspects of granuloma formation and function, we have developed an in silico Petri net model that simulates hepatic granuloma development throughout the course of infection. The model was extensively validated by comparison with data derived from experimental studies in mice, and the model robustness was assessed by a sensitivity analysis. The model recapitulated the progression of disease as seen during experimental infection and also faithfully predicted many of the changes in cellular composition seen within granulomas over time. By conducting in silico experiments, we have identified a previously unappreciated level of inter-granuloma diversity in terms of the development of anti-leishmanial activity. Furthermore, by simulating the impact of IL-10 gene deficiency in a variety of lymphocyte and myeloid cell populations, our data suggest a dominant local regulatory role for IL-10 produced by infected Kupffer cells at the core of the granuloma.","DOI":"10.1371/journal.pcbi.1003334","ISSN":"1553-7358","note":"PMID: 24363630\nPMCID: PMC3867212","shortTitle":"A Petri net model of granulomatous inflammation","journalAbbreviation":"PLoS Comput. Biol.","language":"eng","author":[{"family":"Albergante","given":"Luca"},{"family":"Timmis","given":"Jon"},{"family":"Beattie","given":"Lynette"},{"family":"Kaye","given":"Paul M."}],"issued":{"date-parts":[["2013"]]}}},{"id":2594,"uris":["http://zotero.org/users/2628971/items/MNU2PQH3"],"uri":["http://zotero.org/users/2628971/items/MNU2PQH3"],"itemData":{"id":2594,"type":"article-journal","title":"Th1/Th2 cells","container-title":"Inflammatory Bowel Diseases","page":"285-294","volume":"5","issue":"4","source":"PubMed","abstract":"A large body of evidence indicates the existence of functionally polarized CD4+ T-cell responses based on their profile of cytokine secretion. Type 1 T helper (Th1) cells produce interferon-gamma, interleukin (IL)-2, and tumour necrosis factor (TNF)-beta, which activate macrophages and are responsible for cell-mediated immunity and phagocyte-dependent protective responses. By contrast, type 2 Th (Th2) cells produce IL-4, IL-5, IL-10, and IL-13, which are responsible for strong antibody production, eosinophil activation, and inhibition of several macrophage functions, thus providing phagocyte-independent protective responses. Th1 cells mainly develop following infections by intracellular bacteria and some viruses, whereas Th2 cells predominate in response to infestations by gastrointestinal nematodes. Polarized Th1 and Th2 cells not only exhibit different functional properties, but also show the preferential expression of some activation markers and distinct transcription factors. Several mechanisms may influence the Th cell differentiation, which include the cytokine profile of \"natural immunity\" evoked by different offending agents, the nature of the peptide ligand, as well as the activity of some costimulatory molecules and microenvironmentally secreted hormones, in the context of the individual genetic background. In addition to playing different roles in protection, polarized Th1-type and Th2-type responses are also responsible for different types of immunopathological reactions. Th1 cells are involved in the pathogenesis of organ-specific autoimmune disorders, Crohn's disease, Helicobacter pylori-induced peptic ulcer, acute kidney allograft rejection, and unexplained recurrent abortions. In contrast, allergen-specific Th2 responses are responsible for atopic disorders in genetically susceptible individuals. Moreover, Th2 responses against still unknown antigens predominate in Omenn's syndrome, idiopathic pulmonary fibrosis, and progressive systemic sclerosis. Finally, the prevalence of Th2 responses may play some role in a more rapid evolution of human immunodeficiency virus infection to the full-blown disease. The Th1/Th2 paradigm also provides the rationale for the development of new types of vaccines against infectious agents and of novel strategies for the therapy of allergic and autoimmune disorders.","ISSN":"1078-0998","note":"PMID: 10579123","journalAbbreviation":"Inflamm. Bowel Dis.","language":"eng","author":[{"family":"Romagnani","given":"S."}],"issued":{"date-parts":[["1999",11]]}},"locator":"2"},{"id":2577,"uris":["http://zotero.org/users/2628971/items/EY6QPKCJ"],"uri":["http://zotero.org/users/2628971/items/EY6QPKCJ"],"itemData":{"id":2577,"type":"article-journal","title":"Immunobiology of visceral leishmaniasis","container-title":"Frontiers in Immunology","page":"251","volume":"3","source":"PubMed","abstract":"Visceral leishmaniasis (VL), commonly known as kala-azar, is caused by Leishmania donovani and Leishmania infantum (Leishmania chagasi in the Americas). These Leishmania species infect macrophages throughout the viscera, and parasites are typically found in the spleen, liver, and bone marrow. Patients with active disease typically exhibit marked immunosuppression, lack reactivity to the Leishmania skin test (LST), a delayed type hypersensitivity test, and their peripheral blood mononuclear cells (PBMC) fail to respond when stimulated with leishmanial antigens in vitro. However, most people infected with visceralizing species of Leishmania never develop disease. Understanding immune failure and the underlying immune mechanism that lead to disease as well as control of infection are key questions for research in this field. In this review, we discuss immunological events described in human and experimental VL and how these can affect the outcome of infection.","DOI":"10.3389/fimmu.2012.00251","ISSN":"1664-3224","note":"PMID: 22912637\nPMCID: PMC3418610","journalAbbreviation":"Front Immunol","language":"eng","author":[{"family":"Kumar","given":"Rajiv"},{"family":"Nylén","given":"Susanne"}],"issued":{"date-parts":[["2012"]]}}},{"id":2555,"uris":["http://zotero.org/users/2628971/items/826MUVKX"],"uri":["http://zotero.org/users/2628971/items/826MUVKX"],"itemData":{"id":2555,"type":"article-journal","title":"Functional complexity of the Leishmania granuloma and the potential of in silico modeling","container-title":"Frontiers in Immunology","page":"35","volume":"4","source":"PubMed","abstract":"In human and canine visceral leishmaniasis and in various experimental models of this disease, host resistance is strongly linked to efficient granuloma development. However, it is unknown exactly how the granuloma microenvironment executes an effective antileishmanial response. Recent studies, including using advanced imaging techniques, have improved our understanding of granuloma biology at the cellular level, highlighting heterogeneity in granuloma development and function, and hinting at complex cellular, temporal, and spatial dynamics. In this mini-review, we discuss the factors involved in the formation and function of Leishmania donovani-induced hepatic granulomas, as well as their importance in protecting against inflammation-associated tissue damage and the generation of immunity to rechallenge. Finally, we discuss the role that computational, agent-based models may play in answering outstanding questions within the field.","DOI":"10.3389/fimmu.2013.00035","ISSN":"1664-3224","note":"PMID: 23423646\nPMCID: PMC3573688","journalAbbreviation":"Front Immunol","language":"eng","author":[{"family":"Moore","given":"John W. J."},{"family":"Moyo","given":"Daniel"},{"family":"Beattie","given":"Lynette"},{"family":"Andrews","given":"Paul S."},{"family":"Timmis","given":"Jon"},{"family":"Kaye","given":"Paul M."}],"issued":{"date-parts":[["2013"]]}}}],"schema":"https://github.com/citation-style-language/schema/raw/master/csl-citation.json"} </w:instrText>
      </w:r>
      <w:r w:rsidR="00432561" w:rsidRPr="008B3AD6">
        <w:fldChar w:fldCharType="separate"/>
      </w:r>
      <w:r w:rsidR="00812605" w:rsidRPr="008B3AD6">
        <w:rPr>
          <w:lang w:val="en-US"/>
        </w:rPr>
        <w:t>(Pennock et al. 2013; Albergante et al. 2</w:t>
      </w:r>
      <w:r w:rsidR="00E5551E">
        <w:rPr>
          <w:lang w:val="en-US"/>
        </w:rPr>
        <w:t>013; Romagnani 1999</w:t>
      </w:r>
      <w:r w:rsidR="00812605" w:rsidRPr="008B3AD6">
        <w:rPr>
          <w:lang w:val="en-US"/>
        </w:rPr>
        <w:t>; Kumar and Nylén 2012; Moore et al. 2013)</w:t>
      </w:r>
      <w:r w:rsidR="00432561" w:rsidRPr="008B3AD6">
        <w:fldChar w:fldCharType="end"/>
      </w:r>
      <w:r w:rsidR="00432561" w:rsidRPr="008B3AD6">
        <w:t>, representing in the liver that non-</w:t>
      </w:r>
      <w:r w:rsidR="001060A4">
        <w:t>KC</w:t>
      </w:r>
      <w:r w:rsidR="00432561" w:rsidRPr="008B3AD6">
        <w:t xml:space="preserve"> myeloid cells are likely to be antigen presenting DCs </w:t>
      </w:r>
      <w:r w:rsidR="00432561" w:rsidRPr="008B3AD6">
        <w:fldChar w:fldCharType="begin"/>
      </w:r>
      <w:r w:rsidR="00812605" w:rsidRPr="008B3AD6">
        <w:instrText xml:space="preserve"> ADDIN ZOTERO_ITEM CSL_CITATION {"citationID":"18mI6E9F","properties":{"formattedCitation":"(Donaghy et al. 2010)","plainCitation":"(Donaghy et al. 2010)","noteIndex":0},"citationItems":[{"id":2565,"uris":["http://zotero.org/users/2628971/items/AYPZ8FHY"],"uri":["http://zotero.org/users/2628971/items/AYPZ8FHY"],"itemData":{"id":2565,"type":"article-journal","title":"Immunostimulatory Properties of Dendritic Cells after Leishmania donovani Infection Using an In Vitro Model of Liver Microenvironment","container-title":"PLOS Neglected Tropical Diseases","page":"e703","volume":"4","issue":"6","source":"PLoS Journals","abstract":"Background Recent advances demonstrated that liver dendritic cells (DCs) promote immunologic hyporesponsiveness that may contribute to hepatic tolerance. Although there has been significant work on the phenotypic and functional roles of such DCs, the impact of liver microenvironment on the immune properties of infected DC is still poorly explored, probably because of the limitations of modelization. Methodology/Principal Findings Here, we hypothesized that DC tolerogenic properties have an impact on the antimicrobial response, particularly during the infection by the protozoan parasite Leishmania donovani. Indeed, a lymphocytic Th2 environment was reported to favour the growth and proliferation of L. donovani. We first modelized an adequate monocyte-differentiated DC model, either in rat liver epithelial cell- or in a human hepatic non-parenchymal cell-conditioned medium in order to infect them further. We established that DCs differentiated in a hepatic microenvironment displayed a CD14+/CD16+/CD123+ phenotype, secreted low IL-12p70 and had an impaired capacity to stimulate allogeneic T lymphocyte proliferation and IFNγ secretion. We then infected DCs with L. donovani in the in vitro-defined hepatic microenvironment. The infection of hepatic DCs restored their capacity to stimulate allogeneic T-cell proliferation and to induce lymphocytic secretion of IFNγ. Such characteristics were recently shown to favour granuloma formation in mice liver. Conclusions/Significance Our results suggest that the specific immunostimulatory properties of infected hepatic DCs might amplify the granuloma maturation, which warrants the effective control of infection in the liver during visceral leishmaniasis.","DOI":"10.1371/journal.pntd.0000703","ISSN":"1935-2735","journalAbbreviation":"PLOS Neglected Tropical Diseases","language":"en","author":[{"family":"Donaghy","given":"Ludovic"},{"family":"Cabillic","given":"Florian"},{"family":"Corlu","given":"Anne"},{"family":"Rostan","given":"Octavie"},{"family":"Toutirais","given":"Olivier"},{"family":"Guguen-Guillouzo","given":"Christiane"},{"family":"Guiguen","given":"Claude"},{"family":"Gangneux","given":"Jean-Pierre"}],"issued":{"date-parts":[["2010",6,8]]}}}],"schema":"https://github.com/citation-style-language/schema/raw/master/csl-citation.json"} </w:instrText>
      </w:r>
      <w:r w:rsidR="00432561" w:rsidRPr="008B3AD6">
        <w:fldChar w:fldCharType="separate"/>
      </w:r>
      <w:r w:rsidR="00432561" w:rsidRPr="008B3AD6">
        <w:t>(Donaghy et al. 2010)</w:t>
      </w:r>
      <w:r w:rsidR="00432561" w:rsidRPr="008B3AD6">
        <w:fldChar w:fldCharType="end"/>
      </w:r>
      <w:r w:rsidR="00432561" w:rsidRPr="008B3AD6">
        <w:t xml:space="preserve"> and monocytes </w:t>
      </w:r>
      <w:r w:rsidR="00432561" w:rsidRPr="008B3AD6">
        <w:fldChar w:fldCharType="begin"/>
      </w:r>
      <w:r w:rsidR="001E0E9E">
        <w:instrText xml:space="preserve"> ADDIN ZOTERO_ITEM CSL_CITATION {"citationID":"AyQPscwL","properties":{"formattedCitation":"(Terrazas et al. 2017b)","plainCitation":"(Terrazas et al. 2017b)","noteIndex":0},"citationItems":[{"id":"fLSdjPTJ/hcCA5zDi","uris":["http://zotero.org/users/2628971/items/8HDUJPLF"],"uri":["http://zotero.org/users/2628971/items/8HDUJPLF"],"itemData":{"id":2569,"type":"article-journal","title":"Ly6C hi inflammatory monocytes promote susceptibility to Leishmania donovani infection","container-title":"Scientific Reports","page":"14693","volume":"7","issue":"1","source":"www.nature.com","abstract":"Ly6Chi inflammatory monocytes (iMO) are critical for host defense against toxoplasmosis and malaria but their role in leishmaniasis is unclear. In this study, we report a detrimental role of Ly6Chi iMOs in visceral leishmaniasis (VL) caused by Leishmania donovani. We demonstrate that Ly6Chi iMOs are continuously recruited into the spleen and liver during L. donovani infection and they are preferential targets for the parasite. Using microarray-based gene expression profiling, we show that Ly6Chi iMOs isolated from the infected liver and spleen have distinct phenotypic and activation profiles. Furthermore, we demonstrate that blocking the recruitment of Ly6Chi iMOs into the liver and spleen during L. donovani infection using a CCR2 antagonist reduces the frequency of the pathogenic IFN-γ/IL10 dual producer CD4+ T cells in the spleen and leads to a significant reduction in parasite loads in the liver and spleen. Using STAT1−/− mice we show that STAT1 is critical for mediating the recruitment of Ly6Chi iMOs into organs during L. donovani infection, and adaptive transfer of wild type Ly6Chi iMOs into STAT1−/− recipients renders them susceptible to disease. Our findings reveal an unexpected pathogenic role for Ly6Chi iMOs in promoting parasite survival in VL and open the possibility of targeting this population for host-directed therapy during VL.","DOI":"10.1038/s41598-017-14935-3","ISSN":"2045-2322","language":"en","author":[{"family":"Terrazas","given":"Cesar"},{"family":"Varikuti","given":"Sanjay"},{"family":"Oghumu","given":"Steve"},{"family":"Steinkamp","given":"Heidi M."},{"family":"Ardic","given":"Nurittin"},{"family":"Kimble","given":"Jennifer"},{"family":"Nakhasi","given":"Hira"},{"family":"Satoskar","given":"Abhay R."}],"issued":{"date-parts":[["2017",10,31]]}}}],"schema":"https://github.com/citation-style-language/schema/raw/master/csl-citation.json"} </w:instrText>
      </w:r>
      <w:r w:rsidR="00432561" w:rsidRPr="008B3AD6">
        <w:fldChar w:fldCharType="separate"/>
      </w:r>
      <w:r w:rsidR="00812605" w:rsidRPr="008B3AD6">
        <w:t>(Terrazas et al. 2017)</w:t>
      </w:r>
      <w:r w:rsidR="00432561" w:rsidRPr="008B3AD6">
        <w:fldChar w:fldCharType="end"/>
      </w:r>
      <w:r w:rsidR="00432561" w:rsidRPr="008B3AD6">
        <w:t xml:space="preserve"> activating Th</w:t>
      </w:r>
      <w:r w:rsidR="00432561" w:rsidRPr="001060A4">
        <w:rPr>
          <w:vertAlign w:val="subscript"/>
        </w:rPr>
        <w:t>1</w:t>
      </w:r>
      <w:r w:rsidR="00432561" w:rsidRPr="008B3AD6">
        <w:t xml:space="preserve"> CD4</w:t>
      </w:r>
      <w:r w:rsidR="00432561" w:rsidRPr="001060A4">
        <w:rPr>
          <w:vertAlign w:val="superscript"/>
        </w:rPr>
        <w:t>+</w:t>
      </w:r>
      <w:r w:rsidR="00432561" w:rsidRPr="008B3AD6">
        <w:t xml:space="preserve"> T cells via MHC-II.  If the </w:t>
      </w:r>
      <w:r w:rsidR="00432561" w:rsidRPr="008B3AD6">
        <w:lastRenderedPageBreak/>
        <w:t xml:space="preserve">presenting cell is a </w:t>
      </w:r>
      <w:r w:rsidR="001060A4">
        <w:t>KC</w:t>
      </w:r>
      <w:r w:rsidR="00432561" w:rsidRPr="008B3AD6">
        <w:t xml:space="preserve"> it will be lysed by the T cell (</w:t>
      </w:r>
      <w:r w:rsidR="00432561" w:rsidRPr="008B3AD6">
        <w:rPr>
          <w:b/>
        </w:rPr>
        <w:t>TC7</w:t>
      </w:r>
      <w:r w:rsidR="00432561" w:rsidRPr="008B3AD6">
        <w:t>), representing MHC-I activation of CD8</w:t>
      </w:r>
      <w:r w:rsidR="00432561" w:rsidRPr="001060A4">
        <w:rPr>
          <w:vertAlign w:val="superscript"/>
        </w:rPr>
        <w:t>+</w:t>
      </w:r>
      <w:r w:rsidR="00432561" w:rsidRPr="008B3AD6">
        <w:t xml:space="preserve"> T cells </w:t>
      </w:r>
      <w:r w:rsidR="00432561" w:rsidRPr="008B3AD6">
        <w:fldChar w:fldCharType="begin"/>
      </w:r>
      <w:r w:rsidR="007A6EED">
        <w:instrText xml:space="preserve"> ADDIN ZOTERO_ITEM CSL_CITATION {"citationID":"M69BQpgw","properties":{"formattedCitation":"(Beattie, Peltan, et al. 2010a)","plainCitation":"(Beattie, Peltan, et al. 2010a)","noteIndex":0},"citationItems":[{"id":2505,"uris":["http://zotero.org/users/2628971/items/6C2KJJIV"],"uri":["http://zotero.org/users/2628971/items/6C2KJJIV"],"itemData":{"id":2505,"type":"article-journal","title":"Dynamic Imaging of Experimental Leishmania donovani-Induced Hepatic Granulomas Detects Kupffer Cell-Restricted Antigen Presentation to Antigen-Specific CD8+ T Cells","container-title":"PLOS Pathogens","page":"e1000805","volume":"6","issue":"3","source":"PLoS Journals","abstract":"Kupffer cells (KCs) represent the major phagocytic population within the liver and provide an intracellular niche for the survival of a number of important human pathogens. Although KCs have been extensively studied in vitro, little is known of their in vivo response to infection and their capacity to directly interact with antigen-specific CD8+ T cells. Here, using a combination of approaches including whole mount and thin section confocal microscopy, adoptive cell transfer and intra-vital 2-photon microscopy, we demonstrate that KCs represent the only detectable population of mononuclear phagocytes within granulomas induced by Leishmania donovani infection that are capable of presenting parasite-derived peptide to effector CD8+ T cells. This restriction of antigen presentation to KCs within the Leishmania granuloma has important implications for the identification of new candidate vaccine antigens and for the design of novel immuno-therapeutic interventions.","DOI":"10.1371/journal.ppat.1000805","ISSN":"1553-7374","journalAbbreviation":"PLOS Pathogens","language":"en","author":[{"family":"Beattie","given":"Lynette"},{"family":"Peltan","given":"Adam"},{"family":"Maroof","given":"Asher"},{"family":"Kirby","given":"Alun"},{"family":"Brown","given":"Najmeeyah"},{"family":"Coles","given":"Mark"},{"family":"Smith","given":"Deborah F."},{"family":"Kaye","given":"Paul M."}],"issued":{"date-parts":[["2010",3,12]]}}}],"schema":"https://github.com/citation-style-language/schema/raw/master/csl-citation.json"} </w:instrText>
      </w:r>
      <w:r w:rsidR="00432561" w:rsidRPr="008B3AD6">
        <w:fldChar w:fldCharType="separate"/>
      </w:r>
      <w:r w:rsidR="00E5551E">
        <w:t>(Beattie</w:t>
      </w:r>
      <w:r w:rsidR="007A6EED">
        <w:t xml:space="preserve"> et al. 2010)</w:t>
      </w:r>
      <w:r w:rsidR="00432561" w:rsidRPr="008B3AD6">
        <w:fldChar w:fldCharType="end"/>
      </w:r>
      <w:r w:rsidR="00432561" w:rsidRPr="008B3AD6">
        <w:t>.</w:t>
      </w:r>
    </w:p>
    <w:p w14:paraId="438FE151" w14:textId="278BA517" w:rsidR="00985675" w:rsidRPr="008B3AD6" w:rsidRDefault="00985675" w:rsidP="009154C0">
      <w:pPr>
        <w:spacing w:line="360" w:lineRule="auto"/>
        <w:jc w:val="both"/>
      </w:pPr>
    </w:p>
    <w:p w14:paraId="45369226" w14:textId="3FA46D28" w:rsidR="00722E3F" w:rsidRDefault="00985675" w:rsidP="009154C0">
      <w:pPr>
        <w:spacing w:line="360" w:lineRule="auto"/>
        <w:jc w:val="both"/>
        <w:sectPr w:rsidR="00722E3F" w:rsidSect="00E44977">
          <w:pgSz w:w="11900" w:h="16840"/>
          <w:pgMar w:top="1134" w:right="851" w:bottom="1134" w:left="2268" w:header="709" w:footer="709" w:gutter="0"/>
          <w:cols w:space="708"/>
          <w:docGrid w:linePitch="360"/>
        </w:sectPr>
      </w:pPr>
      <w:r w:rsidRPr="008B3AD6">
        <w:t xml:space="preserve">Myeloid cell antigen-presentation and detection of modulatory signals, here referring to </w:t>
      </w:r>
      <w:r w:rsidR="001060A4">
        <w:t>IL-4</w:t>
      </w:r>
      <w:r w:rsidRPr="008B3AD6">
        <w:t>, will result in T cells producing anti-inflammatory cytokines (AIC), such as IL-10 and modulatory signals (</w:t>
      </w:r>
      <w:r w:rsidRPr="008B3AD6">
        <w:rPr>
          <w:b/>
        </w:rPr>
        <w:t>TC3, TC13</w:t>
      </w:r>
      <w:r w:rsidRPr="008B3AD6">
        <w:t xml:space="preserve">) </w:t>
      </w:r>
      <w:r w:rsidRPr="008B3AD6">
        <w:fldChar w:fldCharType="begin"/>
      </w:r>
      <w:r w:rsidR="00812605" w:rsidRPr="008B3AD6">
        <w:instrText xml:space="preserve"> ADDIN ZOTERO_ITEM CSL_CITATION {"citationID":"aa0j44eT","properties":{"formattedCitation":"(Moore et al. 2013b; Le Gros et al. 1990; Yi, Cox, and Zajac 2010; Bushell and Wood 1999)","plainCitation":"(Moore et al. 2013b; Le Gros et al. 1990; Yi, Cox, and Zajac 2010; Bushell and Wood 1999)","noteIndex":0},"citationItems":[{"id":2555,"uris":["http://zotero.org/users/2628971/items/826MUVKX"],"uri":["http://zotero.org/users/2628971/items/826MUVKX"],"itemData":{"id":2555,"type":"article-journal","title":"Functional complexity of the Leishmania granuloma and the potential of in silico modeling","container-title":"Frontiers in Immunology","page":"35","volume":"4","source":"PubMed","abstract":"In human and canine visceral leishmaniasis and in various experimental models of this disease, host resistance is strongly linked to efficient granuloma development. However, it is unknown exactly how the granuloma microenvironment executes an effective antileishmanial response. Recent studies, including using advanced imaging techniques, have improved our understanding of granuloma biology at the cellular level, highlighting heterogeneity in granuloma development and function, and hinting at complex cellular, temporal, and spatial dynamics. In this mini-review, we discuss the factors involved in the formation and function of Leishmania donovani-induced hepatic granulomas, as well as their importance in protecting against inflammation-associated tissue damage and the generation of immunity to rechallenge. Finally, we discuss the role that computational, agent-based models may play in answering outstanding questions within the field.","DOI":"10.3389/fimmu.2013.00035","ISSN":"1664-3224","note":"PMID: 23423646\nPMCID: PMC3573688","journalAbbreviation":"Front Immunol","language":"eng","author":[{"family":"Moore","given":"John W. J."},{"family":"Moyo","given":"Daniel"},{"family":"Beattie","given":"Lynette"},{"family":"Andrews","given":"Paul S."},{"family":"Timmis","given":"Jon"},{"family":"Kaye","given":"Paul M."}],"issued":{"date-parts":[["2013"]]}}},{"id":2601,"uris":["http://zotero.org/users/2628971/items/SSHGMHAL"],"uri":["http://zotero.org/users/2628971/items/SSHGMHAL"],"itemData":{"id":2601,"type":"article-journal","title":"Generation of interleukin 4 (IL-4)-producing cells in vivo and in vitro: IL-2 and IL-4 are required for in vitro generation of IL-4-producing cells","container-title":"The Journal of Experimental Medicine","page":"921-929","volume":"172","issue":"3","source":"PubMed","abstract":"T cell populations derived from naive mice produce very small amounts of interleukin 4 (IL-4) in response to stimulation on anti-CD3-coated dishes. IL-4 production by such cells is mainly found among large- and intermediate-sized T cells and is dependent upon IL-2. Injection of anti-IgD into mice, a stimulus that leads to striking increases in serum levels of IgG1 and IgE, causes a striking increase in the IL-4-producing capacity of T cells. This increase is first observed 4 d after injection of anti-IgD. IL-4 production by T cells from anti-IgD-injected donors is mainly found among large- and intermediate-sized T cells. Small, dense T cells are poor producers of IL-4. The capacity of T cells from anti-IgD-injected donors to produce IL-4 is enhanced by addition of IL-2 and is largely, but not completely, inhibited by neutralization of in situ produced IL-2. These results indicate that the control of IL-4 production in T cells from naive and anti-IgD-injected donors is similar. However, it is possible that a portion of the IL-4-producing activity of T cells from activated donors is IL-2 independent. Although small T cells from naive donors have a very limited capacity to produce IL-4 in response to stimulation with anti-CD3, even in the presence of added IL-2, they can give rise to IL-4-producing cells upon in vitro culture on plates coated with anti-CD3 if both IL-2 and IL-4 are added. This leads to the appearance of IL-4-producing cells within 2 d. When analyzed after 5 d of culture by harvesting and re-exposure to anti-CD3-coated culture wells and IL-2, these cells have increased their IL-4-producing capacity by approximately 100-fold. The development of IL-4-producing cells in response to anti-CD3, IL-2, and IL-4 is not inhibited by interferon gamma (IFN-gamma), nor does IFN-gamma diminish IL-4 production by these cells upon challenge with anti-CD3 plus IL-2.","ISSN":"0022-1007","note":"PMID: 2117636\nPMCID: PMC2188542","shortTitle":"Generation of interleukin 4 (IL-4)-producing cells in vivo and in vitro","journalAbbreviation":"J. Exp. Med.","language":"eng","author":[{"family":"Le Gros","given":"G."},{"family":"Ben-Sasson","given":"S. Z."},{"family":"Seder","given":"R."},{"family":"Finkelman","given":"F. D."},{"family":"Paul","given":"W. E."}],"issued":{"date-parts":[["1990",9,1]]}}},{"id":2580,"uris":["http://zotero.org/users/2628971/items/HMQFYZEE"],"uri":["http://zotero.org/users/2628971/items/HMQFYZEE"],"itemData":{"id":2580,"type":"article-journal","title":"T-cell exhaustion: characteristics, causes and conversion","container-title":"Immunology","page":"474-481","volume":"129","issue":"4","source":"PubMed","abstract":"T-cell exhaustion is characterized by the stepwise and progressive loss of T-cell functions and can culminate in the physical deletion of the responding cells. Exhaustion is well-defined during chronic lymphocytic choriomeningitis virus infection and commonly develops under conditions of antigen-persistence, which occur following many chronic infections that are of significant public health concern including hepatitis B virus, hepatitis C virus and human immunodeficiency virus infections, as well as during tumour outgrowth. Exhaustion is not a uniformly disabled setting as a gradation of phenotypic and functional defects can manifest, and these cells are distinct from prototypic effector, memory and also anergic T cells. We are gaining insights into the extrinsic and intrinsic factors that determine the severity of exhaustion. These include the duration and magnitude of antigenic activation, availability of CD4 T-cell help, the levels of stimulatory and suppressive cytokines, as well as the expression of activatory and inhibitory receptors. More information is now becoming available regarding the molecular mechanisms that attenuate the responsiveness of exhausted T cells. As the parameters that dictate exhaustion are more thoroughly defined, this is fostering the development of methods that prevent and rejuvenate functionally inferior responses. In this article we discuss our current understanding of the properties of exhausted T cells and the mechanisms that promote and maintain this state.","DOI":"10.1111/j.1365-2567.2010.03255.x","ISSN":"1365-2567","note":"PMID: 20201977\nPMCID: PMC2842494","shortTitle":"T-cell exhaustion","journalAbbreviation":"Immunology","language":"eng","author":[{"family":"Yi","given":"John S."},{"family":"Cox","given":"Maureen A."},{"family":"Zajac","given":"Allan J."}],"issued":{"date-parts":[["2010",4]]}}},{"id":2556,"uris":["http://zotero.org/users/2628971/items/88FCJUHG"],"uri":["http://zotero.org/users/2628971/items/88FCJUHG"],"itemData":{"id":2556,"type":"article-journal","title":"Permanent survival of organ transplants without immunosuppression: Experimental approaches and possibilities for tolerance induction in clinical transplantation","container-title":"Expert Reviews in Molecular Medicine","page":"1-31","volume":"1","issue":"17","source":"Cambridge Core","abstract":"During the past 30 years, organ transplantation has developed from a highly experimental procedure into an important part of routine clinical practice. This is reflected by the fact that graft survival times, which were once considered in terms of days or weeks, are now measured in terms of years or decades, with enormous corresponding benefits for the patient. Much of this improvement is due to the development of sophisticated immunosuppressive drugs that inhibit the rejection response mediated by the immune system of the recipient. However, almost without exception, all of the grafts that are transplanted from one genetically disparate individual to another are eventually rejected. The Holy Grail in transplantation is the development of protocols that lead to transplantation tolerance and provide stable graft function without long-term drug therapy. In this article, we have discussed the need for alternatives to current immunosuppression and reviewed the results of animal models, which suggest that long-term stable tolerance is an achievable goal.","DOI":"10.1017/S1462399499001179","ISSN":"1462-3994","shortTitle":"Permanent survival of organ transplants without immunosuppression","language":"en","author":[{"family":"Bushell","given":"Andrew"},{"family":"Wood","given":"Kathryn J."}],"issued":{"date-parts":[["1999",10]]}}}],"schema":"https://github.com/citation-style-language/schema/raw/master/csl-citation.json"} </w:instrText>
      </w:r>
      <w:r w:rsidRPr="008B3AD6">
        <w:fldChar w:fldCharType="separate"/>
      </w:r>
      <w:r w:rsidRPr="008B3AD6">
        <w:t>(Moore et al. 2013; Le Gros et al. 1990; Yi, Cox, and Zajac 2010; Bushell and Wood 1999)</w:t>
      </w:r>
      <w:r w:rsidRPr="008B3AD6">
        <w:fldChar w:fldCharType="end"/>
      </w:r>
      <w:r w:rsidRPr="008B3AD6">
        <w:t>, a simplification of the generation of Th</w:t>
      </w:r>
      <w:r w:rsidRPr="001060A4">
        <w:rPr>
          <w:vertAlign w:val="subscript"/>
        </w:rPr>
        <w:t>2</w:t>
      </w:r>
      <w:r w:rsidRPr="008B3AD6">
        <w:t xml:space="preserve"> CD4</w:t>
      </w:r>
      <w:r w:rsidRPr="001060A4">
        <w:rPr>
          <w:vertAlign w:val="superscript"/>
        </w:rPr>
        <w:t>+</w:t>
      </w:r>
      <w:r w:rsidRPr="008B3AD6">
        <w:t xml:space="preserve"> T cells. AICs are generally suppressive to T cells </w:t>
      </w:r>
      <w:r w:rsidRPr="008B3AD6">
        <w:fldChar w:fldCharType="begin"/>
      </w:r>
      <w:r w:rsidR="00812605" w:rsidRPr="008B3AD6">
        <w:instrText xml:space="preserve"> ADDIN ZOTERO_ITEM CSL_CITATION {"citationID":"PAgKxHsx","properties":{"formattedCitation":"(Goto and Lindoso 2004; Yi, Cox, and Zajac 2010; H. Murray 2001)","plainCitation":"(Goto and Lindoso 2004; Yi, Cox, and Zajac 2010; H. Murray 2001)","noteIndex":0},"citationItems":[{"id":2560,"uris":["http://zotero.org/users/2628971/items/8UP2ZRCP"],"uri":["http://zotero.org/users/2628971/items/8UP2ZRCP"],"itemData":{"id":2560,"type":"article-journal","title":"Immunity and immunosuppression in experimental visceral leishmaniasis","container-title":"Brazilian Journal of Medical and Biological Research = Revista Brasileira De Pesquisas Medicas E Biologicas","page":"615-623","volume":"37","issue":"4","source":"PubMed","abstract":"Leishmaniasis is a disease caused by protozoa of the genus Leishmania, and visceral leishmaniasis is a form in which the inner organs are affected. Since knowledge about immunity in experimental visceral leishmaniasis is poor, we present here a review on immunity and immunosuppression in experimental visceral leishmaniasis in mouse and hamster models. We show the complexity of the mechanisms involved and differences when compared with the cutaneous form of leishmaniasis. Resistance in visceral leishmaniasis involves both CD4+ and CD8+ T cells, and interleukin (IL)-2, interferon (IFN)-gamma, and IL-12, the latter in a mechanism independent of IFN-gamma and linked to transforming growth factor (TGF)-beta production. Susceptibility involves IL-10 but not IL-4, and B cells. In immune animals, upon re-infection, the elements involved in resistance are different, i.e., CD8+ T cells and IL-2. Since one of the immunopathological consequences of active visceral leishmaniasis in humans is suppression of T-cell responses, many studies have been conducted using experimental models. Immunosuppression is mainly Leishmania antigen specific, and T cells, Th2 cells and adherent antigen-presenting cells have been shown to be involved. Interactions of the co-stimulatory molecule family B7-CTLA-4 leading to increased level of TGF-beta as well as apoptosis of CD4+ T cells and inhibition of macrophage apoptosis by Leishmania infection are other components participating in immunosuppression. A better understanding of this complex immune response and the mechanisms of immunosuppression in experimental visceral leishmaniasis will contribute to the study of human disease and to vaccine development.","ISSN":"0100-879X","note":"PMID: 15064826","journalAbbreviation":"Braz. J. Med. Biol. Res.","language":"eng","author":[{"family":"Goto","given":"H."},{"family":"Lindoso","given":"J. a. L."}],"issued":{"date-parts":[["2004",4]]}}},{"id":2580,"uris":["http://zotero.org/users/2628971/items/HMQFYZEE"],"uri":["http://zotero.org/users/2628971/items/HMQFYZEE"],"itemData":{"id":2580,"type":"article-journal","title":"T-cell exhaustion: characteristics, causes and conversion","container-title":"Immunology","page":"474-481","volume":"129","issue":"4","source":"PubMed","abstract":"T-cell exhaustion is characterized by the stepwise and progressive loss of T-cell functions and can culminate in the physical deletion of the responding cells. Exhaustion is well-defined during chronic lymphocytic choriomeningitis virus infection and commonly develops under conditions of antigen-persistence, which occur following many chronic infections that are of significant public health concern including hepatitis B virus, hepatitis C virus and human immunodeficiency virus infections, as well as during tumour outgrowth. Exhaustion is not a uniformly disabled setting as a gradation of phenotypic and functional defects can manifest, and these cells are distinct from prototypic effector, memory and also anergic T cells. We are gaining insights into the extrinsic and intrinsic factors that determine the severity of exhaustion. These include the duration and magnitude of antigenic activation, availability of CD4 T-cell help, the levels of stimulatory and suppressive cytokines, as well as the expression of activatory and inhibitory receptors. More information is now becoming available regarding the molecular mechanisms that attenuate the responsiveness of exhausted T cells. As the parameters that dictate exhaustion are more thoroughly defined, this is fostering the development of methods that prevent and rejuvenate functionally inferior responses. In this article we discuss our current understanding of the properties of exhausted T cells and the mechanisms that promote and maintain this state.","DOI":"10.1111/j.1365-2567.2010.03255.x","ISSN":"1365-2567","note":"PMID: 20201977\nPMCID: PMC2842494","shortTitle":"T-cell exhaustion","journalAbbreviation":"Immunology","language":"eng","author":[{"family":"Yi","given":"John S."},{"family":"Cox","given":"Maureen A."},{"family":"Zajac","given":"Allan J."}],"issued":{"date-parts":[["2010",4]]}}},{"id":1110,"uris":["http://zotero.org/users/2628971/items/57TG9NVJ"],"uri":["http://zotero.org/users/2628971/items/57TG9NVJ"],"itemData":{"id":1110,"type":"webpage","title":"Tissue granuloma structure-function in experimental visceral leishmaniasis.","container-title":"Int J Exp Pathol","abstract":"In experimental visceral leishmaniasis in normal mice (BALB/c, C57BL/6) acquired resistance to Leishmania donovani, a protozoan which targets tissue macrophages, depends upon T cells, Th1 cell-type cytokine generation and activated mononuclear phagocytes. In the intact host, initial control and eventual resolution of L. donovani hepatic infection in normal mice is expressed by and accomplished within well-formed, mature tissue granulomas. In the liver, these immunologically active, inflammatory structures are assembled around a core of fused, parasitized resident macrophages (Kupffer cells) which come to be encircled by both cytokine-secreting T cells and influxing leishmanicidal blood monocytes. This pro-host defense granuloma structure-function relationship, in which histologically mature granulomas provide the microenvironment for intracellular L. donovani killing, however, is only one of seven which have been identified through experimental modifications in this model. This report reviews these structure-function relationships and illustrates the broad spectrum of additional possible responses. These responses range from structurally intact granulomas which provide no antileishmanial function (the 'ineffective' granuloma), to enlarged granulomas which show enhanced parasite killing (the 'hypertrophied' granuloma), to effective antileishmanial activity in the absence of any tissue reaction (the 'invisible' granuloma)., (C) 2001 Blackwell Science Ltd.","author":[{"family":"Murray","given":"Henry"}],"issued":{"date-parts":[["2001"]]}}}],"schema":"https://github.com/citation-style-language/schema/raw/master/csl-citation.json"} </w:instrText>
      </w:r>
      <w:r w:rsidRPr="008B3AD6">
        <w:fldChar w:fldCharType="separate"/>
      </w:r>
      <w:r w:rsidR="00812605" w:rsidRPr="008B3AD6">
        <w:t>(Goto and Lindoso</w:t>
      </w:r>
      <w:r w:rsidR="00E5551E">
        <w:t xml:space="preserve"> 2004; Yi, Cox, and Zajac 2010; </w:t>
      </w:r>
      <w:r w:rsidR="00812605" w:rsidRPr="008B3AD6">
        <w:t>Murray 2001)</w:t>
      </w:r>
      <w:r w:rsidRPr="008B3AD6">
        <w:fldChar w:fldCharType="end"/>
      </w:r>
      <w:r w:rsidRPr="008B3AD6">
        <w:t xml:space="preserve"> and within the system act as a negative feedback to curtail T cell activities, exposure to AIC results in T cell anergy which here is shown as removal from the system. </w:t>
      </w:r>
    </w:p>
    <w:p w14:paraId="423AA033" w14:textId="5BD5B6E2" w:rsidR="00722E3F" w:rsidRDefault="00722E3F" w:rsidP="009154C0">
      <w:pPr>
        <w:spacing w:line="360" w:lineRule="auto"/>
        <w:jc w:val="both"/>
      </w:pPr>
    </w:p>
    <w:p w14:paraId="228B234A" w14:textId="312CBD0E" w:rsidR="00722E3F" w:rsidRDefault="00221D43" w:rsidP="00722E3F">
      <w:r>
        <w:rPr>
          <w:noProof/>
        </w:rPr>
        <w:drawing>
          <wp:anchor distT="0" distB="0" distL="114300" distR="114300" simplePos="0" relativeHeight="252116992" behindDoc="0" locked="0" layoutInCell="1" allowOverlap="1" wp14:anchorId="1C5D8214" wp14:editId="2C6F4C15">
            <wp:simplePos x="0" y="0"/>
            <wp:positionH relativeFrom="column">
              <wp:posOffset>788670</wp:posOffset>
            </wp:positionH>
            <wp:positionV relativeFrom="paragraph">
              <wp:posOffset>179705</wp:posOffset>
            </wp:positionV>
            <wp:extent cx="7680960" cy="4679950"/>
            <wp:effectExtent l="0" t="0" r="2540" b="6350"/>
            <wp:wrapNone/>
            <wp:docPr id="8" name="Picture 7">
              <a:extLst xmlns:a="http://schemas.openxmlformats.org/drawingml/2006/main">
                <a:ext uri="{FF2B5EF4-FFF2-40B4-BE49-F238E27FC236}">
                  <a16:creationId xmlns:a16="http://schemas.microsoft.com/office/drawing/2014/main" id="{C0C8DAC2-6825-4944-ADC6-CF1308D5C74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a:extLst>
                        <a:ext uri="{FF2B5EF4-FFF2-40B4-BE49-F238E27FC236}">
                          <a16:creationId xmlns:a16="http://schemas.microsoft.com/office/drawing/2014/main" id="{C0C8DAC2-6825-4944-ADC6-CF1308D5C74F}"/>
                        </a:ext>
                      </a:extLst>
                    </pic:cNvPr>
                    <pic:cNvPicPr>
                      <a:picLocks noChangeAspect="1"/>
                    </pic:cNvPicPr>
                  </pic:nvPicPr>
                  <pic:blipFill rotWithShape="1">
                    <a:blip r:embed="rId51">
                      <a:extLst>
                        <a:ext uri="{28A0092B-C50C-407E-A947-70E740481C1C}">
                          <a14:useLocalDpi xmlns:a14="http://schemas.microsoft.com/office/drawing/2010/main" val="0"/>
                        </a:ext>
                      </a:extLst>
                    </a:blip>
                    <a:srcRect l="9027" t="9395" r="8992" b="50809"/>
                    <a:stretch/>
                  </pic:blipFill>
                  <pic:spPr bwMode="auto">
                    <a:xfrm>
                      <a:off x="0" y="0"/>
                      <a:ext cx="7680960" cy="4679950"/>
                    </a:xfrm>
                    <a:prstGeom prst="rect">
                      <a:avLst/>
                    </a:prstGeom>
                    <a:ln>
                      <a:noFill/>
                    </a:ln>
                    <a:extLst>
                      <a:ext uri="{53640926-AAD7-44D8-BBD7-CCE9431645EC}">
                        <a14:shadowObscured xmlns:a14="http://schemas.microsoft.com/office/drawing/2010/main"/>
                      </a:ext>
                    </a:extLst>
                  </pic:spPr>
                </pic:pic>
              </a:graphicData>
            </a:graphic>
          </wp:anchor>
        </w:drawing>
      </w:r>
    </w:p>
    <w:p w14:paraId="7487C1C6" w14:textId="6422AA77" w:rsidR="00722E3F" w:rsidRDefault="00B80F7A" w:rsidP="00722E3F">
      <w:r>
        <w:rPr>
          <w:noProof/>
        </w:rPr>
        <mc:AlternateContent>
          <mc:Choice Requires="wps">
            <w:drawing>
              <wp:anchor distT="0" distB="0" distL="114300" distR="114300" simplePos="0" relativeHeight="252169216" behindDoc="0" locked="0" layoutInCell="1" allowOverlap="1" wp14:anchorId="20F29171" wp14:editId="44C69001">
                <wp:simplePos x="0" y="0"/>
                <wp:positionH relativeFrom="column">
                  <wp:posOffset>1523707</wp:posOffset>
                </wp:positionH>
                <wp:positionV relativeFrom="paragraph">
                  <wp:posOffset>3481510</wp:posOffset>
                </wp:positionV>
                <wp:extent cx="752231" cy="196947"/>
                <wp:effectExtent l="0" t="0" r="0" b="6350"/>
                <wp:wrapNone/>
                <wp:docPr id="43" name="Text Box 43"/>
                <wp:cNvGraphicFramePr/>
                <a:graphic xmlns:a="http://schemas.openxmlformats.org/drawingml/2006/main">
                  <a:graphicData uri="http://schemas.microsoft.com/office/word/2010/wordprocessingShape">
                    <wps:wsp>
                      <wps:cNvSpPr txBox="1"/>
                      <wps:spPr>
                        <a:xfrm>
                          <a:off x="0" y="0"/>
                          <a:ext cx="752231" cy="196947"/>
                        </a:xfrm>
                        <a:prstGeom prst="rect">
                          <a:avLst/>
                        </a:prstGeom>
                        <a:solidFill>
                          <a:srgbClr val="F4F4F6"/>
                        </a:solidFill>
                        <a:ln w="6350">
                          <a:noFill/>
                        </a:ln>
                      </wps:spPr>
                      <wps:txbx>
                        <w:txbxContent>
                          <w:p w14:paraId="014F02D2" w14:textId="77777777" w:rsidR="00F61130" w:rsidRPr="00B23FF8" w:rsidRDefault="00F61130" w:rsidP="00B23FF8">
                            <w:pPr>
                              <w:spacing w:line="240" w:lineRule="auto"/>
                              <w:jc w:val="right"/>
                              <w:rPr>
                                <w:rFonts w:ascii="Helvetica" w:hAnsi="Helvetica"/>
                                <w:b/>
                                <w:sz w:val="10"/>
                                <w:szCs w:val="8"/>
                              </w:rPr>
                            </w:pPr>
                            <w:r w:rsidRPr="00B23FF8">
                              <w:rPr>
                                <w:rFonts w:ascii="Helvetica" w:hAnsi="Helvetica"/>
                                <w:b/>
                                <w:sz w:val="10"/>
                                <w:szCs w:val="8"/>
                              </w:rPr>
                              <w:t>T Cell senses environmental changes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F29171" id="Text Box 43" o:spid="_x0000_s1098" type="#_x0000_t202" style="position:absolute;margin-left:120pt;margin-top:274.15pt;width:59.25pt;height:15.5pt;z-index:252169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lRJOQPgIAAHMEAAAOAAAAZHJzL2Uyb0RvYy54bWysVE1v2zAMvQ/YfxB0X5yvpq0Rp8hSZBgQ&#13;&#10;tAWSoWdFlhMDsqhRSuzs14+S7XTrdhqGAApFUo/kI+n5Q1NpdlboSjAZHw2GnCkjIS/NIePfdutP&#13;&#10;d5w5L0wuNBiV8Yty/GHx8cO8tqkawxF0rpARiHFpbTN+9N6mSeLkUVXCDcAqQ8YCsBKernhIchQ1&#13;&#10;oVc6GQ+Hs6QGzC2CVM6R9rE18kXELwol/XNROOWZzjjl5uOJ8dyHM1nMRXpAYY+l7NIQ/5BFJUpD&#13;&#10;Qa9Qj8ILdsLyD6iqlAgOCj+QUCVQFKVUsQaqZjR8V832KKyKtRA5zl5pcv8PVj6dX5CVecanE86M&#13;&#10;qKhHO9V49hkaRirip7YuJbetJUffkJ763OsdKUPZTYFV+KeCGNmJ6cuV3YAmSXl7Mx5PRpxJMo3u&#13;&#10;Z/fT24CSvD226PwXBRULQsaRmhc5FeeN861r7xJiOdBlvi61jhc87Fca2VlQo9dT+s069N/ctGF1&#13;&#10;xmeTm2FENhDet9DaUDKh1ramIPlm30Rubsd9wXvIL8QDQjtJzsp1SdluhPMvAml0qHRaB/9MR6GB&#13;&#10;gkEncXYE/PE3ffCnjpKVs5pGMePu+0mg4kx/NdTrMLe9gL2w7wVzqlZARROzlE0U6QF63YsFQvVK&#13;&#10;W7IMUcgkjKRYGfe9uPLtQtCWSbVcRieaTiv8xmytDNCB4sD9rnkVaLsGeersE/RDKtJ3fWp9w0sD&#13;&#10;y5OHooxNDMS2LHZ802THMei2MKzOr/fo9fatWPwEAAD//wMAUEsDBBQABgAIAAAAIQBCPxbX5QAA&#13;&#10;ABABAAAPAAAAZHJzL2Rvd25yZXYueG1sTI/NTsMwEITvSLyDtUjcqEPTlDSNUyEQHCIuhEr06MYm&#13;&#10;ibDXVuy06duznOCy0v7NzFfuZmvYSY9hcCjgfpEA09g6NWAnYP/xcpcDC1GiksahFnDRAXbV9VUp&#13;&#10;C+XO+K5PTewYiWAopIA+Rl9wHtpeWxkWzmuk3ZcbrYzUjh1XozyTuDV8mSRrbuWA5NBLr5963X43&#13;&#10;kxXw6k1dT/sms59vPhzqVs7zZS3E7c38vKXyuAUW9Rz/PuCXgfJDRcGObkIVmBGwXCUEFAVkqzwF&#13;&#10;RhdplmfAjjR52KTAq5L/B6l+AAAA//8DAFBLAQItABQABgAIAAAAIQC2gziS/gAAAOEBAAATAAAA&#13;&#10;AAAAAAAAAAAAAAAAAABbQ29udGVudF9UeXBlc10ueG1sUEsBAi0AFAAGAAgAAAAhADj9If/WAAAA&#13;&#10;lAEAAAsAAAAAAAAAAAAAAAAALwEAAF9yZWxzLy5yZWxzUEsBAi0AFAAGAAgAAAAhACVEk5A+AgAA&#13;&#10;cwQAAA4AAAAAAAAAAAAAAAAALgIAAGRycy9lMm9Eb2MueG1sUEsBAi0AFAAGAAgAAAAhAEI/Ftfl&#13;&#10;AAAAEAEAAA8AAAAAAAAAAAAAAAAAmAQAAGRycy9kb3ducmV2LnhtbFBLBQYAAAAABAAEAPMAAACq&#13;&#10;BQAAAAA=&#13;&#10;" fillcolor="#f4f4f6" stroked="f" strokeweight=".5pt">
                <v:textbox inset="0,0,0,0">
                  <w:txbxContent>
                    <w:p w14:paraId="014F02D2" w14:textId="77777777" w:rsidR="00F61130" w:rsidRPr="00B23FF8" w:rsidRDefault="00F61130" w:rsidP="00B23FF8">
                      <w:pPr>
                        <w:spacing w:line="240" w:lineRule="auto"/>
                        <w:jc w:val="right"/>
                        <w:rPr>
                          <w:rFonts w:ascii="Helvetica" w:hAnsi="Helvetica"/>
                          <w:b/>
                          <w:sz w:val="10"/>
                          <w:szCs w:val="8"/>
                        </w:rPr>
                      </w:pPr>
                      <w:r w:rsidRPr="00B23FF8">
                        <w:rPr>
                          <w:rFonts w:ascii="Helvetica" w:hAnsi="Helvetica"/>
                          <w:b/>
                          <w:sz w:val="10"/>
                          <w:szCs w:val="8"/>
                        </w:rPr>
                        <w:t>T Cell senses environmental changes</w:t>
                      </w:r>
                    </w:p>
                  </w:txbxContent>
                </v:textbox>
              </v:shape>
            </w:pict>
          </mc:Fallback>
        </mc:AlternateContent>
      </w:r>
      <w:r>
        <w:rPr>
          <w:noProof/>
        </w:rPr>
        <mc:AlternateContent>
          <mc:Choice Requires="wps">
            <w:drawing>
              <wp:anchor distT="0" distB="0" distL="114300" distR="114300" simplePos="0" relativeHeight="252167168" behindDoc="0" locked="0" layoutInCell="1" allowOverlap="1" wp14:anchorId="59901F98" wp14:editId="108F500E">
                <wp:simplePos x="0" y="0"/>
                <wp:positionH relativeFrom="column">
                  <wp:posOffset>2501412</wp:posOffset>
                </wp:positionH>
                <wp:positionV relativeFrom="paragraph">
                  <wp:posOffset>2454568</wp:posOffset>
                </wp:positionV>
                <wp:extent cx="970670" cy="168812"/>
                <wp:effectExtent l="0" t="0" r="0" b="0"/>
                <wp:wrapNone/>
                <wp:docPr id="14" name="Text Box 14"/>
                <wp:cNvGraphicFramePr/>
                <a:graphic xmlns:a="http://schemas.openxmlformats.org/drawingml/2006/main">
                  <a:graphicData uri="http://schemas.microsoft.com/office/word/2010/wordprocessingShape">
                    <wps:wsp>
                      <wps:cNvSpPr txBox="1"/>
                      <wps:spPr>
                        <a:xfrm>
                          <a:off x="0" y="0"/>
                          <a:ext cx="970670" cy="168812"/>
                        </a:xfrm>
                        <a:prstGeom prst="rect">
                          <a:avLst/>
                        </a:prstGeom>
                        <a:solidFill>
                          <a:srgbClr val="F4F4F6"/>
                        </a:solidFill>
                        <a:ln w="6350">
                          <a:noFill/>
                        </a:ln>
                      </wps:spPr>
                      <wps:txbx>
                        <w:txbxContent>
                          <w:p w14:paraId="25BE08B4" w14:textId="77777777" w:rsidR="00F61130" w:rsidRPr="00B23FF8" w:rsidRDefault="00F61130" w:rsidP="00B23FF8">
                            <w:pPr>
                              <w:spacing w:line="240" w:lineRule="auto"/>
                              <w:rPr>
                                <w:rFonts w:ascii="Helvetica" w:hAnsi="Helvetica"/>
                                <w:b/>
                                <w:sz w:val="10"/>
                                <w:szCs w:val="8"/>
                              </w:rPr>
                            </w:pPr>
                            <w:r w:rsidRPr="00B23FF8">
                              <w:rPr>
                                <w:rFonts w:ascii="Helvetica" w:hAnsi="Helvetica"/>
                                <w:b/>
                                <w:sz w:val="10"/>
                                <w:szCs w:val="8"/>
                              </w:rPr>
                              <w:t>T Cell senses environmental changes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901F98" id="Text Box 14" o:spid="_x0000_s1099" type="#_x0000_t202" style="position:absolute;margin-left:196.95pt;margin-top:193.25pt;width:76.45pt;height:13.3pt;z-index:252167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xkf8RPQIAAHMEAAAOAAAAZHJzL2Uyb0RvYy54bWysVFFP2zAQfp+0/2D5faQFVlhFijpQp0kI&#13;&#10;kGDi2XWcNpLj885uE/br99lpYGN7mqZK7vnu/Nnfd3e5uOxbK/aGQ0OulNOjiRTGaaoatynlt8fV&#13;&#10;h3MpQlSuUpacKeWzCfJy8f7dRefn5pi2ZCvDAiAuzDtfym2Mfl4UQW9Nq8IReeMQrIlbFbHlTVGx&#13;&#10;6oDe2uJ4MpkVHXHlmbQJAd7rISgXGb+ujY53dR1MFLaUeFvMK+d1ndZicaHmG1Z+2+jDM9Q/vKJV&#13;&#10;jcOlL1DXKiqx4+YPqLbRTIHqeKSpLaiuG20yB7CZTt6wedgqbzIXiBP8i0zh/8Hq2/09i6ZC7U6l&#13;&#10;cKpFjR5NH8Vn6gVc0KfzYY60B4/E2MOP3NEf4Ey0+5rb9A9CAnEo/fyibkLTcH46m8zOENEITWfn&#13;&#10;59PjhFK8HvYc4hdDrUhGKRnFy5qq/U2IQ+qYku4KZJtq1VibN7xZX1kWe4VCr07xmx3Qf0uzTnSl&#13;&#10;nJ18nGRkR+n8AG0dHpO4DpySFft1n7U5OxkJr6l6hg5MQycFr1cNXnujQrxXjNYBQYxDvMNSW8Jl&#13;&#10;dLCk2BL/+Js/5aOiiErRoRVLGb7vFBsp7FeHWqe+HQ0ejfVouF17RSA9xaB5nU0c4GhHs2ZqnzAl&#13;&#10;y3QLQspp3FXKOJpXcRgITJk2y2VOQnd6FW/cg9cJOkmctH/snxT7Q4EiKntLY5Oq+Zs6DbnppKPl&#13;&#10;LlLd5CImYQcVD3qjs3MbHKYwjc6v+5z1+q1Y/AQAAP//AwBQSwMEFAAGAAgAAAAhAAFBWvHlAAAA&#13;&#10;EAEAAA8AAABkcnMvZG93bnJldi54bWxMj09PwzAMxe9IfIfISNxYWrpWW9d0QiA4VFwok+DoNaGt&#13;&#10;aP6oSbfs22NOcLFs+fn5/ap91BM7qdmP1ghIVwkwZTorR9MLOLw/322A+YBG4mSNEnBRHvb19VWF&#13;&#10;pbRn86ZObegZmRhfooAhBFdy7rtBafQr65Sh3ZedNQYa557LGc9krid+nyQF1zga+jCgU4+D6r7b&#13;&#10;RQt4cVPTLIc21x+vzn82HcZ4KYS4vYlPOyoPO2BBxfB3Ab8MlB9qCna0i5GeTQKybbYlKTWbIgdG&#13;&#10;inxdENFRwDrNUuB1xf+D1D8AAAD//wMAUEsBAi0AFAAGAAgAAAAhALaDOJL+AAAA4QEAABMAAAAA&#13;&#10;AAAAAAAAAAAAAAAAAFtDb250ZW50X1R5cGVzXS54bWxQSwECLQAUAAYACAAAACEAOP0h/9YAAACU&#13;&#10;AQAACwAAAAAAAAAAAAAAAAAvAQAAX3JlbHMvLnJlbHNQSwECLQAUAAYACAAAACEA8ZH/ET0CAABz&#13;&#10;BAAADgAAAAAAAAAAAAAAAAAuAgAAZHJzL2Uyb0RvYy54bWxQSwECLQAUAAYACAAAACEAAUFa8eUA&#13;&#10;AAAQAQAADwAAAAAAAAAAAAAAAACXBAAAZHJzL2Rvd25yZXYueG1sUEsFBgAAAAAEAAQA8wAAAKkF&#13;&#10;AAAAAA==&#13;&#10;" fillcolor="#f4f4f6" stroked="f" strokeweight=".5pt">
                <v:textbox inset="0,0,0,0">
                  <w:txbxContent>
                    <w:p w14:paraId="25BE08B4" w14:textId="77777777" w:rsidR="00F61130" w:rsidRPr="00B23FF8" w:rsidRDefault="00F61130" w:rsidP="00B23FF8">
                      <w:pPr>
                        <w:spacing w:line="240" w:lineRule="auto"/>
                        <w:rPr>
                          <w:rFonts w:ascii="Helvetica" w:hAnsi="Helvetica"/>
                          <w:b/>
                          <w:sz w:val="10"/>
                          <w:szCs w:val="8"/>
                        </w:rPr>
                      </w:pPr>
                      <w:r w:rsidRPr="00B23FF8">
                        <w:rPr>
                          <w:rFonts w:ascii="Helvetica" w:hAnsi="Helvetica"/>
                          <w:b/>
                          <w:sz w:val="10"/>
                          <w:szCs w:val="8"/>
                        </w:rPr>
                        <w:t>T Cell senses environmental changes</w:t>
                      </w:r>
                    </w:p>
                  </w:txbxContent>
                </v:textbox>
              </v:shape>
            </w:pict>
          </mc:Fallback>
        </mc:AlternateContent>
      </w:r>
      <w:r>
        <w:rPr>
          <w:noProof/>
        </w:rPr>
        <mc:AlternateContent>
          <mc:Choice Requires="wps">
            <w:drawing>
              <wp:anchor distT="0" distB="0" distL="114300" distR="114300" simplePos="0" relativeHeight="252165120" behindDoc="0" locked="0" layoutInCell="1" allowOverlap="1" wp14:anchorId="2721A6B9" wp14:editId="64FEECD2">
                <wp:simplePos x="0" y="0"/>
                <wp:positionH relativeFrom="column">
                  <wp:posOffset>4507865</wp:posOffset>
                </wp:positionH>
                <wp:positionV relativeFrom="paragraph">
                  <wp:posOffset>2409239</wp:posOffset>
                </wp:positionV>
                <wp:extent cx="541606" cy="274320"/>
                <wp:effectExtent l="0" t="0" r="5080" b="5080"/>
                <wp:wrapNone/>
                <wp:docPr id="3" name="Text Box 3"/>
                <wp:cNvGraphicFramePr/>
                <a:graphic xmlns:a="http://schemas.openxmlformats.org/drawingml/2006/main">
                  <a:graphicData uri="http://schemas.microsoft.com/office/word/2010/wordprocessingShape">
                    <wps:wsp>
                      <wps:cNvSpPr txBox="1"/>
                      <wps:spPr>
                        <a:xfrm>
                          <a:off x="0" y="0"/>
                          <a:ext cx="541606" cy="274320"/>
                        </a:xfrm>
                        <a:prstGeom prst="rect">
                          <a:avLst/>
                        </a:prstGeom>
                        <a:solidFill>
                          <a:srgbClr val="F4F4F6"/>
                        </a:solidFill>
                        <a:ln w="6350">
                          <a:noFill/>
                        </a:ln>
                      </wps:spPr>
                      <wps:txbx>
                        <w:txbxContent>
                          <w:p w14:paraId="3C3F25E3" w14:textId="56967F15" w:rsidR="00F61130" w:rsidRPr="00B23FF8" w:rsidRDefault="00F61130" w:rsidP="00B23FF8">
                            <w:pPr>
                              <w:spacing w:line="240" w:lineRule="auto"/>
                              <w:rPr>
                                <w:rFonts w:ascii="Helvetica" w:hAnsi="Helvetica"/>
                                <w:b/>
                                <w:sz w:val="10"/>
                                <w:szCs w:val="8"/>
                              </w:rPr>
                            </w:pPr>
                            <w:r w:rsidRPr="00B23FF8">
                              <w:rPr>
                                <w:rFonts w:ascii="Helvetica" w:hAnsi="Helvetica"/>
                                <w:b/>
                                <w:sz w:val="10"/>
                                <w:szCs w:val="8"/>
                              </w:rPr>
                              <w:t>T Cell senses environmental changes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2721A6B9" id="Text Box 3" o:spid="_x0000_s1100" type="#_x0000_t202" style="position:absolute;margin-left:354.95pt;margin-top:189.7pt;width:42.65pt;height:21.6pt;z-index:2521651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hSdZgPgIAAHEEAAAOAAAAZHJzL2Uyb0RvYy54bWysVG1r2zAQ/j7YfxD6vth5aVpMnJKlZAxC&#13;&#10;W0hGPyuyHBtknXZSYme/fic5brdun8YIKKd7093z3Hlx3zWanRW6GkzOx6OUM2UkFLU55vzbfvPp&#13;&#10;jjPnhSmEBqNyflGO3y8/fli0NlMTqEAXChklMS5rbc4r722WJE5WqhFuBFYZMpaAjfB0xWNSoGgp&#13;&#10;e6OTSZrOkxawsAhSOUfah97IlzF/WSrpn8rSKc90zqk2H0+M5yGcyXIhsiMKW9XyWob4hyoaURt6&#13;&#10;9DXVg/CCnbD+I1VTSwQHpR9JaBIoy1qq2AN1M07fdbOrhFWxFwLH2VeY3P9LKx/Pz8jqIudTzoxo&#13;&#10;iKK96jz7DB2bBnRa6zJy2lly8x2pieVB70gZmu5KbMI/tcPITjhfXrENySQpb2bjeTrnTJJpcjub&#13;&#10;TiL2yVuwRee/KGhYEHKORF1EVJy3zlMh5Dq4hLcc6LrY1FrHCx4Pa43sLIjmzYx+81Ajhfzmpg1r&#13;&#10;cz6f3qQxs4EQ3/tpQ+6h176nIPnu0EVkbmdDwwcoLoQDQj9HzspNTdVuhfPPAmlwqHVaBv9ER6mB&#13;&#10;HoOrxFkF+ONv+uBPfJKVs5YGMefu+0mg4kx/NcR0mNpBwEE4DII5NWugpse0ZlZGkQLQ60EsEZoX&#13;&#10;2pFVeIVMwkh6K+d+ENe+XwfaMalWq+hEs2mF35qdlSF1gDhgv+9eBNorQZ6YfYRhREX2jqfeN0Qa&#13;&#10;WJ08lHUkMQDbo3jFm+Y6EnXdwbA4v96j19uXYvkTAAD//wMAUEsDBBQABgAIAAAAIQB4ojOY4wAA&#13;&#10;ABABAAAPAAAAZHJzL2Rvd25yZXYueG1sTE9LT4NAEL6b+B82Y+LNLmILQhkao9ED8SI20eOWXYHI&#13;&#10;PsIu7fbfO570MsmX+Z7VLuqJHdXsR2sQblcJMGU6K0fTI+zfn2/ugfkgjBSTNQrhrDzs6suLSpTS&#13;&#10;nsybOrahZ2RifCkQhhBcybnvBqWFX1mnDP2+7KxFIDj3XM7iROZ64mmSZFyL0VDCIJx6HFT33S4a&#13;&#10;4cVNTbPs243+eHX+s+lEjOcM8foqPm3pPGyBBRXDnwJ+N1B/qKnYwS5GejYh5ElREBXhLi/WwIiR&#13;&#10;F5sU2AFhnaYZ8Lri/4fUPwAAAP//AwBQSwECLQAUAAYACAAAACEAtoM4kv4AAADhAQAAEwAAAAAA&#13;&#10;AAAAAAAAAAAAAAAAW0NvbnRlbnRfVHlwZXNdLnhtbFBLAQItABQABgAIAAAAIQA4/SH/1gAAAJQB&#13;&#10;AAALAAAAAAAAAAAAAAAAAC8BAABfcmVscy8ucmVsc1BLAQItABQABgAIAAAAIQDhSdZgPgIAAHEE&#13;&#10;AAAOAAAAAAAAAAAAAAAAAC4CAABkcnMvZTJvRG9jLnhtbFBLAQItABQABgAIAAAAIQB4ojOY4wAA&#13;&#10;ABABAAAPAAAAAAAAAAAAAAAAAJgEAABkcnMvZG93bnJldi54bWxQSwUGAAAAAAQABADzAAAAqAUA&#13;&#10;AAAA&#13;&#10;" fillcolor="#f4f4f6" stroked="f" strokeweight=".5pt">
                <v:textbox inset="0,0,0,0">
                  <w:txbxContent>
                    <w:p w14:paraId="3C3F25E3" w14:textId="56967F15" w:rsidR="00F61130" w:rsidRPr="00B23FF8" w:rsidRDefault="00F61130" w:rsidP="00B23FF8">
                      <w:pPr>
                        <w:spacing w:line="240" w:lineRule="auto"/>
                        <w:rPr>
                          <w:rFonts w:ascii="Helvetica" w:hAnsi="Helvetica"/>
                          <w:b/>
                          <w:sz w:val="10"/>
                          <w:szCs w:val="8"/>
                        </w:rPr>
                      </w:pPr>
                      <w:r w:rsidRPr="00B23FF8">
                        <w:rPr>
                          <w:rFonts w:ascii="Helvetica" w:hAnsi="Helvetica"/>
                          <w:b/>
                          <w:sz w:val="10"/>
                          <w:szCs w:val="8"/>
                        </w:rPr>
                        <w:t>T Cell senses environmental changes</w:t>
                      </w:r>
                    </w:p>
                  </w:txbxContent>
                </v:textbox>
              </v:shape>
            </w:pict>
          </mc:Fallback>
        </mc:AlternateContent>
      </w:r>
      <w:r w:rsidR="00221D43">
        <w:rPr>
          <w:noProof/>
        </w:rPr>
        <mc:AlternateContent>
          <mc:Choice Requires="wps">
            <w:drawing>
              <wp:anchor distT="0" distB="0" distL="114300" distR="114300" simplePos="0" relativeHeight="252118016" behindDoc="0" locked="0" layoutInCell="1" allowOverlap="1" wp14:anchorId="6B7EFB71" wp14:editId="22D015EC">
                <wp:simplePos x="0" y="0"/>
                <wp:positionH relativeFrom="column">
                  <wp:posOffset>852466</wp:posOffset>
                </wp:positionH>
                <wp:positionV relativeFrom="paragraph">
                  <wp:posOffset>4571306</wp:posOffset>
                </wp:positionV>
                <wp:extent cx="1786269" cy="297712"/>
                <wp:effectExtent l="0" t="0" r="4445" b="0"/>
                <wp:wrapNone/>
                <wp:docPr id="38" name="Text Box 38"/>
                <wp:cNvGraphicFramePr/>
                <a:graphic xmlns:a="http://schemas.openxmlformats.org/drawingml/2006/main">
                  <a:graphicData uri="http://schemas.microsoft.com/office/word/2010/wordprocessingShape">
                    <wps:wsp>
                      <wps:cNvSpPr txBox="1"/>
                      <wps:spPr>
                        <a:xfrm>
                          <a:off x="0" y="0"/>
                          <a:ext cx="1786269" cy="297712"/>
                        </a:xfrm>
                        <a:prstGeom prst="rect">
                          <a:avLst/>
                        </a:prstGeom>
                        <a:solidFill>
                          <a:schemeClr val="lt1"/>
                        </a:solidFill>
                        <a:ln w="6350">
                          <a:noFill/>
                        </a:ln>
                      </wps:spPr>
                      <wps:txbx>
                        <w:txbxContent>
                          <w:p w14:paraId="4A0DFA16" w14:textId="5ED19A20" w:rsidR="00F61130" w:rsidRDefault="00F61130">
                            <w:r>
                              <w:t>Continued on next page.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B7EFB71" id="Text Box 38" o:spid="_x0000_s1101" type="#_x0000_t202" style="position:absolute;margin-left:67.1pt;margin-top:359.95pt;width:140.65pt;height:23.45pt;z-index:2521180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s7ndMRwIAAIMEAAAOAAAAZHJzL2Uyb0RvYy54bWysVE2P2jAQvVfqf7B8L4EsH0tEWFFWVJXQ&#13;&#10;7kpQ7dk4DkSyPa5tSOiv79ghLLvtqerFsWfGzzPvzWT20ChJTsK6CnROB70+JUJzKCq9z+mP7erL&#13;&#10;PSXOM10wCVrk9CwcfZh//jSrTSZSOIAshCUIol1Wm5wevDdZkjh+EIq5Hhih0VmCVczj0e6TwrIa&#13;&#10;0ZVM0n5/nNRgC2OBC+fQ+tg66Tzil6Xg/rksnfBE5hRz83G1cd2FNZnPWLa3zBwqfkmD/UMWilUa&#13;&#10;H71CPTLPyNFWf0CpiltwUPoeB5VAWVZcxBqwmkH/QzWbAzMi1oLkOHOlyf0/WP50erGkKnJ6h0pp&#13;&#10;plCjrWg8+QoNQRPyUxuXYdjGYKBv0I46d3aHxlB2U1oVvlgQQT8yfb6yG9B4uDS5H6fjKSUcfel0&#13;&#10;MhmkASZ5u22s898EKBI2ObWoXiSVndbOt6FdSHjMgayKVSVlPISOEUtpyYmh1tLHHBH8XZTUpM7p&#13;&#10;+G7Uj8AawvUWWWrMJdTa1hR2vtk1kZvJqCt4B8UZebDQdpIzfFVhsmvm/Auz2DpYOo6Df8allICP&#13;&#10;wWVHyQHsr7/ZQzwqil5KamzFnLqfR2YFJfK7Rq2ng+Ew9G48DEeTFA/21rO79eijWgIyMMDBMzxu&#13;&#10;Q7yX3ba0oF5xahbhVXQxzfHtnPpuu/TtgODUcbFYxCDsVsP8Wm8MD9CB8SDFtnll1lz08qj0E3RN&#13;&#10;y7IPsrWx4aaGxdFDWUVNA9Etqxf+sdNjV1ymMozS7TlGvf075r8BAAD//wMAUEsDBBQABgAIAAAA&#13;&#10;IQBv7kyo5gAAABABAAAPAAAAZHJzL2Rvd25yZXYueG1sTE/JboMwEL1X6j9YU6mXKjGEQBKCiaou&#13;&#10;qdRbQhf15uApoGIbYQfo33d6ai8jvZk3b8l2k27ZgL1rrBEQzgNgaEqrGlMJeCkeZ2tgzkujZGsN&#13;&#10;CvhGB7v88iKTqbKjOeBw9BUjEeNSKaD2vks5d2WNWrq57dDQ7dP2WnqCfcVVL0cS1y1fBEHCtWwM&#13;&#10;OdSyw7say6/jWQv4uKnen920fx2jOOoenoZi9aYKIa6vpvstjdstMI+T//uA3w6UH3IKdrJnoxxr&#13;&#10;CUfLBVEFrMLNBhgxlmEcAzvRJknWwPOM/y+S/wAAAP//AwBQSwECLQAUAAYACAAAACEAtoM4kv4A&#13;&#10;AADhAQAAEwAAAAAAAAAAAAAAAAAAAAAAW0NvbnRlbnRfVHlwZXNdLnhtbFBLAQItABQABgAIAAAA&#13;&#10;IQA4/SH/1gAAAJQBAAALAAAAAAAAAAAAAAAAAC8BAABfcmVscy8ucmVsc1BLAQItABQABgAIAAAA&#13;&#10;IQAs7ndMRwIAAIMEAAAOAAAAAAAAAAAAAAAAAC4CAABkcnMvZTJvRG9jLnhtbFBLAQItABQABgAI&#13;&#10;AAAAIQBv7kyo5gAAABABAAAPAAAAAAAAAAAAAAAAAKEEAABkcnMvZG93bnJldi54bWxQSwUGAAAA&#13;&#10;AAQABADzAAAAtAUAAAAA&#13;&#10;" fillcolor="white [3201]" stroked="f" strokeweight=".5pt">
                <v:textbox>
                  <w:txbxContent>
                    <w:p w14:paraId="4A0DFA16" w14:textId="5ED19A20" w:rsidR="00F61130" w:rsidRDefault="00F61130">
                      <w:r>
                        <w:t>Continued on next page.</w:t>
                      </w:r>
                    </w:p>
                  </w:txbxContent>
                </v:textbox>
              </v:shape>
            </w:pict>
          </mc:Fallback>
        </mc:AlternateContent>
      </w:r>
    </w:p>
    <w:p w14:paraId="5CF57008" w14:textId="0368D84F" w:rsidR="00722E3F" w:rsidRDefault="00722E3F" w:rsidP="00722E3F">
      <w:pPr>
        <w:sectPr w:rsidR="00722E3F" w:rsidSect="00722E3F">
          <w:pgSz w:w="16840" w:h="11900" w:orient="landscape"/>
          <w:pgMar w:top="851" w:right="1134" w:bottom="2268" w:left="1134" w:header="709" w:footer="709" w:gutter="0"/>
          <w:cols w:space="708"/>
          <w:docGrid w:linePitch="360"/>
        </w:sectPr>
      </w:pPr>
    </w:p>
    <w:p w14:paraId="057037A3" w14:textId="4783C326" w:rsidR="00722E3F" w:rsidRPr="00722E3F" w:rsidRDefault="00B80F7A" w:rsidP="00722E3F">
      <w:pPr>
        <w:sectPr w:rsidR="00722E3F" w:rsidRPr="00722E3F" w:rsidSect="00722E3F">
          <w:pgSz w:w="16840" w:h="11900" w:orient="landscape"/>
          <w:pgMar w:top="851" w:right="1134" w:bottom="2268" w:left="1134" w:header="709" w:footer="709" w:gutter="0"/>
          <w:cols w:space="708"/>
          <w:docGrid w:linePitch="360"/>
        </w:sectPr>
      </w:pPr>
      <w:r>
        <w:rPr>
          <w:noProof/>
        </w:rPr>
        <w:lastRenderedPageBreak/>
        <mc:AlternateContent>
          <mc:Choice Requires="wps">
            <w:drawing>
              <wp:anchor distT="0" distB="0" distL="114300" distR="114300" simplePos="0" relativeHeight="252175360" behindDoc="0" locked="0" layoutInCell="1" allowOverlap="1" wp14:anchorId="24E2717B" wp14:editId="23E5CC36">
                <wp:simplePos x="0" y="0"/>
                <wp:positionH relativeFrom="column">
                  <wp:posOffset>4084027</wp:posOffset>
                </wp:positionH>
                <wp:positionV relativeFrom="paragraph">
                  <wp:posOffset>1914427</wp:posOffset>
                </wp:positionV>
                <wp:extent cx="942535" cy="168813"/>
                <wp:effectExtent l="0" t="0" r="0" b="0"/>
                <wp:wrapNone/>
                <wp:docPr id="47" name="Text Box 47"/>
                <wp:cNvGraphicFramePr/>
                <a:graphic xmlns:a="http://schemas.openxmlformats.org/drawingml/2006/main">
                  <a:graphicData uri="http://schemas.microsoft.com/office/word/2010/wordprocessingShape">
                    <wps:wsp>
                      <wps:cNvSpPr txBox="1"/>
                      <wps:spPr>
                        <a:xfrm>
                          <a:off x="0" y="0"/>
                          <a:ext cx="942535" cy="168813"/>
                        </a:xfrm>
                        <a:prstGeom prst="rect">
                          <a:avLst/>
                        </a:prstGeom>
                        <a:solidFill>
                          <a:srgbClr val="FFFFFF"/>
                        </a:solidFill>
                        <a:ln w="6350">
                          <a:noFill/>
                        </a:ln>
                      </wps:spPr>
                      <wps:txbx>
                        <w:txbxContent>
                          <w:p w14:paraId="503B3F1F" w14:textId="77777777" w:rsidR="00F61130" w:rsidRPr="00B23FF8" w:rsidRDefault="00F61130" w:rsidP="00B23FF8">
                            <w:pPr>
                              <w:spacing w:line="240" w:lineRule="auto"/>
                              <w:rPr>
                                <w:rFonts w:ascii="Helvetica" w:hAnsi="Helvetica"/>
                                <w:b/>
                                <w:sz w:val="10"/>
                                <w:szCs w:val="8"/>
                              </w:rPr>
                            </w:pPr>
                            <w:r w:rsidRPr="00B23FF8">
                              <w:rPr>
                                <w:rFonts w:ascii="Helvetica" w:hAnsi="Helvetica"/>
                                <w:b/>
                                <w:sz w:val="10"/>
                                <w:szCs w:val="8"/>
                              </w:rPr>
                              <w:t>T Cell senses environmental changes</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E2717B" id="Text Box 47" o:spid="_x0000_s1102" type="#_x0000_t202" style="position:absolute;margin-left:321.6pt;margin-top:150.75pt;width:74.2pt;height:13.3pt;z-index:252175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PW2qcPwIAAHUEAAAOAAAAZHJzL2Uyb0RvYy54bWysVE1v2zAMvQ/YfxB0X5yPJs2MOEWWIsOA&#13;&#10;oC2QDD0rshwbkEWNUmJnv36UHLddt9OwHBSKpJ70Hkkv7tpas7NCV4HJ+Ggw5EwZCXlljhn/vt98&#13;&#10;mnPmvDC50GBUxi/K8bvlxw+LxqZqDCXoXCEjEOPSxma89N6mSeJkqWrhBmCVoWABWAtPWzwmOYqG&#13;&#10;0GudjIfDWdIA5hZBKufIe98F+TLiF4WS/rEonPJMZ5ze5uOKcT2ENVkuRHpEYctKXp8h/uEVtagM&#13;&#10;XfoCdS+8YCes/oCqK4ngoPADCXUCRVFJFTkQm9HwHZtdKayKXEgcZ19kcv8PVj6cn5BVecZvbjkz&#13;&#10;oqYa7VXr2RdoGblIn8a6lNJ2lhJ9S36qc+935Ay02wLr8E+EGMVJ6cuLugFNkvPzzXg6mXImKTSa&#13;&#10;zeejSUBJXg9bdP6rgpoFI+NIxYuaivPW+S61Twl3OdBVvqm0jhs8HtYa2VlQoTfxd0X/LU0b1mR8&#13;&#10;NpkOI7KBcL6D1oYeE7h2nILl20Mbtbmd9YQPkF9IB4Suk5yVm4peuxXOPwmk1iHqNA7+kZZCA10G&#13;&#10;V4uzEvDn3/whnypKUc4aasWMux8ngYoz/c1QrUPf9gb2xqE3zKleA5Ee0aBZGU06gF73ZoFQP9OU&#13;&#10;rMItFBJG0l0Zlx77zdp3I0FzJtVqFdOoP63wW7OzMoAHkYP6+/ZZoL2WyFNtH6BvU5G+q1SXG04a&#13;&#10;WJ08FFUsY5C20/GqOPV2bITrHIbhebuPWa9fi+UvAAAA//8DAFBLAwQUAAYACAAAACEAOzWfm+MA&#13;&#10;AAAQAQAADwAAAGRycy9kb3ducmV2LnhtbExPTU+EMBC9m/gfmjHxYtzysXaRpWw2Gg96E0i8dmkF&#13;&#10;Ip0S2mXx3zue9DLJzHvzPorDake2mNkPDiXEmwiYwdbpATsJTf1ynwHzQaFWo0Mj4dt4OJTXV4XK&#13;&#10;tbvgu1mq0DESQZ8rCX0IU865b3tjld+4ySBhn262KtA6d1zP6kLiduRJFAlu1YDk0KvJPPWm/arO&#13;&#10;VsLwITLs7nj1+iaa3baul+aYLlLe3qzPexrHPbBg1vD3Ab8dKD+UFOzkzqg9GyWIbZoQVUIaxQ/A&#13;&#10;iLF7jAWwE12SLAZeFvx/kfIHAAD//wMAUEsBAi0AFAAGAAgAAAAhALaDOJL+AAAA4QEAABMAAAAA&#13;&#10;AAAAAAAAAAAAAAAAAFtDb250ZW50X1R5cGVzXS54bWxQSwECLQAUAAYACAAAACEAOP0h/9YAAACU&#13;&#10;AQAACwAAAAAAAAAAAAAAAAAvAQAAX3JlbHMvLnJlbHNQSwECLQAUAAYACAAAACEAD1tqnD8CAAB1&#13;&#10;BAAADgAAAAAAAAAAAAAAAAAuAgAAZHJzL2Uyb0RvYy54bWxQSwECLQAUAAYACAAAACEAOzWfm+MA&#13;&#10;AAAQAQAADwAAAAAAAAAAAAAAAACZBAAAZHJzL2Rvd25yZXYueG1sUEsFBgAAAAAEAAQA8wAAAKkF&#13;&#10;AAAAAA==&#13;&#10;" stroked="f" strokeweight=".5pt">
                <v:textbox inset="0,0,0,0">
                  <w:txbxContent>
                    <w:p w14:paraId="503B3F1F" w14:textId="77777777" w:rsidR="00F61130" w:rsidRPr="00B23FF8" w:rsidRDefault="00F61130" w:rsidP="00B23FF8">
                      <w:pPr>
                        <w:spacing w:line="240" w:lineRule="auto"/>
                        <w:rPr>
                          <w:rFonts w:ascii="Helvetica" w:hAnsi="Helvetica"/>
                          <w:b/>
                          <w:sz w:val="10"/>
                          <w:szCs w:val="8"/>
                        </w:rPr>
                      </w:pPr>
                      <w:r w:rsidRPr="00B23FF8">
                        <w:rPr>
                          <w:rFonts w:ascii="Helvetica" w:hAnsi="Helvetica"/>
                          <w:b/>
                          <w:sz w:val="10"/>
                          <w:szCs w:val="8"/>
                        </w:rPr>
                        <w:t>T Cell senses environmental changes</w:t>
                      </w:r>
                    </w:p>
                  </w:txbxContent>
                </v:textbox>
              </v:shape>
            </w:pict>
          </mc:Fallback>
        </mc:AlternateContent>
      </w:r>
      <w:r>
        <w:rPr>
          <w:noProof/>
        </w:rPr>
        <mc:AlternateContent>
          <mc:Choice Requires="wps">
            <w:drawing>
              <wp:anchor distT="0" distB="0" distL="114300" distR="114300" simplePos="0" relativeHeight="252173312" behindDoc="0" locked="0" layoutInCell="1" allowOverlap="1" wp14:anchorId="7C142038" wp14:editId="41D8066A">
                <wp:simplePos x="0" y="0"/>
                <wp:positionH relativeFrom="column">
                  <wp:posOffset>4681855</wp:posOffset>
                </wp:positionH>
                <wp:positionV relativeFrom="paragraph">
                  <wp:posOffset>1203374</wp:posOffset>
                </wp:positionV>
                <wp:extent cx="555527" cy="294933"/>
                <wp:effectExtent l="0" t="0" r="3810" b="0"/>
                <wp:wrapNone/>
                <wp:docPr id="46" name="Text Box 46"/>
                <wp:cNvGraphicFramePr/>
                <a:graphic xmlns:a="http://schemas.openxmlformats.org/drawingml/2006/main">
                  <a:graphicData uri="http://schemas.microsoft.com/office/word/2010/wordprocessingShape">
                    <wps:wsp>
                      <wps:cNvSpPr txBox="1"/>
                      <wps:spPr>
                        <a:xfrm>
                          <a:off x="0" y="0"/>
                          <a:ext cx="555527" cy="294933"/>
                        </a:xfrm>
                        <a:prstGeom prst="rect">
                          <a:avLst/>
                        </a:prstGeom>
                        <a:solidFill>
                          <a:srgbClr val="FFFFFF"/>
                        </a:solidFill>
                        <a:ln w="6350">
                          <a:noFill/>
                        </a:ln>
                      </wps:spPr>
                      <wps:txbx>
                        <w:txbxContent>
                          <w:p w14:paraId="222074F0" w14:textId="77777777" w:rsidR="00F61130" w:rsidRPr="00B23FF8" w:rsidRDefault="00F61130" w:rsidP="00B23FF8">
                            <w:pPr>
                              <w:spacing w:line="240" w:lineRule="auto"/>
                              <w:jc w:val="center"/>
                              <w:rPr>
                                <w:rFonts w:ascii="Helvetica" w:hAnsi="Helvetica"/>
                                <w:b/>
                                <w:sz w:val="10"/>
                                <w:szCs w:val="8"/>
                              </w:rPr>
                            </w:pPr>
                            <w:r w:rsidRPr="00B23FF8">
                              <w:rPr>
                                <w:rFonts w:ascii="Helvetica" w:hAnsi="Helvetica"/>
                                <w:b/>
                                <w:sz w:val="10"/>
                                <w:szCs w:val="8"/>
                              </w:rPr>
                              <w:t>T Cell senses environmental changes</w:t>
                            </w:r>
                          </w:p>
                        </w:txbxContent>
                      </wps:txbx>
                      <wps:bodyPr rot="0" spcFirstLastPara="0" vertOverflow="overflow" horzOverflow="overflow" vert="horz" wrap="square" lIns="0" tIns="0" rIns="0" bIns="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142038" id="Text Box 46" o:spid="_x0000_s1103" type="#_x0000_t202" style="position:absolute;margin-left:368.65pt;margin-top:94.75pt;width:43.75pt;height:23.2pt;z-index:252173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bottom"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lRhUZPAIAAHMEAAAOAAAAZHJzL2Uyb0RvYy54bWysVE1v2zAMvQ/YfxB0X5yPNmmDOEWWIsOA&#13;&#10;oC2QDD0rshwbkEWNUmJnv36UbKdbt9MwHxSKpJ70HsksHppKs7NCV4JJ+Wgw5EwZCVlpjin/tt98&#13;&#10;uuPMeWEyocGolF+U4w/Ljx8WtZ2rMRSgM4WMQIyb1zblhfd2niROFqoSbgBWGQrmgJXwtMVjkqGo&#13;&#10;Cb3SyXg4nCY1YGYRpHKOvI9tkC8jfp4r6Z/z3CnPdMrpbT6uGNdDWJPlQsyPKGxRyu4Z4h9eUYnS&#13;&#10;0KVXqEfhBTth+QdUVUoEB7kfSKgSyPNSqsiB2IyG79jsCmFV5ELiOHuVyf0/WPl0fkFWZim/mXJm&#13;&#10;REU12qvGs8/QMHKRPrV1c0rbWUr0Dfmpzr3fkTPQbnKswi8RYhQnpS9XdQOaJOctfeMZZ5JC4/ub&#13;&#10;+8kkoCRvhy06/0VBxYKRcqTiRU3Feet8m9qnhLsc6DLblFrHDR4Pa43sLKjQm/h16L+lacPqlE8n&#13;&#10;t8OIbCCcb6G1occEri2nYPnm0ERtZrOe8AGyC+mA0HaSs3JT0mu3wvkXgdQ6RJ3GwT/Tkmugy6Cz&#13;&#10;OCsAf/zNH/KpohTlrKZWTLn7fhKoONNfDdU69G1vYG8cesOcqjUQ6RENmpXRpAPodW/mCNUrTckq&#13;&#10;3EIhYSTdlfJDb659OxA0ZVKtVjGJutMKvzU7KwN0kDhov29eBdquQJ4q+wR9k4r5uzq1ueGkgdXJ&#13;&#10;Q17GIgZhWxU7vamzYxt0UxhG59d9zHr7r1j+BAAA//8DAFBLAwQUAAYACAAAACEApjzpk+MAAAAQ&#13;&#10;AQAADwAAAGRycy9kb3ducmV2LnhtbEyPwW6DQAxE75XyDytH6q1ZAoEAYYmiVu0pl6b9gA04gMp6&#13;&#10;Kbsk9O/rnpqLJWvG43nFfja9uOLoOksK1qsABFJl644aBZ8fr08pCOc11bq3hAp+0MG+XDwUOq/t&#13;&#10;jd7xevKN4BByuVbQej/kUrqqRaPdyg5IrF3saLTndWxkPeobh5tehkGQSKM74g+tHvC5xerrNBkF&#13;&#10;b1P6TZdN7I7rhLpDIrPZHTOlHpfzy47HYQfC4+z/L+CPgftDycXOdqLaiV7BNtpGbGUhzWIQ7EjD&#13;&#10;DROdFYRRnIEsC3kPUv4CAAD//wMAUEsBAi0AFAAGAAgAAAAhALaDOJL+AAAA4QEAABMAAAAAAAAA&#13;&#10;AAAAAAAAAAAAAFtDb250ZW50X1R5cGVzXS54bWxQSwECLQAUAAYACAAAACEAOP0h/9YAAACUAQAA&#13;&#10;CwAAAAAAAAAAAAAAAAAvAQAAX3JlbHMvLnJlbHNQSwECLQAUAAYACAAAACEAZUYVGTwCAABzBAAA&#13;&#10;DgAAAAAAAAAAAAAAAAAuAgAAZHJzL2Uyb0RvYy54bWxQSwECLQAUAAYACAAAACEApjzpk+MAAAAQ&#13;&#10;AQAADwAAAAAAAAAAAAAAAACWBAAAZHJzL2Rvd25yZXYueG1sUEsFBgAAAAAEAAQA8wAAAKYFAAAA&#13;&#10;AA==&#13;&#10;" stroked="f" strokeweight=".5pt">
                <v:textbox inset="0,0,0,0">
                  <w:txbxContent>
                    <w:p w14:paraId="222074F0" w14:textId="77777777" w:rsidR="00F61130" w:rsidRPr="00B23FF8" w:rsidRDefault="00F61130" w:rsidP="00B23FF8">
                      <w:pPr>
                        <w:spacing w:line="240" w:lineRule="auto"/>
                        <w:jc w:val="center"/>
                        <w:rPr>
                          <w:rFonts w:ascii="Helvetica" w:hAnsi="Helvetica"/>
                          <w:b/>
                          <w:sz w:val="10"/>
                          <w:szCs w:val="8"/>
                        </w:rPr>
                      </w:pPr>
                      <w:r w:rsidRPr="00B23FF8">
                        <w:rPr>
                          <w:rFonts w:ascii="Helvetica" w:hAnsi="Helvetica"/>
                          <w:b/>
                          <w:sz w:val="10"/>
                          <w:szCs w:val="8"/>
                        </w:rPr>
                        <w:t>T Cell senses environmental changes</w:t>
                      </w:r>
                    </w:p>
                  </w:txbxContent>
                </v:textbox>
              </v:shape>
            </w:pict>
          </mc:Fallback>
        </mc:AlternateContent>
      </w:r>
      <w:r>
        <w:rPr>
          <w:noProof/>
        </w:rPr>
        <mc:AlternateContent>
          <mc:Choice Requires="wps">
            <w:drawing>
              <wp:anchor distT="0" distB="0" distL="114300" distR="114300" simplePos="0" relativeHeight="252171264" behindDoc="0" locked="0" layoutInCell="1" allowOverlap="1" wp14:anchorId="7FB8336A" wp14:editId="177ADF56">
                <wp:simplePos x="0" y="0"/>
                <wp:positionH relativeFrom="column">
                  <wp:posOffset>4302076</wp:posOffset>
                </wp:positionH>
                <wp:positionV relativeFrom="paragraph">
                  <wp:posOffset>526415</wp:posOffset>
                </wp:positionV>
                <wp:extent cx="935502" cy="182880"/>
                <wp:effectExtent l="0" t="0" r="4445" b="0"/>
                <wp:wrapNone/>
                <wp:docPr id="44" name="Text Box 44"/>
                <wp:cNvGraphicFramePr/>
                <a:graphic xmlns:a="http://schemas.openxmlformats.org/drawingml/2006/main">
                  <a:graphicData uri="http://schemas.microsoft.com/office/word/2010/wordprocessingShape">
                    <wps:wsp>
                      <wps:cNvSpPr txBox="1"/>
                      <wps:spPr>
                        <a:xfrm>
                          <a:off x="0" y="0"/>
                          <a:ext cx="935502" cy="182880"/>
                        </a:xfrm>
                        <a:prstGeom prst="rect">
                          <a:avLst/>
                        </a:prstGeom>
                        <a:solidFill>
                          <a:srgbClr val="FFFFFF"/>
                        </a:solidFill>
                        <a:ln w="6350">
                          <a:noFill/>
                        </a:ln>
                      </wps:spPr>
                      <wps:txbx>
                        <w:txbxContent>
                          <w:p w14:paraId="384B13B6" w14:textId="77777777" w:rsidR="00F61130" w:rsidRPr="00B23FF8" w:rsidRDefault="00F61130" w:rsidP="00B23FF8">
                            <w:pPr>
                              <w:spacing w:line="240" w:lineRule="auto"/>
                              <w:rPr>
                                <w:rFonts w:ascii="Helvetica" w:hAnsi="Helvetica"/>
                                <w:b/>
                                <w:sz w:val="10"/>
                                <w:szCs w:val="8"/>
                              </w:rPr>
                            </w:pPr>
                            <w:r w:rsidRPr="00B23FF8">
                              <w:rPr>
                                <w:rFonts w:ascii="Helvetica" w:hAnsi="Helvetica"/>
                                <w:b/>
                                <w:sz w:val="10"/>
                                <w:szCs w:val="8"/>
                              </w:rPr>
                              <w:t>T Cell senses environmental changes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B8336A" id="Text Box 44" o:spid="_x0000_s1104" type="#_x0000_t202" style="position:absolute;margin-left:338.75pt;margin-top:41.45pt;width:73.65pt;height:14.4pt;z-index:252171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5Au5MPgIAAHMEAAAOAAAAZHJzL2Uyb0RvYy54bWysVN9v2jAQfp+0/8Hy+0igpWMRoWJUTJNQ&#13;&#10;WwmmPhvHIZEcn3c2JOyv39khdOv2NI0Hc75fvvu+u8zvu0azk0JXg8n5eJRypoyEojaHnH/brT/M&#13;&#10;OHNemEJoMCrnZ+X4/eL9u3lrMzWBCnShkFES47LW5rzy3mZJ4mSlGuFGYJUhYwnYCE9XPCQFipay&#13;&#10;NzqZpOld0gIWFkEq50j70Bv5IuYvSyX9U1k65ZnOOdXm44nx3IczWcxFdkBhq1peyhD/UEUjakOP&#13;&#10;XlM9CC/YEes/UjW1RHBQ+pGEJoGyrKWKPVA34/RNN9tKWBV7IXCcvcLk/l9a+Xh6RlYXOb+95cyI&#13;&#10;hjjaqc6zz9AxUhE+rXUZuW0tOfqO9MTzoHekDG13JTbhnxpiZCekz1d0QzZJyk8302k64UySaTyb&#13;&#10;zGYR/eQ12KLzXxQ0LAg5RyIvYipOG+epEHIdXMJbDnRdrGut4wUP+5VGdhJE9Dr+Qo0U8pubNqzN&#13;&#10;+d3NNI2ZDYT43k8bcg+99j0FyXf7LmLzcTY0vIfiTDgg9JPkrFzXVO1GOP8skEaHWqd18E90lBro&#13;&#10;MbhInFWAP/6mD/7EKFk5a2kUc+6+HwUqzvRXQ1yHuR0EHIT9IJhjswJqekyLZmUUKQC9HsQSoXmh&#13;&#10;LVmGV8gkjKS3cu4HceX7haAtk2q5jE40nVb4jdlaGVIHiAP2u+5FoL0Q5InZRxiGVGRveOp9Q6SB&#13;&#10;5dFDWUcSA7A9ihe8abIjUZctDKvz6z16vX4rFj8BAAD//wMAUEsDBBQABgAIAAAAIQBl6ach4gAA&#13;&#10;AA8BAAAPAAAAZHJzL2Rvd25yZXYueG1sTI9BT4NAEIXvJv6HzZh4swtEC1KWxlj7A6QePG7ZKWDZ&#13;&#10;WcpuW/j3jid7mWQy33vzXrGebC8uOPrOkYJ4EYFAqp3pqFHwtds+ZSB80GR07wgVzOhhXd7fFTo3&#13;&#10;7kqfeKlCI9iEfK4VtCEMuZS+btFqv3ADEt8ObrQ68Do20oz6yua2l0kULaXVHfGHVg/43mJ9rM5W&#13;&#10;gUmTUx2O1Vz9bA90mj92zfC9UerxYdqseLytQAScwr8C/jpwfig52N6dyXjRK1im6QujCrLkFQQD&#13;&#10;WfLMhfZMxnEKsizkbY/yFwAA//8DAFBLAQItABQABgAIAAAAIQC2gziS/gAAAOEBAAATAAAAAAAA&#13;&#10;AAAAAAAAAAAAAABbQ29udGVudF9UeXBlc10ueG1sUEsBAi0AFAAGAAgAAAAhADj9If/WAAAAlAEA&#13;&#10;AAsAAAAAAAAAAAAAAAAALwEAAF9yZWxzLy5yZWxzUEsBAi0AFAAGAAgAAAAhALkC7kw+AgAAcwQA&#13;&#10;AA4AAAAAAAAAAAAAAAAALgIAAGRycy9lMm9Eb2MueG1sUEsBAi0AFAAGAAgAAAAhAGXppyHiAAAA&#13;&#10;DwEAAA8AAAAAAAAAAAAAAAAAmAQAAGRycy9kb3ducmV2LnhtbFBLBQYAAAAABAAEAPMAAACnBQAA&#13;&#10;AAA=&#13;&#10;" stroked="f" strokeweight=".5pt">
                <v:textbox inset="0,0,0,0">
                  <w:txbxContent>
                    <w:p w14:paraId="384B13B6" w14:textId="77777777" w:rsidR="00F61130" w:rsidRPr="00B23FF8" w:rsidRDefault="00F61130" w:rsidP="00B23FF8">
                      <w:pPr>
                        <w:spacing w:line="240" w:lineRule="auto"/>
                        <w:rPr>
                          <w:rFonts w:ascii="Helvetica" w:hAnsi="Helvetica"/>
                          <w:b/>
                          <w:sz w:val="10"/>
                          <w:szCs w:val="8"/>
                        </w:rPr>
                      </w:pPr>
                      <w:r w:rsidRPr="00B23FF8">
                        <w:rPr>
                          <w:rFonts w:ascii="Helvetica" w:hAnsi="Helvetica"/>
                          <w:b/>
                          <w:sz w:val="10"/>
                          <w:szCs w:val="8"/>
                        </w:rPr>
                        <w:t>T Cell senses environmental changes</w:t>
                      </w:r>
                    </w:p>
                  </w:txbxContent>
                </v:textbox>
              </v:shape>
            </w:pict>
          </mc:Fallback>
        </mc:AlternateContent>
      </w:r>
      <w:r w:rsidR="00B70ED8">
        <w:rPr>
          <w:noProof/>
        </w:rPr>
        <w:drawing>
          <wp:anchor distT="0" distB="0" distL="114300" distR="114300" simplePos="0" relativeHeight="252122112" behindDoc="0" locked="0" layoutInCell="1" allowOverlap="1" wp14:anchorId="21F26F17" wp14:editId="5FD69D03">
            <wp:simplePos x="0" y="0"/>
            <wp:positionH relativeFrom="column">
              <wp:posOffset>308610</wp:posOffset>
            </wp:positionH>
            <wp:positionV relativeFrom="paragraph">
              <wp:posOffset>31115</wp:posOffset>
            </wp:positionV>
            <wp:extent cx="8536305" cy="4679950"/>
            <wp:effectExtent l="0" t="0" r="0" b="6350"/>
            <wp:wrapTopAndBottom/>
            <wp:docPr id="9" name="Picture 8">
              <a:extLst xmlns:a="http://schemas.openxmlformats.org/drawingml/2006/main">
                <a:ext uri="{FF2B5EF4-FFF2-40B4-BE49-F238E27FC236}">
                  <a16:creationId xmlns:a16="http://schemas.microsoft.com/office/drawing/2014/main" id="{CAE39A52-2B17-0B46-9F7A-CE98DD95927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a:extLst>
                        <a:ext uri="{FF2B5EF4-FFF2-40B4-BE49-F238E27FC236}">
                          <a16:creationId xmlns:a16="http://schemas.microsoft.com/office/drawing/2014/main" id="{CAE39A52-2B17-0B46-9F7A-CE98DD959271}"/>
                        </a:ext>
                      </a:extLst>
                    </pic:cNvPr>
                    <pic:cNvPicPr>
                      <a:picLocks noChangeAspect="1"/>
                    </pic:cNvPicPr>
                  </pic:nvPicPr>
                  <pic:blipFill rotWithShape="1">
                    <a:blip r:embed="rId51">
                      <a:extLst>
                        <a:ext uri="{28A0092B-C50C-407E-A947-70E740481C1C}">
                          <a14:useLocalDpi xmlns:a14="http://schemas.microsoft.com/office/drawing/2010/main" val="0"/>
                        </a:ext>
                      </a:extLst>
                    </a:blip>
                    <a:srcRect l="9027" t="48858" r="8992" b="15334"/>
                    <a:stretch/>
                  </pic:blipFill>
                  <pic:spPr bwMode="auto">
                    <a:xfrm>
                      <a:off x="0" y="0"/>
                      <a:ext cx="8536305" cy="4679950"/>
                    </a:xfrm>
                    <a:prstGeom prst="rect">
                      <a:avLst/>
                    </a:prstGeom>
                    <a:ln>
                      <a:noFill/>
                    </a:ln>
                    <a:extLst>
                      <a:ext uri="{53640926-AAD7-44D8-BBD7-CCE9431645EC}">
                        <a14:shadowObscured xmlns:a14="http://schemas.microsoft.com/office/drawing/2010/main"/>
                      </a:ext>
                    </a:extLst>
                  </pic:spPr>
                </pic:pic>
              </a:graphicData>
            </a:graphic>
          </wp:anchor>
        </w:drawing>
      </w:r>
      <w:r w:rsidR="00B70ED8">
        <w:rPr>
          <w:noProof/>
        </w:rPr>
        <mc:AlternateContent>
          <mc:Choice Requires="wps">
            <w:drawing>
              <wp:anchor distT="0" distB="0" distL="114300" distR="114300" simplePos="0" relativeHeight="252123136" behindDoc="0" locked="0" layoutInCell="1" allowOverlap="1" wp14:anchorId="7B684592" wp14:editId="475273D3">
                <wp:simplePos x="0" y="0"/>
                <wp:positionH relativeFrom="column">
                  <wp:posOffset>308610</wp:posOffset>
                </wp:positionH>
                <wp:positionV relativeFrom="paragraph">
                  <wp:posOffset>4785364</wp:posOffset>
                </wp:positionV>
                <wp:extent cx="8548370" cy="784225"/>
                <wp:effectExtent l="0" t="0" r="0" b="3175"/>
                <wp:wrapTopAndBottom/>
                <wp:docPr id="456" name="Text Box 456"/>
                <wp:cNvGraphicFramePr/>
                <a:graphic xmlns:a="http://schemas.openxmlformats.org/drawingml/2006/main">
                  <a:graphicData uri="http://schemas.microsoft.com/office/word/2010/wordprocessingShape">
                    <wps:wsp>
                      <wps:cNvSpPr txBox="1"/>
                      <wps:spPr>
                        <a:xfrm>
                          <a:off x="0" y="0"/>
                          <a:ext cx="8548370" cy="784225"/>
                        </a:xfrm>
                        <a:prstGeom prst="rect">
                          <a:avLst/>
                        </a:prstGeom>
                        <a:solidFill>
                          <a:prstClr val="white"/>
                        </a:solidFill>
                        <a:ln>
                          <a:noFill/>
                        </a:ln>
                      </wps:spPr>
                      <wps:txbx>
                        <w:txbxContent>
                          <w:p w14:paraId="3D5A636E" w14:textId="77217E11" w:rsidR="00F61130" w:rsidRPr="00432561" w:rsidRDefault="00F61130" w:rsidP="00722E3F">
                            <w:pPr>
                              <w:pStyle w:val="Caption"/>
                              <w:spacing w:line="360" w:lineRule="auto"/>
                              <w:jc w:val="both"/>
                              <w:rPr>
                                <w:sz w:val="20"/>
                                <w:szCs w:val="20"/>
                              </w:rPr>
                            </w:pPr>
                            <w:bookmarkStart w:id="375" w:name="_Ref518570184"/>
                            <w:bookmarkStart w:id="376" w:name="_Toc525227212"/>
                            <w:bookmarkStart w:id="377" w:name="_Toc536814151"/>
                            <w:r w:rsidRPr="00432561">
                              <w:rPr>
                                <w:b/>
                                <w:sz w:val="20"/>
                                <w:szCs w:val="20"/>
                              </w:rPr>
                              <w:t xml:space="preserve">Figure </w:t>
                            </w:r>
                            <w:r>
                              <w:rPr>
                                <w:b/>
                                <w:sz w:val="20"/>
                                <w:szCs w:val="20"/>
                              </w:rPr>
                              <w:fldChar w:fldCharType="begin"/>
                            </w:r>
                            <w:r>
                              <w:rPr>
                                <w:b/>
                                <w:sz w:val="20"/>
                                <w:szCs w:val="20"/>
                              </w:rPr>
                              <w:instrText xml:space="preserve"> STYLEREF 1 \s </w:instrText>
                            </w:r>
                            <w:r>
                              <w:rPr>
                                <w:b/>
                                <w:sz w:val="20"/>
                                <w:szCs w:val="20"/>
                              </w:rPr>
                              <w:fldChar w:fldCharType="separate"/>
                            </w:r>
                            <w:r>
                              <w:rPr>
                                <w:b/>
                                <w:noProof/>
                                <w:sz w:val="20"/>
                                <w:szCs w:val="20"/>
                              </w:rPr>
                              <w:t>4</w:t>
                            </w:r>
                            <w:r>
                              <w:rPr>
                                <w:b/>
                                <w:sz w:val="20"/>
                                <w:szCs w:val="20"/>
                              </w:rPr>
                              <w:fldChar w:fldCharType="end"/>
                            </w:r>
                            <w:r>
                              <w:rPr>
                                <w:b/>
                                <w:sz w:val="20"/>
                                <w:szCs w:val="20"/>
                              </w:rPr>
                              <w:t>.</w:t>
                            </w:r>
                            <w:r>
                              <w:rPr>
                                <w:b/>
                                <w:sz w:val="20"/>
                                <w:szCs w:val="20"/>
                              </w:rPr>
                              <w:fldChar w:fldCharType="begin"/>
                            </w:r>
                            <w:r>
                              <w:rPr>
                                <w:b/>
                                <w:sz w:val="20"/>
                                <w:szCs w:val="20"/>
                              </w:rPr>
                              <w:instrText xml:space="preserve"> SEQ Figure \* ARABIC \s 1 </w:instrText>
                            </w:r>
                            <w:r>
                              <w:rPr>
                                <w:b/>
                                <w:sz w:val="20"/>
                                <w:szCs w:val="20"/>
                              </w:rPr>
                              <w:fldChar w:fldCharType="separate"/>
                            </w:r>
                            <w:r>
                              <w:rPr>
                                <w:b/>
                                <w:noProof/>
                                <w:sz w:val="20"/>
                                <w:szCs w:val="20"/>
                              </w:rPr>
                              <w:t>7</w:t>
                            </w:r>
                            <w:r>
                              <w:rPr>
                                <w:b/>
                                <w:sz w:val="20"/>
                                <w:szCs w:val="20"/>
                              </w:rPr>
                              <w:fldChar w:fldCharType="end"/>
                            </w:r>
                            <w:bookmarkEnd w:id="375"/>
                            <w:r w:rsidRPr="00432561">
                              <w:rPr>
                                <w:b/>
                                <w:sz w:val="20"/>
                                <w:szCs w:val="20"/>
                              </w:rPr>
                              <w:t xml:space="preserve"> - Domain model activity diagram describing the behaviours of a T cell during </w:t>
                            </w:r>
                            <w:r>
                              <w:rPr>
                                <w:b/>
                                <w:sz w:val="20"/>
                                <w:szCs w:val="20"/>
                              </w:rPr>
                              <w:t>h</w:t>
                            </w:r>
                            <w:r w:rsidRPr="009A7602">
                              <w:rPr>
                                <w:b/>
                                <w:sz w:val="20"/>
                                <w:szCs w:val="20"/>
                              </w:rPr>
                              <w:t xml:space="preserve">epatic </w:t>
                            </w:r>
                            <w:r>
                              <w:rPr>
                                <w:b/>
                                <w:sz w:val="20"/>
                                <w:szCs w:val="20"/>
                              </w:rPr>
                              <w:t xml:space="preserve">infection with </w:t>
                            </w:r>
                            <w:r>
                              <w:rPr>
                                <w:b/>
                                <w:i/>
                                <w:sz w:val="20"/>
                                <w:szCs w:val="20"/>
                              </w:rPr>
                              <w:t>L. donovani</w:t>
                            </w:r>
                            <w:r w:rsidRPr="00432561">
                              <w:rPr>
                                <w:b/>
                                <w:sz w:val="20"/>
                                <w:szCs w:val="20"/>
                              </w:rPr>
                              <w:t>.</w:t>
                            </w:r>
                            <w:r w:rsidRPr="00432561">
                              <w:rPr>
                                <w:sz w:val="20"/>
                                <w:szCs w:val="20"/>
                              </w:rPr>
                              <w:t xml:space="preserve"> </w:t>
                            </w:r>
                            <w:r w:rsidRPr="003B2D5F">
                              <w:rPr>
                                <w:sz w:val="20"/>
                              </w:rPr>
                              <w:t>UML</w:t>
                            </w:r>
                            <w:r>
                              <w:rPr>
                                <w:sz w:val="20"/>
                              </w:rPr>
                              <w:t>-like</w:t>
                            </w:r>
                            <w:r w:rsidRPr="003B2D5F">
                              <w:rPr>
                                <w:sz w:val="20"/>
                              </w:rPr>
                              <w:t xml:space="preserve"> </w:t>
                            </w:r>
                            <w:r w:rsidRPr="00432561">
                              <w:rPr>
                                <w:sz w:val="20"/>
                                <w:szCs w:val="20"/>
                              </w:rPr>
                              <w:t>notation of the behaviours and interactions of a T cell in the liver and other sites, here used as a theoretical location alluding to the additional primary infection sites in the murine system such as the spleen.</w:t>
                            </w:r>
                            <w:bookmarkEnd w:id="376"/>
                            <w:bookmarkEnd w:id="377"/>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B684592" id="Text Box 456" o:spid="_x0000_s1105" type="#_x0000_t202" style="position:absolute;margin-left:24.3pt;margin-top:376.8pt;width:673.1pt;height:61.75pt;z-index:2521231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Bs9CNAIAAGwEAAAOAAAAZHJzL2Uyb0RvYy54bWysVMGO2jAQvVfqP1i+lwCFhUaEFWVFVQnt&#13;&#10;rgTVno3jEEu2x7UNCf36jh3Cttueql6c8cx47PfeTBb3rVbkLJyXYAo6GgwpEYZDKc2xoN/2mw9z&#13;&#10;SnxgpmQKjCjoRXh6v3z/btHYXIyhBlUKR7CI8XljC1qHYPMs87wWmvkBWGEwWIHTLODWHbPSsQar&#13;&#10;a5WNh8O7rAFXWgdceI/ehy5Il6l+VQkenqrKi0BUQfFtIa0urYe4ZssFy4+O2Vry6zPYP7xCM2nw&#13;&#10;0lupBxYYOTn5RyktuQMPVRhw0BlUleQiYUA0o+EbNLuaWZGwIDne3mjy/68sfzw/OyLLgk6md5QY&#13;&#10;plGkvWgD+QwtiT5kqLE+x8SdxdTQYgCV7v0enRF4WzkdvwiJYBy5vtz4jeU4OufTyfzjDEMcY7P5&#13;&#10;ZDyexjLZ62nrfPgiQJNoFNShfolWdt760KX2KfEyD0qWG6lU3MTAWjlyZqh1U8sgrsV/y1Im5hqI&#13;&#10;p7qC0ZNFiB2UaIX20CZSZp96nAcoLwjfQddC3vKNxAu3zIdn5rBnEBbOQXjCpVLQFBSuFiU1uB9/&#13;&#10;88d8lBKjlDTYgwX130/MCUrUV4Mix4btDdcbh94wJ70GhDrCCbM8mXjABdWblQP9guOxirdgiBmO&#13;&#10;dxU09OY6dJOA48XFapWSsC0tC1uzszyW7ondty/M2assAQV9hL47Wf5GnS436WNXp4BUJ+kisR2L&#13;&#10;V76xpZP41/GLM/PrPmW9/iSWPwEAAP//AwBQSwMEFAAGAAgAAAAhAFJFxNLnAAAAEAEAAA8AAABk&#13;&#10;cnMvZG93bnJldi54bWxMjzFPwzAQhXck/oN1SCyodUpCEtI4VVVgKEtF2oXNjd04ENuR7bTh33Od&#13;&#10;YDnd6d69e1+5mnRPztL5zhoGi3kERJrGis60DA77t1kOxAduBO+tkQx+pIdVdXtT8kLYi/mQ5zq0&#13;&#10;BE2MLzgDFcJQUOobJTX3cztIg7uTdZoHHF1LheMXNNc9fYyilGreGfyg+CA3Sjbf9agZ7JLPnXoY&#13;&#10;T6/v6yR228O4Sb/amrH7u+lliWW9BBLkFP4u4MqA+aHCYEc7GuFJzyDJU1QyyJ5ibK6C+DlBoiOD&#13;&#10;PMsWQKuS/gepfgEAAP//AwBQSwECLQAUAAYACAAAACEAtoM4kv4AAADhAQAAEwAAAAAAAAAAAAAA&#13;&#10;AAAAAAAAW0NvbnRlbnRfVHlwZXNdLnhtbFBLAQItABQABgAIAAAAIQA4/SH/1gAAAJQBAAALAAAA&#13;&#10;AAAAAAAAAAAAAC8BAABfcmVscy8ucmVsc1BLAQItABQABgAIAAAAIQCZBs9CNAIAAGwEAAAOAAAA&#13;&#10;AAAAAAAAAAAAAC4CAABkcnMvZTJvRG9jLnhtbFBLAQItABQABgAIAAAAIQBSRcTS5wAAABABAAAP&#13;&#10;AAAAAAAAAAAAAAAAAI4EAABkcnMvZG93bnJldi54bWxQSwUGAAAAAAQABADzAAAAogUAAAAA&#13;&#10;" stroked="f">
                <v:textbox style="mso-fit-shape-to-text:t" inset="0,0,0,0">
                  <w:txbxContent>
                    <w:p w14:paraId="3D5A636E" w14:textId="77217E11" w:rsidR="00F61130" w:rsidRPr="00432561" w:rsidRDefault="00F61130" w:rsidP="00722E3F">
                      <w:pPr>
                        <w:pStyle w:val="Caption"/>
                        <w:spacing w:line="360" w:lineRule="auto"/>
                        <w:jc w:val="both"/>
                        <w:rPr>
                          <w:sz w:val="20"/>
                          <w:szCs w:val="20"/>
                        </w:rPr>
                      </w:pPr>
                      <w:bookmarkStart w:id="378" w:name="_Ref518570184"/>
                      <w:bookmarkStart w:id="379" w:name="_Toc525227212"/>
                      <w:bookmarkStart w:id="380" w:name="_Toc536814151"/>
                      <w:r w:rsidRPr="00432561">
                        <w:rPr>
                          <w:b/>
                          <w:sz w:val="20"/>
                          <w:szCs w:val="20"/>
                        </w:rPr>
                        <w:t xml:space="preserve">Figure </w:t>
                      </w:r>
                      <w:r>
                        <w:rPr>
                          <w:b/>
                          <w:sz w:val="20"/>
                          <w:szCs w:val="20"/>
                        </w:rPr>
                        <w:fldChar w:fldCharType="begin"/>
                      </w:r>
                      <w:r>
                        <w:rPr>
                          <w:b/>
                          <w:sz w:val="20"/>
                          <w:szCs w:val="20"/>
                        </w:rPr>
                        <w:instrText xml:space="preserve"> STYLEREF 1 \s </w:instrText>
                      </w:r>
                      <w:r>
                        <w:rPr>
                          <w:b/>
                          <w:sz w:val="20"/>
                          <w:szCs w:val="20"/>
                        </w:rPr>
                        <w:fldChar w:fldCharType="separate"/>
                      </w:r>
                      <w:r>
                        <w:rPr>
                          <w:b/>
                          <w:noProof/>
                          <w:sz w:val="20"/>
                          <w:szCs w:val="20"/>
                        </w:rPr>
                        <w:t>4</w:t>
                      </w:r>
                      <w:r>
                        <w:rPr>
                          <w:b/>
                          <w:sz w:val="20"/>
                          <w:szCs w:val="20"/>
                        </w:rPr>
                        <w:fldChar w:fldCharType="end"/>
                      </w:r>
                      <w:r>
                        <w:rPr>
                          <w:b/>
                          <w:sz w:val="20"/>
                          <w:szCs w:val="20"/>
                        </w:rPr>
                        <w:t>.</w:t>
                      </w:r>
                      <w:r>
                        <w:rPr>
                          <w:b/>
                          <w:sz w:val="20"/>
                          <w:szCs w:val="20"/>
                        </w:rPr>
                        <w:fldChar w:fldCharType="begin"/>
                      </w:r>
                      <w:r>
                        <w:rPr>
                          <w:b/>
                          <w:sz w:val="20"/>
                          <w:szCs w:val="20"/>
                        </w:rPr>
                        <w:instrText xml:space="preserve"> SEQ Figure \* ARABIC \s 1 </w:instrText>
                      </w:r>
                      <w:r>
                        <w:rPr>
                          <w:b/>
                          <w:sz w:val="20"/>
                          <w:szCs w:val="20"/>
                        </w:rPr>
                        <w:fldChar w:fldCharType="separate"/>
                      </w:r>
                      <w:r>
                        <w:rPr>
                          <w:b/>
                          <w:noProof/>
                          <w:sz w:val="20"/>
                          <w:szCs w:val="20"/>
                        </w:rPr>
                        <w:t>7</w:t>
                      </w:r>
                      <w:r>
                        <w:rPr>
                          <w:b/>
                          <w:sz w:val="20"/>
                          <w:szCs w:val="20"/>
                        </w:rPr>
                        <w:fldChar w:fldCharType="end"/>
                      </w:r>
                      <w:bookmarkEnd w:id="378"/>
                      <w:r w:rsidRPr="00432561">
                        <w:rPr>
                          <w:b/>
                          <w:sz w:val="20"/>
                          <w:szCs w:val="20"/>
                        </w:rPr>
                        <w:t xml:space="preserve"> - Domain model activity diagram describing the behaviours of a T cell during </w:t>
                      </w:r>
                      <w:r>
                        <w:rPr>
                          <w:b/>
                          <w:sz w:val="20"/>
                          <w:szCs w:val="20"/>
                        </w:rPr>
                        <w:t>h</w:t>
                      </w:r>
                      <w:r w:rsidRPr="009A7602">
                        <w:rPr>
                          <w:b/>
                          <w:sz w:val="20"/>
                          <w:szCs w:val="20"/>
                        </w:rPr>
                        <w:t xml:space="preserve">epatic </w:t>
                      </w:r>
                      <w:r>
                        <w:rPr>
                          <w:b/>
                          <w:sz w:val="20"/>
                          <w:szCs w:val="20"/>
                        </w:rPr>
                        <w:t xml:space="preserve">infection with </w:t>
                      </w:r>
                      <w:r>
                        <w:rPr>
                          <w:b/>
                          <w:i/>
                          <w:sz w:val="20"/>
                          <w:szCs w:val="20"/>
                        </w:rPr>
                        <w:t>L. donovani</w:t>
                      </w:r>
                      <w:r w:rsidRPr="00432561">
                        <w:rPr>
                          <w:b/>
                          <w:sz w:val="20"/>
                          <w:szCs w:val="20"/>
                        </w:rPr>
                        <w:t>.</w:t>
                      </w:r>
                      <w:r w:rsidRPr="00432561">
                        <w:rPr>
                          <w:sz w:val="20"/>
                          <w:szCs w:val="20"/>
                        </w:rPr>
                        <w:t xml:space="preserve"> </w:t>
                      </w:r>
                      <w:r w:rsidRPr="003B2D5F">
                        <w:rPr>
                          <w:sz w:val="20"/>
                        </w:rPr>
                        <w:t>UML</w:t>
                      </w:r>
                      <w:r>
                        <w:rPr>
                          <w:sz w:val="20"/>
                        </w:rPr>
                        <w:t>-like</w:t>
                      </w:r>
                      <w:r w:rsidRPr="003B2D5F">
                        <w:rPr>
                          <w:sz w:val="20"/>
                        </w:rPr>
                        <w:t xml:space="preserve"> </w:t>
                      </w:r>
                      <w:r w:rsidRPr="00432561">
                        <w:rPr>
                          <w:sz w:val="20"/>
                          <w:szCs w:val="20"/>
                        </w:rPr>
                        <w:t>notation of the behaviours and interactions of a T cell in the liver and other sites, here used as a theoretical location alluding to the additional primary infection sites in the murine system such as the spleen.</w:t>
                      </w:r>
                      <w:bookmarkEnd w:id="379"/>
                      <w:bookmarkEnd w:id="380"/>
                    </w:p>
                  </w:txbxContent>
                </v:textbox>
                <w10:wrap type="topAndBottom"/>
              </v:shape>
            </w:pict>
          </mc:Fallback>
        </mc:AlternateContent>
      </w:r>
    </w:p>
    <w:p w14:paraId="50538854" w14:textId="645FE9EE" w:rsidR="00406E0D" w:rsidRPr="008B3AD6" w:rsidRDefault="00406E0D" w:rsidP="009154C0">
      <w:pPr>
        <w:spacing w:line="360" w:lineRule="auto"/>
        <w:jc w:val="both"/>
      </w:pPr>
      <w:r w:rsidRPr="008B3AD6">
        <w:lastRenderedPageBreak/>
        <w:t>These processes are mirrored within the spleen with the exception that myeloid cells may be lysed upon antigen presentation to T cells activated by PIC (</w:t>
      </w:r>
      <w:r w:rsidRPr="008B3AD6">
        <w:rPr>
          <w:b/>
        </w:rPr>
        <w:t>TC16</w:t>
      </w:r>
      <w:r w:rsidRPr="008B3AD6">
        <w:t>). Kupffer cells are liver specific tissue-resident macrophages and thus do not function as hosts in other sites, in other major infection foci such as the bone marrow and spleen non-Kupffer cell myeloid cells are the host of parasite and can activate CD8</w:t>
      </w:r>
      <w:r w:rsidRPr="001060A4">
        <w:rPr>
          <w:vertAlign w:val="superscript"/>
        </w:rPr>
        <w:t>+</w:t>
      </w:r>
      <w:r w:rsidRPr="008B3AD6">
        <w:t xml:space="preserve"> T cells </w:t>
      </w:r>
      <w:r w:rsidRPr="008B3AD6">
        <w:fldChar w:fldCharType="begin"/>
      </w:r>
      <w:r w:rsidR="00812605" w:rsidRPr="008B3AD6">
        <w:instrText xml:space="preserve"> ADDIN ZOTERO_ITEM CSL_CITATION {"citationID":"FHAfNd8k","properties":{"formattedCitation":"(Joshi et al. 2009)","plainCitation":"(Joshi et al. 2009)","noteIndex":0},"citationItems":[{"id":2597,"uris":["http://zotero.org/users/2628971/items/Q37UBXK6"],"uri":["http://zotero.org/users/2628971/items/Q37UBXK6"],"itemData":{"id":2597,"type":"article-journal","title":"B7-H1 Blockade Increases Survival of Dysfunctional CD8+ T Cells and Confers Protection against Leishmania donovani Infections","container-title":"PLOS Pathogens","volume":"5","issue":"5","source":"PLoS Journals","abstract":"Experimental visceral leishmaniasis (VL) represents an exquisite model to study CD8+ T cell responses in a context of chronic inflammation and antigen persistence, since it is characterized by chronic infection in the spleen and CD8+ T cells are required for the development of protective immunity. However, antigen-specific CD8+ T cell responses in VL have so far not been studied, due to the absence of any defined Leishmania-specific CD8+ T cell epitopes. In this study, transgenic Leishmania donovani parasites expressing ovalbumin were used to characterize the development, function, and fate of Leishmania-specific CD8+ T cell responses. Here we show that L. donovani parasites evade CD8+ T cell responses by limiting their expansion and inducing functional exhaustion and cell death. Dysfunctional CD8+ T cells could be partially rescued by in vivo B7-H1 blockade, which increased CD8+ T cell survival but failed to restore cytokine production. Nevertheless, B7-H1 blockade significantly reduced the splenic parasite burden. These findings could be exploited for the design of new strategies for immunotherapeutic interventions against VL.","URL":"http://journals.plos.org/plospathogens/article?id=10.1371/journal.ppat.1000431","DOI":"10.1371/journal.ppat.1000431","ISSN":"1553-7374","journalAbbreviation":"PLOS Pathogens","language":"en","author":[{"family":"Joshi","given":"Trupti"},{"family":"Rodriguez","given":"Susana"},{"family":"Perovic","given":"Vladimir"},{"family":"Cockburn","given":"Ian A."},{"family":"Stäger","given":"Simona"}],"issued":{"date-parts":[["2009",5,15]]},"accessed":{"date-parts":[["2018",6,13]]}}}],"schema":"https://github.com/citation-style-language/schema/raw/master/csl-citation.json"} </w:instrText>
      </w:r>
      <w:r w:rsidRPr="008B3AD6">
        <w:fldChar w:fldCharType="separate"/>
      </w:r>
      <w:r w:rsidRPr="008B3AD6">
        <w:t>(Joshi et al. 2009)</w:t>
      </w:r>
      <w:r w:rsidRPr="008B3AD6">
        <w:fldChar w:fldCharType="end"/>
      </w:r>
      <w:r w:rsidRPr="008B3AD6">
        <w:t>, resulting in lysis.</w:t>
      </w:r>
    </w:p>
    <w:p w14:paraId="2FA1CC84" w14:textId="322577D1" w:rsidR="00406E0D" w:rsidRPr="008B3AD6" w:rsidRDefault="00406E0D" w:rsidP="009154C0">
      <w:pPr>
        <w:spacing w:line="360" w:lineRule="auto"/>
        <w:jc w:val="both"/>
      </w:pPr>
    </w:p>
    <w:p w14:paraId="6D2FC129" w14:textId="5F030DDD" w:rsidR="00406E0D" w:rsidRPr="008B3AD6" w:rsidRDefault="006B7976" w:rsidP="009154C0">
      <w:pPr>
        <w:spacing w:line="360" w:lineRule="auto"/>
        <w:jc w:val="both"/>
      </w:pPr>
      <w:r w:rsidRPr="001060A4">
        <w:rPr>
          <w:b/>
        </w:rPr>
        <w:fldChar w:fldCharType="begin"/>
      </w:r>
      <w:r w:rsidRPr="001060A4">
        <w:rPr>
          <w:b/>
        </w:rPr>
        <w:instrText xml:space="preserve"> REF _Ref518570392  \* MERGEFORMAT </w:instrText>
      </w:r>
      <w:r w:rsidRPr="001060A4">
        <w:rPr>
          <w:b/>
        </w:rPr>
        <w:fldChar w:fldCharType="separate"/>
      </w:r>
      <w:r w:rsidR="00E5551E" w:rsidRPr="00E5551E">
        <w:rPr>
          <w:b/>
        </w:rPr>
        <w:t>Figure 4.8</w:t>
      </w:r>
      <w:r w:rsidRPr="001060A4">
        <w:rPr>
          <w:b/>
        </w:rPr>
        <w:fldChar w:fldCharType="end"/>
      </w:r>
      <w:r w:rsidR="0075112E" w:rsidRPr="008B3AD6">
        <w:t xml:space="preserve"> </w:t>
      </w:r>
      <w:r w:rsidR="00406E0D" w:rsidRPr="008B3AD6">
        <w:t>represents the classes of T cell that exist within the system. At the onset of infection, the initial state of T cells is to be patrolling and they switch state via the simplified two-signal system discussed above. All inter-state changes require antigenic stimulation (or the lack thereof). Th</w:t>
      </w:r>
      <w:r w:rsidR="00406E0D" w:rsidRPr="001060A4">
        <w:rPr>
          <w:vertAlign w:val="subscript"/>
        </w:rPr>
        <w:t>1</w:t>
      </w:r>
      <w:r w:rsidR="00406E0D" w:rsidRPr="008B3AD6">
        <w:t xml:space="preserve"> cells are those which have been presented antigen by myeloid cells and detected PIC, Th</w:t>
      </w:r>
      <w:r w:rsidR="00406E0D" w:rsidRPr="001060A4">
        <w:rPr>
          <w:vertAlign w:val="subscript"/>
        </w:rPr>
        <w:t>2</w:t>
      </w:r>
      <w:r w:rsidR="00406E0D" w:rsidRPr="008B3AD6">
        <w:t xml:space="preserve"> cells also have antigen presented by myeloid cells but detect modulatory signals and T</w:t>
      </w:r>
      <w:r w:rsidR="00406E0D" w:rsidRPr="001060A4">
        <w:rPr>
          <w:vertAlign w:val="subscript"/>
        </w:rPr>
        <w:t>c</w:t>
      </w:r>
      <w:r w:rsidR="00406E0D" w:rsidRPr="008B3AD6">
        <w:t xml:space="preserve"> cells represent T cells which detect PIC but receive antigen presentation from Kupffer cells. Any T cell entity is removed from the system by either detection of AIC or apoptosis.</w:t>
      </w:r>
    </w:p>
    <w:p w14:paraId="5C124099" w14:textId="13D7DE4B" w:rsidR="00406E0D" w:rsidRPr="008B3AD6" w:rsidRDefault="00406E0D" w:rsidP="009154C0">
      <w:pPr>
        <w:spacing w:line="360" w:lineRule="auto"/>
        <w:jc w:val="both"/>
        <w:rPr>
          <w:b/>
        </w:rPr>
      </w:pPr>
    </w:p>
    <w:p w14:paraId="153BCC9B" w14:textId="23EE1936" w:rsidR="0075112E" w:rsidRPr="008B3AD6" w:rsidRDefault="0075112E" w:rsidP="009154C0">
      <w:pPr>
        <w:spacing w:line="360" w:lineRule="auto"/>
        <w:jc w:val="both"/>
        <w:rPr>
          <w:b/>
        </w:rPr>
      </w:pPr>
    </w:p>
    <w:p w14:paraId="527F2F7C" w14:textId="46D4574C" w:rsidR="0075112E" w:rsidRPr="008B3AD6" w:rsidRDefault="002D2824" w:rsidP="009154C0">
      <w:pPr>
        <w:spacing w:line="360" w:lineRule="auto"/>
        <w:jc w:val="both"/>
        <w:rPr>
          <w:b/>
        </w:rPr>
      </w:pPr>
      <w:r>
        <w:rPr>
          <w:b/>
          <w:noProof/>
        </w:rPr>
        <w:drawing>
          <wp:anchor distT="0" distB="0" distL="114300" distR="114300" simplePos="0" relativeHeight="251199488" behindDoc="0" locked="0" layoutInCell="1" allowOverlap="1" wp14:anchorId="164ED054" wp14:editId="41324988">
            <wp:simplePos x="0" y="0"/>
            <wp:positionH relativeFrom="column">
              <wp:posOffset>191135</wp:posOffset>
            </wp:positionH>
            <wp:positionV relativeFrom="paragraph">
              <wp:posOffset>236855</wp:posOffset>
            </wp:positionV>
            <wp:extent cx="4963160" cy="2843530"/>
            <wp:effectExtent l="0" t="0" r="2540" b="1270"/>
            <wp:wrapTopAndBottom/>
            <wp:docPr id="468" name="Picture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8" name="Picture 468"/>
                    <pic:cNvPicPr>
                      <a:picLocks noChangeAspect="1"/>
                    </pic:cNvPicPr>
                  </pic:nvPicPr>
                  <pic:blipFill rotWithShape="1">
                    <a:blip r:embed="rId52">
                      <a:extLst>
                        <a:ext uri="{28A0092B-C50C-407E-A947-70E740481C1C}">
                          <a14:useLocalDpi xmlns:a14="http://schemas.microsoft.com/office/drawing/2010/main" val="0"/>
                        </a:ext>
                      </a:extLst>
                    </a:blip>
                    <a:srcRect l="13969" t="18012" r="5765" b="17084"/>
                    <a:stretch/>
                  </pic:blipFill>
                  <pic:spPr bwMode="auto">
                    <a:xfrm>
                      <a:off x="0" y="0"/>
                      <a:ext cx="4963160" cy="2843530"/>
                    </a:xfrm>
                    <a:prstGeom prst="rect">
                      <a:avLst/>
                    </a:prstGeom>
                    <a:ln>
                      <a:noFill/>
                    </a:ln>
                    <a:extLst>
                      <a:ext uri="{53640926-AAD7-44D8-BBD7-CCE9431645EC}">
                        <a14:shadowObscured xmlns:a14="http://schemas.microsoft.com/office/drawing/2010/main"/>
                      </a:ext>
                    </a:extLst>
                  </pic:spPr>
                </pic:pic>
              </a:graphicData>
            </a:graphic>
          </wp:anchor>
        </w:drawing>
      </w:r>
      <w:r>
        <w:rPr>
          <w:b/>
          <w:noProof/>
        </w:rPr>
        <mc:AlternateContent>
          <mc:Choice Requires="wps">
            <w:drawing>
              <wp:anchor distT="0" distB="0" distL="114300" distR="114300" simplePos="0" relativeHeight="251200512" behindDoc="0" locked="0" layoutInCell="1" allowOverlap="1" wp14:anchorId="5B25D3A7" wp14:editId="413BC51E">
                <wp:simplePos x="0" y="0"/>
                <wp:positionH relativeFrom="column">
                  <wp:posOffset>-19685</wp:posOffset>
                </wp:positionH>
                <wp:positionV relativeFrom="paragraph">
                  <wp:posOffset>3233420</wp:posOffset>
                </wp:positionV>
                <wp:extent cx="5601970" cy="660400"/>
                <wp:effectExtent l="0" t="0" r="0" b="0"/>
                <wp:wrapTopAndBottom/>
                <wp:docPr id="469" name="Text Box 469"/>
                <wp:cNvGraphicFramePr/>
                <a:graphic xmlns:a="http://schemas.openxmlformats.org/drawingml/2006/main">
                  <a:graphicData uri="http://schemas.microsoft.com/office/word/2010/wordprocessingShape">
                    <wps:wsp>
                      <wps:cNvSpPr txBox="1"/>
                      <wps:spPr>
                        <a:xfrm>
                          <a:off x="0" y="0"/>
                          <a:ext cx="5601970" cy="660400"/>
                        </a:xfrm>
                        <a:prstGeom prst="rect">
                          <a:avLst/>
                        </a:prstGeom>
                        <a:solidFill>
                          <a:prstClr val="white"/>
                        </a:solidFill>
                        <a:ln>
                          <a:noFill/>
                        </a:ln>
                      </wps:spPr>
                      <wps:txbx>
                        <w:txbxContent>
                          <w:p w14:paraId="3C3EB95C" w14:textId="7528F40E" w:rsidR="00F61130" w:rsidRPr="00432561" w:rsidRDefault="00F61130" w:rsidP="00DF4CD3">
                            <w:pPr>
                              <w:pStyle w:val="Caption"/>
                              <w:spacing w:line="360" w:lineRule="auto"/>
                              <w:jc w:val="both"/>
                              <w:rPr>
                                <w:sz w:val="20"/>
                                <w:szCs w:val="20"/>
                              </w:rPr>
                            </w:pPr>
                            <w:bookmarkStart w:id="381" w:name="_Ref518570392"/>
                            <w:bookmarkStart w:id="382" w:name="_Toc525227213"/>
                            <w:bookmarkStart w:id="383" w:name="_Toc536814152"/>
                            <w:r w:rsidRPr="00432561">
                              <w:rPr>
                                <w:b/>
                                <w:sz w:val="20"/>
                                <w:szCs w:val="20"/>
                              </w:rPr>
                              <w:t xml:space="preserve">Figure </w:t>
                            </w:r>
                            <w:r>
                              <w:rPr>
                                <w:b/>
                                <w:sz w:val="20"/>
                                <w:szCs w:val="20"/>
                              </w:rPr>
                              <w:fldChar w:fldCharType="begin"/>
                            </w:r>
                            <w:r>
                              <w:rPr>
                                <w:b/>
                                <w:sz w:val="20"/>
                                <w:szCs w:val="20"/>
                              </w:rPr>
                              <w:instrText xml:space="preserve"> STYLEREF 1 \s </w:instrText>
                            </w:r>
                            <w:r>
                              <w:rPr>
                                <w:b/>
                                <w:sz w:val="20"/>
                                <w:szCs w:val="20"/>
                              </w:rPr>
                              <w:fldChar w:fldCharType="separate"/>
                            </w:r>
                            <w:r>
                              <w:rPr>
                                <w:b/>
                                <w:noProof/>
                                <w:sz w:val="20"/>
                                <w:szCs w:val="20"/>
                              </w:rPr>
                              <w:t>4</w:t>
                            </w:r>
                            <w:r>
                              <w:rPr>
                                <w:b/>
                                <w:sz w:val="20"/>
                                <w:szCs w:val="20"/>
                              </w:rPr>
                              <w:fldChar w:fldCharType="end"/>
                            </w:r>
                            <w:r>
                              <w:rPr>
                                <w:b/>
                                <w:sz w:val="20"/>
                                <w:szCs w:val="20"/>
                              </w:rPr>
                              <w:t>.</w:t>
                            </w:r>
                            <w:r>
                              <w:rPr>
                                <w:b/>
                                <w:sz w:val="20"/>
                                <w:szCs w:val="20"/>
                              </w:rPr>
                              <w:fldChar w:fldCharType="begin"/>
                            </w:r>
                            <w:r>
                              <w:rPr>
                                <w:b/>
                                <w:sz w:val="20"/>
                                <w:szCs w:val="20"/>
                              </w:rPr>
                              <w:instrText xml:space="preserve"> SEQ Figure \* ARABIC \s 1 </w:instrText>
                            </w:r>
                            <w:r>
                              <w:rPr>
                                <w:b/>
                                <w:sz w:val="20"/>
                                <w:szCs w:val="20"/>
                              </w:rPr>
                              <w:fldChar w:fldCharType="separate"/>
                            </w:r>
                            <w:r>
                              <w:rPr>
                                <w:b/>
                                <w:noProof/>
                                <w:sz w:val="20"/>
                                <w:szCs w:val="20"/>
                              </w:rPr>
                              <w:t>8</w:t>
                            </w:r>
                            <w:r>
                              <w:rPr>
                                <w:b/>
                                <w:sz w:val="20"/>
                                <w:szCs w:val="20"/>
                              </w:rPr>
                              <w:fldChar w:fldCharType="end"/>
                            </w:r>
                            <w:bookmarkEnd w:id="381"/>
                            <w:r w:rsidRPr="00432561">
                              <w:rPr>
                                <w:b/>
                                <w:sz w:val="20"/>
                                <w:szCs w:val="20"/>
                              </w:rPr>
                              <w:t xml:space="preserve"> - Domain model state diagram of a T cell during </w:t>
                            </w:r>
                            <w:r>
                              <w:rPr>
                                <w:b/>
                                <w:sz w:val="20"/>
                                <w:szCs w:val="20"/>
                              </w:rPr>
                              <w:t>h</w:t>
                            </w:r>
                            <w:r w:rsidRPr="009A7602">
                              <w:rPr>
                                <w:b/>
                                <w:sz w:val="20"/>
                                <w:szCs w:val="20"/>
                              </w:rPr>
                              <w:t xml:space="preserve">epatic </w:t>
                            </w:r>
                            <w:r>
                              <w:rPr>
                                <w:b/>
                                <w:sz w:val="20"/>
                                <w:szCs w:val="20"/>
                              </w:rPr>
                              <w:t xml:space="preserve">infection with </w:t>
                            </w:r>
                            <w:r>
                              <w:rPr>
                                <w:b/>
                                <w:i/>
                                <w:sz w:val="20"/>
                                <w:szCs w:val="20"/>
                              </w:rPr>
                              <w:t>L. donovani</w:t>
                            </w:r>
                            <w:r w:rsidRPr="00432561">
                              <w:rPr>
                                <w:b/>
                                <w:sz w:val="20"/>
                                <w:szCs w:val="20"/>
                              </w:rPr>
                              <w:t xml:space="preserve">. </w:t>
                            </w:r>
                            <w:r w:rsidRPr="003B2D5F">
                              <w:rPr>
                                <w:sz w:val="20"/>
                              </w:rPr>
                              <w:t>UML</w:t>
                            </w:r>
                            <w:r>
                              <w:rPr>
                                <w:sz w:val="20"/>
                              </w:rPr>
                              <w:t>-like</w:t>
                            </w:r>
                            <w:r w:rsidRPr="003B2D5F">
                              <w:rPr>
                                <w:sz w:val="20"/>
                              </w:rPr>
                              <w:t xml:space="preserve"> </w:t>
                            </w:r>
                            <w:r w:rsidRPr="00432561">
                              <w:rPr>
                                <w:sz w:val="20"/>
                                <w:szCs w:val="20"/>
                              </w:rPr>
                              <w:t>notation of the 4 states that a T cell may be found in during EVL regardless of location, inter-state changes are dependent on antigen and a secondary signal</w:t>
                            </w:r>
                            <w:r>
                              <w:rPr>
                                <w:sz w:val="20"/>
                                <w:szCs w:val="20"/>
                              </w:rPr>
                              <w:t>.</w:t>
                            </w:r>
                            <w:bookmarkEnd w:id="382"/>
                            <w:bookmarkEnd w:id="383"/>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5B25D3A7" id="Text Box 469" o:spid="_x0000_s1106" type="#_x0000_t202" style="position:absolute;left:0;text-align:left;margin-left:-1.55pt;margin-top:254.6pt;width:441.1pt;height:52pt;z-index:2512005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gjsPsNAIAAGwEAAAOAAAAZHJzL2Uyb0RvYy54bWysVMFuGjEQvVfqP1i+l12ilCaIJaJEVJVQ&#13;&#10;EgmqnI3XZi3ZHtc27NKv79jLQpv2VPViZmfG43nvzTB76IwmR+GDAlvR8aikRFgOtbL7in7brj7c&#13;&#10;URIiszXTYEVFTyLQh/n7d7PWTcUNNKBr4QkWsWHauoo2MbppUQTeCMPCCJywGJTgDYv46fdF7VmL&#13;&#10;1Y0ubspyUrTga+eBixDQ+9gH6TzXl1Lw+CxlEJHoimJvMZ8+n7t0FvMZm+49c43i5zbYP3RhmLL4&#13;&#10;6KXUI4uMHLz6o5RR3EMAGUccTAFSKi4yBkQzLt+g2TTMiYwFyQnuQlP4f2X50/HFE1VX9HZyT4ll&#13;&#10;BkXaii6Sz9CR5EOGWhemmLhxmBo7DKDSgz+gMwHvpDfpFyERjCPXpwu/qRxH58dJOb7/hCGOscmk&#13;&#10;vC2zAMX1tvMhfhFgSDIq6lG/TCs7rkPETjB1SEmPBdCqXimt00cKLLUnR4Zat42KIvWIN37L0jbl&#13;&#10;Wki3+nDyFAliDyVZsdt1mZS73GBy7aA+IXwP/QgFx1cKH1yzEF+Yx5lBWLgH8RkPqaGtKJwtShrw&#13;&#10;P/7mT/koJUYpaXEGKxq+H5gXlOivFkVOAzsYfjB2g2EPZgkIdYwb5ng28YKPejClB/OK67FIr2CI&#13;&#10;WY5vVTQO5jL2m4DrxcVikZNwLB2La7txPJUeiN12r8y7sywRBX2CYTrZ9I06fW5P8+IQQaos3ZXF&#13;&#10;M9840lmf8/qlnfn1O2dd/yTmPwEAAP//AwBQSwMEFAAGAAgAAAAhAFTqm0XjAAAADwEAAA8AAABk&#13;&#10;cnMvZG93bnJldi54bWxMT01PwzAMvSPxHyIjcUFb2k6MrWs6wQo3OGxMO3tNaCsap2rStfv3mBNc&#13;&#10;LNnv+X1k28m24mJ63zhSEM8jEIZKpxuqFBw/32YrED4gaWwdGQVX42Gb395kmGo30t5cDqESLEI+&#13;&#10;RQV1CF0qpS9rY9HPXWeIsS/XWwy89pXUPY4sbluZRNFSWmyIHWrszK425fdhsAqWRT+Me9o9FMfX&#13;&#10;d/zoquT0cj0pdX83FRsezxsQwUzh7wN+O3B+yDnY2Q2kvWgVzBYxMxU8RusEBBNWT2u+nNkiXiQg&#13;&#10;80z+75H/AAAA//8DAFBLAQItABQABgAIAAAAIQC2gziS/gAAAOEBAAATAAAAAAAAAAAAAAAAAAAA&#13;&#10;AABbQ29udGVudF9UeXBlc10ueG1sUEsBAi0AFAAGAAgAAAAhADj9If/WAAAAlAEAAAsAAAAAAAAA&#13;&#10;AAAAAAAALwEAAF9yZWxzLy5yZWxzUEsBAi0AFAAGAAgAAAAhAOCOw+w0AgAAbAQAAA4AAAAAAAAA&#13;&#10;AAAAAAAALgIAAGRycy9lMm9Eb2MueG1sUEsBAi0AFAAGAAgAAAAhAFTqm0XjAAAADwEAAA8AAAAA&#13;&#10;AAAAAAAAAAAAjgQAAGRycy9kb3ducmV2LnhtbFBLBQYAAAAABAAEAPMAAACeBQAAAAA=&#13;&#10;" stroked="f">
                <v:textbox inset="0,0,0,0">
                  <w:txbxContent>
                    <w:p w14:paraId="3C3EB95C" w14:textId="7528F40E" w:rsidR="00F61130" w:rsidRPr="00432561" w:rsidRDefault="00F61130" w:rsidP="00DF4CD3">
                      <w:pPr>
                        <w:pStyle w:val="Caption"/>
                        <w:spacing w:line="360" w:lineRule="auto"/>
                        <w:jc w:val="both"/>
                        <w:rPr>
                          <w:sz w:val="20"/>
                          <w:szCs w:val="20"/>
                        </w:rPr>
                      </w:pPr>
                      <w:bookmarkStart w:id="384" w:name="_Ref518570392"/>
                      <w:bookmarkStart w:id="385" w:name="_Toc525227213"/>
                      <w:bookmarkStart w:id="386" w:name="_Toc536814152"/>
                      <w:r w:rsidRPr="00432561">
                        <w:rPr>
                          <w:b/>
                          <w:sz w:val="20"/>
                          <w:szCs w:val="20"/>
                        </w:rPr>
                        <w:t xml:space="preserve">Figure </w:t>
                      </w:r>
                      <w:r>
                        <w:rPr>
                          <w:b/>
                          <w:sz w:val="20"/>
                          <w:szCs w:val="20"/>
                        </w:rPr>
                        <w:fldChar w:fldCharType="begin"/>
                      </w:r>
                      <w:r>
                        <w:rPr>
                          <w:b/>
                          <w:sz w:val="20"/>
                          <w:szCs w:val="20"/>
                        </w:rPr>
                        <w:instrText xml:space="preserve"> STYLEREF 1 \s </w:instrText>
                      </w:r>
                      <w:r>
                        <w:rPr>
                          <w:b/>
                          <w:sz w:val="20"/>
                          <w:szCs w:val="20"/>
                        </w:rPr>
                        <w:fldChar w:fldCharType="separate"/>
                      </w:r>
                      <w:r>
                        <w:rPr>
                          <w:b/>
                          <w:noProof/>
                          <w:sz w:val="20"/>
                          <w:szCs w:val="20"/>
                        </w:rPr>
                        <w:t>4</w:t>
                      </w:r>
                      <w:r>
                        <w:rPr>
                          <w:b/>
                          <w:sz w:val="20"/>
                          <w:szCs w:val="20"/>
                        </w:rPr>
                        <w:fldChar w:fldCharType="end"/>
                      </w:r>
                      <w:r>
                        <w:rPr>
                          <w:b/>
                          <w:sz w:val="20"/>
                          <w:szCs w:val="20"/>
                        </w:rPr>
                        <w:t>.</w:t>
                      </w:r>
                      <w:r>
                        <w:rPr>
                          <w:b/>
                          <w:sz w:val="20"/>
                          <w:szCs w:val="20"/>
                        </w:rPr>
                        <w:fldChar w:fldCharType="begin"/>
                      </w:r>
                      <w:r>
                        <w:rPr>
                          <w:b/>
                          <w:sz w:val="20"/>
                          <w:szCs w:val="20"/>
                        </w:rPr>
                        <w:instrText xml:space="preserve"> SEQ Figure \* ARABIC \s 1 </w:instrText>
                      </w:r>
                      <w:r>
                        <w:rPr>
                          <w:b/>
                          <w:sz w:val="20"/>
                          <w:szCs w:val="20"/>
                        </w:rPr>
                        <w:fldChar w:fldCharType="separate"/>
                      </w:r>
                      <w:r>
                        <w:rPr>
                          <w:b/>
                          <w:noProof/>
                          <w:sz w:val="20"/>
                          <w:szCs w:val="20"/>
                        </w:rPr>
                        <w:t>8</w:t>
                      </w:r>
                      <w:r>
                        <w:rPr>
                          <w:b/>
                          <w:sz w:val="20"/>
                          <w:szCs w:val="20"/>
                        </w:rPr>
                        <w:fldChar w:fldCharType="end"/>
                      </w:r>
                      <w:bookmarkEnd w:id="384"/>
                      <w:r w:rsidRPr="00432561">
                        <w:rPr>
                          <w:b/>
                          <w:sz w:val="20"/>
                          <w:szCs w:val="20"/>
                        </w:rPr>
                        <w:t xml:space="preserve"> - Domain model state diagram of a T cell during </w:t>
                      </w:r>
                      <w:r>
                        <w:rPr>
                          <w:b/>
                          <w:sz w:val="20"/>
                          <w:szCs w:val="20"/>
                        </w:rPr>
                        <w:t>h</w:t>
                      </w:r>
                      <w:r w:rsidRPr="009A7602">
                        <w:rPr>
                          <w:b/>
                          <w:sz w:val="20"/>
                          <w:szCs w:val="20"/>
                        </w:rPr>
                        <w:t xml:space="preserve">epatic </w:t>
                      </w:r>
                      <w:r>
                        <w:rPr>
                          <w:b/>
                          <w:sz w:val="20"/>
                          <w:szCs w:val="20"/>
                        </w:rPr>
                        <w:t xml:space="preserve">infection with </w:t>
                      </w:r>
                      <w:r>
                        <w:rPr>
                          <w:b/>
                          <w:i/>
                          <w:sz w:val="20"/>
                          <w:szCs w:val="20"/>
                        </w:rPr>
                        <w:t>L. donovani</w:t>
                      </w:r>
                      <w:r w:rsidRPr="00432561">
                        <w:rPr>
                          <w:b/>
                          <w:sz w:val="20"/>
                          <w:szCs w:val="20"/>
                        </w:rPr>
                        <w:t xml:space="preserve">. </w:t>
                      </w:r>
                      <w:r w:rsidRPr="003B2D5F">
                        <w:rPr>
                          <w:sz w:val="20"/>
                        </w:rPr>
                        <w:t>UML</w:t>
                      </w:r>
                      <w:r>
                        <w:rPr>
                          <w:sz w:val="20"/>
                        </w:rPr>
                        <w:t>-like</w:t>
                      </w:r>
                      <w:r w:rsidRPr="003B2D5F">
                        <w:rPr>
                          <w:sz w:val="20"/>
                        </w:rPr>
                        <w:t xml:space="preserve"> </w:t>
                      </w:r>
                      <w:r w:rsidRPr="00432561">
                        <w:rPr>
                          <w:sz w:val="20"/>
                          <w:szCs w:val="20"/>
                        </w:rPr>
                        <w:t>notation of the 4 states that a T cell may be found in during EVL regardless of location, inter-state changes are dependent on antigen and a secondary signal</w:t>
                      </w:r>
                      <w:r>
                        <w:rPr>
                          <w:sz w:val="20"/>
                          <w:szCs w:val="20"/>
                        </w:rPr>
                        <w:t>.</w:t>
                      </w:r>
                      <w:bookmarkEnd w:id="385"/>
                      <w:bookmarkEnd w:id="386"/>
                    </w:p>
                  </w:txbxContent>
                </v:textbox>
                <w10:wrap type="topAndBottom"/>
              </v:shape>
            </w:pict>
          </mc:Fallback>
        </mc:AlternateContent>
      </w:r>
    </w:p>
    <w:p w14:paraId="6DE26983" w14:textId="31F2DC7C" w:rsidR="00DF4CD3" w:rsidRPr="008B3AD6" w:rsidRDefault="00DF4CD3" w:rsidP="009154C0">
      <w:pPr>
        <w:spacing w:line="360" w:lineRule="auto"/>
        <w:jc w:val="both"/>
      </w:pPr>
    </w:p>
    <w:p w14:paraId="0C8123A7" w14:textId="77777777" w:rsidR="00DF4CD3" w:rsidRPr="008B3AD6" w:rsidRDefault="00DF4CD3" w:rsidP="009154C0">
      <w:pPr>
        <w:spacing w:line="360" w:lineRule="auto"/>
        <w:jc w:val="both"/>
      </w:pPr>
    </w:p>
    <w:p w14:paraId="51DA022D" w14:textId="77777777" w:rsidR="00DF4CD3" w:rsidRPr="008B3AD6" w:rsidRDefault="00DF4CD3" w:rsidP="009154C0">
      <w:pPr>
        <w:spacing w:line="360" w:lineRule="auto"/>
        <w:jc w:val="both"/>
      </w:pPr>
    </w:p>
    <w:p w14:paraId="43450D6A" w14:textId="067E7EFF" w:rsidR="00406E0D" w:rsidRPr="008B3AD6" w:rsidRDefault="0074700A" w:rsidP="009154C0">
      <w:pPr>
        <w:spacing w:line="360" w:lineRule="auto"/>
        <w:jc w:val="both"/>
      </w:pPr>
      <w:r w:rsidRPr="00007C4A">
        <w:rPr>
          <w:b/>
        </w:rPr>
        <w:lastRenderedPageBreak/>
        <w:fldChar w:fldCharType="begin"/>
      </w:r>
      <w:r w:rsidRPr="00007C4A">
        <w:rPr>
          <w:b/>
        </w:rPr>
        <w:instrText xml:space="preserve"> REF _Ref518570665  \* MERGEFORMAT </w:instrText>
      </w:r>
      <w:r w:rsidRPr="00007C4A">
        <w:rPr>
          <w:b/>
        </w:rPr>
        <w:fldChar w:fldCharType="separate"/>
      </w:r>
      <w:r w:rsidR="00E5551E" w:rsidRPr="00E5551E">
        <w:rPr>
          <w:b/>
        </w:rPr>
        <w:t>Figure 4.9</w:t>
      </w:r>
      <w:r w:rsidRPr="00007C4A">
        <w:rPr>
          <w:b/>
        </w:rPr>
        <w:fldChar w:fldCharType="end"/>
      </w:r>
      <w:r w:rsidR="00406E0D" w:rsidRPr="008B3AD6">
        <w:t xml:space="preserve"> represents the activities of myeloid cells within the </w:t>
      </w:r>
      <w:r w:rsidR="00007C4A">
        <w:t>system. W</w:t>
      </w:r>
      <w:r w:rsidR="00406E0D" w:rsidRPr="008B3AD6">
        <w:t>ithin the domain myeloid cells is used as an umbrella term to aggregate non-</w:t>
      </w:r>
      <w:r w:rsidR="001060A4">
        <w:t>KC</w:t>
      </w:r>
      <w:r w:rsidR="00406E0D" w:rsidRPr="008B3AD6">
        <w:t xml:space="preserve"> myeloid cells, predominantly monocytes, </w:t>
      </w:r>
      <w:r w:rsidR="001060A4">
        <w:t>DCs</w:t>
      </w:r>
      <w:r w:rsidR="00406E0D" w:rsidRPr="008B3AD6">
        <w:t xml:space="preserve"> and neutrophils, into a singular entity. This aggregation is based upon the shared ability of these cell types to be infected with </w:t>
      </w:r>
      <w:r w:rsidR="00406E0D" w:rsidRPr="008B3AD6">
        <w:rPr>
          <w:i/>
        </w:rPr>
        <w:t>Leishmania</w:t>
      </w:r>
      <w:r w:rsidR="00406E0D" w:rsidRPr="008B3AD6">
        <w:t xml:space="preserve">, present antigen and mount a pro-inflammatory immune response in response to infection </w:t>
      </w:r>
      <w:r w:rsidR="00406E0D" w:rsidRPr="008B3AD6">
        <w:rPr>
          <w:i/>
        </w:rPr>
        <w:fldChar w:fldCharType="begin"/>
      </w:r>
      <w:r w:rsidR="00812605" w:rsidRPr="008B3AD6">
        <w:rPr>
          <w:i/>
        </w:rPr>
        <w:instrText xml:space="preserve"> ADDIN ZOTERO_ITEM CSL_CITATION {"citationID":"7d02NK4x","properties":{"formattedCitation":"(Gueirard et al. 2008; Donaghy et al. 2010; Mantovani et al. 2011; Kolaczkowska and Kubes 2013; Terrazas et al. 2017a)","plainCitation":"(Gueirard et al. 2008; Donaghy et al. 2010; Mantovani et al. 2011; Kolaczkowska and Kubes 2013; Terrazas et al. 2017a)","noteIndex":0},"citationItems":[{"id":2735,"uris":["http://zotero.org/users/2628971/items/FWJV2ZT4"],"uri":["http://zotero.org/users/2628971/items/FWJV2ZT4"],"itemData":{"id":2735,"type":"article-journal","title":"Trafficking of Leishmania donovani promastigotes in non-lytic compartments in neutrophils enables the subsequent transfer of parasites to macrophages","container-title":"Cellular Microbiology","page":"100-111","volume":"10","issue":"1","source":"PubMed","abstract":"Inoculation of Leishmania (L.) spp. promastigotes in the dermis of mammals by blood-feeding sand flies can be accompanied by the rapid recruitment of neutrophils, inflammatory monocytes and dendritic cells. Despite the presence of these lytic leucocytes, parasitism is efficiently established. We show here that Leishmania donovani promastigotes are targeted to two different compartments in neutrophils. The compartments harbouring either damaged or non-damaged parasites were characterized at the electron microscopy (EM) level using the glucose 6-phosphatase cytochemistry and endosome-phagosome fusion assays. One involves the contribution of lysosomes leading to the formation of highly lytic compartments where parasites are rapidly degraded. The other is lysosome-independent and involves the contribution of a compartment displaying some features of the endoplasmic reticulum (ER) where parasites are protected from degradation. Using genetically modified parasites, we show that the promastigote surface lipophosphoglycan (LPG) is required to inhibit lysosome fusion and maintain parasites in neutrophil compartments displaying ER features. L. donovani-harbouring neutrophils that eventually enter apoptosis can be phagocytosed by macrophages enabling the stealth entry of parasites into their final replicative host cells. Thus, the ability of L. donovani to avoid trafficking into lysosomes-derived compartments in short-lived neutrophils constitutes a key process for the subsequent establishment of long-term parasitism.","DOI":"10.1111/j.1462-5822.2007.01018.x","ISSN":"1462-5822","note":"PMID: 17651446","journalAbbreviation":"Cell. Microbiol.","language":"eng","author":[{"family":"Gueirard","given":"Pascale"},{"family":"Laplante","given":"Annie"},{"family":"Rondeau","given":"Christiane"},{"family":"Milon","given":"Geneviève"},{"family":"Desjardins","given":"Michel"}],"issued":{"date-parts":[["2008",1]]}}},{"id":2565,"uris":["http://zotero.org/users/2628971/items/AYPZ8FHY"],"uri":["http://zotero.org/users/2628971/items/AYPZ8FHY"],"itemData":{"id":2565,"type":"article-journal","title":"Immunostimulatory Properties of Dendritic Cells after Leishmania donovani Infection Using an In Vitro Model of Liver Microenvironment","container-title":"PLOS Neglected Tropical Diseases","page":"e703","volume":"4","issue":"6","source":"PLoS Journals","abstract":"Background Recent advances demonstrated that liver dendritic cells (DCs) promote immunologic hyporesponsiveness that may contribute to hepatic tolerance. Although there has been significant work on the phenotypic and functional roles of such DCs, the impact of liver microenvironment on the immune properties of infected DC is still poorly explored, probably because of the limitations of modelization. Methodology/Principal Findings Here, we hypothesized that DC tolerogenic properties have an impact on the antimicrobial response, particularly during the infection by the protozoan parasite Leishmania donovani. Indeed, a lymphocytic Th2 environment was reported to favour the growth and proliferation of L. donovani. We first modelized an adequate monocyte-differentiated DC model, either in rat liver epithelial cell- or in a human hepatic non-parenchymal cell-conditioned medium in order to infect them further. We established that DCs differentiated in a hepatic microenvironment displayed a CD14+/CD16+/CD123+ phenotype, secreted low IL-12p70 and had an impaired capacity to stimulate allogeneic T lymphocyte proliferation and IFNγ secretion. We then infected DCs with L. donovani in the in vitro-defined hepatic microenvironment. The infection of hepatic DCs restored their capacity to stimulate allogeneic T-cell proliferation and to induce lymphocytic secretion of IFNγ. Such characteristics were recently shown to favour granuloma formation in mice liver. Conclusions/Significance Our results suggest that the specific immunostimulatory properties of infected hepatic DCs might amplify the granuloma maturation, which warrants the effective control of infection in the liver during visceral leishmaniasis.","DOI":"10.1371/journal.pntd.0000703","ISSN":"1935-2735","journalAbbreviation":"PLOS Neglected Tropical Diseases","language":"en","author":[{"family":"Donaghy","given":"Ludovic"},{"family":"Cabillic","given":"Florian"},{"family":"Corlu","given":"Anne"},{"family":"Rostan","given":"Octavie"},{"family":"Toutirais","given":"Olivier"},{"family":"Guguen-Guillouzo","given":"Christiane"},{"family":"Guiguen","given":"Claude"},{"family":"Gangneux","given":"Jean-Pierre"}],"issued":{"date-parts":[["2010",6,8]]}}},{"id":2762,"uris":["http://zotero.org/users/2628971/items/LWNKHYNJ"],"uri":["http://zotero.org/users/2628971/items/LWNKHYNJ"],"itemData":{"id":2762,"type":"article-journal","title":"Neutrophils in the activation and regulation of innate and adaptive immunity","container-title":"Nature Reviews. Immunology","page":"519-531","volume":"11","issue":"8","source":"PubMed","abstract":"Neutrophils have long been viewed as the final effector cells of an acute inflammatory response, with a primary role in the clearance of extracellular pathogens. However, more recent evidence has extended the functions of these cells. The newly discovered repertoire of effector molecules in the neutrophil armamentarium includes a broad array of cytokines, extracellular traps and effector molecules of the humoral arm of the innate immune system. In addition, neutrophils are involved in the activation, regulation and effector functions of innate and adaptive immune cells. Accordingly, neutrophils have a crucial role in the pathogenesis of a broad range of diseases, including infections caused by intracellular pathogens, autoimmunity, chronic inflammation and cancer.","DOI":"10.1038/nri3024","ISSN":"1474-1741","note":"PMID: 21785456","journalAbbreviation":"Nat. Rev. Immunol.","language":"eng","author":[{"family":"Mantovani","given":"Alberto"},{"family":"Cassatella","given":"Marco A."},{"family":"Costantini","given":"Claudio"},{"family":"Jaillon","given":"Sébastien"}],"issued":{"date-parts":[["2011",7,25]]}}},{"id":2750,"uris":["http://zotero.org/users/2628971/items/9HMHF33D"],"uri":["http://zotero.org/users/2628971/items/9HMHF33D"],"itemData":{"id":2750,"type":"article-journal","title":"Neutrophil recruitment and function in health and inflammation","container-title":"Nature Reviews. Immunology","page":"159-175","volume":"13","issue":"3","source":"PubMed","abstract":"Neutrophils have traditionally been thought of as simple foot soldiers of the innate immune system with a restricted set of pro-inflammatory functions. More recently, it has become apparent that neutrophils are, in fact, complex cells capable of a vast array of specialized functions. Although neutrophils are undoubtedly major effectors of acute inflammation, several lines of evidence indicate that they also contribute to chronic inflammatory conditions and adaptive immune responses. Here, we discuss the key features of the life of a neutrophil, from its release from bone marrow to its death. We discuss the possible existence of different neutrophil subsets and their putative anti-inflammatory roles. We focus on how neutrophils are recruited to infected or injured tissues and describe differences in neutrophil recruitment between different tissues. Finally, we explain the mechanisms that are used by neutrophils to promote protective or pathological immune responses at different sites.","DOI":"10.1038/nri3399","ISSN":"1474-1741","note":"PMID: 23435331","journalAbbreviation":"Nat. Rev. Immunol.","language":"eng","author":[{"family":"Kolaczkowska","given":"Elzbieta"},{"family":"Kubes","given":"Paul"}],"issued":{"date-parts":[["2013",3]]}}},{"id":2611,"uris":["http://zotero.org/users/2628971/items/W4GCPYY8"],"uri":["http://zotero.org/users/2628971/items/W4GCPYY8"],"itemData":{"id":2611,"type":"article-journal","title":"Ly6C hi inflammatory monocytes promote susceptibility to Leishmania donovani infection","container-title":"Scientific Reports","page":"14693","volume":"7","issue":"1","source":"www.nature.com","abstract":"Ly6Chi inflammatory monocytes (iMO) are critical for host defense against toxoplasmosis and malaria but their role in leishmaniasis is unclear. In this study, we report a detrimental role of Ly6Chi iMOs in visceral leishmaniasis (VL) caused by Leishmania donovani. We demonstrate that Ly6Chi iMOs are continuously recruited into the spleen and liver during L. donovani infection and they are preferential targets for the parasite. Using microarray-based gene expression profiling, we show that Ly6Chi iMOs isolated from the infected liver and spleen have distinct phenotypic and activation profiles. Furthermore, we demonstrate that blocking the recruitment of Ly6Chi iMOs into the liver and spleen during L. donovani infection using a CCR2 antagonist reduces the frequency of the pathogenic IFN-γ/IL10 dual producer CD4+ T cells in the spleen and leads to a significant reduction in parasite loads in the liver and spleen. Using STAT1−/− mice we show that STAT1 is critical for mediating the recruitment of Ly6Chi iMOs into organs during L. donovani infection, and adaptive transfer of wild type Ly6Chi iMOs into STAT1−/− recipients renders them susceptible to disease. Our findings reveal an unexpected pathogenic role for Ly6Chi iMOs in promoting parasite survival in VL and open the possibility of targeting this population for host-directed therapy during VL.","DOI":"10.1038/s41598-017-14935-3","ISSN":"2045-2322","language":"en","author":[{"family":"Terrazas","given":"Cesar"},{"family":"Varikuti","given":"Sanjay"},{"family":"Oghumu","given":"Steve"},{"family":"Steinkamp","given":"Heidi M."},{"family":"Ardic","given":"Nurittin"},{"family":"Kimble","given":"Jennifer"},{"family":"Nakhasi","given":"Hira"},{"family":"Satoskar","given":"Abhay R."}],"issued":{"date-parts":[["2017",10,31]]}}}],"schema":"https://github.com/citation-style-language/schema/raw/master/csl-citation.json"} </w:instrText>
      </w:r>
      <w:r w:rsidR="00406E0D" w:rsidRPr="008B3AD6">
        <w:rPr>
          <w:i/>
        </w:rPr>
        <w:fldChar w:fldCharType="separate"/>
      </w:r>
      <w:r w:rsidR="00812605" w:rsidRPr="008B3AD6">
        <w:t>(Gueirard et al. 2008; Donaghy et al. 2010; Mantovani et al. 2011; Kolaczkowska and K</w:t>
      </w:r>
      <w:r w:rsidR="00E5551E">
        <w:t>ubes 2013; Terrazas et al. 2017</w:t>
      </w:r>
      <w:r w:rsidR="00812605" w:rsidRPr="008B3AD6">
        <w:t>)</w:t>
      </w:r>
      <w:r w:rsidR="00406E0D" w:rsidRPr="008B3AD6">
        <w:rPr>
          <w:i/>
        </w:rPr>
        <w:fldChar w:fldCharType="end"/>
      </w:r>
      <w:r w:rsidR="00406E0D" w:rsidRPr="008B3AD6">
        <w:t>.</w:t>
      </w:r>
    </w:p>
    <w:p w14:paraId="4B20818F" w14:textId="6DCB2592" w:rsidR="00406E0D" w:rsidRPr="008B3AD6" w:rsidRDefault="00406E0D" w:rsidP="009154C0">
      <w:pPr>
        <w:spacing w:line="360" w:lineRule="auto"/>
        <w:jc w:val="both"/>
      </w:pPr>
    </w:p>
    <w:p w14:paraId="391733ED" w14:textId="6FEE09C9" w:rsidR="00406E0D" w:rsidRPr="008B3AD6" w:rsidRDefault="00406E0D" w:rsidP="009154C0">
      <w:pPr>
        <w:spacing w:line="360" w:lineRule="auto"/>
        <w:jc w:val="both"/>
      </w:pPr>
      <w:r w:rsidRPr="008B3AD6">
        <w:t>Myeloid cells are initialised as patrolling entities (</w:t>
      </w:r>
      <w:r w:rsidR="001060A4" w:rsidRPr="00007C4A">
        <w:rPr>
          <w:b/>
        </w:rPr>
        <w:fldChar w:fldCharType="begin"/>
      </w:r>
      <w:r w:rsidR="001060A4" w:rsidRPr="00007C4A">
        <w:rPr>
          <w:b/>
        </w:rPr>
        <w:instrText xml:space="preserve"> REF _Ref518570665  \* MERGEFORMAT </w:instrText>
      </w:r>
      <w:r w:rsidR="001060A4" w:rsidRPr="00007C4A">
        <w:rPr>
          <w:b/>
        </w:rPr>
        <w:fldChar w:fldCharType="separate"/>
      </w:r>
      <w:r w:rsidR="00E5551E" w:rsidRPr="00E5551E">
        <w:rPr>
          <w:b/>
        </w:rPr>
        <w:t>Figure 4.9</w:t>
      </w:r>
      <w:r w:rsidR="001060A4" w:rsidRPr="00007C4A">
        <w:rPr>
          <w:b/>
        </w:rPr>
        <w:fldChar w:fldCharType="end"/>
      </w:r>
      <w:r w:rsidR="001060A4">
        <w:rPr>
          <w:b/>
        </w:rPr>
        <w:t xml:space="preserve"> - </w:t>
      </w:r>
      <w:r w:rsidRPr="008B3AD6">
        <w:rPr>
          <w:b/>
        </w:rPr>
        <w:t>MC1, MC13</w:t>
      </w:r>
      <w:r w:rsidRPr="008B3AD6">
        <w:t xml:space="preserve">). If they encounter extracellular </w:t>
      </w:r>
      <w:r w:rsidRPr="008B3AD6">
        <w:rPr>
          <w:i/>
        </w:rPr>
        <w:t>L. donovani</w:t>
      </w:r>
      <w:r w:rsidRPr="008B3AD6">
        <w:t xml:space="preserve"> phagocytosis can occur (</w:t>
      </w:r>
      <w:r w:rsidRPr="008B3AD6">
        <w:rPr>
          <w:b/>
        </w:rPr>
        <w:t>MC2, MC16</w:t>
      </w:r>
      <w:r w:rsidRPr="008B3AD6">
        <w:t>) leading to myeloid cell infection (</w:t>
      </w:r>
      <w:r w:rsidRPr="008B3AD6">
        <w:rPr>
          <w:b/>
        </w:rPr>
        <w:t>MC8, MC20</w:t>
      </w:r>
      <w:r w:rsidRPr="008B3AD6">
        <w:t>). Resultantly, the myeloid cell may be lysed by T cells (</w:t>
      </w:r>
      <w:r w:rsidRPr="008B3AD6">
        <w:rPr>
          <w:b/>
        </w:rPr>
        <w:t>MC9, MC21</w:t>
      </w:r>
      <w:r w:rsidRPr="008B3AD6">
        <w:t xml:space="preserve">) </w:t>
      </w:r>
      <w:r w:rsidRPr="008B3AD6">
        <w:fldChar w:fldCharType="begin"/>
      </w:r>
      <w:r w:rsidR="00812605" w:rsidRPr="008B3AD6">
        <w:instrText xml:space="preserve"> ADDIN ZOTERO_ITEM CSL_CITATION {"citationID":"nHu2W6ZR","properties":{"formattedCitation":"(L. E. Smith, Rodrigues, and Russell 1991)","plainCitation":"(L. E. Smith, Rodrigues, and Russell 1991)","noteIndex":0},"citationItems":[{"id":2767,"uris":["http://zotero.org/users/2628971/items/RHEYF3Y3"],"uri":["http://zotero.org/users/2628971/items/RHEYF3Y3"],"itemData":{"id":2767,"type":"article-journal","title":"The interaction between CD8+ cytotoxic T cells and Leishmania-infected macrophages","container-title":"The Journal of Experimental Medicine","page":"499-505","volume":"174","issue":"3","source":"PubMed","abstract":"Leishmania is resident within the macrophages of its vertebrate host. In any intramacrophage infection, where the pathogen is present in a form capable of mediating cell to cell transmission, the contribution of a cytotoxic T cell response to protective immunity is questionable. This study presents data from an in vitro model designed to elucidate the outcome of an interaction between CD8+, cytotoxic T cells and infected macrophages. Experiments were conducted with an H-2d-restricted, cytotoxic CD8+ T cell clone and Leishmania parasites present in mixed macrophage cultures, with the parasites confined to either histocompatible BALB/c macrophages, or incompatible CBA macrophages. Initial experiments indicated that the viability of Leishmania was unaffected by the lysis of its host macrophage by cytotoxic T cells. However, extended experiments showed that the parasites were killed between 24 and 72 h. The same results were obtained regardless of whether the parasites were resident in the target, BALB/c, macrophages or the bystander, CBA, macrophages. Addition of neutralizing, anti-IFN-g antibody to the cultures ablated most of the leishmanicidal behavior, indicating that parasite death was attributable to macrophage activation, resulting from cytokine secretion from the T cells following the initial recognition event.","ISSN":"0022-1007","note":"PMID: 1908507\nPMCID: PMC2118943","journalAbbreviation":"J. Exp. Med.","language":"eng","author":[{"family":"Smith","given":"L. E."},{"family":"Rodrigues","given":"M."},{"family":"Russell","given":"D. G."}],"issued":{"date-parts":[["1991",9,1]]}}}],"schema":"https://github.com/citation-style-language/schema/raw/master/csl-citation.json"} </w:instrText>
      </w:r>
      <w:r w:rsidRPr="008B3AD6">
        <w:fldChar w:fldCharType="separate"/>
      </w:r>
      <w:r w:rsidR="00E5551E">
        <w:t>(</w:t>
      </w:r>
      <w:r w:rsidR="00812605" w:rsidRPr="008B3AD6">
        <w:t>Smith, Rodrigues, and Russell 1991)</w:t>
      </w:r>
      <w:r w:rsidRPr="008B3AD6">
        <w:fldChar w:fldCharType="end"/>
      </w:r>
      <w:r w:rsidRPr="008B3AD6">
        <w:t xml:space="preserve"> or produce enough anti-leishmanial compounds to kill the intracellular parasite (</w:t>
      </w:r>
      <w:r w:rsidRPr="008B3AD6">
        <w:rPr>
          <w:b/>
        </w:rPr>
        <w:t>MC10, MC22</w:t>
      </w:r>
      <w:r w:rsidRPr="008B3AD6">
        <w:t>). If parasite killing occurs, then the myeloid cell can process and present antigen (</w:t>
      </w:r>
      <w:r w:rsidRPr="008B3AD6">
        <w:rPr>
          <w:b/>
        </w:rPr>
        <w:t>MC12, MC24</w:t>
      </w:r>
      <w:r w:rsidRPr="008B3AD6">
        <w:t xml:space="preserve">) </w:t>
      </w:r>
      <w:r w:rsidRPr="008B3AD6">
        <w:fldChar w:fldCharType="begin"/>
      </w:r>
      <w:r w:rsidR="00812605" w:rsidRPr="008B3AD6">
        <w:instrText xml:space="preserve"> ADDIN ZOTERO_ITEM CSL_CITATION {"citationID":"XBMTS3CW","properties":{"formattedCitation":"(L. E. Smith, Rodrigues, and Russell 1991)","plainCitation":"(L. E. Smith, Rodrigues, and Russell 1991)","noteIndex":0},"citationItems":[{"id":2767,"uris":["http://zotero.org/users/2628971/items/RHEYF3Y3"],"uri":["http://zotero.org/users/2628971/items/RHEYF3Y3"],"itemData":{"id":2767,"type":"article-journal","title":"The interaction between CD8+ cytotoxic T cells and Leishmania-infected macrophages","container-title":"The Journal of Experimental Medicine","page":"499-505","volume":"174","issue":"3","source":"PubMed","abstract":"Leishmania is resident within the macrophages of its vertebrate host. In any intramacrophage infection, where the pathogen is present in a form capable of mediating cell to cell transmission, the contribution of a cytotoxic T cell response to protective immunity is questionable. This study presents data from an in vitro model designed to elucidate the outcome of an interaction between CD8+, cytotoxic T cells and infected macrophages. Experiments were conducted with an H-2d-restricted, cytotoxic CD8+ T cell clone and Leishmania parasites present in mixed macrophage cultures, with the parasites confined to either histocompatible BALB/c macrophages, or incompatible CBA macrophages. Initial experiments indicated that the viability of Leishmania was unaffected by the lysis of its host macrophage by cytotoxic T cells. However, extended experiments showed that the parasites were killed between 24 and 72 h. The same results were obtained regardless of whether the parasites were resident in the target, BALB/c, macrophages or the bystander, CBA, macrophages. Addition of neutralizing, anti-IFN-g antibody to the cultures ablated most of the leishmanicidal behavior, indicating that parasite death was attributable to macrophage activation, resulting from cytokine secretion from the T cells following the initial recognition event.","ISSN":"0022-1007","note":"PMID: 1908507\nPMCID: PMC2118943","journalAbbreviation":"J. Exp. Med.","language":"eng","author":[{"family":"Smith","given":"L. E."},{"family":"Rodrigues","given":"M."},{"family":"Russell","given":"D. G."}],"issued":{"date-parts":[["1991",9,1]]}}}],"schema":"https://github.com/citation-style-language/schema/raw/master/csl-citation.json"} </w:instrText>
      </w:r>
      <w:r w:rsidRPr="008B3AD6">
        <w:fldChar w:fldCharType="separate"/>
      </w:r>
      <w:r w:rsidR="00E5551E">
        <w:t>(</w:t>
      </w:r>
      <w:r w:rsidR="00812605" w:rsidRPr="008B3AD6">
        <w:t>Smith, Rodrigues, and Russell 1991)</w:t>
      </w:r>
      <w:r w:rsidRPr="008B3AD6">
        <w:fldChar w:fldCharType="end"/>
      </w:r>
      <w:r w:rsidRPr="008B3AD6">
        <w:t>. However, if the amastigote has replicated beyond the carrying capacity of the myeloid cell then it may burst before it can mount a response against the parasite (</w:t>
      </w:r>
      <w:r w:rsidRPr="008B3AD6">
        <w:rPr>
          <w:b/>
        </w:rPr>
        <w:t>MC11, MC23</w:t>
      </w:r>
      <w:r w:rsidRPr="008B3AD6">
        <w:t>).</w:t>
      </w:r>
    </w:p>
    <w:p w14:paraId="281C518D" w14:textId="6171685C" w:rsidR="00985675" w:rsidRPr="008B3AD6" w:rsidRDefault="00985675" w:rsidP="009154C0">
      <w:pPr>
        <w:spacing w:line="360" w:lineRule="auto"/>
        <w:jc w:val="both"/>
      </w:pPr>
    </w:p>
    <w:p w14:paraId="552348A0" w14:textId="0310C034" w:rsidR="00722E3F" w:rsidRDefault="00985675" w:rsidP="009154C0">
      <w:pPr>
        <w:spacing w:line="360" w:lineRule="auto"/>
        <w:jc w:val="both"/>
        <w:sectPr w:rsidR="00722E3F" w:rsidSect="00E44977">
          <w:pgSz w:w="11900" w:h="16840"/>
          <w:pgMar w:top="1134" w:right="851" w:bottom="1134" w:left="2268" w:header="709" w:footer="709" w:gutter="0"/>
          <w:cols w:space="708"/>
          <w:docGrid w:linePitch="360"/>
        </w:sectPr>
      </w:pPr>
      <w:r w:rsidRPr="008B3AD6">
        <w:t>Myeloid cells may proliferate within other sites (</w:t>
      </w:r>
      <w:r w:rsidRPr="008B3AD6">
        <w:rPr>
          <w:b/>
        </w:rPr>
        <w:t>MC25</w:t>
      </w:r>
      <w:r w:rsidRPr="008B3AD6">
        <w:t xml:space="preserve">) but are not assumed to proliferate within the liver, representing the replenishment of circulating myeloid cells from the bone marrow </w:t>
      </w:r>
      <w:r w:rsidRPr="008B3AD6">
        <w:fldChar w:fldCharType="begin"/>
      </w:r>
      <w:r w:rsidR="00812605" w:rsidRPr="008B3AD6">
        <w:instrText xml:space="preserve"> ADDIN ZOTERO_ITEM CSL_CITATION {"citationID":"wjtuuz9b","properties":{"formattedCitation":"(Perry 1971; Patel et al. 2017)","plainCitation":"(Perry 1971; Patel et al. 2017)","noteIndex":0},"citationItems":[{"id":2741,"uris":["http://zotero.org/users/2628971/items/3P6P8J2N"],"uri":["http://zotero.org/users/2628971/items/3P6P8J2N"],"itemData":{"id":2741,"type":"article-journal","title":"Proliferation of myeloid cells","container-title":"Annual Review of Medicine","page":"171-184","volume":"22","source":"PubMed","DOI":"10.1146/annurev.me.22.020171.001131","ISSN":"0066-4219","note":"PMID: 4944413","journalAbbreviation":"Annu. Rev. Med.","language":"eng","author":[{"family":"Perry","given":"S."}],"issued":{"date-parts":[["1971"]]}}},{"id":2618,"uris":["http://zotero.org/users/2628971/items/YCS6T4B9"],"uri":["http://zotero.org/users/2628971/items/YCS6T4B9"],"itemData":{"id":2618,"type":"article-journal","title":"The fate and lifespan of human monocyte subsets in steady state and systemic inflammation","container-title":"The Journal of Experimental Medicine","page":"1913-1923","volume":"214","issue":"7","source":"PubMed","abstract":"In humans, the monocyte pool comprises three subsets (classical, intermediate, and nonclassical) that circulate in dynamic equilibrium. The kinetics underlying their generation, differentiation, and disappearance are critical to understanding both steady-state homeostasis and inflammatory responses. Here, using human in vivo deuterium labeling, we demonstrate that classical monocytes emerge first from marrow, after a postmitotic interval of 1.6 d, and circulate for a day. Subsequent labeling of intermediate and nonclassical monocytes is consistent with a model of sequential transition. Intermediate and nonclassical monocytes have longer circulating lifespans (</w:instrText>
      </w:r>
      <w:r w:rsidR="00812605" w:rsidRPr="008B3AD6">
        <w:rPr>
          <w:rFonts w:ascii="Cambria Math" w:hAnsi="Cambria Math" w:cs="Cambria Math"/>
        </w:rPr>
        <w:instrText>∼</w:instrText>
      </w:r>
      <w:r w:rsidR="00812605" w:rsidRPr="008B3AD6">
        <w:instrText xml:space="preserve">4 and </w:instrText>
      </w:r>
      <w:r w:rsidR="00812605" w:rsidRPr="008B3AD6">
        <w:rPr>
          <w:rFonts w:ascii="Cambria Math" w:hAnsi="Cambria Math" w:cs="Cambria Math"/>
        </w:rPr>
        <w:instrText>∼</w:instrText>
      </w:r>
      <w:r w:rsidR="00812605" w:rsidRPr="008B3AD6">
        <w:instrText xml:space="preserve">7 d, respectively). In a human experimental endotoxemia model, a transient but profound monocytopenia was observed; restoration of circulating monocytes was achieved by the early release of classical monocytes from bone marrow. The sequence of repopulation recapitulated the order of maturation in healthy homeostasis. This developmental relationship between monocyte subsets was verified by fate mapping grafted human classical monocytes into humanized mice, which were able to differentiate sequentially into intermediate and nonclassical cells.","DOI":"10.1084/jem.20170355","ISSN":"1540-9538","note":"PMID: 28606987\nPMCID: PMC5502436","journalAbbreviation":"J. Exp. Med.","language":"eng","author":[{"family":"Patel","given":"Amit A."},{"family":"Zhang","given":"Yan"},{"family":"Fullerton","given":"James N."},{"family":"Boelen","given":"Lies"},{"family":"Rongvaux","given":"Anthony"},{"family":"Maini","given":"Alexander A."},{"family":"Bigley","given":"Venetia"},{"family":"Flavell","given":"Richard A."},{"family":"Gilroy","given":"Derek W."},{"family":"Asquith","given":"Becca"},{"family":"Macallan","given":"Derek"},{"family":"Yona","given":"Simon"}],"issued":{"date-parts":[["2017",7,3]]}}}],"schema":"https://github.com/citation-style-language/schema/raw/master/csl-citation.json"} </w:instrText>
      </w:r>
      <w:r w:rsidRPr="008B3AD6">
        <w:fldChar w:fldCharType="separate"/>
      </w:r>
      <w:r w:rsidRPr="008B3AD6">
        <w:t>(Perry 1971; Patel et al. 2017)</w:t>
      </w:r>
      <w:r w:rsidRPr="008B3AD6">
        <w:fldChar w:fldCharType="end"/>
      </w:r>
      <w:r w:rsidRPr="008B3AD6">
        <w:t>. Upon detection of pro-inflammatory signals (</w:t>
      </w:r>
      <w:r w:rsidRPr="008B3AD6">
        <w:rPr>
          <w:b/>
        </w:rPr>
        <w:t>MC3, MC15</w:t>
      </w:r>
      <w:r w:rsidRPr="008B3AD6">
        <w:t>) myeloid cells will produce recruitment factors (</w:t>
      </w:r>
      <w:r w:rsidRPr="008B3AD6">
        <w:rPr>
          <w:b/>
        </w:rPr>
        <w:t>MC5, MC17</w:t>
      </w:r>
      <w:r w:rsidRPr="008B3AD6">
        <w:t>), pro-inflammatory signals (</w:t>
      </w:r>
      <w:r w:rsidRPr="008B3AD6">
        <w:rPr>
          <w:b/>
        </w:rPr>
        <w:t>MC6, MC18</w:t>
      </w:r>
      <w:r w:rsidRPr="008B3AD6">
        <w:t>) and anti-leishmanial compounds (</w:t>
      </w:r>
      <w:r w:rsidRPr="008B3AD6">
        <w:rPr>
          <w:b/>
        </w:rPr>
        <w:t>MC7, MC19</w:t>
      </w:r>
      <w:r w:rsidRPr="008B3AD6">
        <w:t xml:space="preserve">) </w:t>
      </w:r>
      <w:r w:rsidRPr="008B3AD6">
        <w:fldChar w:fldCharType="begin"/>
      </w:r>
      <w:r w:rsidR="00812605" w:rsidRPr="008B3AD6">
        <w:instrText xml:space="preserve"> ADDIN ZOTERO_ITEM CSL_CITATION {"citationID":"zQx2ksfZ","properties":{"formattedCitation":"(Engwerda and Kaye 2000; H. Murray 2001; Shi and Pamer 2011; Mantovani et al. 2011; Kolaczkowska and Kubes 2013; Terrazas et al. 2017a)","plainCitation":"(Engwerda and Kaye 2000; H. Murray 2001; Shi and Pamer 2011; Mantovani et al. 2011; Kolaczkowska and Kubes 2013; Terrazas et al. 2017a)","noteIndex":0},"citationItems":[{"id":2737,"uris":["http://zotero.org/users/2628971/items/VQXMNTZR"],"uri":["http://zotero.org/users/2628971/items/VQXMNTZR"],"itemData":{"id":2737,"type":"article-journal","title":"Organ-specific immune responses associated with infectious disease","container-title":"Immunology Today","page":"73-78","volume":"21","issue":"2","source":"PubMed","abstract":"The immune response to infection can vary markedly in different organs of the same animal. In some organs, the infection can resolve with subsequent immunity to re-infection, whereas in other organs, pathogens can persist. Here, Christian Engwerda and Paul Kaye highlight the importance of defining organ-specific immune mechanisms for developing strategies that deal effectively with infectious diseases and their associated pathologies.","ISSN":"0167-5699","note":"PMID: 10652464","journalAbbreviation":"Immunol. Today","language":"eng","author":[{"family":"Engwerda","given":"C. R."},{"family":"Kaye","given":"P. M."}],"issued":{"date-parts":[["2000",2]]}}},{"id":1110,"uris":["http://zotero.org/users/2628971/items/57TG9NVJ"],"uri":["http://zotero.org/users/2628971/items/57TG9NVJ"],"itemData":{"id":1110,"type":"webpage","title":"Tissue granuloma structure-function in experimental visceral leishmaniasis.","container-title":"Int J Exp Pathol","abstract":"In experimental visceral leishmaniasis in normal mice (BALB/c, C57BL/6) acquired resistance to Leishmania donovani, a protozoan which targets tissue macrophages, depends upon T cells, Th1 cell-type cytokine generation and activated mononuclear phagocytes. In the intact host, initial control and eventual resolution of L. donovani hepatic infection in normal mice is expressed by and accomplished within well-formed, mature tissue granulomas. In the liver, these immunologically active, inflammatory structures are assembled around a core of fused, parasitized resident macrophages (Kupffer cells) which come to be encircled by both cytokine-secreting T cells and influxing leishmanicidal blood monocytes. This pro-host defense granuloma structure-function relationship, in which histologically mature granulomas provide the microenvironment for intracellular L. donovani killing, however, is only one of seven which have been identified through experimental modifications in this model. This report reviews these structure-function relationships and illustrates the broad spectrum of additional possible responses. These responses range from structurally intact granulomas which provide no antileishmanial function (the 'ineffective' granuloma), to enlarged granulomas which show enhanced parasite killing (the 'hypertrophied' granuloma), to effective antileishmanial activity in the absence of any tissue reaction (the 'invisible' granuloma)., (C) 2001 Blackwell Science Ltd.","author":[{"family":"Murray","given":"Henry"}],"issued":{"date-parts":[["2001"]]}}},{"id":2744,"uris":["http://zotero.org/users/2628971/items/5GXHMJH8"],"uri":["http://zotero.org/users/2628971/items/5GXHMJH8"],"itemData":{"id":2744,"type":"article-journal","title":"Monocyte recruitment during infection and inflammation","container-title":"Nature Reviews. Immunology","page":"762-774","volume":"11","issue":"11","source":"PubMed","abstract":"Monocytes originate from progenitors in the bone marrow and traffic via the bloodstream to peripheral tissues. During both homeostasis and inflammation, circulating monocytes leave the bloodstream and migrate into tissues where, following conditioning by local growth factors, pro-inflammatory cytokines and microbial products, they differentiate into macrophage or dendritic cell populations. Recruitment of monocytes is essential for effective control and clearance of viral, bacterial, fungal and protozoal infections, but recruited monocytes also contribute to the pathogenesis of inflammatory and degenerative diseases. The mechanisms that control monocyte trafficking under homeostatic, infectious and inflammatory conditions are being unravelled and are the focus of this Review.","DOI":"10.1038/nri3070","ISSN":"1474-1741","note":"PMID: 21984070\nPMCID: PMC3947780","journalAbbreviation":"Nat. Rev. Immunol.","language":"eng","author":[{"family":"Shi","given":"Chao"},{"family":"Pamer","given":"Eric G."}],"issued":{"date-parts":[["2011",10,10]]}}},{"id":2762,"uris":["http://zotero.org/users/2628971/items/LWNKHYNJ"],"uri":["http://zotero.org/users/2628971/items/LWNKHYNJ"],"itemData":{"id":2762,"type":"article-journal","title":"Neutrophils in the activation and regulation of innate and adaptive immunity","container-title":"Nature Reviews. Immunology","page":"519-531","volume":"11","issue":"8","source":"PubMed","abstract":"Neutrophils have long been viewed as the final effector cells of an acute inflammatory response, with a primary role in the clearance of extracellular pathogens. However, more recent evidence has extended the functions of these cells. The newly discovered repertoire of effector molecules in the neutrophil armamentarium includes a broad array of cytokines, extracellular traps and effector molecules of the humoral arm of the innate immune system. In addition, neutrophils are involved in the activation, regulation and effector functions of innate and adaptive immune cells. Accordingly, neutrophils have a crucial role in the pathogenesis of a broad range of diseases, including infections caused by intracellular pathogens, autoimmunity, chronic inflammation and cancer.","DOI":"10.1038/nri3024","ISSN":"1474-1741","note":"PMID: 21785456","journalAbbreviation":"Nat. Rev. Immunol.","language":"eng","author":[{"family":"Mantovani","given":"Alberto"},{"family":"Cassatella","given":"Marco A."},{"family":"Costantini","given":"Claudio"},{"family":"Jaillon","given":"Sébastien"}],"issued":{"date-parts":[["2011",7,25]]}}},{"id":2750,"uris":["http://zotero.org/users/2628971/items/9HMHF33D"],"uri":["http://zotero.org/users/2628971/items/9HMHF33D"],"itemData":{"id":2750,"type":"article-journal","title":"Neutrophil recruitment and function in health and inflammation","container-title":"Nature Reviews. Immunology","page":"159-175","volume":"13","issue":"3","source":"PubMed","abstract":"Neutrophils have traditionally been thought of as simple foot soldiers of the innate immune system with a restricted set of pro-inflammatory functions. More recently, it has become apparent that neutrophils are, in fact, complex cells capable of a vast array of specialized functions. Although neutrophils are undoubtedly major effectors of acute inflammation, several lines of evidence indicate that they also contribute to chronic inflammatory conditions and adaptive immune responses. Here, we discuss the key features of the life of a neutrophil, from its release from bone marrow to its death. We discuss the possible existence of different neutrophil subsets and their putative anti-inflammatory roles. We focus on how neutrophils are recruited to infected or injured tissues and describe differences in neutrophil recruitment between different tissues. Finally, we explain the mechanisms that are used by neutrophils to promote protective or pathological immune responses at different sites.","DOI":"10.1038/nri3399","ISSN":"1474-1741","note":"PMID: 23435331","journalAbbreviation":"Nat. Rev. Immunol.","language":"eng","author":[{"family":"Kolaczkowska","given":"Elzbieta"},{"family":"Kubes","given":"Paul"}],"issued":{"date-parts":[["2013",3]]}}},{"id":2611,"uris":["http://zotero.org/users/2628971/items/W4GCPYY8"],"uri":["http://zotero.org/users/2628971/items/W4GCPYY8"],"itemData":{"id":2611,"type":"article-journal","title":"Ly6C hi inflammatory monocytes promote susceptibility to Leishmania donovani infection","container-title":"Scientific Reports","page":"14693","volume":"7","issue":"1","source":"www.nature.com","abstract":"Ly6Chi inflammatory monocytes (iMO) are critical for host defense against toxoplasmosis and malaria but their role in leishmaniasis is unclear. In this study, we report a detrimental role of Ly6Chi iMOs in visceral leishmaniasis (VL) caused by Leishmania donovani. We demonstrate that Ly6Chi iMOs are continuously recruited into the spleen and liver during L. donovani infection and they are preferential targets for the parasite. Using microarray-based gene expression profiling, we show that Ly6Chi iMOs isolated from the infected liver and spleen have distinct phenotypic and activation profiles. Furthermore, we demonstrate that blocking the recruitment of Ly6Chi iMOs into the liver and spleen during L. donovani infection using a CCR2 antagonist reduces the frequency of the pathogenic IFN-γ/IL10 dual producer CD4+ T cells in the spleen and leads to a significant reduction in parasite loads in the liver and spleen. Using STAT1−/− mice we show that STAT1 is critical for mediating the recruitment of Ly6Chi iMOs into organs during L. donovani infection, and adaptive transfer of wild type Ly6Chi iMOs into STAT1−/− recipients renders them susceptible to disease. Our findings reveal an unexpected pathogenic role for Ly6Chi iMOs in promoting parasite survival in VL and open the possibility of targeting this population for host-directed therapy during VL.","DOI":"10.1038/s41598-017-14935-3","ISSN":"2045-2322","language":"en","author":[{"family":"Terrazas","given":"Cesar"},{"family":"Varikuti","given":"Sanjay"},{"family":"Oghumu","given":"Steve"},{"family":"Steinkamp","given":"Heidi M."},{"family":"Ardic","given":"Nurittin"},{"family":"Kimble","given":"Jennifer"},{"family":"Nakhasi","given":"Hira"},{"family":"Satoskar","given":"Abhay R."}],"issued":{"date-parts":[["2017",10,31]]}}}],"schema":"https://github.com/citation-style-language/schema/raw/master/csl-citation.json"} </w:instrText>
      </w:r>
      <w:r w:rsidRPr="008B3AD6">
        <w:fldChar w:fldCharType="separate"/>
      </w:r>
      <w:r w:rsidR="00812605" w:rsidRPr="008B3AD6">
        <w:t>(Engwerda and Kaye 2000; Murray 2001; Shi and Pamer 2011; Mantovani et al. 2011; Kolaczkowska and Kubes 2013; Terrazas et al. 2017)</w:t>
      </w:r>
      <w:r w:rsidRPr="008B3AD6">
        <w:fldChar w:fldCharType="end"/>
      </w:r>
      <w:r w:rsidRPr="008B3AD6">
        <w:t xml:space="preserve"> representing their activation and response to a pro-inflammatory stimulus. If sufficient pro-inflammatory signals and recruitment factors are detected then the myeloid cell may migrate to their source (</w:t>
      </w:r>
      <w:r w:rsidRPr="008B3AD6">
        <w:rPr>
          <w:b/>
        </w:rPr>
        <w:t>MC4, MC14</w:t>
      </w:r>
      <w:r w:rsidRPr="008B3AD6">
        <w:t xml:space="preserve">) as a chemotactic response </w:t>
      </w:r>
      <w:r w:rsidRPr="008B3AD6">
        <w:fldChar w:fldCharType="begin"/>
      </w:r>
      <w:r w:rsidR="00812605" w:rsidRPr="008B3AD6">
        <w:instrText xml:space="preserve"> ADDIN ZOTERO_ITEM CSL_CITATION {"citationID":"gxdyX3bL","properties":{"formattedCitation":"(Shi and Pamer 2011)","plainCitation":"(Shi and Pamer 2011)","noteIndex":0},"citationItems":[{"id":2744,"uris":["http://zotero.org/users/2628971/items/5GXHMJH8"],"uri":["http://zotero.org/users/2628971/items/5GXHMJH8"],"itemData":{"id":2744,"type":"article-journal","title":"Monocyte recruitment during infection and inflammation","container-title":"Nature Reviews. Immunology","page":"762-774","volume":"11","issue":"11","source":"PubMed","abstract":"Monocytes originate from progenitors in the bone marrow and traffic via the bloodstream to peripheral tissues. During both homeostasis and inflammation, circulating monocytes leave the bloodstream and migrate into tissues where, following conditioning by local growth factors, pro-inflammatory cytokines and microbial products, they differentiate into macrophage or dendritic cell populations. Recruitment of monocytes is essential for effective control and clearance of viral, bacterial, fungal and protozoal infections, but recruited monocytes also contribute to the pathogenesis of inflammatory and degenerative diseases. The mechanisms that control monocyte trafficking under homeostatic, infectious and inflammatory conditions are being unravelled and are the focus of this Review.","DOI":"10.1038/nri3070","ISSN":"1474-1741","note":"PMID: 21984070\nPMCID: PMC3947780","journalAbbreviation":"Nat. Rev. Immunol.","language":"eng","author":[{"family":"Shi","given":"Chao"},{"family":"Pamer","given":"Eric G."}],"issued":{"date-parts":[["2011",10,10]]}}}],"schema":"https://github.com/citation-style-language/schema/raw/master/csl-citation.json"} </w:instrText>
      </w:r>
      <w:r w:rsidRPr="008B3AD6">
        <w:fldChar w:fldCharType="separate"/>
      </w:r>
      <w:r w:rsidRPr="008B3AD6">
        <w:t>(Shi and Pamer 2011)</w:t>
      </w:r>
      <w:r w:rsidRPr="008B3AD6">
        <w:fldChar w:fldCharType="end"/>
      </w:r>
      <w:r w:rsidRPr="008B3AD6">
        <w:t>.</w:t>
      </w:r>
    </w:p>
    <w:p w14:paraId="327D3056" w14:textId="0BD9C343" w:rsidR="00722E3F" w:rsidRDefault="002D2824" w:rsidP="00722E3F">
      <w:pPr>
        <w:tabs>
          <w:tab w:val="left" w:pos="943"/>
        </w:tabs>
        <w:spacing w:line="360" w:lineRule="auto"/>
        <w:jc w:val="both"/>
        <w:sectPr w:rsidR="00722E3F" w:rsidSect="00722E3F">
          <w:pgSz w:w="16840" w:h="11900" w:orient="landscape"/>
          <w:pgMar w:top="851" w:right="1134" w:bottom="2268" w:left="1134" w:header="709" w:footer="709" w:gutter="0"/>
          <w:cols w:space="708"/>
          <w:docGrid w:linePitch="360"/>
        </w:sectPr>
      </w:pPr>
      <w:r>
        <w:rPr>
          <w:noProof/>
        </w:rPr>
        <w:lastRenderedPageBreak/>
        <w:drawing>
          <wp:anchor distT="0" distB="0" distL="114300" distR="114300" simplePos="0" relativeHeight="252110848" behindDoc="0" locked="0" layoutInCell="1" allowOverlap="1" wp14:anchorId="475FF36F" wp14:editId="2D05DA27">
            <wp:simplePos x="0" y="0"/>
            <wp:positionH relativeFrom="column">
              <wp:posOffset>560070</wp:posOffset>
            </wp:positionH>
            <wp:positionV relativeFrom="paragraph">
              <wp:posOffset>430286</wp:posOffset>
            </wp:positionV>
            <wp:extent cx="8128000" cy="4679950"/>
            <wp:effectExtent l="0" t="0" r="0" b="6350"/>
            <wp:wrapTopAndBottom/>
            <wp:docPr id="7" name="Picture 6">
              <a:extLst xmlns:a="http://schemas.openxmlformats.org/drawingml/2006/main">
                <a:ext uri="{FF2B5EF4-FFF2-40B4-BE49-F238E27FC236}">
                  <a16:creationId xmlns:a16="http://schemas.microsoft.com/office/drawing/2014/main" id="{F1B06E1C-F434-D64A-AE34-66D26BC0C2F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a:extLst>
                        <a:ext uri="{FF2B5EF4-FFF2-40B4-BE49-F238E27FC236}">
                          <a16:creationId xmlns:a16="http://schemas.microsoft.com/office/drawing/2014/main" id="{F1B06E1C-F434-D64A-AE34-66D26BC0C2F2}"/>
                        </a:ext>
                      </a:extLst>
                    </pic:cNvPr>
                    <pic:cNvPicPr>
                      <a:picLocks noChangeAspect="1"/>
                    </pic:cNvPicPr>
                  </pic:nvPicPr>
                  <pic:blipFill rotWithShape="1">
                    <a:blip r:embed="rId53">
                      <a:extLst>
                        <a:ext uri="{28A0092B-C50C-407E-A947-70E740481C1C}">
                          <a14:useLocalDpi xmlns:a14="http://schemas.microsoft.com/office/drawing/2010/main" val="0"/>
                        </a:ext>
                      </a:extLst>
                    </a:blip>
                    <a:srcRect l="4434" t="12994" r="4434" b="49874"/>
                    <a:stretch/>
                  </pic:blipFill>
                  <pic:spPr bwMode="auto">
                    <a:xfrm>
                      <a:off x="0" y="0"/>
                      <a:ext cx="8128000" cy="4679950"/>
                    </a:xfrm>
                    <a:prstGeom prst="rect">
                      <a:avLst/>
                    </a:prstGeom>
                    <a:ln>
                      <a:noFill/>
                    </a:ln>
                    <a:extLst>
                      <a:ext uri="{53640926-AAD7-44D8-BBD7-CCE9431645EC}">
                        <a14:shadowObscured xmlns:a14="http://schemas.microsoft.com/office/drawing/2010/main"/>
                      </a:ext>
                    </a:extLst>
                  </pic:spPr>
                </pic:pic>
              </a:graphicData>
            </a:graphic>
          </wp:anchor>
        </w:drawing>
      </w:r>
      <w:r>
        <w:rPr>
          <w:noProof/>
        </w:rPr>
        <mc:AlternateContent>
          <mc:Choice Requires="wps">
            <w:drawing>
              <wp:anchor distT="0" distB="0" distL="114300" distR="114300" simplePos="0" relativeHeight="252111872" behindDoc="0" locked="0" layoutInCell="1" allowOverlap="1" wp14:anchorId="3C24AA65" wp14:editId="548EE43B">
                <wp:simplePos x="0" y="0"/>
                <wp:positionH relativeFrom="column">
                  <wp:posOffset>623132</wp:posOffset>
                </wp:positionH>
                <wp:positionV relativeFrom="paragraph">
                  <wp:posOffset>5175707</wp:posOffset>
                </wp:positionV>
                <wp:extent cx="1686910" cy="331076"/>
                <wp:effectExtent l="0" t="0" r="2540" b="0"/>
                <wp:wrapTopAndBottom/>
                <wp:docPr id="36" name="Text Box 36"/>
                <wp:cNvGraphicFramePr/>
                <a:graphic xmlns:a="http://schemas.openxmlformats.org/drawingml/2006/main">
                  <a:graphicData uri="http://schemas.microsoft.com/office/word/2010/wordprocessingShape">
                    <wps:wsp>
                      <wps:cNvSpPr txBox="1"/>
                      <wps:spPr>
                        <a:xfrm>
                          <a:off x="0" y="0"/>
                          <a:ext cx="1686910" cy="331076"/>
                        </a:xfrm>
                        <a:prstGeom prst="rect">
                          <a:avLst/>
                        </a:prstGeom>
                        <a:solidFill>
                          <a:schemeClr val="lt1"/>
                        </a:solidFill>
                        <a:ln w="6350">
                          <a:noFill/>
                        </a:ln>
                      </wps:spPr>
                      <wps:txbx>
                        <w:txbxContent>
                          <w:p w14:paraId="38C2C609" w14:textId="22071C0D" w:rsidR="00F61130" w:rsidRDefault="00F61130">
                            <w:r>
                              <w:t>Continued on next page.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C24AA65" id="Text Box 36" o:spid="_x0000_s1107" type="#_x0000_t202" style="position:absolute;left:0;text-align:left;margin-left:49.05pt;margin-top:407.55pt;width:132.85pt;height:26.05pt;z-index:2521118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qjNbNRgIAAIMEAAAOAAAAZHJzL2Uyb0RvYy54bWysVE1vGjEQvVfqf7B8LwuBEIKyRJSIqhJK&#13;&#10;IpEqZ+P1hpW8Htc27NJf32cvkI/2VPXiHc+M5+O9mb25bWvN9sr5ikzOB70+Z8pIKirzkvMfT8sv&#13;&#10;E858EKYQmozK+UF5fjv7/OmmsVN1QVvShXIMQYyfNjbn2xDsNMu83Kpa+B5ZZWAsydUi4OpessKJ&#13;&#10;BtFrnV30++OsIVdYR1J5D+1dZ+SzFL8slQwPZelVYDrnqC2k06VzE89sdiOmL07YbSWPZYh/qKIW&#13;&#10;lUHSc6g7EQTbueqPUHUlHXkqQ09SnVFZVlKlHtDNoP+hm/VWWJV6ATjenmHy/y+svN8/OlYVOR+O&#13;&#10;OTOiBkdPqg3sK7UMKuDTWD+F29rCMbTQg+eT3kMZ225LV8cvGmKwA+nDGd0YTcZH48n4egCThG04&#13;&#10;HPSvUvjs9bV1PnxTVLMo5NyBvQSq2K98QCVwPbnEZJ50VSwrrdMlToxaaMf2AlzrkGrEi3de2rAm&#13;&#10;5+PhZT8FNhSfd5G1QYLYa9dTlEK7aRM2k3PDGyoOwMFRN0neymWFYlfCh0fhMDroD+sQHnCUmpCM&#13;&#10;jhJnW3K//qaP/mAUVs4ajGLO/c+dcIoz/d2A6+vBaBRnN11Gl1cXuLi3ls1bi9nVCwICAyyelUmM&#13;&#10;/kGfxNJR/YytmcesMAkjkTvn4SQuQrcg2Dqp5vPkhGm1IqzM2soYOiIeqXhqn4WzR74CmL6n09CK&#13;&#10;6QfaOt/40tB8F6isEqcR6A7VI/6Y9ET1cSvjKr29J6/Xf8fsNwAAAP//AwBQSwMEFAAGAAgAAAAh&#13;&#10;AFnksJrjAAAADwEAAA8AAABkcnMvZG93bnJldi54bWxMT0tPg0AQvpv4HzZj4sXYhZJSpCyN8Zl4&#13;&#10;s/iIty07QiM7S9gt4L93POllMo9vvkexnW0nRhz8wZGCeBGBQKqdOVCj4KW6v8xA+KDJ6M4RKvhG&#13;&#10;D9vy9KTQuXETPeO4C41gEvK5VtCG0OdS+rpFq/3C9Uh8+3SD1YHHoZFm0BOT204uoyiVVh+IFVrd&#13;&#10;402L9dfuaBV8XDTvT35+eJ2SVdLfPY7V+s1USp2fzbcbLtcbEAHn8PcBvxnYP5RsbO+OZLzoFFxl&#13;&#10;MSMVZPGKGwYkacKB9rxJ10uQZSH/5yh/AAAA//8DAFBLAQItABQABgAIAAAAIQC2gziS/gAAAOEB&#13;&#10;AAATAAAAAAAAAAAAAAAAAAAAAABbQ29udGVudF9UeXBlc10ueG1sUEsBAi0AFAAGAAgAAAAhADj9&#13;&#10;If/WAAAAlAEAAAsAAAAAAAAAAAAAAAAALwEAAF9yZWxzLy5yZWxzUEsBAi0AFAAGAAgAAAAhACqM&#13;&#10;1s1GAgAAgwQAAA4AAAAAAAAAAAAAAAAALgIAAGRycy9lMm9Eb2MueG1sUEsBAi0AFAAGAAgAAAAh&#13;&#10;AFnksJrjAAAADwEAAA8AAAAAAAAAAAAAAAAAoAQAAGRycy9kb3ducmV2LnhtbFBLBQYAAAAABAAE&#13;&#10;APMAAACwBQAAAAA=&#13;&#10;" fillcolor="white [3201]" stroked="f" strokeweight=".5pt">
                <v:textbox>
                  <w:txbxContent>
                    <w:p w14:paraId="38C2C609" w14:textId="22071C0D" w:rsidR="00F61130" w:rsidRDefault="00F61130">
                      <w:r>
                        <w:t>Continued on next page.</w:t>
                      </w:r>
                    </w:p>
                  </w:txbxContent>
                </v:textbox>
                <w10:wrap type="topAndBottom"/>
              </v:shape>
            </w:pict>
          </mc:Fallback>
        </mc:AlternateContent>
      </w:r>
      <w:r w:rsidR="00722E3F">
        <w:tab/>
      </w:r>
      <w:r w:rsidR="00722E3F">
        <w:tab/>
      </w:r>
    </w:p>
    <w:p w14:paraId="5151D277" w14:textId="470225C2" w:rsidR="00722E3F" w:rsidRDefault="002D2824" w:rsidP="00722E3F">
      <w:pPr>
        <w:tabs>
          <w:tab w:val="left" w:pos="943"/>
        </w:tabs>
      </w:pPr>
      <w:r>
        <w:rPr>
          <w:noProof/>
        </w:rPr>
        <w:lastRenderedPageBreak/>
        <mc:AlternateContent>
          <mc:Choice Requires="wps">
            <w:drawing>
              <wp:anchor distT="0" distB="0" distL="114300" distR="114300" simplePos="0" relativeHeight="252105728" behindDoc="0" locked="0" layoutInCell="1" allowOverlap="1" wp14:anchorId="72F78D9B" wp14:editId="08D69204">
                <wp:simplePos x="0" y="0"/>
                <wp:positionH relativeFrom="column">
                  <wp:posOffset>618038</wp:posOffset>
                </wp:positionH>
                <wp:positionV relativeFrom="paragraph">
                  <wp:posOffset>4709875</wp:posOffset>
                </wp:positionV>
                <wp:extent cx="8024649" cy="858423"/>
                <wp:effectExtent l="0" t="0" r="1905" b="5715"/>
                <wp:wrapTopAndBottom/>
                <wp:docPr id="34" name="Text Box 476"/>
                <wp:cNvGraphicFramePr/>
                <a:graphic xmlns:a="http://schemas.openxmlformats.org/drawingml/2006/main">
                  <a:graphicData uri="http://schemas.microsoft.com/office/word/2010/wordprocessingShape">
                    <wps:wsp>
                      <wps:cNvSpPr txBox="1"/>
                      <wps:spPr>
                        <a:xfrm>
                          <a:off x="0" y="0"/>
                          <a:ext cx="8024649" cy="858423"/>
                        </a:xfrm>
                        <a:prstGeom prst="rect">
                          <a:avLst/>
                        </a:prstGeom>
                        <a:solidFill>
                          <a:prstClr val="white"/>
                        </a:solidFill>
                        <a:ln>
                          <a:noFill/>
                        </a:ln>
                      </wps:spPr>
                      <wps:txbx>
                        <w:txbxContent>
                          <w:p w14:paraId="7236EFDF" w14:textId="6B63753F" w:rsidR="00F61130" w:rsidRPr="0060171C" w:rsidRDefault="00F61130" w:rsidP="00722E3F">
                            <w:pPr>
                              <w:spacing w:line="360" w:lineRule="auto"/>
                              <w:jc w:val="both"/>
                              <w:rPr>
                                <w:sz w:val="20"/>
                                <w:szCs w:val="20"/>
                              </w:rPr>
                            </w:pPr>
                            <w:bookmarkStart w:id="387" w:name="_Ref518570665"/>
                            <w:bookmarkStart w:id="388" w:name="_Toc525227214"/>
                            <w:bookmarkStart w:id="389" w:name="_Toc536814153"/>
                            <w:r w:rsidRPr="0060171C">
                              <w:rPr>
                                <w:b/>
                                <w:sz w:val="20"/>
                                <w:szCs w:val="20"/>
                              </w:rPr>
                              <w:t xml:space="preserve">Figure </w:t>
                            </w:r>
                            <w:r>
                              <w:rPr>
                                <w:b/>
                                <w:sz w:val="20"/>
                                <w:szCs w:val="20"/>
                              </w:rPr>
                              <w:fldChar w:fldCharType="begin"/>
                            </w:r>
                            <w:r>
                              <w:rPr>
                                <w:b/>
                                <w:sz w:val="20"/>
                                <w:szCs w:val="20"/>
                              </w:rPr>
                              <w:instrText xml:space="preserve"> STYLEREF 1 \s </w:instrText>
                            </w:r>
                            <w:r>
                              <w:rPr>
                                <w:b/>
                                <w:sz w:val="20"/>
                                <w:szCs w:val="20"/>
                              </w:rPr>
                              <w:fldChar w:fldCharType="separate"/>
                            </w:r>
                            <w:r>
                              <w:rPr>
                                <w:b/>
                                <w:noProof/>
                                <w:sz w:val="20"/>
                                <w:szCs w:val="20"/>
                              </w:rPr>
                              <w:t>4</w:t>
                            </w:r>
                            <w:r>
                              <w:rPr>
                                <w:b/>
                                <w:sz w:val="20"/>
                                <w:szCs w:val="20"/>
                              </w:rPr>
                              <w:fldChar w:fldCharType="end"/>
                            </w:r>
                            <w:r>
                              <w:rPr>
                                <w:b/>
                                <w:sz w:val="20"/>
                                <w:szCs w:val="20"/>
                              </w:rPr>
                              <w:t>.</w:t>
                            </w:r>
                            <w:r>
                              <w:rPr>
                                <w:b/>
                                <w:sz w:val="20"/>
                                <w:szCs w:val="20"/>
                              </w:rPr>
                              <w:fldChar w:fldCharType="begin"/>
                            </w:r>
                            <w:r>
                              <w:rPr>
                                <w:b/>
                                <w:sz w:val="20"/>
                                <w:szCs w:val="20"/>
                              </w:rPr>
                              <w:instrText xml:space="preserve"> SEQ Figure \* ARABIC \s 1 </w:instrText>
                            </w:r>
                            <w:r>
                              <w:rPr>
                                <w:b/>
                                <w:sz w:val="20"/>
                                <w:szCs w:val="20"/>
                              </w:rPr>
                              <w:fldChar w:fldCharType="separate"/>
                            </w:r>
                            <w:r>
                              <w:rPr>
                                <w:b/>
                                <w:noProof/>
                                <w:sz w:val="20"/>
                                <w:szCs w:val="20"/>
                              </w:rPr>
                              <w:t>9</w:t>
                            </w:r>
                            <w:r>
                              <w:rPr>
                                <w:b/>
                                <w:sz w:val="20"/>
                                <w:szCs w:val="20"/>
                              </w:rPr>
                              <w:fldChar w:fldCharType="end"/>
                            </w:r>
                            <w:bookmarkEnd w:id="387"/>
                            <w:r w:rsidRPr="0060171C">
                              <w:rPr>
                                <w:b/>
                                <w:sz w:val="20"/>
                                <w:szCs w:val="20"/>
                              </w:rPr>
                              <w:t xml:space="preserve"> - Domain model activity diagram describing the behaviours of a myeloid cell during </w:t>
                            </w:r>
                            <w:r>
                              <w:rPr>
                                <w:b/>
                                <w:sz w:val="20"/>
                                <w:szCs w:val="20"/>
                              </w:rPr>
                              <w:t>h</w:t>
                            </w:r>
                            <w:r w:rsidRPr="009A7602">
                              <w:rPr>
                                <w:b/>
                                <w:sz w:val="20"/>
                                <w:szCs w:val="20"/>
                              </w:rPr>
                              <w:t xml:space="preserve">epatic </w:t>
                            </w:r>
                            <w:r>
                              <w:rPr>
                                <w:b/>
                                <w:sz w:val="20"/>
                                <w:szCs w:val="20"/>
                              </w:rPr>
                              <w:t xml:space="preserve">infection with </w:t>
                            </w:r>
                            <w:r>
                              <w:rPr>
                                <w:b/>
                                <w:i/>
                                <w:sz w:val="20"/>
                                <w:szCs w:val="20"/>
                              </w:rPr>
                              <w:t>L. donovani</w:t>
                            </w:r>
                            <w:r w:rsidRPr="0060171C">
                              <w:rPr>
                                <w:b/>
                                <w:sz w:val="20"/>
                                <w:szCs w:val="20"/>
                              </w:rPr>
                              <w:t>.</w:t>
                            </w:r>
                            <w:r w:rsidRPr="0060171C">
                              <w:rPr>
                                <w:sz w:val="20"/>
                                <w:szCs w:val="20"/>
                              </w:rPr>
                              <w:t xml:space="preserve"> </w:t>
                            </w:r>
                            <w:r w:rsidRPr="003B2D5F">
                              <w:rPr>
                                <w:sz w:val="20"/>
                              </w:rPr>
                              <w:t>UML</w:t>
                            </w:r>
                            <w:r>
                              <w:rPr>
                                <w:sz w:val="20"/>
                              </w:rPr>
                              <w:t>-like</w:t>
                            </w:r>
                            <w:r w:rsidRPr="003B2D5F">
                              <w:rPr>
                                <w:sz w:val="20"/>
                              </w:rPr>
                              <w:t xml:space="preserve"> </w:t>
                            </w:r>
                            <w:r w:rsidRPr="0060171C">
                              <w:rPr>
                                <w:sz w:val="20"/>
                                <w:szCs w:val="20"/>
                              </w:rPr>
                              <w:t>notation of the behaviours and interactions of a myeloid cell in the liver and other sites. In the diagram shown, a myeloid cell refers primarily to monocytes, dendritic cells and neutrophils that can exist either in the liver or other sites, such as bone marrow or spleen that are outside the scope of the model.</w:t>
                            </w:r>
                            <w:bookmarkEnd w:id="388"/>
                            <w:bookmarkEnd w:id="389"/>
                          </w:p>
                          <w:p w14:paraId="409D324D" w14:textId="77777777" w:rsidR="00F61130" w:rsidRPr="0060171C" w:rsidRDefault="00F61130" w:rsidP="00722E3F">
                            <w:pPr>
                              <w:pStyle w:val="Caption"/>
                              <w:spacing w:line="360" w:lineRule="auto"/>
                              <w:jc w:val="both"/>
                              <w:rPr>
                                <w:noProof/>
                                <w:sz w:val="20"/>
                                <w:szCs w:val="20"/>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72F78D9B" id="Text Box 476" o:spid="_x0000_s1108" type="#_x0000_t202" style="position:absolute;margin-left:48.65pt;margin-top:370.85pt;width:631.85pt;height:67.6pt;z-index:2521057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9gWVtNQIAAGsEAAAOAAAAZHJzL2Uyb0RvYy54bWysVFFv2yAQfp+0/4B4X5ykWZZZcaosVaZJ&#13;&#10;VVspmfpMMI6RgGNAYme/fge2067b07QXfNwdB9/33Xl522pFzsJ5Caagk9GYEmE4lNIcC/p9v/2w&#13;&#10;oMQHZkqmwIiCXoSnt6v375aNzcUUalClcASLGJ83tqB1CDbPMs9roZkfgRUGgxU4zQJu3TErHWuw&#13;&#10;ulbZdDyeZw240jrgwnv03nVBukr1q0rw8FhVXgSiCopvC2l1aT3ENVstWX50zNaS989g//AKzaTB&#13;&#10;S6+l7lhg5OTkH6W05A48VGHEQWdQVZKLhAHRTMZv0OxqZkXCguR4e6XJ/7+y/OH85IgsC3ozo8Qw&#13;&#10;jRrtRRvIF2jJ7NM8EtRYn2PezmJmaDGAQg9+j86Iu62cjl9ERDCOVF+u9MZyHJ2L8XQ2n32mhGNs&#13;&#10;8XExm97EMtnLaet8+CpAk2gU1KF8iVV2vvehSx1S4mUelCy3Uqm4iYGNcuTMUOqmlkH0xX/LUibm&#13;&#10;GoinuoLRk0WIHZRohfbQJk4W0wHnAcoLwnfQdZC3fCvxwnvmwxNz2DKIGMcgPOJSKWgKCr1FSQ3u&#13;&#10;59/8MR+VxCglDbZgQf2PE3OCEvXNoMaxXwfDDcZhMMxJbwChTnDALE8mHnBBDWblQD/jdKzjLRhi&#13;&#10;huNdBQ2DuQndIOB0cbFepyTsSsvCvdlZHksPxO7bZ+ZsL0tAQR9gaE6Wv1Gny+1oXp8CVDJJF4nt&#13;&#10;WOz5xo5O4vfTF0fm9T5lvfwjVr8AAAD//wMAUEsDBBQABgAIAAAAIQDIpO2M5gAAABABAAAPAAAA&#13;&#10;ZHJzL2Rvd25yZXYueG1sTI/BTsMwEETvSPyDtUhcEHXSoqRN41TQwK0cWqqe3dgkEfE6sp0m/Xu2&#13;&#10;J7istNqZ2Xn5ZjIdu2jnW4sC4lkETGNlVYu1gOPXx/MSmA8SlewsagFX7WFT3N/lMlN2xL2+HELN&#13;&#10;KAR9JgU0IfQZ575qtJF+ZnuNdPu2zshAq6u5cnKkcNPxeRQl3MgW6UMje71tdPVzGIyApHTDuMft&#13;&#10;U3l838nPvp6f3q4nIR4fpnJN43UNLOgp/DngxkD9oaBiZzug8qwTsEoXpBSQvsQpsJtgkcSEeBaw&#13;&#10;TJMV8CLn/0GKXwAAAP//AwBQSwECLQAUAAYACAAAACEAtoM4kv4AAADhAQAAEwAAAAAAAAAAAAAA&#13;&#10;AAAAAAAAW0NvbnRlbnRfVHlwZXNdLnhtbFBLAQItABQABgAIAAAAIQA4/SH/1gAAAJQBAAALAAAA&#13;&#10;AAAAAAAAAAAAAC8BAABfcmVscy8ucmVsc1BLAQItABQABgAIAAAAIQB9gWVtNQIAAGsEAAAOAAAA&#13;&#10;AAAAAAAAAAAAAC4CAABkcnMvZTJvRG9jLnhtbFBLAQItABQABgAIAAAAIQDIpO2M5gAAABABAAAP&#13;&#10;AAAAAAAAAAAAAAAAAI8EAABkcnMvZG93bnJldi54bWxQSwUGAAAAAAQABADzAAAAogUAAAAA&#13;&#10;" stroked="f">
                <v:textbox inset="0,0,0,0">
                  <w:txbxContent>
                    <w:p w14:paraId="7236EFDF" w14:textId="6B63753F" w:rsidR="00F61130" w:rsidRPr="0060171C" w:rsidRDefault="00F61130" w:rsidP="00722E3F">
                      <w:pPr>
                        <w:spacing w:line="360" w:lineRule="auto"/>
                        <w:jc w:val="both"/>
                        <w:rPr>
                          <w:sz w:val="20"/>
                          <w:szCs w:val="20"/>
                        </w:rPr>
                      </w:pPr>
                      <w:bookmarkStart w:id="390" w:name="_Ref518570665"/>
                      <w:bookmarkStart w:id="391" w:name="_Toc525227214"/>
                      <w:bookmarkStart w:id="392" w:name="_Toc536814153"/>
                      <w:r w:rsidRPr="0060171C">
                        <w:rPr>
                          <w:b/>
                          <w:sz w:val="20"/>
                          <w:szCs w:val="20"/>
                        </w:rPr>
                        <w:t xml:space="preserve">Figure </w:t>
                      </w:r>
                      <w:r>
                        <w:rPr>
                          <w:b/>
                          <w:sz w:val="20"/>
                          <w:szCs w:val="20"/>
                        </w:rPr>
                        <w:fldChar w:fldCharType="begin"/>
                      </w:r>
                      <w:r>
                        <w:rPr>
                          <w:b/>
                          <w:sz w:val="20"/>
                          <w:szCs w:val="20"/>
                        </w:rPr>
                        <w:instrText xml:space="preserve"> STYLEREF 1 \s </w:instrText>
                      </w:r>
                      <w:r>
                        <w:rPr>
                          <w:b/>
                          <w:sz w:val="20"/>
                          <w:szCs w:val="20"/>
                        </w:rPr>
                        <w:fldChar w:fldCharType="separate"/>
                      </w:r>
                      <w:r>
                        <w:rPr>
                          <w:b/>
                          <w:noProof/>
                          <w:sz w:val="20"/>
                          <w:szCs w:val="20"/>
                        </w:rPr>
                        <w:t>4</w:t>
                      </w:r>
                      <w:r>
                        <w:rPr>
                          <w:b/>
                          <w:sz w:val="20"/>
                          <w:szCs w:val="20"/>
                        </w:rPr>
                        <w:fldChar w:fldCharType="end"/>
                      </w:r>
                      <w:r>
                        <w:rPr>
                          <w:b/>
                          <w:sz w:val="20"/>
                          <w:szCs w:val="20"/>
                        </w:rPr>
                        <w:t>.</w:t>
                      </w:r>
                      <w:r>
                        <w:rPr>
                          <w:b/>
                          <w:sz w:val="20"/>
                          <w:szCs w:val="20"/>
                        </w:rPr>
                        <w:fldChar w:fldCharType="begin"/>
                      </w:r>
                      <w:r>
                        <w:rPr>
                          <w:b/>
                          <w:sz w:val="20"/>
                          <w:szCs w:val="20"/>
                        </w:rPr>
                        <w:instrText xml:space="preserve"> SEQ Figure \* ARABIC \s 1 </w:instrText>
                      </w:r>
                      <w:r>
                        <w:rPr>
                          <w:b/>
                          <w:sz w:val="20"/>
                          <w:szCs w:val="20"/>
                        </w:rPr>
                        <w:fldChar w:fldCharType="separate"/>
                      </w:r>
                      <w:r>
                        <w:rPr>
                          <w:b/>
                          <w:noProof/>
                          <w:sz w:val="20"/>
                          <w:szCs w:val="20"/>
                        </w:rPr>
                        <w:t>9</w:t>
                      </w:r>
                      <w:r>
                        <w:rPr>
                          <w:b/>
                          <w:sz w:val="20"/>
                          <w:szCs w:val="20"/>
                        </w:rPr>
                        <w:fldChar w:fldCharType="end"/>
                      </w:r>
                      <w:bookmarkEnd w:id="390"/>
                      <w:r w:rsidRPr="0060171C">
                        <w:rPr>
                          <w:b/>
                          <w:sz w:val="20"/>
                          <w:szCs w:val="20"/>
                        </w:rPr>
                        <w:t xml:space="preserve"> - Domain model activity diagram describing the behaviours of a myeloid cell during </w:t>
                      </w:r>
                      <w:r>
                        <w:rPr>
                          <w:b/>
                          <w:sz w:val="20"/>
                          <w:szCs w:val="20"/>
                        </w:rPr>
                        <w:t>h</w:t>
                      </w:r>
                      <w:r w:rsidRPr="009A7602">
                        <w:rPr>
                          <w:b/>
                          <w:sz w:val="20"/>
                          <w:szCs w:val="20"/>
                        </w:rPr>
                        <w:t xml:space="preserve">epatic </w:t>
                      </w:r>
                      <w:r>
                        <w:rPr>
                          <w:b/>
                          <w:sz w:val="20"/>
                          <w:szCs w:val="20"/>
                        </w:rPr>
                        <w:t xml:space="preserve">infection with </w:t>
                      </w:r>
                      <w:r>
                        <w:rPr>
                          <w:b/>
                          <w:i/>
                          <w:sz w:val="20"/>
                          <w:szCs w:val="20"/>
                        </w:rPr>
                        <w:t>L. donovani</w:t>
                      </w:r>
                      <w:r w:rsidRPr="0060171C">
                        <w:rPr>
                          <w:b/>
                          <w:sz w:val="20"/>
                          <w:szCs w:val="20"/>
                        </w:rPr>
                        <w:t>.</w:t>
                      </w:r>
                      <w:r w:rsidRPr="0060171C">
                        <w:rPr>
                          <w:sz w:val="20"/>
                          <w:szCs w:val="20"/>
                        </w:rPr>
                        <w:t xml:space="preserve"> </w:t>
                      </w:r>
                      <w:r w:rsidRPr="003B2D5F">
                        <w:rPr>
                          <w:sz w:val="20"/>
                        </w:rPr>
                        <w:t>UML</w:t>
                      </w:r>
                      <w:r>
                        <w:rPr>
                          <w:sz w:val="20"/>
                        </w:rPr>
                        <w:t>-like</w:t>
                      </w:r>
                      <w:r w:rsidRPr="003B2D5F">
                        <w:rPr>
                          <w:sz w:val="20"/>
                        </w:rPr>
                        <w:t xml:space="preserve"> </w:t>
                      </w:r>
                      <w:r w:rsidRPr="0060171C">
                        <w:rPr>
                          <w:sz w:val="20"/>
                          <w:szCs w:val="20"/>
                        </w:rPr>
                        <w:t>notation of the behaviours and interactions of a myeloid cell in the liver and other sites. In the diagram shown, a myeloid cell refers primarily to monocytes, dendritic cells and neutrophils that can exist either in the liver or other sites, such as bone marrow or spleen that are outside the scope of the model.</w:t>
                      </w:r>
                      <w:bookmarkEnd w:id="391"/>
                      <w:bookmarkEnd w:id="392"/>
                    </w:p>
                    <w:p w14:paraId="409D324D" w14:textId="77777777" w:rsidR="00F61130" w:rsidRPr="0060171C" w:rsidRDefault="00F61130" w:rsidP="00722E3F">
                      <w:pPr>
                        <w:pStyle w:val="Caption"/>
                        <w:spacing w:line="360" w:lineRule="auto"/>
                        <w:jc w:val="both"/>
                        <w:rPr>
                          <w:noProof/>
                          <w:sz w:val="20"/>
                          <w:szCs w:val="20"/>
                        </w:rPr>
                      </w:pPr>
                    </w:p>
                  </w:txbxContent>
                </v:textbox>
                <w10:wrap type="topAndBottom"/>
              </v:shape>
            </w:pict>
          </mc:Fallback>
        </mc:AlternateContent>
      </w:r>
      <w:r>
        <w:rPr>
          <w:noProof/>
        </w:rPr>
        <w:drawing>
          <wp:anchor distT="0" distB="0" distL="114300" distR="114300" simplePos="0" relativeHeight="252106752" behindDoc="0" locked="0" layoutInCell="1" allowOverlap="1" wp14:anchorId="386F5453" wp14:editId="2AAC4A1E">
            <wp:simplePos x="0" y="0"/>
            <wp:positionH relativeFrom="column">
              <wp:posOffset>602273</wp:posOffset>
            </wp:positionH>
            <wp:positionV relativeFrom="paragraph">
              <wp:posOffset>342</wp:posOffset>
            </wp:positionV>
            <wp:extent cx="8034020" cy="4679950"/>
            <wp:effectExtent l="0" t="0" r="5080" b="6350"/>
            <wp:wrapTopAndBottom/>
            <wp:docPr id="6" name="Picture 5">
              <a:extLst xmlns:a="http://schemas.openxmlformats.org/drawingml/2006/main">
                <a:ext uri="{FF2B5EF4-FFF2-40B4-BE49-F238E27FC236}">
                  <a16:creationId xmlns:a16="http://schemas.microsoft.com/office/drawing/2014/main" id="{9DF51642-A606-754E-AA35-500455DC7F1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a:extLst>
                        <a:ext uri="{FF2B5EF4-FFF2-40B4-BE49-F238E27FC236}">
                          <a16:creationId xmlns:a16="http://schemas.microsoft.com/office/drawing/2014/main" id="{9DF51642-A606-754E-AA35-500455DC7F15}"/>
                        </a:ext>
                      </a:extLst>
                    </pic:cNvPr>
                    <pic:cNvPicPr>
                      <a:picLocks noChangeAspect="1"/>
                    </pic:cNvPicPr>
                  </pic:nvPicPr>
                  <pic:blipFill rotWithShape="1">
                    <a:blip r:embed="rId53">
                      <a:extLst>
                        <a:ext uri="{28A0092B-C50C-407E-A947-70E740481C1C}">
                          <a14:useLocalDpi xmlns:a14="http://schemas.microsoft.com/office/drawing/2010/main" val="0"/>
                        </a:ext>
                      </a:extLst>
                    </a:blip>
                    <a:srcRect l="4434" t="49860" r="4434" b="12573"/>
                    <a:stretch/>
                  </pic:blipFill>
                  <pic:spPr bwMode="auto">
                    <a:xfrm>
                      <a:off x="0" y="0"/>
                      <a:ext cx="8034020" cy="4679950"/>
                    </a:xfrm>
                    <a:prstGeom prst="rect">
                      <a:avLst/>
                    </a:prstGeom>
                    <a:ln>
                      <a:noFill/>
                    </a:ln>
                    <a:extLst>
                      <a:ext uri="{53640926-AAD7-44D8-BBD7-CCE9431645EC}">
                        <a14:shadowObscured xmlns:a14="http://schemas.microsoft.com/office/drawing/2010/main"/>
                      </a:ext>
                    </a:extLst>
                  </pic:spPr>
                </pic:pic>
              </a:graphicData>
            </a:graphic>
          </wp:anchor>
        </w:drawing>
      </w:r>
    </w:p>
    <w:p w14:paraId="0A293653" w14:textId="7C62AABD" w:rsidR="00722E3F" w:rsidRPr="00722E3F" w:rsidRDefault="00722E3F" w:rsidP="00722E3F">
      <w:pPr>
        <w:tabs>
          <w:tab w:val="left" w:pos="1688"/>
        </w:tabs>
        <w:sectPr w:rsidR="00722E3F" w:rsidRPr="00722E3F" w:rsidSect="00722E3F">
          <w:pgSz w:w="16840" w:h="11900" w:orient="landscape"/>
          <w:pgMar w:top="851" w:right="1134" w:bottom="2268" w:left="1134" w:header="709" w:footer="709" w:gutter="0"/>
          <w:cols w:space="708"/>
          <w:docGrid w:linePitch="360"/>
        </w:sectPr>
      </w:pPr>
    </w:p>
    <w:p w14:paraId="56BD7EF7" w14:textId="58B0DB64" w:rsidR="00985675" w:rsidRPr="008B3AD6" w:rsidRDefault="002D2824" w:rsidP="009154C0">
      <w:pPr>
        <w:spacing w:line="360" w:lineRule="auto"/>
        <w:jc w:val="both"/>
      </w:pPr>
      <w:r>
        <w:rPr>
          <w:noProof/>
        </w:rPr>
        <w:lastRenderedPageBreak/>
        <mc:AlternateContent>
          <mc:Choice Requires="wps">
            <w:drawing>
              <wp:anchor distT="0" distB="0" distL="114300" distR="114300" simplePos="0" relativeHeight="251211776" behindDoc="0" locked="0" layoutInCell="1" allowOverlap="1" wp14:anchorId="699F40BB" wp14:editId="2EA43040">
                <wp:simplePos x="0" y="0"/>
                <wp:positionH relativeFrom="column">
                  <wp:posOffset>-258445</wp:posOffset>
                </wp:positionH>
                <wp:positionV relativeFrom="paragraph">
                  <wp:posOffset>3603088</wp:posOffset>
                </wp:positionV>
                <wp:extent cx="5646420" cy="901700"/>
                <wp:effectExtent l="0" t="0" r="5080" b="0"/>
                <wp:wrapTopAndBottom/>
                <wp:docPr id="480" name="Text Box 480"/>
                <wp:cNvGraphicFramePr/>
                <a:graphic xmlns:a="http://schemas.openxmlformats.org/drawingml/2006/main">
                  <a:graphicData uri="http://schemas.microsoft.com/office/word/2010/wordprocessingShape">
                    <wps:wsp>
                      <wps:cNvSpPr txBox="1"/>
                      <wps:spPr>
                        <a:xfrm>
                          <a:off x="0" y="0"/>
                          <a:ext cx="5646420" cy="901700"/>
                        </a:xfrm>
                        <a:prstGeom prst="rect">
                          <a:avLst/>
                        </a:prstGeom>
                        <a:solidFill>
                          <a:prstClr val="white"/>
                        </a:solidFill>
                        <a:ln>
                          <a:noFill/>
                        </a:ln>
                      </wps:spPr>
                      <wps:txbx>
                        <w:txbxContent>
                          <w:p w14:paraId="67897C7C" w14:textId="741E437D" w:rsidR="00F61130" w:rsidRPr="00360F33" w:rsidRDefault="00F61130" w:rsidP="0020480B">
                            <w:pPr>
                              <w:pStyle w:val="Caption"/>
                              <w:spacing w:line="360" w:lineRule="auto"/>
                              <w:jc w:val="both"/>
                              <w:rPr>
                                <w:noProof/>
                                <w:color w:val="FF0000"/>
                                <w:sz w:val="20"/>
                              </w:rPr>
                            </w:pPr>
                            <w:bookmarkStart w:id="393" w:name="_Ref518570899"/>
                            <w:bookmarkStart w:id="394" w:name="_Toc525227215"/>
                            <w:bookmarkStart w:id="395" w:name="_Toc536814154"/>
                            <w:r w:rsidRPr="00360F33">
                              <w:rPr>
                                <w:b/>
                                <w:sz w:val="20"/>
                              </w:rPr>
                              <w:t xml:space="preserve">Figure </w:t>
                            </w:r>
                            <w:r>
                              <w:rPr>
                                <w:b/>
                                <w:sz w:val="20"/>
                              </w:rPr>
                              <w:fldChar w:fldCharType="begin"/>
                            </w:r>
                            <w:r>
                              <w:rPr>
                                <w:b/>
                                <w:sz w:val="20"/>
                              </w:rPr>
                              <w:instrText xml:space="preserve"> STYLEREF 1 \s </w:instrText>
                            </w:r>
                            <w:r>
                              <w:rPr>
                                <w:b/>
                                <w:sz w:val="20"/>
                              </w:rPr>
                              <w:fldChar w:fldCharType="separate"/>
                            </w:r>
                            <w:r>
                              <w:rPr>
                                <w:b/>
                                <w:noProof/>
                                <w:sz w:val="20"/>
                              </w:rPr>
                              <w:t>4</w:t>
                            </w:r>
                            <w:r>
                              <w:rPr>
                                <w:b/>
                                <w:sz w:val="20"/>
                              </w:rPr>
                              <w:fldChar w:fldCharType="end"/>
                            </w:r>
                            <w:r>
                              <w:rPr>
                                <w:b/>
                                <w:sz w:val="20"/>
                              </w:rPr>
                              <w:t>.</w:t>
                            </w:r>
                            <w:r>
                              <w:rPr>
                                <w:b/>
                                <w:sz w:val="20"/>
                              </w:rPr>
                              <w:fldChar w:fldCharType="begin"/>
                            </w:r>
                            <w:r>
                              <w:rPr>
                                <w:b/>
                                <w:sz w:val="20"/>
                              </w:rPr>
                              <w:instrText xml:space="preserve"> SEQ Figure \* ARABIC \s 1 </w:instrText>
                            </w:r>
                            <w:r>
                              <w:rPr>
                                <w:b/>
                                <w:sz w:val="20"/>
                              </w:rPr>
                              <w:fldChar w:fldCharType="separate"/>
                            </w:r>
                            <w:r>
                              <w:rPr>
                                <w:b/>
                                <w:noProof/>
                                <w:sz w:val="20"/>
                              </w:rPr>
                              <w:t>10</w:t>
                            </w:r>
                            <w:r>
                              <w:rPr>
                                <w:b/>
                                <w:sz w:val="20"/>
                              </w:rPr>
                              <w:fldChar w:fldCharType="end"/>
                            </w:r>
                            <w:bookmarkEnd w:id="393"/>
                            <w:r w:rsidRPr="00360F33">
                              <w:rPr>
                                <w:b/>
                                <w:sz w:val="20"/>
                              </w:rPr>
                              <w:t xml:space="preserve"> - Domain model state diagram of a myeloid cell during </w:t>
                            </w:r>
                            <w:r>
                              <w:rPr>
                                <w:b/>
                                <w:sz w:val="20"/>
                                <w:szCs w:val="20"/>
                              </w:rPr>
                              <w:t>h</w:t>
                            </w:r>
                            <w:r w:rsidRPr="009A7602">
                              <w:rPr>
                                <w:b/>
                                <w:sz w:val="20"/>
                                <w:szCs w:val="20"/>
                              </w:rPr>
                              <w:t xml:space="preserve">epatic </w:t>
                            </w:r>
                            <w:r>
                              <w:rPr>
                                <w:b/>
                                <w:sz w:val="20"/>
                                <w:szCs w:val="20"/>
                              </w:rPr>
                              <w:t xml:space="preserve">infection with </w:t>
                            </w:r>
                            <w:r>
                              <w:rPr>
                                <w:b/>
                                <w:i/>
                                <w:sz w:val="20"/>
                                <w:szCs w:val="20"/>
                              </w:rPr>
                              <w:t>L. donovani</w:t>
                            </w:r>
                            <w:r w:rsidRPr="00360F33">
                              <w:rPr>
                                <w:b/>
                                <w:sz w:val="20"/>
                              </w:rPr>
                              <w:t xml:space="preserve">. </w:t>
                            </w:r>
                            <w:r w:rsidRPr="003B2D5F">
                              <w:rPr>
                                <w:sz w:val="20"/>
                              </w:rPr>
                              <w:t>UML</w:t>
                            </w:r>
                            <w:r>
                              <w:rPr>
                                <w:sz w:val="20"/>
                              </w:rPr>
                              <w:t>-like</w:t>
                            </w:r>
                            <w:r w:rsidRPr="003B2D5F">
                              <w:rPr>
                                <w:sz w:val="20"/>
                              </w:rPr>
                              <w:t xml:space="preserve"> </w:t>
                            </w:r>
                            <w:r w:rsidRPr="00360F33">
                              <w:rPr>
                                <w:sz w:val="20"/>
                              </w:rPr>
                              <w:t xml:space="preserve">state diagram describing the different states a myeloid cell may exist in during EVL. The white rectangles represent the </w:t>
                            </w:r>
                            <w:r>
                              <w:rPr>
                                <w:sz w:val="20"/>
                              </w:rPr>
                              <w:t>sub-</w:t>
                            </w:r>
                            <w:r w:rsidRPr="00360F33">
                              <w:rPr>
                                <w:sz w:val="20"/>
                              </w:rPr>
                              <w:t xml:space="preserve">states of the overarching states denoted by the grey rectangles, ergo the state of a myeloid cell may be </w:t>
                            </w:r>
                            <w:r>
                              <w:rPr>
                                <w:sz w:val="20"/>
                              </w:rPr>
                              <w:t>either naïve or infected and either patrolling or activated.</w:t>
                            </w:r>
                            <w:bookmarkEnd w:id="394"/>
                            <w:bookmarkEnd w:id="395"/>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699F40BB" id="Text Box 480" o:spid="_x0000_s1109" type="#_x0000_t202" style="position:absolute;left:0;text-align:left;margin-left:-20.35pt;margin-top:283.7pt;width:444.6pt;height:71pt;z-index:2512117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K2FQBNQIAAGwEAAAOAAAAZHJzL2Uyb0RvYy54bWysVFFv0zAQfkfiP1h+Z2nLKKNqOpVNRUjV&#13;&#10;NmlDe3YdZ7Hk+IztNim/ns9Os8HgCfHinO/OZ3/fd5flZd8adlA+aLIln55NOFNWUqXtU8m/PWze&#13;&#10;XXAWorCVMGRVyY8q8MvV2zfLzi3UjBoylfIMRWxYdK7kTYxuURRBNqoV4YycsgjW5FsRsfVPReVF&#13;&#10;h+qtKWaTybzoyFfOk1QhwHs9BPkq169rJeNtXQcVmSk53hbz6vO6S2uxWorFkxeu0fL0DPEPr2iF&#13;&#10;trj0udS1iILtvf6jVKulp0B1PJPUFlTXWqqMAWimk1do7hvhVMYCcoJ7pin8v7Ly5nDnma5Kfn4B&#13;&#10;fqxoIdKD6iP7TD1LPjDUubBA4r1DauwRgNKjP8CZgPe1b9MXkBjiqHV85jeVk3B+mJ/Pz2cIScQ+&#13;&#10;TaYfJ7l88XLa+RC/KGpZMkruoV+mVRy2IeIlSB1T0mWBjK422pi0SYEr49lBQOuu0VGlN+LEb1nG&#13;&#10;plxL6dQQTp4iQRygJCv2uz6TcvF+xLmj6gj4noYWCk5uNC7cihDvhEfPABbmIN5iqQ11JaeTxVlD&#13;&#10;/sff/CkfUiLKWYceLHn4vhdecWa+WoiMknE0/GjsRsPu2ysC1CkmzMls4oCPZjRrT+0jxmOdbkFI&#13;&#10;WIm7Sh5H8yoOk4Dxkmq9zkloSyfi1t47mUqPxD70j8K7kywRgt7Q2J1i8UqdIXegeb2PVOssXSJ2&#13;&#10;YPHEN1o663MavzQzv+5z1stPYvUTAAD//wMAUEsDBBQABgAIAAAAIQDT+sqw4wAAABABAAAPAAAA&#13;&#10;ZHJzL2Rvd25yZXYueG1sTE/PT4MwFL6b+D80z8SL2VoXBsgoiw696WFz2bmjTyDSV0LLYP+99aSX&#13;&#10;l3x53898O5uOXXBwrSUJj0sBDKmyuqVawvHzbZECc16RVp0llHBFB9vi9iZXmbYT7fFy8DULJuQy&#13;&#10;JaHxvs84d1WDRrml7ZHC78sORvkAh5rrQU3B3HR8JUTMjWopJDSqx12D1fdhNBLichinPe0eyuPr&#13;&#10;u/ro69Xp5XqS8v5uLjfhPG+AeZz9nwJ+N4T+UIRiZzuSdqyTsIhEEqgS1nESAQuMNErXwM4SEvEU&#13;&#10;AS9y/n9I8QMAAP//AwBQSwECLQAUAAYACAAAACEAtoM4kv4AAADhAQAAEwAAAAAAAAAAAAAAAAAA&#13;&#10;AAAAW0NvbnRlbnRfVHlwZXNdLnhtbFBLAQItABQABgAIAAAAIQA4/SH/1gAAAJQBAAALAAAAAAAA&#13;&#10;AAAAAAAAAC8BAABfcmVscy8ucmVsc1BLAQItABQABgAIAAAAIQAK2FQBNQIAAGwEAAAOAAAAAAAA&#13;&#10;AAAAAAAAAC4CAABkcnMvZTJvRG9jLnhtbFBLAQItABQABgAIAAAAIQDT+sqw4wAAABABAAAPAAAA&#13;&#10;AAAAAAAAAAAAAI8EAABkcnMvZG93bnJldi54bWxQSwUGAAAAAAQABADzAAAAnwUAAAAA&#13;&#10;" stroked="f">
                <v:textbox inset="0,0,0,0">
                  <w:txbxContent>
                    <w:p w14:paraId="67897C7C" w14:textId="741E437D" w:rsidR="00F61130" w:rsidRPr="00360F33" w:rsidRDefault="00F61130" w:rsidP="0020480B">
                      <w:pPr>
                        <w:pStyle w:val="Caption"/>
                        <w:spacing w:line="360" w:lineRule="auto"/>
                        <w:jc w:val="both"/>
                        <w:rPr>
                          <w:noProof/>
                          <w:color w:val="FF0000"/>
                          <w:sz w:val="20"/>
                        </w:rPr>
                      </w:pPr>
                      <w:bookmarkStart w:id="396" w:name="_Ref518570899"/>
                      <w:bookmarkStart w:id="397" w:name="_Toc525227215"/>
                      <w:bookmarkStart w:id="398" w:name="_Toc536814154"/>
                      <w:r w:rsidRPr="00360F33">
                        <w:rPr>
                          <w:b/>
                          <w:sz w:val="20"/>
                        </w:rPr>
                        <w:t xml:space="preserve">Figure </w:t>
                      </w:r>
                      <w:r>
                        <w:rPr>
                          <w:b/>
                          <w:sz w:val="20"/>
                        </w:rPr>
                        <w:fldChar w:fldCharType="begin"/>
                      </w:r>
                      <w:r>
                        <w:rPr>
                          <w:b/>
                          <w:sz w:val="20"/>
                        </w:rPr>
                        <w:instrText xml:space="preserve"> STYLEREF 1 \s </w:instrText>
                      </w:r>
                      <w:r>
                        <w:rPr>
                          <w:b/>
                          <w:sz w:val="20"/>
                        </w:rPr>
                        <w:fldChar w:fldCharType="separate"/>
                      </w:r>
                      <w:r>
                        <w:rPr>
                          <w:b/>
                          <w:noProof/>
                          <w:sz w:val="20"/>
                        </w:rPr>
                        <w:t>4</w:t>
                      </w:r>
                      <w:r>
                        <w:rPr>
                          <w:b/>
                          <w:sz w:val="20"/>
                        </w:rPr>
                        <w:fldChar w:fldCharType="end"/>
                      </w:r>
                      <w:r>
                        <w:rPr>
                          <w:b/>
                          <w:sz w:val="20"/>
                        </w:rPr>
                        <w:t>.</w:t>
                      </w:r>
                      <w:r>
                        <w:rPr>
                          <w:b/>
                          <w:sz w:val="20"/>
                        </w:rPr>
                        <w:fldChar w:fldCharType="begin"/>
                      </w:r>
                      <w:r>
                        <w:rPr>
                          <w:b/>
                          <w:sz w:val="20"/>
                        </w:rPr>
                        <w:instrText xml:space="preserve"> SEQ Figure \* ARABIC \s 1 </w:instrText>
                      </w:r>
                      <w:r>
                        <w:rPr>
                          <w:b/>
                          <w:sz w:val="20"/>
                        </w:rPr>
                        <w:fldChar w:fldCharType="separate"/>
                      </w:r>
                      <w:r>
                        <w:rPr>
                          <w:b/>
                          <w:noProof/>
                          <w:sz w:val="20"/>
                        </w:rPr>
                        <w:t>10</w:t>
                      </w:r>
                      <w:r>
                        <w:rPr>
                          <w:b/>
                          <w:sz w:val="20"/>
                        </w:rPr>
                        <w:fldChar w:fldCharType="end"/>
                      </w:r>
                      <w:bookmarkEnd w:id="396"/>
                      <w:r w:rsidRPr="00360F33">
                        <w:rPr>
                          <w:b/>
                          <w:sz w:val="20"/>
                        </w:rPr>
                        <w:t xml:space="preserve"> - Domain model state diagram of a myeloid cell during </w:t>
                      </w:r>
                      <w:r>
                        <w:rPr>
                          <w:b/>
                          <w:sz w:val="20"/>
                          <w:szCs w:val="20"/>
                        </w:rPr>
                        <w:t>h</w:t>
                      </w:r>
                      <w:r w:rsidRPr="009A7602">
                        <w:rPr>
                          <w:b/>
                          <w:sz w:val="20"/>
                          <w:szCs w:val="20"/>
                        </w:rPr>
                        <w:t xml:space="preserve">epatic </w:t>
                      </w:r>
                      <w:r>
                        <w:rPr>
                          <w:b/>
                          <w:sz w:val="20"/>
                          <w:szCs w:val="20"/>
                        </w:rPr>
                        <w:t xml:space="preserve">infection with </w:t>
                      </w:r>
                      <w:r>
                        <w:rPr>
                          <w:b/>
                          <w:i/>
                          <w:sz w:val="20"/>
                          <w:szCs w:val="20"/>
                        </w:rPr>
                        <w:t>L. donovani</w:t>
                      </w:r>
                      <w:r w:rsidRPr="00360F33">
                        <w:rPr>
                          <w:b/>
                          <w:sz w:val="20"/>
                        </w:rPr>
                        <w:t xml:space="preserve">. </w:t>
                      </w:r>
                      <w:r w:rsidRPr="003B2D5F">
                        <w:rPr>
                          <w:sz w:val="20"/>
                        </w:rPr>
                        <w:t>UML</w:t>
                      </w:r>
                      <w:r>
                        <w:rPr>
                          <w:sz w:val="20"/>
                        </w:rPr>
                        <w:t>-like</w:t>
                      </w:r>
                      <w:r w:rsidRPr="003B2D5F">
                        <w:rPr>
                          <w:sz w:val="20"/>
                        </w:rPr>
                        <w:t xml:space="preserve"> </w:t>
                      </w:r>
                      <w:r w:rsidRPr="00360F33">
                        <w:rPr>
                          <w:sz w:val="20"/>
                        </w:rPr>
                        <w:t xml:space="preserve">state diagram describing the different states a myeloid cell may exist in during EVL. The white rectangles represent the </w:t>
                      </w:r>
                      <w:r>
                        <w:rPr>
                          <w:sz w:val="20"/>
                        </w:rPr>
                        <w:t>sub-</w:t>
                      </w:r>
                      <w:r w:rsidRPr="00360F33">
                        <w:rPr>
                          <w:sz w:val="20"/>
                        </w:rPr>
                        <w:t xml:space="preserve">states of the overarching states denoted by the grey rectangles, ergo the state of a myeloid cell may be </w:t>
                      </w:r>
                      <w:r>
                        <w:rPr>
                          <w:sz w:val="20"/>
                        </w:rPr>
                        <w:t>either naïve or infected and either patrolling or activated.</w:t>
                      </w:r>
                      <w:bookmarkEnd w:id="397"/>
                      <w:bookmarkEnd w:id="398"/>
                    </w:p>
                  </w:txbxContent>
                </v:textbox>
                <w10:wrap type="topAndBottom"/>
              </v:shape>
            </w:pict>
          </mc:Fallback>
        </mc:AlternateContent>
      </w:r>
      <w:r>
        <w:rPr>
          <w:noProof/>
        </w:rPr>
        <w:drawing>
          <wp:anchor distT="0" distB="0" distL="114300" distR="114300" simplePos="0" relativeHeight="251210752" behindDoc="0" locked="0" layoutInCell="1" allowOverlap="1" wp14:anchorId="7A47FFBD" wp14:editId="6BDBC86F">
            <wp:simplePos x="0" y="0"/>
            <wp:positionH relativeFrom="column">
              <wp:posOffset>-258494</wp:posOffset>
            </wp:positionH>
            <wp:positionV relativeFrom="paragraph">
              <wp:posOffset>195</wp:posOffset>
            </wp:positionV>
            <wp:extent cx="5646420" cy="3599724"/>
            <wp:effectExtent l="0" t="0" r="5080" b="0"/>
            <wp:wrapTopAndBottom/>
            <wp:docPr id="478" name="Picture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8" name="Picture 478"/>
                    <pic:cNvPicPr>
                      <a:picLocks noChangeAspect="1"/>
                    </pic:cNvPicPr>
                  </pic:nvPicPr>
                  <pic:blipFill rotWithShape="1">
                    <a:blip r:embed="rId54">
                      <a:extLst>
                        <a:ext uri="{28A0092B-C50C-407E-A947-70E740481C1C}">
                          <a14:useLocalDpi xmlns:a14="http://schemas.microsoft.com/office/drawing/2010/main" val="0"/>
                        </a:ext>
                      </a:extLst>
                    </a:blip>
                    <a:srcRect l="15362" t="20247" r="14889" b="17006"/>
                    <a:stretch/>
                  </pic:blipFill>
                  <pic:spPr bwMode="auto">
                    <a:xfrm>
                      <a:off x="0" y="0"/>
                      <a:ext cx="5646420" cy="3599724"/>
                    </a:xfrm>
                    <a:prstGeom prst="rect">
                      <a:avLst/>
                    </a:prstGeom>
                    <a:ln>
                      <a:noFill/>
                    </a:ln>
                    <a:extLst>
                      <a:ext uri="{53640926-AAD7-44D8-BBD7-CCE9431645EC}">
                        <a14:shadowObscured xmlns:a14="http://schemas.microsoft.com/office/drawing/2010/main"/>
                      </a:ext>
                    </a:extLst>
                  </pic:spPr>
                </pic:pic>
              </a:graphicData>
            </a:graphic>
          </wp:anchor>
        </w:drawing>
      </w:r>
    </w:p>
    <w:p w14:paraId="35308E26" w14:textId="0E1B21FE" w:rsidR="00406E0D" w:rsidRPr="008B3AD6" w:rsidRDefault="0074700A" w:rsidP="009154C0">
      <w:pPr>
        <w:spacing w:line="360" w:lineRule="auto"/>
        <w:jc w:val="both"/>
      </w:pPr>
      <w:r w:rsidRPr="00007C4A">
        <w:rPr>
          <w:b/>
        </w:rPr>
        <w:fldChar w:fldCharType="begin"/>
      </w:r>
      <w:r w:rsidRPr="00007C4A">
        <w:rPr>
          <w:b/>
        </w:rPr>
        <w:instrText xml:space="preserve"> REF _Ref518570899  \* MERGEFORMAT </w:instrText>
      </w:r>
      <w:r w:rsidRPr="00007C4A">
        <w:rPr>
          <w:b/>
        </w:rPr>
        <w:fldChar w:fldCharType="separate"/>
      </w:r>
      <w:r w:rsidR="00E5551E" w:rsidRPr="00E5551E">
        <w:rPr>
          <w:b/>
        </w:rPr>
        <w:t>Figure 4.10</w:t>
      </w:r>
      <w:r w:rsidRPr="00007C4A">
        <w:rPr>
          <w:b/>
        </w:rPr>
        <w:fldChar w:fldCharType="end"/>
      </w:r>
      <w:r w:rsidR="00E256D4" w:rsidRPr="008B3AD6">
        <w:t xml:space="preserve"> </w:t>
      </w:r>
      <w:r w:rsidR="00406E0D" w:rsidRPr="008B3AD6">
        <w:t xml:space="preserve">represents the states that these myeloid cells may exist in at any given time. Myeloid cells are patrolling entities and are initially susceptible (or naïve) to </w:t>
      </w:r>
      <w:r w:rsidR="00406E0D" w:rsidRPr="008B3AD6">
        <w:rPr>
          <w:i/>
        </w:rPr>
        <w:t>L. donovani</w:t>
      </w:r>
      <w:r w:rsidR="00406E0D" w:rsidRPr="008B3AD6">
        <w:t xml:space="preserve">. If successful phagocytosis occurs, then the myeloid cells becomes infected. Naïve and infected myeloid cells are both still receptive to extrinsic stimulus and become activated through the detection of pro-inflammatory signals. Infected myeloid cells may exit the system if they burst due to intracellular </w:t>
      </w:r>
      <w:r w:rsidR="00406E0D" w:rsidRPr="008B3AD6">
        <w:rPr>
          <w:i/>
        </w:rPr>
        <w:t>L. donovani</w:t>
      </w:r>
      <w:r w:rsidR="00406E0D" w:rsidRPr="008B3AD6">
        <w:t xml:space="preserve"> replication or through the lytic action of T cells and all myeloid cells may exit through the system via natural apoptosis.</w:t>
      </w:r>
    </w:p>
    <w:p w14:paraId="22CA2731" w14:textId="385EB045" w:rsidR="00406E0D" w:rsidRPr="008B3AD6" w:rsidRDefault="00406E0D" w:rsidP="009154C0">
      <w:pPr>
        <w:spacing w:line="360" w:lineRule="auto"/>
        <w:jc w:val="both"/>
      </w:pPr>
    </w:p>
    <w:p w14:paraId="404E3F0B" w14:textId="3B70F08A" w:rsidR="00406E0D" w:rsidRPr="008B3AD6" w:rsidRDefault="00406E0D" w:rsidP="009154C0">
      <w:pPr>
        <w:spacing w:line="360" w:lineRule="auto"/>
        <w:jc w:val="both"/>
      </w:pPr>
      <w:r w:rsidRPr="008B3AD6">
        <w:t xml:space="preserve">A well-defined role of iNKT cells </w:t>
      </w:r>
      <w:r w:rsidR="00007C4A">
        <w:t>during</w:t>
      </w:r>
      <w:r w:rsidRPr="008B3AD6">
        <w:t xml:space="preserve"> </w:t>
      </w:r>
      <w:r w:rsidR="001060A4">
        <w:t xml:space="preserve">hepatic </w:t>
      </w:r>
      <w:r w:rsidR="001060A4">
        <w:rPr>
          <w:i/>
        </w:rPr>
        <w:t>L. donovani</w:t>
      </w:r>
      <w:r w:rsidR="001060A4">
        <w:t xml:space="preserve"> infection</w:t>
      </w:r>
      <w:r w:rsidRPr="008B3AD6">
        <w:t xml:space="preserve"> is to act as the initial ‘alarm’ for the detection </w:t>
      </w:r>
      <w:r w:rsidR="001060A4">
        <w:t>this</w:t>
      </w:r>
      <w:r w:rsidRPr="008B3AD6">
        <w:t xml:space="preserve"> infection and this response is documented in </w:t>
      </w:r>
      <w:r w:rsidR="00D034D1" w:rsidRPr="000B202A">
        <w:rPr>
          <w:b/>
        </w:rPr>
        <w:fldChar w:fldCharType="begin"/>
      </w:r>
      <w:r w:rsidR="00D034D1" w:rsidRPr="000B202A">
        <w:rPr>
          <w:b/>
        </w:rPr>
        <w:instrText xml:space="preserve"> REF _Ref518571036  \* MERGEFORMAT </w:instrText>
      </w:r>
      <w:r w:rsidR="00D034D1" w:rsidRPr="000B202A">
        <w:rPr>
          <w:b/>
        </w:rPr>
        <w:fldChar w:fldCharType="separate"/>
      </w:r>
      <w:r w:rsidR="00E5551E" w:rsidRPr="00E5551E">
        <w:rPr>
          <w:b/>
        </w:rPr>
        <w:t>Figure 4.11</w:t>
      </w:r>
      <w:r w:rsidR="00D034D1" w:rsidRPr="000B202A">
        <w:rPr>
          <w:b/>
        </w:rPr>
        <w:fldChar w:fldCharType="end"/>
      </w:r>
      <w:r w:rsidRPr="008B3AD6">
        <w:t xml:space="preserve">. </w:t>
      </w:r>
      <w:r w:rsidR="000C331D" w:rsidRPr="008B3AD6">
        <w:t>I</w:t>
      </w:r>
      <w:r w:rsidRPr="008B3AD6">
        <w:t xml:space="preserve">nfected Kupffer cells present antigen via their CD1d receptor which activates the iNKTs, thus inducing a change of state, as seen in </w:t>
      </w:r>
      <w:r w:rsidR="006B7976" w:rsidRPr="001060A4">
        <w:rPr>
          <w:b/>
        </w:rPr>
        <w:fldChar w:fldCharType="begin"/>
      </w:r>
      <w:r w:rsidR="006B7976" w:rsidRPr="001060A4">
        <w:rPr>
          <w:b/>
        </w:rPr>
        <w:instrText xml:space="preserve"> REF _Ref518571185  \* MERGEFORMAT </w:instrText>
      </w:r>
      <w:r w:rsidR="006B7976" w:rsidRPr="001060A4">
        <w:rPr>
          <w:b/>
        </w:rPr>
        <w:fldChar w:fldCharType="separate"/>
      </w:r>
      <w:r w:rsidR="00E5551E" w:rsidRPr="00E5551E">
        <w:rPr>
          <w:b/>
        </w:rPr>
        <w:t>Figure 4.12</w:t>
      </w:r>
      <w:r w:rsidR="006B7976" w:rsidRPr="001060A4">
        <w:rPr>
          <w:b/>
        </w:rPr>
        <w:fldChar w:fldCharType="end"/>
      </w:r>
      <w:r w:rsidRPr="008B3AD6">
        <w:t>, to produce pro-inflammatory signals (</w:t>
      </w:r>
      <w:r w:rsidRPr="008B3AD6">
        <w:rPr>
          <w:b/>
        </w:rPr>
        <w:t>IN2</w:t>
      </w:r>
      <w:r w:rsidRPr="008B3AD6">
        <w:t xml:space="preserve">) </w:t>
      </w:r>
      <w:r w:rsidRPr="008B3AD6">
        <w:fldChar w:fldCharType="begin"/>
      </w:r>
      <w:r w:rsidR="00812605" w:rsidRPr="008B3AD6">
        <w:instrText xml:space="preserve"> ADDIN ZOTERO_ITEM CSL_CITATION {"citationID":"74lftBsp","properties":{"formattedCitation":"(Amprey et al. 2004)","plainCitation":"(Amprey et al. 2004)","noteIndex":0},"citationItems":[{"id":2478,"uris":["http://zotero.org/users/2628971/items/TRDFGX4B"],"uri":["http://zotero.org/users/2628971/items/TRDFGX4B"],"itemData":{"id":2478,"type":"article-journal","title":"A Subset of Liver NK T Cells Is Activated during &lt;i&gt;Leishmania donovani&lt;/i&gt; Infection by CD1d-bound Lipophosphoglycan","container-title":"The Journal of Experimental Medicine","page":"895-904","volume":"200","issue":"7","source":"CrossRef","DOI":"10.1084/jem.20040704","ISSN":"0022-1007, 1540-9538","language":"en","author":[{"family":"Amprey","given":"Joseph L."},{"family":"Im","given":"Jin S."},{"family":"Turco","given":"Salvatore J."},{"family":"Murray","given":"Henry W."},{"family":"Illarionov","given":"Petr A."},{"family":"Besra","given":"Gurdyal S."},{"family":"Porcelli","given":"Steven A."},{"family":"Späth","given":"Gerald F."}],"issued":{"date-parts":[["2004",10,4]]}}}],"schema":"https://github.com/citation-style-language/schema/raw/master/csl-citation.json"} </w:instrText>
      </w:r>
      <w:r w:rsidRPr="008B3AD6">
        <w:fldChar w:fldCharType="separate"/>
      </w:r>
      <w:r w:rsidRPr="008B3AD6">
        <w:t>(Amprey et al. 2004)</w:t>
      </w:r>
      <w:r w:rsidRPr="008B3AD6">
        <w:fldChar w:fldCharType="end"/>
      </w:r>
      <w:r w:rsidRPr="008B3AD6">
        <w:t>, recruitment factors (</w:t>
      </w:r>
      <w:r w:rsidRPr="008B3AD6">
        <w:rPr>
          <w:b/>
        </w:rPr>
        <w:t>IN3</w:t>
      </w:r>
      <w:r w:rsidRPr="008B3AD6">
        <w:t xml:space="preserve">) </w:t>
      </w:r>
      <w:r w:rsidRPr="008B3AD6">
        <w:fldChar w:fldCharType="begin"/>
      </w:r>
      <w:r w:rsidR="001E0E9E">
        <w:instrText xml:space="preserve"> ADDIN ZOTERO_ITEM CSL_CITATION {"citationID":"Eclxj1vr","properties":{"formattedCitation":"(Peter E. Kima and Soong 2013)","plainCitation":"(Peter E. Kima and Soong 2013)","noteIndex":0},"citationItems":[{"id":2758,"uris":["http://zotero.org/users/2628971/items/GRXEW6RH"],"uri":["http://zotero.org/users/2628971/items/GRXEW6RH"],"itemData":{"id":2758,"type":"article-journal","title":"Interferon gamma in leishmaniasis","container-title":"Frontiers in Immunology","page":"156","volume":"4","source":"PubMed","abstract":"Leishmaniasis is a complex disease that is caused by parasites of the Leishmania genus. Leishmania are further classified into several complexes, each of which can engage in distinct interactions with mammalian hosts resulting in differing disease presentations. It is therefore not unexpected that host immune responses to Leishmania are variable. The induction of interferon gamma (IFN-γ) and response to it in these infections has received considerable attention. In this review, we summarize our current understanding of some of the host responses during Leishmania infections that are regulated by IFN-γ. In addition, studies that explore the nature of parasite-derived molecular mediators that might affect the host response to IFN-γ are also discussed.","DOI":"10.3389/fimmu.2013.00156","ISSN":"1664-3224","note":"PMID: 23801993\nPMCID: PMC3685816","journalAbbreviation":"Front Immunol","language":"eng","author":[{"family":"Kima","given":"Peter E."},{"family":"Soong","given":"Lynn"}],"issued":{"date-parts":[["2013"]]}}}],"schema":"https://github.com/citation-style-language/schema/raw/master/csl-citation.json"} </w:instrText>
      </w:r>
      <w:r w:rsidRPr="008B3AD6">
        <w:fldChar w:fldCharType="separate"/>
      </w:r>
      <w:r w:rsidR="00E5551E">
        <w:t>(</w:t>
      </w:r>
      <w:r w:rsidR="001E0E9E">
        <w:t>Kima and Soong 2013)</w:t>
      </w:r>
      <w:r w:rsidRPr="008B3AD6">
        <w:fldChar w:fldCharType="end"/>
      </w:r>
      <w:r w:rsidRPr="008B3AD6">
        <w:t xml:space="preserve"> and modulatory signals (</w:t>
      </w:r>
      <w:r w:rsidRPr="008B3AD6">
        <w:rPr>
          <w:b/>
        </w:rPr>
        <w:t>IN4</w:t>
      </w:r>
      <w:r w:rsidRPr="008B3AD6">
        <w:t>)</w:t>
      </w:r>
      <w:r w:rsidR="00C34D65" w:rsidRPr="008B3AD6">
        <w:t xml:space="preserve"> </w:t>
      </w:r>
      <w:r w:rsidRPr="008B3AD6">
        <w:fldChar w:fldCharType="begin"/>
      </w:r>
      <w:r w:rsidR="00812605" w:rsidRPr="008B3AD6">
        <w:instrText xml:space="preserve"> ADDIN ZOTERO_ITEM CSL_CITATION {"citationID":"roPq3nyd","properties":{"formattedCitation":"(Tupin, Kinjo, and Kronenberg 2007)","plainCitation":"(Tupin, Kinjo, and Kronenberg 2007)","noteIndex":0},"citationItems":[{"id":2777,"uris":["http://zotero.org/users/2628971/items/Y8ICULYN"],"uri":["http://zotero.org/users/2628971/items/Y8ICULYN"],"itemData":{"id":2777,"type":"article-journal","title":"The unique role of natural killer T cells in the response to microorganisms","container-title":"Nature Reviews. Microbiology","page":"405-417","volume":"5","issue":"6","source":"PubMed","abstract":"Natural killer T (NKT) cells combine features of the innate and adaptive immune systems. Recently, it has become evident that these T cells have crucial roles in the response to infectious agents. The antigen receptor expressed by NKT cells directly recognizes unusual glycolipids that are part of the membrane of certain Gram-negative bacteria and spirochetes. Moreover, even in the absence of microbial glycolipid antigens, these T cells respond to innate cytokines produced by dendritic cells that have been activated by microbes. This indirect sensing of infection, by responding to cytokines from activated dendritic cells, allows NKT cells to react to a broad range of infectious agents.","DOI":"10.1038/nrmicro1657","ISSN":"1740-1534","note":"PMID: 17487145","journalAbbreviation":"Nat. Rev. Microbiol.","language":"eng","author":[{"family":"Tupin","given":"Emmanuel"},{"family":"Kinjo","given":"Yuki"},{"family":"Kronenberg","given":"Mitchell"}],"issued":{"date-parts":[["2007",6]]}}}],"schema":"https://github.com/citation-style-language/schema/raw/master/csl-citation.json"} </w:instrText>
      </w:r>
      <w:r w:rsidRPr="008B3AD6">
        <w:fldChar w:fldCharType="separate"/>
      </w:r>
      <w:r w:rsidRPr="008B3AD6">
        <w:t>(Tupin, Kinjo, and Kronenberg 2007)</w:t>
      </w:r>
      <w:r w:rsidRPr="008B3AD6">
        <w:fldChar w:fldCharType="end"/>
      </w:r>
      <w:r w:rsidRPr="008B3AD6">
        <w:t xml:space="preserve">. This is a transient process and iNKTs are assumed to return to their patrolling state, shown in </w:t>
      </w:r>
      <w:r w:rsidR="00D034D1" w:rsidRPr="000B202A">
        <w:rPr>
          <w:b/>
        </w:rPr>
        <w:fldChar w:fldCharType="begin"/>
      </w:r>
      <w:r w:rsidR="00D034D1" w:rsidRPr="000B202A">
        <w:rPr>
          <w:b/>
        </w:rPr>
        <w:instrText xml:space="preserve"> REF _Ref518571185  \* MERGEFORMAT </w:instrText>
      </w:r>
      <w:r w:rsidR="00D034D1" w:rsidRPr="000B202A">
        <w:rPr>
          <w:b/>
        </w:rPr>
        <w:fldChar w:fldCharType="separate"/>
      </w:r>
      <w:r w:rsidR="00E5551E" w:rsidRPr="00E5551E">
        <w:rPr>
          <w:b/>
        </w:rPr>
        <w:t>Figure 4.12</w:t>
      </w:r>
      <w:r w:rsidR="00D034D1" w:rsidRPr="000B202A">
        <w:rPr>
          <w:b/>
        </w:rPr>
        <w:fldChar w:fldCharType="end"/>
      </w:r>
      <w:r w:rsidR="0027375E" w:rsidRPr="008B3AD6">
        <w:t xml:space="preserve"> </w:t>
      </w:r>
      <w:r w:rsidRPr="008B3AD6">
        <w:t>as</w:t>
      </w:r>
      <w:r w:rsidR="0027375E" w:rsidRPr="008B3AD6">
        <w:t xml:space="preserve"> a</w:t>
      </w:r>
      <w:r w:rsidRPr="008B3AD6">
        <w:t xml:space="preserve"> return to patrolling state, allowing for subsequent activation, where they may proliferate (</w:t>
      </w:r>
      <w:r w:rsidRPr="008B3AD6">
        <w:rPr>
          <w:b/>
        </w:rPr>
        <w:t>IN5</w:t>
      </w:r>
      <w:r w:rsidRPr="008B3AD6">
        <w:t xml:space="preserve">) </w:t>
      </w:r>
      <w:r w:rsidRPr="008B3AD6">
        <w:fldChar w:fldCharType="begin"/>
      </w:r>
      <w:r w:rsidR="00812605" w:rsidRPr="008B3AD6">
        <w:instrText xml:space="preserve"> ADDIN ZOTERO_ITEM CSL_CITATION {"citationID":"qz1BgEto","properties":{"formattedCitation":"(Moyo et al. 2018)","plainCitation":"(Moyo et al. 2018)","noteIndex":0},"citationItems":[{"id":2567,"uris":["http://zotero.org/users/2628971/items/BATTH2JT"],"uri":["http://zotero.org/users/2628971/items/BATTH2JT"],"itemData":{"id":2567,"type":"article-journal","title":"Macrophage Transactivation for Chemokine Production Identified as a Negative Regulator of Granulomatous Inflammation Using Agent-Based Modeling","container-title":"Frontiers in Immunology","volume":"9","source":"PubMed Central","abstract":"Cellular activation in trans by interferons, cytokines, and chemokines is a commonly recognized mechanism to amplify immune effector function and limit pathogen spread. However, an optimal host response also requires that collateral damage associated with inflammation is limited. This may be particularly so in the case of granulomatous inflammation, where an excessive number and/or excessively florid granulomas can have significant pathological consequences. Here, we have combined transcriptomics, agent-based modeling, and in vivo experimental approaches to study constraints on hepatic granuloma formation in a murine model of experimental leishmaniasis. We demonstrate that chemokine production by non-infected Kupffer cells in the Leishmania donovani-infected liver promotes competition with infected KCs for available iNKT cells, ultimately inhibiting the extent of granulomatous inflammation. We propose trans-activation for chemokine production as a novel broadly applicable mechanism that may operate early in infection to limit excessive focal inflammation.","URL":"https://www.ncbi.nlm.nih.gov/pmc/articles/PMC5880939/","DOI":"10.3389/fimmu.2018.00637","ISSN":"1664-3224","note":"PMID: 29636754\nPMCID: PMC5880939","journalAbbreviation":"Front Immunol","author":[{"family":"Moyo","given":"Daniel"},{"family":"Beattie","given":"Lynette"},{"family":"Andrews","given":"Paul S."},{"family":"Moore","given":"John W. J."},{"family":"Timmis","given":"Jon"},{"family":"Sawtell","given":"Amy"},{"family":"Hoehme","given":"Stefan"},{"family":"Sampson","given":"Adam T."},{"family":"Kaye","given":"Paul M."}],"issued":{"date-parts":[["2018",3,27]]},"accessed":{"date-parts":[["2018",6,14]]}}}],"schema":"https://github.com/citation-style-language/schema/raw/master/csl-citation.json"} </w:instrText>
      </w:r>
      <w:r w:rsidRPr="008B3AD6">
        <w:fldChar w:fldCharType="separate"/>
      </w:r>
      <w:r w:rsidRPr="008B3AD6">
        <w:t>(Moyo et al. 2018)</w:t>
      </w:r>
      <w:r w:rsidRPr="008B3AD6">
        <w:fldChar w:fldCharType="end"/>
      </w:r>
      <w:r w:rsidR="0027375E" w:rsidRPr="008B3AD6">
        <w:t>.</w:t>
      </w:r>
      <w:r w:rsidRPr="008B3AD6">
        <w:t xml:space="preserve"> </w:t>
      </w:r>
    </w:p>
    <w:p w14:paraId="1816A749" w14:textId="54101120" w:rsidR="00985675" w:rsidRPr="008B3AD6" w:rsidRDefault="002D2824" w:rsidP="009154C0">
      <w:pPr>
        <w:spacing w:line="360" w:lineRule="auto"/>
        <w:jc w:val="both"/>
      </w:pPr>
      <w:r>
        <w:rPr>
          <w:noProof/>
        </w:rPr>
        <w:lastRenderedPageBreak/>
        <mc:AlternateContent>
          <mc:Choice Requires="wps">
            <w:drawing>
              <wp:anchor distT="0" distB="0" distL="114300" distR="114300" simplePos="0" relativeHeight="251217920" behindDoc="0" locked="0" layoutInCell="1" allowOverlap="1" wp14:anchorId="33A3DC16" wp14:editId="69A54B93">
                <wp:simplePos x="0" y="0"/>
                <wp:positionH relativeFrom="column">
                  <wp:posOffset>-426720</wp:posOffset>
                </wp:positionH>
                <wp:positionV relativeFrom="paragraph">
                  <wp:posOffset>3528597</wp:posOffset>
                </wp:positionV>
                <wp:extent cx="5404485" cy="1222375"/>
                <wp:effectExtent l="0" t="0" r="5715" b="0"/>
                <wp:wrapTopAndBottom/>
                <wp:docPr id="484" name="Text Box 484"/>
                <wp:cNvGraphicFramePr/>
                <a:graphic xmlns:a="http://schemas.openxmlformats.org/drawingml/2006/main">
                  <a:graphicData uri="http://schemas.microsoft.com/office/word/2010/wordprocessingShape">
                    <wps:wsp>
                      <wps:cNvSpPr txBox="1"/>
                      <wps:spPr>
                        <a:xfrm>
                          <a:off x="0" y="0"/>
                          <a:ext cx="5404485" cy="1222375"/>
                        </a:xfrm>
                        <a:prstGeom prst="rect">
                          <a:avLst/>
                        </a:prstGeom>
                        <a:solidFill>
                          <a:prstClr val="white"/>
                        </a:solidFill>
                        <a:ln>
                          <a:noFill/>
                        </a:ln>
                      </wps:spPr>
                      <wps:txbx>
                        <w:txbxContent>
                          <w:p w14:paraId="0F4B4DCE" w14:textId="72962DF1" w:rsidR="00F61130" w:rsidRPr="0027375E" w:rsidRDefault="00F61130" w:rsidP="0027375E">
                            <w:pPr>
                              <w:pStyle w:val="Caption"/>
                              <w:spacing w:line="360" w:lineRule="auto"/>
                              <w:rPr>
                                <w:noProof/>
                                <w:sz w:val="20"/>
                                <w:szCs w:val="20"/>
                              </w:rPr>
                            </w:pPr>
                            <w:bookmarkStart w:id="399" w:name="_Ref518571036"/>
                            <w:bookmarkStart w:id="400" w:name="_Toc525227216"/>
                            <w:bookmarkStart w:id="401" w:name="_Toc536814155"/>
                            <w:r w:rsidRPr="0027375E">
                              <w:rPr>
                                <w:b/>
                                <w:sz w:val="20"/>
                                <w:szCs w:val="20"/>
                              </w:rPr>
                              <w:t xml:space="preserve">Figure </w:t>
                            </w:r>
                            <w:r>
                              <w:rPr>
                                <w:b/>
                                <w:sz w:val="20"/>
                                <w:szCs w:val="20"/>
                              </w:rPr>
                              <w:fldChar w:fldCharType="begin"/>
                            </w:r>
                            <w:r>
                              <w:rPr>
                                <w:b/>
                                <w:sz w:val="20"/>
                                <w:szCs w:val="20"/>
                              </w:rPr>
                              <w:instrText xml:space="preserve"> STYLEREF 1 \s </w:instrText>
                            </w:r>
                            <w:r>
                              <w:rPr>
                                <w:b/>
                                <w:sz w:val="20"/>
                                <w:szCs w:val="20"/>
                              </w:rPr>
                              <w:fldChar w:fldCharType="separate"/>
                            </w:r>
                            <w:r>
                              <w:rPr>
                                <w:b/>
                                <w:noProof/>
                                <w:sz w:val="20"/>
                                <w:szCs w:val="20"/>
                              </w:rPr>
                              <w:t>4</w:t>
                            </w:r>
                            <w:r>
                              <w:rPr>
                                <w:b/>
                                <w:sz w:val="20"/>
                                <w:szCs w:val="20"/>
                              </w:rPr>
                              <w:fldChar w:fldCharType="end"/>
                            </w:r>
                            <w:r>
                              <w:rPr>
                                <w:b/>
                                <w:sz w:val="20"/>
                                <w:szCs w:val="20"/>
                              </w:rPr>
                              <w:t>.</w:t>
                            </w:r>
                            <w:r>
                              <w:rPr>
                                <w:b/>
                                <w:sz w:val="20"/>
                                <w:szCs w:val="20"/>
                              </w:rPr>
                              <w:fldChar w:fldCharType="begin"/>
                            </w:r>
                            <w:r>
                              <w:rPr>
                                <w:b/>
                                <w:sz w:val="20"/>
                                <w:szCs w:val="20"/>
                              </w:rPr>
                              <w:instrText xml:space="preserve"> SEQ Figure \* ARABIC \s 1 </w:instrText>
                            </w:r>
                            <w:r>
                              <w:rPr>
                                <w:b/>
                                <w:sz w:val="20"/>
                                <w:szCs w:val="20"/>
                              </w:rPr>
                              <w:fldChar w:fldCharType="separate"/>
                            </w:r>
                            <w:r>
                              <w:rPr>
                                <w:b/>
                                <w:noProof/>
                                <w:sz w:val="20"/>
                                <w:szCs w:val="20"/>
                              </w:rPr>
                              <w:t>11</w:t>
                            </w:r>
                            <w:r>
                              <w:rPr>
                                <w:b/>
                                <w:sz w:val="20"/>
                                <w:szCs w:val="20"/>
                              </w:rPr>
                              <w:fldChar w:fldCharType="end"/>
                            </w:r>
                            <w:bookmarkEnd w:id="399"/>
                            <w:r w:rsidRPr="0027375E">
                              <w:rPr>
                                <w:b/>
                                <w:sz w:val="20"/>
                                <w:szCs w:val="20"/>
                              </w:rPr>
                              <w:t xml:space="preserve">- Domain model activity diagram describing the behaviours of an invariant natural killer T (iNKT) cell during </w:t>
                            </w:r>
                            <w:r>
                              <w:rPr>
                                <w:b/>
                                <w:sz w:val="20"/>
                                <w:szCs w:val="20"/>
                              </w:rPr>
                              <w:t>h</w:t>
                            </w:r>
                            <w:r w:rsidRPr="009A7602">
                              <w:rPr>
                                <w:b/>
                                <w:sz w:val="20"/>
                                <w:szCs w:val="20"/>
                              </w:rPr>
                              <w:t xml:space="preserve">epatic </w:t>
                            </w:r>
                            <w:r>
                              <w:rPr>
                                <w:b/>
                                <w:sz w:val="20"/>
                                <w:szCs w:val="20"/>
                              </w:rPr>
                              <w:t xml:space="preserve">infection with </w:t>
                            </w:r>
                            <w:r>
                              <w:rPr>
                                <w:b/>
                                <w:i/>
                                <w:sz w:val="20"/>
                                <w:szCs w:val="20"/>
                              </w:rPr>
                              <w:t>L. donovani</w:t>
                            </w:r>
                            <w:r w:rsidRPr="0027375E">
                              <w:rPr>
                                <w:b/>
                                <w:sz w:val="20"/>
                                <w:szCs w:val="20"/>
                              </w:rPr>
                              <w:t xml:space="preserve">. </w:t>
                            </w:r>
                            <w:r w:rsidRPr="003B2D5F">
                              <w:rPr>
                                <w:sz w:val="20"/>
                              </w:rPr>
                              <w:t>UML</w:t>
                            </w:r>
                            <w:r>
                              <w:rPr>
                                <w:sz w:val="20"/>
                              </w:rPr>
                              <w:t>-like</w:t>
                            </w:r>
                            <w:r w:rsidRPr="003B2D5F">
                              <w:rPr>
                                <w:sz w:val="20"/>
                              </w:rPr>
                              <w:t xml:space="preserve"> </w:t>
                            </w:r>
                            <w:r w:rsidRPr="0027375E">
                              <w:rPr>
                                <w:sz w:val="20"/>
                                <w:szCs w:val="20"/>
                              </w:rPr>
                              <w:t>notation of the behaviours and interactions of an invariant natural killer T cell in the liver only. Through knowledge aggregated in the research context it is assumed that the main role of iNKTs is to act as an alarm system to infection in the initial stages which is not dependent on migration from other sites.</w:t>
                            </w:r>
                            <w:bookmarkEnd w:id="400"/>
                            <w:bookmarkEnd w:id="401"/>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3A3DC16" id="Text Box 484" o:spid="_x0000_s1110" type="#_x0000_t202" style="position:absolute;left:0;text-align:left;margin-left:-33.6pt;margin-top:277.85pt;width:425.55pt;height:96.25pt;z-index:2512179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yKKfHNAIAAG0EAAAOAAAAZHJzL2Uyb0RvYy54bWysVMGO2jAQvVfqP1i+lwCFFkWEFWVFVWm1&#13;&#10;uxJUezaOQyzZHtc2JPTrO3YS2G57qnpxxjPjZ897M1netVqRs3BeginoZDSmRBgOpTTHgn7fbz8s&#13;&#10;KPGBmZIpMKKgF+Hp3er9u2VjczGFGlQpHEEQ4/PGFrQOweZZ5nktNPMjsMJgsAKnWcCtO2alYw2i&#13;&#10;a5VNx+NPWQOutA648B69912QrhJ+VQkenqrKi0BUQfFtIa0urYe4Zqsly4+O2Vry/hnsH16hmTR4&#13;&#10;6RXqngVGTk7+AaUld+ChCiMOOoOqklykGrCayfhNNbuaWZFqQXK8vdLk/x8sfzw/OyLLgs4WM0oM&#13;&#10;0yjSXrSBfIGWRB8y1FifY+LOYmpoMYBKD36Pzlh4Wzkdv1gSwThyfbnyG+E4Ouez8Wy2mFPCMTaZ&#13;&#10;TqcfP88jTnY7bp0PXwVoEo2COhQw8crODz50qUNKvM2DkuVWKhU3MbBRjpwZit3UMoge/LcsZWKu&#13;&#10;gXiqA4yeLNbY1RKt0B7axMqNgAOUF6zfQddD3vKtxAsfmA/PzGHTYMk4COEJl0pBU1DoLUpqcD//&#13;&#10;5o/5qCVGKWmwCQvqf5yYE5SobwZVjh07GG4wDoNhTnoDWOoER8zyZOIBF9RgVg70C87HOt6CIWY4&#13;&#10;3lXQMJib0I0CzhcX63VKwr60LDyYneUReiB2374wZ3tZAir6CEN7svyNOl1u0seuTwGpTtJFYjsW&#13;&#10;e76xp5P4/fzFoXm9T1m3v8TqFwAAAP//AwBQSwMEFAAGAAgAAAAhAL6ZyLbmAAAAEAEAAA8AAABk&#13;&#10;cnMvZG93bnJldi54bWxMTz1PwzAQ3ZH4D9YhsaDWIc0XaZyqKjDAUhG6sLmxGwdiO7KdNvx7jgmW&#13;&#10;053eu/dRbWY9kLN0vreGwf0yAiJNa0VvOgaH9+dFAcQHbgQfrJEMvqWHTX19VfFS2It5k+cmdARF&#13;&#10;jC85AxXCWFLqWyU190s7SoPYyTrNA56uo8LxC4rrgcZRlFHNe4MOio9yp2T71UyawT752Ku76fT0&#13;&#10;uk1W7uUw7bLPrmHs9mZ+XOPYroEEOYe/D/jtgPmhxmBHOxnhycBgkeUxUhmkaZoDQUZerB6AHHFJ&#13;&#10;ihhoXdH/ReofAAAA//8DAFBLAQItABQABgAIAAAAIQC2gziS/gAAAOEBAAATAAAAAAAAAAAAAAAA&#13;&#10;AAAAAABbQ29udGVudF9UeXBlc10ueG1sUEsBAi0AFAAGAAgAAAAhADj9If/WAAAAlAEAAAsAAAAA&#13;&#10;AAAAAAAAAAAALwEAAF9yZWxzLy5yZWxzUEsBAi0AFAAGAAgAAAAhALIop8c0AgAAbQQAAA4AAAAA&#13;&#10;AAAAAAAAAAAALgIAAGRycy9lMm9Eb2MueG1sUEsBAi0AFAAGAAgAAAAhAL6ZyLbmAAAAEAEAAA8A&#13;&#10;AAAAAAAAAAAAAAAAjgQAAGRycy9kb3ducmV2LnhtbFBLBQYAAAAABAAEAPMAAAChBQAAAAA=&#13;&#10;" stroked="f">
                <v:textbox style="mso-fit-shape-to-text:t" inset="0,0,0,0">
                  <w:txbxContent>
                    <w:p w14:paraId="0F4B4DCE" w14:textId="72962DF1" w:rsidR="00F61130" w:rsidRPr="0027375E" w:rsidRDefault="00F61130" w:rsidP="0027375E">
                      <w:pPr>
                        <w:pStyle w:val="Caption"/>
                        <w:spacing w:line="360" w:lineRule="auto"/>
                        <w:rPr>
                          <w:noProof/>
                          <w:sz w:val="20"/>
                          <w:szCs w:val="20"/>
                        </w:rPr>
                      </w:pPr>
                      <w:bookmarkStart w:id="402" w:name="_Ref518571036"/>
                      <w:bookmarkStart w:id="403" w:name="_Toc525227216"/>
                      <w:bookmarkStart w:id="404" w:name="_Toc536814155"/>
                      <w:r w:rsidRPr="0027375E">
                        <w:rPr>
                          <w:b/>
                          <w:sz w:val="20"/>
                          <w:szCs w:val="20"/>
                        </w:rPr>
                        <w:t xml:space="preserve">Figure </w:t>
                      </w:r>
                      <w:r>
                        <w:rPr>
                          <w:b/>
                          <w:sz w:val="20"/>
                          <w:szCs w:val="20"/>
                        </w:rPr>
                        <w:fldChar w:fldCharType="begin"/>
                      </w:r>
                      <w:r>
                        <w:rPr>
                          <w:b/>
                          <w:sz w:val="20"/>
                          <w:szCs w:val="20"/>
                        </w:rPr>
                        <w:instrText xml:space="preserve"> STYLEREF 1 \s </w:instrText>
                      </w:r>
                      <w:r>
                        <w:rPr>
                          <w:b/>
                          <w:sz w:val="20"/>
                          <w:szCs w:val="20"/>
                        </w:rPr>
                        <w:fldChar w:fldCharType="separate"/>
                      </w:r>
                      <w:r>
                        <w:rPr>
                          <w:b/>
                          <w:noProof/>
                          <w:sz w:val="20"/>
                          <w:szCs w:val="20"/>
                        </w:rPr>
                        <w:t>4</w:t>
                      </w:r>
                      <w:r>
                        <w:rPr>
                          <w:b/>
                          <w:sz w:val="20"/>
                          <w:szCs w:val="20"/>
                        </w:rPr>
                        <w:fldChar w:fldCharType="end"/>
                      </w:r>
                      <w:r>
                        <w:rPr>
                          <w:b/>
                          <w:sz w:val="20"/>
                          <w:szCs w:val="20"/>
                        </w:rPr>
                        <w:t>.</w:t>
                      </w:r>
                      <w:r>
                        <w:rPr>
                          <w:b/>
                          <w:sz w:val="20"/>
                          <w:szCs w:val="20"/>
                        </w:rPr>
                        <w:fldChar w:fldCharType="begin"/>
                      </w:r>
                      <w:r>
                        <w:rPr>
                          <w:b/>
                          <w:sz w:val="20"/>
                          <w:szCs w:val="20"/>
                        </w:rPr>
                        <w:instrText xml:space="preserve"> SEQ Figure \* ARABIC \s 1 </w:instrText>
                      </w:r>
                      <w:r>
                        <w:rPr>
                          <w:b/>
                          <w:sz w:val="20"/>
                          <w:szCs w:val="20"/>
                        </w:rPr>
                        <w:fldChar w:fldCharType="separate"/>
                      </w:r>
                      <w:r>
                        <w:rPr>
                          <w:b/>
                          <w:noProof/>
                          <w:sz w:val="20"/>
                          <w:szCs w:val="20"/>
                        </w:rPr>
                        <w:t>11</w:t>
                      </w:r>
                      <w:r>
                        <w:rPr>
                          <w:b/>
                          <w:sz w:val="20"/>
                          <w:szCs w:val="20"/>
                        </w:rPr>
                        <w:fldChar w:fldCharType="end"/>
                      </w:r>
                      <w:bookmarkEnd w:id="402"/>
                      <w:r w:rsidRPr="0027375E">
                        <w:rPr>
                          <w:b/>
                          <w:sz w:val="20"/>
                          <w:szCs w:val="20"/>
                        </w:rPr>
                        <w:t xml:space="preserve">- Domain model activity diagram describing the behaviours of an invariant natural killer T (iNKT) cell during </w:t>
                      </w:r>
                      <w:r>
                        <w:rPr>
                          <w:b/>
                          <w:sz w:val="20"/>
                          <w:szCs w:val="20"/>
                        </w:rPr>
                        <w:t>h</w:t>
                      </w:r>
                      <w:r w:rsidRPr="009A7602">
                        <w:rPr>
                          <w:b/>
                          <w:sz w:val="20"/>
                          <w:szCs w:val="20"/>
                        </w:rPr>
                        <w:t xml:space="preserve">epatic </w:t>
                      </w:r>
                      <w:r>
                        <w:rPr>
                          <w:b/>
                          <w:sz w:val="20"/>
                          <w:szCs w:val="20"/>
                        </w:rPr>
                        <w:t xml:space="preserve">infection with </w:t>
                      </w:r>
                      <w:r>
                        <w:rPr>
                          <w:b/>
                          <w:i/>
                          <w:sz w:val="20"/>
                          <w:szCs w:val="20"/>
                        </w:rPr>
                        <w:t>L. donovani</w:t>
                      </w:r>
                      <w:r w:rsidRPr="0027375E">
                        <w:rPr>
                          <w:b/>
                          <w:sz w:val="20"/>
                          <w:szCs w:val="20"/>
                        </w:rPr>
                        <w:t xml:space="preserve">. </w:t>
                      </w:r>
                      <w:r w:rsidRPr="003B2D5F">
                        <w:rPr>
                          <w:sz w:val="20"/>
                        </w:rPr>
                        <w:t>UML</w:t>
                      </w:r>
                      <w:r>
                        <w:rPr>
                          <w:sz w:val="20"/>
                        </w:rPr>
                        <w:t>-like</w:t>
                      </w:r>
                      <w:r w:rsidRPr="003B2D5F">
                        <w:rPr>
                          <w:sz w:val="20"/>
                        </w:rPr>
                        <w:t xml:space="preserve"> </w:t>
                      </w:r>
                      <w:r w:rsidRPr="0027375E">
                        <w:rPr>
                          <w:sz w:val="20"/>
                          <w:szCs w:val="20"/>
                        </w:rPr>
                        <w:t>notation of the behaviours and interactions of an invariant natural killer T cell in the liver only. Through knowledge aggregated in the research context it is assumed that the main role of iNKTs is to act as an alarm system to infection in the initial stages which is not dependent on migration from other sites.</w:t>
                      </w:r>
                      <w:bookmarkEnd w:id="403"/>
                      <w:bookmarkEnd w:id="404"/>
                    </w:p>
                  </w:txbxContent>
                </v:textbox>
                <w10:wrap type="topAndBottom"/>
              </v:shape>
            </w:pict>
          </mc:Fallback>
        </mc:AlternateContent>
      </w:r>
      <w:r>
        <w:rPr>
          <w:noProof/>
        </w:rPr>
        <w:drawing>
          <wp:anchor distT="0" distB="0" distL="114300" distR="114300" simplePos="0" relativeHeight="251216896" behindDoc="0" locked="0" layoutInCell="1" allowOverlap="1" wp14:anchorId="42C12DDA" wp14:editId="05512CFC">
            <wp:simplePos x="0" y="0"/>
            <wp:positionH relativeFrom="column">
              <wp:posOffset>-427306</wp:posOffset>
            </wp:positionH>
            <wp:positionV relativeFrom="paragraph">
              <wp:posOffset>-8972745</wp:posOffset>
            </wp:positionV>
            <wp:extent cx="5404485" cy="3509645"/>
            <wp:effectExtent l="0" t="0" r="5715" b="0"/>
            <wp:wrapTopAndBottom/>
            <wp:docPr id="482" name="Picture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2" name="Picture 482"/>
                    <pic:cNvPicPr>
                      <a:picLocks noChangeAspect="1"/>
                    </pic:cNvPicPr>
                  </pic:nvPicPr>
                  <pic:blipFill rotWithShape="1">
                    <a:blip r:embed="rId55">
                      <a:extLst>
                        <a:ext uri="{28A0092B-C50C-407E-A947-70E740481C1C}">
                          <a14:useLocalDpi xmlns:a14="http://schemas.microsoft.com/office/drawing/2010/main" val="0"/>
                        </a:ext>
                      </a:extLst>
                    </a:blip>
                    <a:srcRect l="3136" t="2418" r="2493" b="54269"/>
                    <a:stretch/>
                  </pic:blipFill>
                  <pic:spPr bwMode="auto">
                    <a:xfrm>
                      <a:off x="0" y="0"/>
                      <a:ext cx="5404485" cy="3509645"/>
                    </a:xfrm>
                    <a:prstGeom prst="rect">
                      <a:avLst/>
                    </a:prstGeom>
                    <a:ln>
                      <a:noFill/>
                    </a:ln>
                    <a:extLst>
                      <a:ext uri="{53640926-AAD7-44D8-BBD7-CCE9431645EC}">
                        <a14:shadowObscured xmlns:a14="http://schemas.microsoft.com/office/drawing/2010/main"/>
                      </a:ext>
                    </a:extLst>
                  </pic:spPr>
                </pic:pic>
              </a:graphicData>
            </a:graphic>
          </wp:anchor>
        </w:drawing>
      </w:r>
      <w:r w:rsidR="00985675" w:rsidRPr="008B3AD6">
        <w:t xml:space="preserve"> </w:t>
      </w:r>
    </w:p>
    <w:p w14:paraId="0E785862" w14:textId="23DA3B7D" w:rsidR="00985675" w:rsidRPr="008B3AD6" w:rsidRDefault="002D2824" w:rsidP="009154C0">
      <w:pPr>
        <w:spacing w:line="360" w:lineRule="auto"/>
        <w:jc w:val="both"/>
      </w:pPr>
      <w:r>
        <w:rPr>
          <w:noProof/>
        </w:rPr>
        <w:drawing>
          <wp:anchor distT="0" distB="0" distL="114300" distR="114300" simplePos="0" relativeHeight="251223040" behindDoc="0" locked="0" layoutInCell="1" allowOverlap="1" wp14:anchorId="196313A7" wp14:editId="16376636">
            <wp:simplePos x="0" y="0"/>
            <wp:positionH relativeFrom="column">
              <wp:posOffset>381588</wp:posOffset>
            </wp:positionH>
            <wp:positionV relativeFrom="paragraph">
              <wp:posOffset>296838</wp:posOffset>
            </wp:positionV>
            <wp:extent cx="3835700" cy="2158889"/>
            <wp:effectExtent l="0" t="0" r="0" b="635"/>
            <wp:wrapTopAndBottom/>
            <wp:docPr id="486" name="Picture 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6" name="Picture 486"/>
                    <pic:cNvPicPr>
                      <a:picLocks noChangeAspect="1"/>
                    </pic:cNvPicPr>
                  </pic:nvPicPr>
                  <pic:blipFill rotWithShape="1">
                    <a:blip r:embed="rId56">
                      <a:extLst>
                        <a:ext uri="{28A0092B-C50C-407E-A947-70E740481C1C}">
                          <a14:useLocalDpi xmlns:a14="http://schemas.microsoft.com/office/drawing/2010/main" val="0"/>
                        </a:ext>
                      </a:extLst>
                    </a:blip>
                    <a:srcRect l="24234" t="24540" r="23599" b="34021"/>
                    <a:stretch/>
                  </pic:blipFill>
                  <pic:spPr bwMode="auto">
                    <a:xfrm>
                      <a:off x="0" y="0"/>
                      <a:ext cx="3835700" cy="2158889"/>
                    </a:xfrm>
                    <a:prstGeom prst="rect">
                      <a:avLst/>
                    </a:prstGeom>
                    <a:ln>
                      <a:noFill/>
                    </a:ln>
                    <a:extLst>
                      <a:ext uri="{53640926-AAD7-44D8-BBD7-CCE9431645EC}">
                        <a14:shadowObscured xmlns:a14="http://schemas.microsoft.com/office/drawing/2010/main"/>
                      </a:ext>
                    </a:extLst>
                  </pic:spPr>
                </pic:pic>
              </a:graphicData>
            </a:graphic>
          </wp:anchor>
        </w:drawing>
      </w:r>
      <w:r>
        <w:rPr>
          <w:noProof/>
        </w:rPr>
        <mc:AlternateContent>
          <mc:Choice Requires="wps">
            <w:drawing>
              <wp:anchor distT="0" distB="0" distL="114300" distR="114300" simplePos="0" relativeHeight="251224064" behindDoc="0" locked="0" layoutInCell="1" allowOverlap="1" wp14:anchorId="0628F6D7" wp14:editId="6658F4F7">
                <wp:simplePos x="0" y="0"/>
                <wp:positionH relativeFrom="column">
                  <wp:posOffset>-413238</wp:posOffset>
                </wp:positionH>
                <wp:positionV relativeFrom="paragraph">
                  <wp:posOffset>2563921</wp:posOffset>
                </wp:positionV>
                <wp:extent cx="5391785" cy="1194302"/>
                <wp:effectExtent l="0" t="0" r="5715" b="0"/>
                <wp:wrapTopAndBottom/>
                <wp:docPr id="487" name="Text Box 487"/>
                <wp:cNvGraphicFramePr/>
                <a:graphic xmlns:a="http://schemas.openxmlformats.org/drawingml/2006/main">
                  <a:graphicData uri="http://schemas.microsoft.com/office/word/2010/wordprocessingShape">
                    <wps:wsp>
                      <wps:cNvSpPr txBox="1"/>
                      <wps:spPr>
                        <a:xfrm>
                          <a:off x="0" y="0"/>
                          <a:ext cx="5391785" cy="1194302"/>
                        </a:xfrm>
                        <a:prstGeom prst="rect">
                          <a:avLst/>
                        </a:prstGeom>
                        <a:solidFill>
                          <a:prstClr val="white"/>
                        </a:solidFill>
                        <a:ln>
                          <a:noFill/>
                        </a:ln>
                      </wps:spPr>
                      <wps:txbx>
                        <w:txbxContent>
                          <w:p w14:paraId="5487B5B1" w14:textId="2E4FCE4D" w:rsidR="00F61130" w:rsidRPr="0027375E" w:rsidRDefault="00F61130" w:rsidP="0020480B">
                            <w:pPr>
                              <w:spacing w:line="360" w:lineRule="auto"/>
                              <w:jc w:val="both"/>
                              <w:rPr>
                                <w:sz w:val="20"/>
                                <w:szCs w:val="20"/>
                              </w:rPr>
                            </w:pPr>
                            <w:bookmarkStart w:id="405" w:name="_Ref518571185"/>
                            <w:bookmarkStart w:id="406" w:name="_Toc525227217"/>
                            <w:bookmarkStart w:id="407" w:name="_Toc536814156"/>
                            <w:r w:rsidRPr="0027375E">
                              <w:rPr>
                                <w:b/>
                                <w:sz w:val="20"/>
                                <w:szCs w:val="20"/>
                              </w:rPr>
                              <w:t xml:space="preserve">Figure </w:t>
                            </w:r>
                            <w:r>
                              <w:rPr>
                                <w:b/>
                                <w:sz w:val="20"/>
                                <w:szCs w:val="20"/>
                              </w:rPr>
                              <w:fldChar w:fldCharType="begin"/>
                            </w:r>
                            <w:r>
                              <w:rPr>
                                <w:b/>
                                <w:sz w:val="20"/>
                                <w:szCs w:val="20"/>
                              </w:rPr>
                              <w:instrText xml:space="preserve"> STYLEREF 1 \s </w:instrText>
                            </w:r>
                            <w:r>
                              <w:rPr>
                                <w:b/>
                                <w:sz w:val="20"/>
                                <w:szCs w:val="20"/>
                              </w:rPr>
                              <w:fldChar w:fldCharType="separate"/>
                            </w:r>
                            <w:r>
                              <w:rPr>
                                <w:b/>
                                <w:noProof/>
                                <w:sz w:val="20"/>
                                <w:szCs w:val="20"/>
                              </w:rPr>
                              <w:t>4</w:t>
                            </w:r>
                            <w:r>
                              <w:rPr>
                                <w:b/>
                                <w:sz w:val="20"/>
                                <w:szCs w:val="20"/>
                              </w:rPr>
                              <w:fldChar w:fldCharType="end"/>
                            </w:r>
                            <w:r>
                              <w:rPr>
                                <w:b/>
                                <w:sz w:val="20"/>
                                <w:szCs w:val="20"/>
                              </w:rPr>
                              <w:t>.</w:t>
                            </w:r>
                            <w:r>
                              <w:rPr>
                                <w:b/>
                                <w:sz w:val="20"/>
                                <w:szCs w:val="20"/>
                              </w:rPr>
                              <w:fldChar w:fldCharType="begin"/>
                            </w:r>
                            <w:r>
                              <w:rPr>
                                <w:b/>
                                <w:sz w:val="20"/>
                                <w:szCs w:val="20"/>
                              </w:rPr>
                              <w:instrText xml:space="preserve"> SEQ Figure \* ARABIC \s 1 </w:instrText>
                            </w:r>
                            <w:r>
                              <w:rPr>
                                <w:b/>
                                <w:sz w:val="20"/>
                                <w:szCs w:val="20"/>
                              </w:rPr>
                              <w:fldChar w:fldCharType="separate"/>
                            </w:r>
                            <w:r>
                              <w:rPr>
                                <w:b/>
                                <w:noProof/>
                                <w:sz w:val="20"/>
                                <w:szCs w:val="20"/>
                              </w:rPr>
                              <w:t>12</w:t>
                            </w:r>
                            <w:r>
                              <w:rPr>
                                <w:b/>
                                <w:sz w:val="20"/>
                                <w:szCs w:val="20"/>
                              </w:rPr>
                              <w:fldChar w:fldCharType="end"/>
                            </w:r>
                            <w:bookmarkEnd w:id="405"/>
                            <w:r w:rsidRPr="0027375E">
                              <w:rPr>
                                <w:b/>
                                <w:sz w:val="20"/>
                                <w:szCs w:val="20"/>
                              </w:rPr>
                              <w:t xml:space="preserve"> - Domain model state diagram of an iNKT cell during </w:t>
                            </w:r>
                            <w:r>
                              <w:rPr>
                                <w:b/>
                                <w:sz w:val="20"/>
                                <w:szCs w:val="20"/>
                              </w:rPr>
                              <w:t>h</w:t>
                            </w:r>
                            <w:r w:rsidRPr="009A7602">
                              <w:rPr>
                                <w:b/>
                                <w:sz w:val="20"/>
                                <w:szCs w:val="20"/>
                              </w:rPr>
                              <w:t xml:space="preserve">epatic </w:t>
                            </w:r>
                            <w:r>
                              <w:rPr>
                                <w:b/>
                                <w:sz w:val="20"/>
                                <w:szCs w:val="20"/>
                              </w:rPr>
                              <w:t xml:space="preserve">infection with </w:t>
                            </w:r>
                            <w:r>
                              <w:rPr>
                                <w:b/>
                                <w:i/>
                                <w:sz w:val="20"/>
                                <w:szCs w:val="20"/>
                              </w:rPr>
                              <w:t>L. donovani</w:t>
                            </w:r>
                            <w:r w:rsidRPr="0027375E">
                              <w:rPr>
                                <w:b/>
                                <w:sz w:val="20"/>
                                <w:szCs w:val="20"/>
                              </w:rPr>
                              <w:t>.</w:t>
                            </w:r>
                            <w:r w:rsidRPr="0027375E">
                              <w:rPr>
                                <w:sz w:val="20"/>
                                <w:szCs w:val="20"/>
                              </w:rPr>
                              <w:t xml:space="preserve"> </w:t>
                            </w:r>
                            <w:r w:rsidRPr="003B2D5F">
                              <w:rPr>
                                <w:sz w:val="20"/>
                              </w:rPr>
                              <w:t>UML</w:t>
                            </w:r>
                            <w:r>
                              <w:rPr>
                                <w:sz w:val="20"/>
                              </w:rPr>
                              <w:t>-like</w:t>
                            </w:r>
                            <w:r w:rsidRPr="003B2D5F">
                              <w:rPr>
                                <w:sz w:val="20"/>
                              </w:rPr>
                              <w:t xml:space="preserve"> </w:t>
                            </w:r>
                            <w:r w:rsidRPr="0027375E">
                              <w:rPr>
                                <w:sz w:val="20"/>
                                <w:szCs w:val="20"/>
                              </w:rPr>
                              <w:t>state diagram describing the different states an iNKT cell may exist in during EVL. iNKTs exist as either activated or patrolling in an antigen-dependent manner, the cycle is broken if the iNKT apoptoses.</w:t>
                            </w:r>
                            <w:bookmarkEnd w:id="406"/>
                            <w:bookmarkEnd w:id="407"/>
                          </w:p>
                          <w:p w14:paraId="256BF4A8" w14:textId="0707C946" w:rsidR="00F61130" w:rsidRPr="0027375E" w:rsidRDefault="00F61130" w:rsidP="0027375E">
                            <w:pPr>
                              <w:pStyle w:val="Caption"/>
                              <w:spacing w:line="360" w:lineRule="auto"/>
                              <w:rPr>
                                <w:noProof/>
                                <w:sz w:val="20"/>
                                <w:szCs w:val="20"/>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0628F6D7" id="Text Box 487" o:spid="_x0000_s1111" type="#_x0000_t202" style="position:absolute;left:0;text-align:left;margin-left:-32.55pt;margin-top:201.9pt;width:424.55pt;height:94.05pt;z-index:2512240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l1vYhNgIAAG0EAAAOAAAAZHJzL2Uyb0RvYy54bWysVFFv2yAQfp+0/4B4Xxyn7ZpGcaosVaZJ&#13;&#10;UVspmfpMMI6RgGNAYme/fge2067b07QXfNwdH9z33Xl+32pFTsJ5Caag+WhMiTAcSmkOBf2+W3+a&#13;&#10;UuIDMyVTYERBz8LT+8XHD/PGzsQEalClcARBjJ81tqB1CHaWZZ7XQjM/AisMBitwmgXcukNWOtYg&#13;&#10;ulbZZDz+nDXgSuuAC+/R+9AF6SLhV5Xg4amqvAhEFRTfFtLq0rqPa7aYs9nBMVtL3j+D/cMrNJMG&#13;&#10;L71APbDAyNHJP6C05A48VGHEQWdQVZKLVANWk4/fVbOtmRWpFiTH2wtN/v/B8sfTsyOyLOj19JYS&#13;&#10;wzSKtBNtIF+gJdGHDDXWzzBxazE1tBhApQe/R2csvK2cjl8siWAcuT5f+I1wHJ03V3f57fSGEo6x&#13;&#10;PL+7vhpPIk72etw6H74K0CQaBXUoYOKVnTY+dKlDSrzNg5LlWioVNzGwUo6cGIrd1DKIHvy3LGVi&#13;&#10;roF4qgOMnizW2NUSrdDu28QKvrYnYA/lGet30PWQt3wt8cIN8+GZOWwaLBkHITzhUiloCgq9RUkN&#13;&#10;7uff/DEftcQoJQ02YUH9jyNzghL1zaDKsWMHww3GfjDMUa8AS81xxCxPJh5wQQ1m5UC/4Hws4y0Y&#13;&#10;YobjXQUNg7kK3SjgfHGxXKYk7EvLwsZsLY/QA7G79oU528sSUNFHGNqTzd6p0+V2NC+PASqZpIvE&#13;&#10;diz2fGNPJ/H7+YtD83afsl7/EotfAAAA//8DAFBLAwQUAAYACAAAACEA6xLia+YAAAAQAQAADwAA&#13;&#10;AGRycy9kb3ducmV2LnhtbEyPwW7CMBBE75X6D9Yi9VKBEwophDioJe2tPUARZxObJGq8jmyHhL/v&#13;&#10;9tReVlrtzOy8bDuall21841FAfEsAqaxtKrBSsDx6326AuaDRCVbi1rATXvY5vd3mUyVHXCvr4dQ&#13;&#10;MQpBn0oBdQhdyrkva22kn9lOI90u1hkZaHUVV04OFG5aPo+ihBvZIH2oZad3tS6/D70RkBSuH/a4&#13;&#10;eyyObx/ys6vmp9fbSYiHyVhsaLxsgAU9hj8H/DJQf8ip2Nn2qDxrBUyTZUxSAYvoiUBI8bxaEOJZ&#13;&#10;wHIdr4HnGf8Pkv8AAAD//wMAUEsBAi0AFAAGAAgAAAAhALaDOJL+AAAA4QEAABMAAAAAAAAAAAAA&#13;&#10;AAAAAAAAAFtDb250ZW50X1R5cGVzXS54bWxQSwECLQAUAAYACAAAACEAOP0h/9YAAACUAQAACwAA&#13;&#10;AAAAAAAAAAAAAAAvAQAAX3JlbHMvLnJlbHNQSwECLQAUAAYACAAAACEAJdb2ITYCAABtBAAADgAA&#13;&#10;AAAAAAAAAAAAAAAuAgAAZHJzL2Uyb0RvYy54bWxQSwECLQAUAAYACAAAACEA6xLia+YAAAAQAQAA&#13;&#10;DwAAAAAAAAAAAAAAAACQBAAAZHJzL2Rvd25yZXYueG1sUEsFBgAAAAAEAAQA8wAAAKMFAAAAAA==&#13;&#10;" stroked="f">
                <v:textbox inset="0,0,0,0">
                  <w:txbxContent>
                    <w:p w14:paraId="5487B5B1" w14:textId="2E4FCE4D" w:rsidR="00F61130" w:rsidRPr="0027375E" w:rsidRDefault="00F61130" w:rsidP="0020480B">
                      <w:pPr>
                        <w:spacing w:line="360" w:lineRule="auto"/>
                        <w:jc w:val="both"/>
                        <w:rPr>
                          <w:sz w:val="20"/>
                          <w:szCs w:val="20"/>
                        </w:rPr>
                      </w:pPr>
                      <w:bookmarkStart w:id="408" w:name="_Ref518571185"/>
                      <w:bookmarkStart w:id="409" w:name="_Toc525227217"/>
                      <w:bookmarkStart w:id="410" w:name="_Toc536814156"/>
                      <w:r w:rsidRPr="0027375E">
                        <w:rPr>
                          <w:b/>
                          <w:sz w:val="20"/>
                          <w:szCs w:val="20"/>
                        </w:rPr>
                        <w:t xml:space="preserve">Figure </w:t>
                      </w:r>
                      <w:r>
                        <w:rPr>
                          <w:b/>
                          <w:sz w:val="20"/>
                          <w:szCs w:val="20"/>
                        </w:rPr>
                        <w:fldChar w:fldCharType="begin"/>
                      </w:r>
                      <w:r>
                        <w:rPr>
                          <w:b/>
                          <w:sz w:val="20"/>
                          <w:szCs w:val="20"/>
                        </w:rPr>
                        <w:instrText xml:space="preserve"> STYLEREF 1 \s </w:instrText>
                      </w:r>
                      <w:r>
                        <w:rPr>
                          <w:b/>
                          <w:sz w:val="20"/>
                          <w:szCs w:val="20"/>
                        </w:rPr>
                        <w:fldChar w:fldCharType="separate"/>
                      </w:r>
                      <w:r>
                        <w:rPr>
                          <w:b/>
                          <w:noProof/>
                          <w:sz w:val="20"/>
                          <w:szCs w:val="20"/>
                        </w:rPr>
                        <w:t>4</w:t>
                      </w:r>
                      <w:r>
                        <w:rPr>
                          <w:b/>
                          <w:sz w:val="20"/>
                          <w:szCs w:val="20"/>
                        </w:rPr>
                        <w:fldChar w:fldCharType="end"/>
                      </w:r>
                      <w:r>
                        <w:rPr>
                          <w:b/>
                          <w:sz w:val="20"/>
                          <w:szCs w:val="20"/>
                        </w:rPr>
                        <w:t>.</w:t>
                      </w:r>
                      <w:r>
                        <w:rPr>
                          <w:b/>
                          <w:sz w:val="20"/>
                          <w:szCs w:val="20"/>
                        </w:rPr>
                        <w:fldChar w:fldCharType="begin"/>
                      </w:r>
                      <w:r>
                        <w:rPr>
                          <w:b/>
                          <w:sz w:val="20"/>
                          <w:szCs w:val="20"/>
                        </w:rPr>
                        <w:instrText xml:space="preserve"> SEQ Figure \* ARABIC \s 1 </w:instrText>
                      </w:r>
                      <w:r>
                        <w:rPr>
                          <w:b/>
                          <w:sz w:val="20"/>
                          <w:szCs w:val="20"/>
                        </w:rPr>
                        <w:fldChar w:fldCharType="separate"/>
                      </w:r>
                      <w:r>
                        <w:rPr>
                          <w:b/>
                          <w:noProof/>
                          <w:sz w:val="20"/>
                          <w:szCs w:val="20"/>
                        </w:rPr>
                        <w:t>12</w:t>
                      </w:r>
                      <w:r>
                        <w:rPr>
                          <w:b/>
                          <w:sz w:val="20"/>
                          <w:szCs w:val="20"/>
                        </w:rPr>
                        <w:fldChar w:fldCharType="end"/>
                      </w:r>
                      <w:bookmarkEnd w:id="408"/>
                      <w:r w:rsidRPr="0027375E">
                        <w:rPr>
                          <w:b/>
                          <w:sz w:val="20"/>
                          <w:szCs w:val="20"/>
                        </w:rPr>
                        <w:t xml:space="preserve"> - Domain model state diagram of an iNKT cell during </w:t>
                      </w:r>
                      <w:r>
                        <w:rPr>
                          <w:b/>
                          <w:sz w:val="20"/>
                          <w:szCs w:val="20"/>
                        </w:rPr>
                        <w:t>h</w:t>
                      </w:r>
                      <w:r w:rsidRPr="009A7602">
                        <w:rPr>
                          <w:b/>
                          <w:sz w:val="20"/>
                          <w:szCs w:val="20"/>
                        </w:rPr>
                        <w:t xml:space="preserve">epatic </w:t>
                      </w:r>
                      <w:r>
                        <w:rPr>
                          <w:b/>
                          <w:sz w:val="20"/>
                          <w:szCs w:val="20"/>
                        </w:rPr>
                        <w:t xml:space="preserve">infection with </w:t>
                      </w:r>
                      <w:r>
                        <w:rPr>
                          <w:b/>
                          <w:i/>
                          <w:sz w:val="20"/>
                          <w:szCs w:val="20"/>
                        </w:rPr>
                        <w:t>L. donovani</w:t>
                      </w:r>
                      <w:r w:rsidRPr="0027375E">
                        <w:rPr>
                          <w:b/>
                          <w:sz w:val="20"/>
                          <w:szCs w:val="20"/>
                        </w:rPr>
                        <w:t>.</w:t>
                      </w:r>
                      <w:r w:rsidRPr="0027375E">
                        <w:rPr>
                          <w:sz w:val="20"/>
                          <w:szCs w:val="20"/>
                        </w:rPr>
                        <w:t xml:space="preserve"> </w:t>
                      </w:r>
                      <w:r w:rsidRPr="003B2D5F">
                        <w:rPr>
                          <w:sz w:val="20"/>
                        </w:rPr>
                        <w:t>UML</w:t>
                      </w:r>
                      <w:r>
                        <w:rPr>
                          <w:sz w:val="20"/>
                        </w:rPr>
                        <w:t>-like</w:t>
                      </w:r>
                      <w:r w:rsidRPr="003B2D5F">
                        <w:rPr>
                          <w:sz w:val="20"/>
                        </w:rPr>
                        <w:t xml:space="preserve"> </w:t>
                      </w:r>
                      <w:r w:rsidRPr="0027375E">
                        <w:rPr>
                          <w:sz w:val="20"/>
                          <w:szCs w:val="20"/>
                        </w:rPr>
                        <w:t>state diagram describing the different states an iNKT cell may exist in during EVL. iNKTs exist as either activated or patrolling in an antigen-dependent manner, the cycle is broken if the iNKT apoptoses.</w:t>
                      </w:r>
                      <w:bookmarkEnd w:id="409"/>
                      <w:bookmarkEnd w:id="410"/>
                    </w:p>
                    <w:p w14:paraId="256BF4A8" w14:textId="0707C946" w:rsidR="00F61130" w:rsidRPr="0027375E" w:rsidRDefault="00F61130" w:rsidP="0027375E">
                      <w:pPr>
                        <w:pStyle w:val="Caption"/>
                        <w:spacing w:line="360" w:lineRule="auto"/>
                        <w:rPr>
                          <w:noProof/>
                          <w:sz w:val="20"/>
                          <w:szCs w:val="20"/>
                        </w:rPr>
                      </w:pPr>
                    </w:p>
                  </w:txbxContent>
                </v:textbox>
                <w10:wrap type="topAndBottom"/>
              </v:shape>
            </w:pict>
          </mc:Fallback>
        </mc:AlternateContent>
      </w:r>
      <w:r w:rsidR="00406E0D" w:rsidRPr="008B3AD6">
        <w:t xml:space="preserve"> </w:t>
      </w:r>
    </w:p>
    <w:p w14:paraId="73284DA3" w14:textId="31E9D922" w:rsidR="00985675" w:rsidRPr="008B3AD6" w:rsidRDefault="00985675" w:rsidP="009154C0">
      <w:pPr>
        <w:spacing w:line="240" w:lineRule="auto"/>
        <w:jc w:val="both"/>
      </w:pPr>
    </w:p>
    <w:p w14:paraId="1FE03C8E" w14:textId="1A083A21" w:rsidR="00985675" w:rsidRPr="008B3AD6" w:rsidRDefault="00985675" w:rsidP="009154C0">
      <w:pPr>
        <w:spacing w:line="240" w:lineRule="auto"/>
        <w:jc w:val="both"/>
      </w:pPr>
      <w:r w:rsidRPr="008B3AD6">
        <w:br w:type="page"/>
      </w:r>
    </w:p>
    <w:p w14:paraId="25CACBC0" w14:textId="0D86AA67" w:rsidR="000C331D" w:rsidRPr="008B3AD6" w:rsidRDefault="000C331D" w:rsidP="009154C0">
      <w:pPr>
        <w:spacing w:line="360" w:lineRule="auto"/>
        <w:jc w:val="both"/>
      </w:pPr>
      <w:r w:rsidRPr="008B3AD6">
        <w:lastRenderedPageBreak/>
        <w:t xml:space="preserve">In </w:t>
      </w:r>
      <w:r w:rsidR="000B202A">
        <w:rPr>
          <w:i/>
        </w:rPr>
        <w:t>in vivo</w:t>
      </w:r>
      <w:r w:rsidRPr="008B3AD6">
        <w:t xml:space="preserve"> experimental model</w:t>
      </w:r>
      <w:r w:rsidR="000B202A">
        <w:t>s</w:t>
      </w:r>
      <w:r w:rsidRPr="008B3AD6">
        <w:t xml:space="preserve"> of </w:t>
      </w:r>
      <w:r w:rsidRPr="00027137">
        <w:t>Leishmaniasis</w:t>
      </w:r>
      <w:r w:rsidR="000B202A">
        <w:t xml:space="preserve"> (such as in the infection of C57BL/6 mice with </w:t>
      </w:r>
      <w:r w:rsidR="000B202A">
        <w:rPr>
          <w:i/>
        </w:rPr>
        <w:t xml:space="preserve">L. </w:t>
      </w:r>
      <w:r w:rsidR="000B202A" w:rsidRPr="00027137">
        <w:rPr>
          <w:i/>
        </w:rPr>
        <w:t>donovani</w:t>
      </w:r>
      <w:r w:rsidR="000B202A" w:rsidRPr="00027137">
        <w:t>)</w:t>
      </w:r>
      <w:r w:rsidRPr="00027137">
        <w:t>, the parasite is</w:t>
      </w:r>
      <w:r w:rsidR="000B202A" w:rsidRPr="00027137">
        <w:t xml:space="preserve"> typically</w:t>
      </w:r>
      <w:r w:rsidRPr="00027137">
        <w:t xml:space="preserve"> introduced artificially into the system to an extra-hepatic locale. </w:t>
      </w:r>
      <w:r w:rsidR="00027137" w:rsidRPr="00027137">
        <w:rPr>
          <w:b/>
        </w:rPr>
        <w:fldChar w:fldCharType="begin"/>
      </w:r>
      <w:r w:rsidR="00027137" w:rsidRPr="00027137">
        <w:instrText xml:space="preserve"> REF _Ref525129566 </w:instrText>
      </w:r>
      <w:r w:rsidR="00027137">
        <w:instrText xml:space="preserve"> \* MERGEFORMAT </w:instrText>
      </w:r>
      <w:r w:rsidR="00027137" w:rsidRPr="00027137">
        <w:rPr>
          <w:b/>
        </w:rPr>
        <w:fldChar w:fldCharType="separate"/>
      </w:r>
      <w:r w:rsidR="00027137" w:rsidRPr="00027137">
        <w:rPr>
          <w:b/>
        </w:rPr>
        <w:t xml:space="preserve">Figure </w:t>
      </w:r>
      <w:r w:rsidR="00027137" w:rsidRPr="00027137">
        <w:rPr>
          <w:b/>
          <w:noProof/>
        </w:rPr>
        <w:t>4</w:t>
      </w:r>
      <w:r w:rsidR="00027137" w:rsidRPr="00027137">
        <w:rPr>
          <w:b/>
        </w:rPr>
        <w:t>.</w:t>
      </w:r>
      <w:r w:rsidR="00027137" w:rsidRPr="00027137">
        <w:rPr>
          <w:b/>
          <w:noProof/>
        </w:rPr>
        <w:t>13</w:t>
      </w:r>
      <w:r w:rsidR="00027137" w:rsidRPr="00027137">
        <w:rPr>
          <w:b/>
        </w:rPr>
        <w:fldChar w:fldCharType="end"/>
      </w:r>
      <w:r w:rsidRPr="00027137">
        <w:t xml:space="preserve"> shows this</w:t>
      </w:r>
      <w:r w:rsidRPr="008B3AD6">
        <w:t xml:space="preserve"> initialisation of parasite within the Other Sites (</w:t>
      </w:r>
      <w:r w:rsidRPr="008B3AD6">
        <w:rPr>
          <w:b/>
        </w:rPr>
        <w:t>LD1</w:t>
      </w:r>
      <w:r w:rsidRPr="008B3AD6">
        <w:t xml:space="preserve">) when the parasite is considered to be in an extracellular state, shown in </w:t>
      </w:r>
      <w:r w:rsidR="00D034D1" w:rsidRPr="000B202A">
        <w:rPr>
          <w:b/>
        </w:rPr>
        <w:fldChar w:fldCharType="begin"/>
      </w:r>
      <w:r w:rsidR="00D034D1" w:rsidRPr="000B202A">
        <w:rPr>
          <w:b/>
        </w:rPr>
        <w:instrText xml:space="preserve"> REF _Ref518571622  \* MERGEFORMAT </w:instrText>
      </w:r>
      <w:r w:rsidR="00D034D1" w:rsidRPr="000B202A">
        <w:rPr>
          <w:b/>
        </w:rPr>
        <w:fldChar w:fldCharType="separate"/>
      </w:r>
      <w:r w:rsidR="00027137" w:rsidRPr="00027137">
        <w:rPr>
          <w:b/>
        </w:rPr>
        <w:t>Figure 4.16</w:t>
      </w:r>
      <w:r w:rsidR="00D034D1" w:rsidRPr="000B202A">
        <w:rPr>
          <w:b/>
        </w:rPr>
        <w:fldChar w:fldCharType="end"/>
      </w:r>
      <w:r w:rsidRPr="008B3AD6">
        <w:t>. Successful contacts with myeloid cells in the other sites, such as the spleen, will lead to uptake of parasite (</w:t>
      </w:r>
      <w:r w:rsidRPr="008B3AD6">
        <w:rPr>
          <w:b/>
        </w:rPr>
        <w:t>LD8</w:t>
      </w:r>
      <w:r w:rsidRPr="008B3AD6">
        <w:t xml:space="preserve">) </w:t>
      </w:r>
      <w:r w:rsidRPr="008B3AD6">
        <w:fldChar w:fldCharType="begin"/>
      </w:r>
      <w:r w:rsidR="00812605" w:rsidRPr="008B3AD6">
        <w:instrText xml:space="preserve"> ADDIN ZOTERO_ITEM CSL_CITATION {"citationID":"g6FlaM6p","properties":{"formattedCitation":"(Phillips et al. 2010)","plainCitation":"(Phillips et al. 2010)","noteIndex":0},"citationItems":[{"id":2766,"uris":["http://zotero.org/users/2628971/items/PV27X74B"],"uri":["http://zotero.org/users/2628971/items/PV27X74B"],"itemData":{"id":2766,"type":"article-journal","title":"Innate killing of Leishmania donovani by macrophages of the splenic marginal zone requires IRF-7","container-title":"PLoS pathogens","page":"e1000813","volume":"6","issue":"3","source":"PubMed","abstract":"Highly phagocytic macrophages line the marginal zone (MZ) of the spleen and the lymph node subcapsular sinus. Although these macrophages have been attributed with a variety of functions, including the uptake and clearance of blood and lymph-borne pathogens, little is known about the effector mechanisms they employ after pathogen uptake. Here, we have combined gene expression profiling and RNAi using a stromal macrophage cell line with in situ analysis of the leishmanicidal activity of marginal zone macrophages (MZM) and marginal metallophilic macrophages (MMM) in wild type and gene targeted mice. Our data demonstrate a critical role for interferon regulatory factor-7 (IRF-7) in regulating the killing of intracellular Leishmania donovani by these specialised splenic macrophage sub-populations. This study, therefore, identifies a new role for IRF-7 as a regulator of innate microbicidal activity against this, and perhaps other, non-viral intracellular pathogens. This study also highlights the importance of selecting appropriate macrophage populations when studying pathogen interactions with this functionally diverse lineage of cells.","DOI":"10.1371/journal.ppat.1000813","ISSN":"1553-7374","note":"PMID: 20300600\nPMCID: PMC2837405","journalAbbreviation":"PLoS Pathog.","language":"eng","author":[{"family":"Phillips","given":"Rebecca"},{"family":"Svensson","given":"Mattias"},{"family":"Aziz","given":"Naveed"},{"family":"Maroof","given":"Asher"},{"family":"Brown","given":"Najmeeyah"},{"family":"Beattie","given":"Lynette"},{"family":"Signoret","given":"Nathalie"},{"family":"Kaye","given":"Paul M."}],"issued":{"date-parts":[["2010",3,12]]}}}],"schema":"https://github.com/citation-style-language/schema/raw/master/csl-citation.json"} </w:instrText>
      </w:r>
      <w:r w:rsidRPr="008B3AD6">
        <w:fldChar w:fldCharType="separate"/>
      </w:r>
      <w:r w:rsidRPr="008B3AD6">
        <w:t>(Phillips et al. 2010)</w:t>
      </w:r>
      <w:r w:rsidRPr="008B3AD6">
        <w:fldChar w:fldCharType="end"/>
      </w:r>
      <w:r w:rsidRPr="008B3AD6">
        <w:t xml:space="preserve">, inducing the state of </w:t>
      </w:r>
      <w:r w:rsidRPr="008B3AD6">
        <w:rPr>
          <w:i/>
        </w:rPr>
        <w:t>L. donovani</w:t>
      </w:r>
      <w:r w:rsidRPr="008B3AD6">
        <w:t xml:space="preserve"> to become intracellular.  Intracellular </w:t>
      </w:r>
      <w:r w:rsidRPr="008B3AD6">
        <w:rPr>
          <w:i/>
        </w:rPr>
        <w:t>L. donovani</w:t>
      </w:r>
      <w:r w:rsidRPr="008B3AD6">
        <w:t xml:space="preserve"> may replicate if there are insufficient anti-leishmanial compounds to kill it </w:t>
      </w:r>
      <w:r w:rsidRPr="008B3AD6">
        <w:fldChar w:fldCharType="begin"/>
      </w:r>
      <w:r w:rsidR="00812605" w:rsidRPr="008B3AD6">
        <w:instrText xml:space="preserve"> ADDIN ZOTERO_ITEM CSL_CITATION {"citationID":"2urvFxjw","properties":{"formattedCitation":"(H. Murray 2001)","plainCitation":"(H. Murray 2001)","noteIndex":0},"citationItems":[{"id":1110,"uris":["http://zotero.org/users/2628971/items/57TG9NVJ"],"uri":["http://zotero.org/users/2628971/items/57TG9NVJ"],"itemData":{"id":1110,"type":"webpage","title":"Tissue granuloma structure-function in experimental visceral leishmaniasis.","container-title":"Int J Exp Pathol","abstract":"In experimental visceral leishmaniasis in normal mice (BALB/c, C57BL/6) acquired resistance to Leishmania donovani, a protozoan which targets tissue macrophages, depends upon T cells, Th1 cell-type cytokine generation and activated mononuclear phagocytes. In the intact host, initial control and eventual resolution of L. donovani hepatic infection in normal mice is expressed by and accomplished within well-formed, mature tissue granulomas. In the liver, these immunologically active, inflammatory structures are assembled around a core of fused, parasitized resident macrophages (Kupffer cells) which come to be encircled by both cytokine-secreting T cells and influxing leishmanicidal blood monocytes. This pro-host defense granuloma structure-function relationship, in which histologically mature granulomas provide the microenvironment for intracellular L. donovani killing, however, is only one of seven which have been identified through experimental modifications in this model. This report reviews these structure-function relationships and illustrates the broad spectrum of additional possible responses. These responses range from structurally intact granulomas which provide no antileishmanial function (the 'ineffective' granuloma), to enlarged granulomas which show enhanced parasite killing (the 'hypertrophied' granuloma), to effective antileishmanial activity in the absence of any tissue reaction (the 'invisible' granuloma)., (C) 2001 Blackwell Science Ltd.","author":[{"family":"Murray","given":"Henry"}],"issued":{"date-parts":[["2001"]]}}}],"schema":"https://github.com/citation-style-language/schema/raw/master/csl-citation.json"} </w:instrText>
      </w:r>
      <w:r w:rsidRPr="008B3AD6">
        <w:fldChar w:fldCharType="separate"/>
      </w:r>
      <w:r w:rsidR="00F30350">
        <w:t>(</w:t>
      </w:r>
      <w:r w:rsidR="00812605" w:rsidRPr="008B3AD6">
        <w:t>Murray 2001)</w:t>
      </w:r>
      <w:r w:rsidRPr="008B3AD6">
        <w:fldChar w:fldCharType="end"/>
      </w:r>
      <w:r w:rsidRPr="008B3AD6">
        <w:t xml:space="preserve">. If the host cell reaches its maximum capacity, then it bursts releasing </w:t>
      </w:r>
      <w:r w:rsidRPr="008B3AD6">
        <w:rPr>
          <w:i/>
        </w:rPr>
        <w:t>L. donovani</w:t>
      </w:r>
      <w:r w:rsidRPr="008B3AD6">
        <w:t xml:space="preserve"> where it transitions back to an extracellular state. Extracellular </w:t>
      </w:r>
      <w:r w:rsidRPr="008B3AD6">
        <w:rPr>
          <w:i/>
        </w:rPr>
        <w:t>L. donovani</w:t>
      </w:r>
      <w:r w:rsidRPr="008B3AD6">
        <w:t xml:space="preserve"> may interact directly with anti-leishmanial compounds in the environment leading to its removal from the system (</w:t>
      </w:r>
      <w:r w:rsidRPr="008B3AD6">
        <w:rPr>
          <w:b/>
        </w:rPr>
        <w:t>LD7</w:t>
      </w:r>
      <w:r w:rsidRPr="008B3AD6">
        <w:t>).</w:t>
      </w:r>
    </w:p>
    <w:p w14:paraId="7DF20FAC" w14:textId="0FF6A6CC" w:rsidR="000C331D" w:rsidRPr="008B3AD6" w:rsidRDefault="000C331D" w:rsidP="009154C0">
      <w:pPr>
        <w:spacing w:line="360" w:lineRule="auto"/>
        <w:jc w:val="both"/>
      </w:pPr>
    </w:p>
    <w:p w14:paraId="55D66A7B" w14:textId="2D84CAD0" w:rsidR="007E29E8" w:rsidRDefault="000C331D" w:rsidP="009154C0">
      <w:pPr>
        <w:spacing w:line="360" w:lineRule="auto"/>
        <w:jc w:val="both"/>
        <w:sectPr w:rsidR="007E29E8" w:rsidSect="00E44977">
          <w:pgSz w:w="11900" w:h="16840"/>
          <w:pgMar w:top="1134" w:right="851" w:bottom="1134" w:left="2268" w:header="709" w:footer="709" w:gutter="0"/>
          <w:cols w:space="708"/>
          <w:docGrid w:linePitch="360"/>
        </w:sectPr>
      </w:pPr>
      <w:r w:rsidRPr="008B3AD6">
        <w:t>In its extracellular state,</w:t>
      </w:r>
      <w:r w:rsidRPr="008B3AD6">
        <w:rPr>
          <w:i/>
        </w:rPr>
        <w:t xml:space="preserve"> L. donovani</w:t>
      </w:r>
      <w:r w:rsidRPr="008B3AD6">
        <w:t xml:space="preserve"> may translocate to the liver (</w:t>
      </w:r>
      <w:r w:rsidRPr="008B3AD6">
        <w:rPr>
          <w:b/>
        </w:rPr>
        <w:t>LD2</w:t>
      </w:r>
      <w:r w:rsidRPr="008B3AD6">
        <w:t xml:space="preserve">), evidenced by the presence of hepatic parasite after intravenous, intradermal or intraperitoneal injection </w:t>
      </w:r>
      <w:r w:rsidRPr="008B3AD6">
        <w:fldChar w:fldCharType="begin"/>
      </w:r>
      <w:r w:rsidR="00812605" w:rsidRPr="008B3AD6">
        <w:instrText xml:space="preserve"> ADDIN ZOTERO_ITEM CSL_CITATION {"citationID":"EXv8k4Ee","properties":{"formattedCitation":"(Honor\\uc0\\u233{} et al. 1998)","plainCitation":"(Honoré et al. 1998)","noteIndex":0},"citationItems":[{"id":2608,"uris":["http://zotero.org/users/2628971/items/VSKP374T"],"uri":["http://zotero.org/users/2628971/items/VSKP374T"],"itemData":{"id":2608,"type":"article-journal","title":"Influence of the host and parasite strain in a mouse model of visceral Leishmania infantum infection","container-title":"FEMS immunology and medical microbiology","page":"231-239","volume":"21","issue":"3","source":"PubMed","abstract":"We investigated the respective roles of the host and parasite strain in a murine model of visceral leishmaniasis. Balb/c and C57Bl/6 mice were selected for their respective 'non cure' and 'cure' haplotypes vis-a-vis Leishmania major. Mice were infected with 10(7) stationary-phase promastigotes of four strains of Leishmania infantum with different infection profiles in mice: visceralization or regulation, as established by Sulahian et al. (Sulahian et al. (1998) FEMS Immunol. Med. Microbiol. 17, 131-138). The infection was monitored by measuring parasite load in the liver and spleen on days 9, 22, 44 and 87 post-infection, using a sensitive microtitration technique. Similar profiles (visceralizing or regulating) were observed in the two mouse strains, suggesting a predominant role of the Leishmania strain in the visceralization process. The host response was assessed by analyzing the granulomatous response in the liver and by quantifying specific IgG, IgG1 and IgG2a as a marker of the Th1/Th2 immune response. A granulomatous response was observed in both strains of mice but was more pronounced with visceralizing strains of L. infantum and in C57Bl/6 mice compared to Balb/c mice. The kinetics of anti-Leishmania IgG antibody production was similar in all the groups, but the distribution of IgG1 and IgG2a isotypes was different between the two mouse strains: Balb/c mice had a predominantly Th2-like response whereas C57Bl/6 had a mixed Th1/Th2-like response. This study demonstrates the determining role of both the parasite and mouse strain in the outcome of L. infantum infection. The Th1/Th2 concept does not seem to explain susceptibility and resistance to infection in our model of visceral L. infantum infection, contrary to the L. major model.","ISSN":"0928-8244","note":"PMID: 9718213","journalAbbreviation":"FEMS Immunol. Med. Microbiol.","language":"eng","author":[{"family":"Honoré","given":"S."},{"family":"Garin","given":"Y. J."},{"family":"Sulahian","given":"A."},{"family":"Gangneux","given":"J. P."},{"family":"Derouin","given":"F."}],"issued":{"date-parts":[["1998",7]]}}}],"schema":"https://github.com/citation-style-language/schema/raw/master/csl-citation.json"} </w:instrText>
      </w:r>
      <w:r w:rsidRPr="008B3AD6">
        <w:fldChar w:fldCharType="separate"/>
      </w:r>
      <w:r w:rsidRPr="008B3AD6">
        <w:t>(Honoré et al. 1998)</w:t>
      </w:r>
      <w:r w:rsidRPr="008B3AD6">
        <w:fldChar w:fldCharType="end"/>
      </w:r>
      <w:r w:rsidRPr="008B3AD6">
        <w:t xml:space="preserve">, where it may be phagocytosed by </w:t>
      </w:r>
      <w:r w:rsidR="00027137">
        <w:t>KCs</w:t>
      </w:r>
      <w:r w:rsidRPr="008B3AD6">
        <w:t xml:space="preserve"> (</w:t>
      </w:r>
      <w:r w:rsidRPr="008B3AD6">
        <w:rPr>
          <w:b/>
        </w:rPr>
        <w:t>KC3</w:t>
      </w:r>
      <w:r w:rsidRPr="008B3AD6">
        <w:t xml:space="preserve">) </w:t>
      </w:r>
      <w:r w:rsidRPr="008B3AD6">
        <w:fldChar w:fldCharType="begin"/>
      </w:r>
      <w:r w:rsidR="00812605" w:rsidRPr="008B3AD6">
        <w:instrText xml:space="preserve"> ADDIN ZOTERO_ITEM CSL_CITATION {"citationID":"ZL8zTBYv","properties":{"formattedCitation":"(Beattie et al. 2011)","plainCitation":"(Beattie et al. 2011)","noteIndex":0},"citationItems":[{"id":2586,"uris":["http://zotero.org/users/2628971/items/JA6A6RLF"],"uri":["http://zotero.org/users/2628971/items/JA6A6RLF"],"itemData":{"id":2586,"type":"article-journal","title":"Interferon regulatory factor 7 contributes to the control of Leishmania donovani in the mouse liver","container-title":"Infection and Immunity","page":"1057-1066","volume":"79","issue":"3","source":"PubMed","abstract":"Optimal hepatic resistance to Leishmania donovani in mice requires the coordinated effort of a variety of leukocyte populations that together induce activation of local macrophages to a leishmanicidal state. Although nitric oxide and reactive oxygen intermediates are potent leishmanicidal effector molecules operating in the acquired phase of immunity, there have long been suggestions that other mechanisms of leishmanicidal activity exist. We recently discovered that Irf-7 regulates a novel innate leishmanicidal response in resident splenic macrophages that line the marginal zone. Here, we tested whether this mechanism also operates in Kupffer cells, the resident macrophage population of the liver and the major target for hepatic infection by L. donovani. Comparing the Kupffer cell responses in situ in B6 and B6.Irf-7(-/-) mice, we found no evidence that Irf-7 affected amastigote uptake or early survival. However, we did find that Irf-7-deficient mice had impaired acquired resistance to hepatic L. donovani infection. This phenotype was attributable to a reduction in the capacity of hepatic CD4(+) T cells, NK cells, and NKT cells to produce gamma interferon (IFN-γ) and also to defective induction of NOS2 in infected Kupffer cells. Our data therefore add interferon regulatory factor 7 (IRF-7) to the growing list of interferon regulatory factors that have effects on downstream events in the acquired cellular immune response to nonviral pathogens.","DOI":"10.1128/IAI.00633-10","ISSN":"1098-5522","note":"PMID: 21149596\nPMCID: PMC3067515","journalAbbreviation":"Infect. Immun.","language":"eng","author":[{"family":"Beattie","given":"Lynette"},{"family":"Phillips","given":"Rebecca"},{"family":"Brown","given":"Najmeeyah"},{"family":"Owens","given":"Benjamin M. J."},{"family":"Chauhan","given":"Neal"},{"family":"Dalton","given":"Jane E."},{"family":"Kaye","given":"Paul M."}],"issued":{"date-parts":[["2011",3]]}}}],"schema":"https://github.com/citation-style-language/schema/raw/master/csl-citation.json"} </w:instrText>
      </w:r>
      <w:r w:rsidRPr="008B3AD6">
        <w:fldChar w:fldCharType="separate"/>
      </w:r>
      <w:r w:rsidRPr="008B3AD6">
        <w:t>(Beattie et al. 2011)</w:t>
      </w:r>
      <w:r w:rsidRPr="008B3AD6">
        <w:fldChar w:fldCharType="end"/>
      </w:r>
      <w:r w:rsidRPr="008B3AD6">
        <w:t>, transitioning to an intracellular state, where the same survival cycle of replication (</w:t>
      </w:r>
      <w:r w:rsidRPr="008B3AD6">
        <w:rPr>
          <w:b/>
        </w:rPr>
        <w:t>LD5</w:t>
      </w:r>
      <w:r w:rsidRPr="008B3AD6">
        <w:t>) if the anti-leishmanial compounds amounts are insufficient to remove it from the system occurs.</w:t>
      </w:r>
    </w:p>
    <w:p w14:paraId="481527E1" w14:textId="7B434813" w:rsidR="007E29E8" w:rsidRDefault="002D2824" w:rsidP="009154C0">
      <w:pPr>
        <w:spacing w:line="360" w:lineRule="auto"/>
        <w:jc w:val="both"/>
      </w:pPr>
      <w:r>
        <w:rPr>
          <w:noProof/>
        </w:rPr>
        <w:lastRenderedPageBreak/>
        <w:drawing>
          <wp:anchor distT="0" distB="0" distL="114300" distR="114300" simplePos="0" relativeHeight="252099584" behindDoc="0" locked="0" layoutInCell="1" allowOverlap="1" wp14:anchorId="072DED77" wp14:editId="7DBA8F47">
            <wp:simplePos x="0" y="0"/>
            <wp:positionH relativeFrom="column">
              <wp:posOffset>1024304</wp:posOffset>
            </wp:positionH>
            <wp:positionV relativeFrom="paragraph">
              <wp:posOffset>852317</wp:posOffset>
            </wp:positionV>
            <wp:extent cx="7195820" cy="3521630"/>
            <wp:effectExtent l="0" t="0" r="5080" b="0"/>
            <wp:wrapTopAndBottom/>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pic:cNvPicPr>
                      <a:picLocks noChangeAspect="1"/>
                    </pic:cNvPicPr>
                  </pic:nvPicPr>
                  <pic:blipFill>
                    <a:blip r:embed="rId57">
                      <a:extLst>
                        <a:ext uri="{28A0092B-C50C-407E-A947-70E740481C1C}">
                          <a14:useLocalDpi xmlns:a14="http://schemas.microsoft.com/office/drawing/2010/main" val="0"/>
                        </a:ext>
                      </a:extLst>
                    </a:blip>
                    <a:stretch>
                      <a:fillRect/>
                    </a:stretch>
                  </pic:blipFill>
                  <pic:spPr>
                    <a:xfrm>
                      <a:off x="0" y="0"/>
                      <a:ext cx="7195820" cy="3521630"/>
                    </a:xfrm>
                    <a:prstGeom prst="rect">
                      <a:avLst/>
                    </a:prstGeom>
                  </pic:spPr>
                </pic:pic>
              </a:graphicData>
            </a:graphic>
          </wp:anchor>
        </w:drawing>
      </w:r>
      <w:r>
        <w:rPr>
          <w:noProof/>
        </w:rPr>
        <mc:AlternateContent>
          <mc:Choice Requires="wps">
            <w:drawing>
              <wp:anchor distT="0" distB="0" distL="114300" distR="114300" simplePos="0" relativeHeight="252100608" behindDoc="0" locked="0" layoutInCell="1" allowOverlap="1" wp14:anchorId="5F31041A" wp14:editId="7917980B">
                <wp:simplePos x="0" y="0"/>
                <wp:positionH relativeFrom="column">
                  <wp:posOffset>1056201</wp:posOffset>
                </wp:positionH>
                <wp:positionV relativeFrom="paragraph">
                  <wp:posOffset>4392878</wp:posOffset>
                </wp:positionV>
                <wp:extent cx="1967023" cy="318969"/>
                <wp:effectExtent l="0" t="0" r="1905" b="0"/>
                <wp:wrapTopAndBottom/>
                <wp:docPr id="32" name="Text Box 32"/>
                <wp:cNvGraphicFramePr/>
                <a:graphic xmlns:a="http://schemas.openxmlformats.org/drawingml/2006/main">
                  <a:graphicData uri="http://schemas.microsoft.com/office/word/2010/wordprocessingShape">
                    <wps:wsp>
                      <wps:cNvSpPr txBox="1"/>
                      <wps:spPr>
                        <a:xfrm>
                          <a:off x="0" y="0"/>
                          <a:ext cx="1967023" cy="318969"/>
                        </a:xfrm>
                        <a:prstGeom prst="rect">
                          <a:avLst/>
                        </a:prstGeom>
                        <a:solidFill>
                          <a:schemeClr val="lt1"/>
                        </a:solidFill>
                        <a:ln w="6350">
                          <a:noFill/>
                        </a:ln>
                      </wps:spPr>
                      <wps:txbx>
                        <w:txbxContent>
                          <w:p w14:paraId="4CC9AD3A" w14:textId="2B730252" w:rsidR="00F61130" w:rsidRDefault="00F61130">
                            <w:r>
                              <w:t>Continued on next page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F31041A" id="Text Box 32" o:spid="_x0000_s1112" type="#_x0000_t202" style="position:absolute;left:0;text-align:left;margin-left:83.15pt;margin-top:345.9pt;width:154.9pt;height:25.1pt;z-index:2521006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JWFo8RgIAAIMEAAAOAAAAZHJzL2Uyb0RvYy54bWysVEuP2jAQvlfqf7B8L+G1LESEFWVFVQnt&#13;&#10;rgTVno3jEEuOx7UNCf31HTuEZbc9Vb048/LnmW9mMn9oKkVOwjoJOqODXp8SoTnkUh8y+mO3/jKl&#13;&#10;xHmmc6ZAi4yehaMPi8+f5rVJxRBKULmwBEG0S2uT0dJ7kyaJ46WomOuBERqdBdiKeVTtIcktqxG9&#13;&#10;Usmw358kNdjcWODCObQ+tk66iPhFIbh/LgonPFEZxdx8PG089+FMFnOWHiwzpeSXNNg/ZFExqfHR&#13;&#10;K9Qj84wcrfwDqpLcgoPC9zhUCRSF5CLWgNUM+h+q2ZbMiFgLkuPMlSb3/2D50+nFEplndDSkRLMK&#13;&#10;e7QTjSdfoSFoQn5q41IM2xoM9A3asc+d3aExlN0UtgpfLIigH5k+X9kNaDxcmk3u+8MRJRx9o8F0&#13;&#10;NpkFmOTttrHOfxNQkSBk1GL3IqnstHG+De1CwmMOlMzXUqmohIkRK2XJiWGvlY85Ivi7KKVJndHJ&#13;&#10;6K4fgTWE6y2y0phLqLWtKUi+2TeRm+mkK3gP+Rl5sNBOkjN8LTHZDXP+hVkcHSwd18E/41EowMfg&#13;&#10;IlFSgv31N3uIx46il5IaRzGj7ueRWUGJ+q6x17PBeBxmNyrju/shKvbWs7/16GO1AmRggItneBRD&#13;&#10;vFedWFioXnFrluFVdDHN8e2M+k5c+XZBcOu4WC5jEE6rYX6jt4YH6MB4aMWueWXWXPrlsdNP0A0t&#13;&#10;Sz+0rY0NNzUsjx4KGXsaiG5ZvfCPkx6n4rKVYZVu9Rj19u9Y/AYAAP//AwBQSwMEFAAGAAgAAAAh&#13;&#10;AFY2GsbmAAAAEAEAAA8AAABkcnMvZG93bnJldi54bWxMj81OwzAQhO9IvIO1SFxQ66QpDqRxKsSv&#13;&#10;xI2mgLi5sUki4nUUu0l4e5YTXFYa7ezsfPl2th0bzeBbhxLiZQTMYOV0i7WEffmwuALmg0KtOodG&#13;&#10;wrfxsC1OT3KVaTfhixl3oWYUgj5TEpoQ+oxzXzXGKr90vUHafbrBqkByqLke1EThtuOrKBLcqhbp&#13;&#10;Q6N6c9uY6mt3tBI+Lur3Zz8/vk7JZdLfP41l+qZLKc/P5rsNjZsNsGDm8HcBvwzUHwoqdnBH1J51&#13;&#10;pIVIyCpBXMcEQo51KmJgBwnpehUBL3L+H6T4AQAA//8DAFBLAQItABQABgAIAAAAIQC2gziS/gAA&#13;&#10;AOEBAAATAAAAAAAAAAAAAAAAAAAAAABbQ29udGVudF9UeXBlc10ueG1sUEsBAi0AFAAGAAgAAAAh&#13;&#10;ADj9If/WAAAAlAEAAAsAAAAAAAAAAAAAAAAALwEAAF9yZWxzLy5yZWxzUEsBAi0AFAAGAAgAAAAh&#13;&#10;AIlYWjxGAgAAgwQAAA4AAAAAAAAAAAAAAAAALgIAAGRycy9lMm9Eb2MueG1sUEsBAi0AFAAGAAgA&#13;&#10;AAAhAFY2GsbmAAAAEAEAAA8AAAAAAAAAAAAAAAAAoAQAAGRycy9kb3ducmV2LnhtbFBLBQYAAAAA&#13;&#10;BAAEAPMAAACzBQAAAAA=&#13;&#10;" fillcolor="white [3201]" stroked="f" strokeweight=".5pt">
                <v:textbox>
                  <w:txbxContent>
                    <w:p w14:paraId="4CC9AD3A" w14:textId="2B730252" w:rsidR="00F61130" w:rsidRDefault="00F61130">
                      <w:r>
                        <w:t>Continued on next page</w:t>
                      </w:r>
                    </w:p>
                  </w:txbxContent>
                </v:textbox>
                <w10:wrap type="topAndBottom"/>
              </v:shape>
            </w:pict>
          </mc:Fallback>
        </mc:AlternateContent>
      </w:r>
      <w:r w:rsidR="007E29E8">
        <w:br w:type="page"/>
      </w:r>
    </w:p>
    <w:p w14:paraId="36A94C88" w14:textId="6F74AC7E" w:rsidR="007E29E8" w:rsidRDefault="007E29E8" w:rsidP="009154C0">
      <w:pPr>
        <w:spacing w:line="360" w:lineRule="auto"/>
        <w:jc w:val="both"/>
        <w:sectPr w:rsidR="007E29E8" w:rsidSect="007E29E8">
          <w:pgSz w:w="16840" w:h="11900" w:orient="landscape"/>
          <w:pgMar w:top="851" w:right="1134" w:bottom="2268" w:left="1134" w:header="709" w:footer="709" w:gutter="0"/>
          <w:cols w:space="708"/>
          <w:docGrid w:linePitch="360"/>
        </w:sectPr>
      </w:pPr>
    </w:p>
    <w:p w14:paraId="7D054AD2" w14:textId="6B54428F" w:rsidR="007E29E8" w:rsidRDefault="002D2824" w:rsidP="009154C0">
      <w:pPr>
        <w:spacing w:line="360" w:lineRule="auto"/>
        <w:jc w:val="both"/>
      </w:pPr>
      <w:r>
        <w:rPr>
          <w:noProof/>
        </w:rPr>
        <w:lastRenderedPageBreak/>
        <mc:AlternateContent>
          <mc:Choice Requires="wps">
            <w:drawing>
              <wp:anchor distT="0" distB="0" distL="114300" distR="114300" simplePos="0" relativeHeight="252096512" behindDoc="0" locked="0" layoutInCell="1" allowOverlap="1" wp14:anchorId="4CA069AA" wp14:editId="1930C493">
                <wp:simplePos x="0" y="0"/>
                <wp:positionH relativeFrom="column">
                  <wp:posOffset>1094105</wp:posOffset>
                </wp:positionH>
                <wp:positionV relativeFrom="paragraph">
                  <wp:posOffset>4999257</wp:posOffset>
                </wp:positionV>
                <wp:extent cx="7046595" cy="741045"/>
                <wp:effectExtent l="0" t="0" r="1905" b="0"/>
                <wp:wrapNone/>
                <wp:docPr id="30" name="Text Box 30"/>
                <wp:cNvGraphicFramePr/>
                <a:graphic xmlns:a="http://schemas.openxmlformats.org/drawingml/2006/main">
                  <a:graphicData uri="http://schemas.microsoft.com/office/word/2010/wordprocessingShape">
                    <wps:wsp>
                      <wps:cNvSpPr txBox="1"/>
                      <wps:spPr>
                        <a:xfrm>
                          <a:off x="0" y="0"/>
                          <a:ext cx="7046595" cy="741045"/>
                        </a:xfrm>
                        <a:prstGeom prst="rect">
                          <a:avLst/>
                        </a:prstGeom>
                        <a:solidFill>
                          <a:prstClr val="white"/>
                        </a:solidFill>
                        <a:ln>
                          <a:noFill/>
                        </a:ln>
                      </wps:spPr>
                      <wps:txbx>
                        <w:txbxContent>
                          <w:p w14:paraId="34FBEA9F" w14:textId="45CF7EB2" w:rsidR="00F61130" w:rsidRPr="0027375E" w:rsidRDefault="00F61130" w:rsidP="00722E3F">
                            <w:pPr>
                              <w:pStyle w:val="Caption"/>
                              <w:spacing w:line="360" w:lineRule="auto"/>
                              <w:jc w:val="both"/>
                              <w:rPr>
                                <w:noProof/>
                                <w:sz w:val="20"/>
                              </w:rPr>
                            </w:pPr>
                            <w:bookmarkStart w:id="411" w:name="_Ref525129566"/>
                            <w:bookmarkStart w:id="412" w:name="_Toc525227218"/>
                            <w:bookmarkStart w:id="413" w:name="_Toc536814157"/>
                            <w:r w:rsidRPr="0027375E">
                              <w:rPr>
                                <w:b/>
                                <w:sz w:val="20"/>
                              </w:rPr>
                              <w:t xml:space="preserve">Figure </w:t>
                            </w:r>
                            <w:r>
                              <w:rPr>
                                <w:b/>
                                <w:sz w:val="20"/>
                              </w:rPr>
                              <w:fldChar w:fldCharType="begin"/>
                            </w:r>
                            <w:r>
                              <w:rPr>
                                <w:b/>
                                <w:sz w:val="20"/>
                              </w:rPr>
                              <w:instrText xml:space="preserve"> STYLEREF 1 \s </w:instrText>
                            </w:r>
                            <w:r>
                              <w:rPr>
                                <w:b/>
                                <w:sz w:val="20"/>
                              </w:rPr>
                              <w:fldChar w:fldCharType="separate"/>
                            </w:r>
                            <w:r>
                              <w:rPr>
                                <w:b/>
                                <w:noProof/>
                                <w:sz w:val="20"/>
                              </w:rPr>
                              <w:t>4</w:t>
                            </w:r>
                            <w:r>
                              <w:rPr>
                                <w:b/>
                                <w:sz w:val="20"/>
                              </w:rPr>
                              <w:fldChar w:fldCharType="end"/>
                            </w:r>
                            <w:r>
                              <w:rPr>
                                <w:b/>
                                <w:sz w:val="20"/>
                              </w:rPr>
                              <w:t>.</w:t>
                            </w:r>
                            <w:r>
                              <w:rPr>
                                <w:b/>
                                <w:sz w:val="20"/>
                              </w:rPr>
                              <w:fldChar w:fldCharType="begin"/>
                            </w:r>
                            <w:r>
                              <w:rPr>
                                <w:b/>
                                <w:sz w:val="20"/>
                              </w:rPr>
                              <w:instrText xml:space="preserve"> SEQ Figure \* ARABIC \s 1 </w:instrText>
                            </w:r>
                            <w:r>
                              <w:rPr>
                                <w:b/>
                                <w:sz w:val="20"/>
                              </w:rPr>
                              <w:fldChar w:fldCharType="separate"/>
                            </w:r>
                            <w:r>
                              <w:rPr>
                                <w:b/>
                                <w:noProof/>
                                <w:sz w:val="20"/>
                              </w:rPr>
                              <w:t>13</w:t>
                            </w:r>
                            <w:r>
                              <w:rPr>
                                <w:b/>
                                <w:sz w:val="20"/>
                              </w:rPr>
                              <w:fldChar w:fldCharType="end"/>
                            </w:r>
                            <w:bookmarkEnd w:id="411"/>
                            <w:r w:rsidRPr="0027375E">
                              <w:rPr>
                                <w:b/>
                                <w:sz w:val="20"/>
                              </w:rPr>
                              <w:t xml:space="preserve"> -</w:t>
                            </w:r>
                            <w:r w:rsidRPr="0027375E">
                              <w:rPr>
                                <w:sz w:val="20"/>
                              </w:rPr>
                              <w:t xml:space="preserve"> </w:t>
                            </w:r>
                            <w:r w:rsidRPr="0027375E">
                              <w:rPr>
                                <w:b/>
                                <w:sz w:val="20"/>
                              </w:rPr>
                              <w:t xml:space="preserve">Domain activity diagram describing the behaviours of </w:t>
                            </w:r>
                            <w:r w:rsidRPr="0027375E">
                              <w:rPr>
                                <w:b/>
                                <w:i/>
                                <w:sz w:val="20"/>
                              </w:rPr>
                              <w:t>Leishmania donovani</w:t>
                            </w:r>
                            <w:r w:rsidRPr="0027375E">
                              <w:rPr>
                                <w:b/>
                                <w:sz w:val="20"/>
                              </w:rPr>
                              <w:t xml:space="preserve"> during </w:t>
                            </w:r>
                            <w:r>
                              <w:rPr>
                                <w:b/>
                                <w:sz w:val="20"/>
                                <w:szCs w:val="20"/>
                              </w:rPr>
                              <w:t>h</w:t>
                            </w:r>
                            <w:r w:rsidRPr="009A7602">
                              <w:rPr>
                                <w:b/>
                                <w:sz w:val="20"/>
                                <w:szCs w:val="20"/>
                              </w:rPr>
                              <w:t xml:space="preserve">epatic </w:t>
                            </w:r>
                            <w:r>
                              <w:rPr>
                                <w:b/>
                                <w:sz w:val="20"/>
                                <w:szCs w:val="20"/>
                              </w:rPr>
                              <w:t xml:space="preserve">infection with </w:t>
                            </w:r>
                            <w:r>
                              <w:rPr>
                                <w:b/>
                                <w:i/>
                                <w:sz w:val="20"/>
                                <w:szCs w:val="20"/>
                              </w:rPr>
                              <w:t>L. donovani</w:t>
                            </w:r>
                            <w:r w:rsidRPr="0027375E">
                              <w:rPr>
                                <w:b/>
                                <w:sz w:val="20"/>
                              </w:rPr>
                              <w:t xml:space="preserve">. </w:t>
                            </w:r>
                            <w:r w:rsidRPr="003B2D5F">
                              <w:rPr>
                                <w:sz w:val="20"/>
                              </w:rPr>
                              <w:t>UML</w:t>
                            </w:r>
                            <w:r>
                              <w:rPr>
                                <w:sz w:val="20"/>
                              </w:rPr>
                              <w:t>-like</w:t>
                            </w:r>
                            <w:r w:rsidRPr="003B2D5F">
                              <w:rPr>
                                <w:sz w:val="20"/>
                              </w:rPr>
                              <w:t xml:space="preserve"> </w:t>
                            </w:r>
                            <w:r w:rsidRPr="0027375E">
                              <w:rPr>
                                <w:sz w:val="20"/>
                              </w:rPr>
                              <w:t xml:space="preserve">notation of the behaviours and interactions of </w:t>
                            </w:r>
                            <w:r w:rsidRPr="0027375E">
                              <w:rPr>
                                <w:i/>
                                <w:sz w:val="20"/>
                              </w:rPr>
                              <w:t>Leishmania donovani</w:t>
                            </w:r>
                            <w:r w:rsidRPr="0027375E">
                              <w:rPr>
                                <w:sz w:val="20"/>
                              </w:rPr>
                              <w:t xml:space="preserve"> in the liver and other sites, such as blood, bone marrow or spleen that are outside the scope of the model.</w:t>
                            </w:r>
                            <w:bookmarkEnd w:id="412"/>
                            <w:bookmarkEnd w:id="413"/>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4CA069AA" id="Text Box 30" o:spid="_x0000_s1113" type="#_x0000_t202" style="position:absolute;left:0;text-align:left;margin-left:86.15pt;margin-top:393.65pt;width:554.85pt;height:58.35pt;z-index:2520965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nFZSIMwIAAGoEAAAOAAAAZHJzL2Uyb0RvYy54bWysVFFv2yAQfp+0/4B4X+x0SdNZcaosVaZJ&#13;&#10;UVspmfpMMMRImGNAYme/fgeO063b07QXfNwdH3zf3Xl+3zWanITzCkxJx6OcEmE4VMocSvptt/5w&#13;&#10;R4kPzFRMgxElPQtP7xfv381bW4gbqEFXwhEEMb5obUnrEGyRZZ7XomF+BFYYDEpwDQu4dYescqxF&#13;&#10;9EZnN3l+m7XgKuuAC+/R+9AH6SLhSyl4eJLSi0B0SfFtIa0urfu4Zos5Kw6O2VrxyzPYP7yiYcrg&#13;&#10;pVeoBxYYOTr1B1SjuAMPMow4NBlIqbhIHJDNOH/DZlszKxIXFMfbq0z+/8Hyx9OzI6oq6UeUx7AG&#13;&#10;a7QTXSCfoSPoQn1a6wtM21pMDB36sc6D36Mz0u6ka+IXCRGMI9T5qm5E4+ic5ZPb6acpJRxjs8k4&#13;&#10;n0wjTPZ62jofvghoSDRK6rB6SVR22vjQpw4p8TIPWlVrpXXcxMBKO3JiWOm2VkFcwH/L0ibmGoin&#13;&#10;esDoySLFnkq0QrfvkiR3s4HnHqoz0nfQN5C3fK3wwg3z4Zk57BhkjFMQnnCRGtqSwsWipAb342/+&#13;&#10;mI+FxCglLXZgSf33I3OCEv3VYIljuw6GG4z9YJhjswKkOsb5sjyZeMAFPZjSQfOCw7GMt2CIGY53&#13;&#10;lTQM5ir0c4DDxcVymZKwKS0LG7O1PEIPwu66F+bspSwBC/oIQ2+y4k11+txe5uUxgFSpdFHYXsWL&#13;&#10;3tjQqfiX4YsT8+s+Zb3+IhY/AQAA//8DAFBLAwQUAAYACAAAACEARdjGEuMAAAARAQAADwAAAGRy&#13;&#10;cy9kb3ducmV2LnhtbExPPU/DMBDdkfgP1iGxIGpjUBPSOBU0sMHQUnV2Y5NExOcodpr033OdYDnd&#13;&#10;0717H/l6dh072SG0HhU8LAQwi5U3LdYK9l/v9ymwEDUa3Xm0Cs42wLq4vsp1ZvyEW3vaxZqRCIZM&#13;&#10;K2hi7DPOQ9VYp8PC9xbp9u0HpyPBoeZm0BOJu45LIZbc6RbJodG93TS2+tmNTsGyHMZpi5u7cv/2&#13;&#10;oT/7Wh5ezwelbm/mckXjZQUs2jn+fcClA+WHgoId/YgmsI5wIh+JqiBJE1ouDJlK6nhU8CyeBPAi&#13;&#10;5/+bFL8AAAD//wMAUEsBAi0AFAAGAAgAAAAhALaDOJL+AAAA4QEAABMAAAAAAAAAAAAAAAAAAAAA&#13;&#10;AFtDb250ZW50X1R5cGVzXS54bWxQSwECLQAUAAYACAAAACEAOP0h/9YAAACUAQAACwAAAAAAAAAA&#13;&#10;AAAAAAAvAQAAX3JlbHMvLnJlbHNQSwECLQAUAAYACAAAACEApxWUiDMCAABqBAAADgAAAAAAAAAA&#13;&#10;AAAAAAAuAgAAZHJzL2Uyb0RvYy54bWxQSwECLQAUAAYACAAAACEARdjGEuMAAAARAQAADwAAAAAA&#13;&#10;AAAAAAAAAACNBAAAZHJzL2Rvd25yZXYueG1sUEsFBgAAAAAEAAQA8wAAAJ0FAAAAAA==&#13;&#10;" stroked="f">
                <v:textbox inset="0,0,0,0">
                  <w:txbxContent>
                    <w:p w14:paraId="34FBEA9F" w14:textId="45CF7EB2" w:rsidR="00F61130" w:rsidRPr="0027375E" w:rsidRDefault="00F61130" w:rsidP="00722E3F">
                      <w:pPr>
                        <w:pStyle w:val="Caption"/>
                        <w:spacing w:line="360" w:lineRule="auto"/>
                        <w:jc w:val="both"/>
                        <w:rPr>
                          <w:noProof/>
                          <w:sz w:val="20"/>
                        </w:rPr>
                      </w:pPr>
                      <w:bookmarkStart w:id="414" w:name="_Ref525129566"/>
                      <w:bookmarkStart w:id="415" w:name="_Toc525227218"/>
                      <w:bookmarkStart w:id="416" w:name="_Toc536814157"/>
                      <w:r w:rsidRPr="0027375E">
                        <w:rPr>
                          <w:b/>
                          <w:sz w:val="20"/>
                        </w:rPr>
                        <w:t xml:space="preserve">Figure </w:t>
                      </w:r>
                      <w:r>
                        <w:rPr>
                          <w:b/>
                          <w:sz w:val="20"/>
                        </w:rPr>
                        <w:fldChar w:fldCharType="begin"/>
                      </w:r>
                      <w:r>
                        <w:rPr>
                          <w:b/>
                          <w:sz w:val="20"/>
                        </w:rPr>
                        <w:instrText xml:space="preserve"> STYLEREF 1 \s </w:instrText>
                      </w:r>
                      <w:r>
                        <w:rPr>
                          <w:b/>
                          <w:sz w:val="20"/>
                        </w:rPr>
                        <w:fldChar w:fldCharType="separate"/>
                      </w:r>
                      <w:r>
                        <w:rPr>
                          <w:b/>
                          <w:noProof/>
                          <w:sz w:val="20"/>
                        </w:rPr>
                        <w:t>4</w:t>
                      </w:r>
                      <w:r>
                        <w:rPr>
                          <w:b/>
                          <w:sz w:val="20"/>
                        </w:rPr>
                        <w:fldChar w:fldCharType="end"/>
                      </w:r>
                      <w:r>
                        <w:rPr>
                          <w:b/>
                          <w:sz w:val="20"/>
                        </w:rPr>
                        <w:t>.</w:t>
                      </w:r>
                      <w:r>
                        <w:rPr>
                          <w:b/>
                          <w:sz w:val="20"/>
                        </w:rPr>
                        <w:fldChar w:fldCharType="begin"/>
                      </w:r>
                      <w:r>
                        <w:rPr>
                          <w:b/>
                          <w:sz w:val="20"/>
                        </w:rPr>
                        <w:instrText xml:space="preserve"> SEQ Figure \* ARABIC \s 1 </w:instrText>
                      </w:r>
                      <w:r>
                        <w:rPr>
                          <w:b/>
                          <w:sz w:val="20"/>
                        </w:rPr>
                        <w:fldChar w:fldCharType="separate"/>
                      </w:r>
                      <w:r>
                        <w:rPr>
                          <w:b/>
                          <w:noProof/>
                          <w:sz w:val="20"/>
                        </w:rPr>
                        <w:t>13</w:t>
                      </w:r>
                      <w:r>
                        <w:rPr>
                          <w:b/>
                          <w:sz w:val="20"/>
                        </w:rPr>
                        <w:fldChar w:fldCharType="end"/>
                      </w:r>
                      <w:bookmarkEnd w:id="414"/>
                      <w:r w:rsidRPr="0027375E">
                        <w:rPr>
                          <w:b/>
                          <w:sz w:val="20"/>
                        </w:rPr>
                        <w:t xml:space="preserve"> -</w:t>
                      </w:r>
                      <w:r w:rsidRPr="0027375E">
                        <w:rPr>
                          <w:sz w:val="20"/>
                        </w:rPr>
                        <w:t xml:space="preserve"> </w:t>
                      </w:r>
                      <w:r w:rsidRPr="0027375E">
                        <w:rPr>
                          <w:b/>
                          <w:sz w:val="20"/>
                        </w:rPr>
                        <w:t xml:space="preserve">Domain activity diagram describing the behaviours of </w:t>
                      </w:r>
                      <w:r w:rsidRPr="0027375E">
                        <w:rPr>
                          <w:b/>
                          <w:i/>
                          <w:sz w:val="20"/>
                        </w:rPr>
                        <w:t>Leishmania donovani</w:t>
                      </w:r>
                      <w:r w:rsidRPr="0027375E">
                        <w:rPr>
                          <w:b/>
                          <w:sz w:val="20"/>
                        </w:rPr>
                        <w:t xml:space="preserve"> during </w:t>
                      </w:r>
                      <w:r>
                        <w:rPr>
                          <w:b/>
                          <w:sz w:val="20"/>
                          <w:szCs w:val="20"/>
                        </w:rPr>
                        <w:t>h</w:t>
                      </w:r>
                      <w:r w:rsidRPr="009A7602">
                        <w:rPr>
                          <w:b/>
                          <w:sz w:val="20"/>
                          <w:szCs w:val="20"/>
                        </w:rPr>
                        <w:t xml:space="preserve">epatic </w:t>
                      </w:r>
                      <w:r>
                        <w:rPr>
                          <w:b/>
                          <w:sz w:val="20"/>
                          <w:szCs w:val="20"/>
                        </w:rPr>
                        <w:t xml:space="preserve">infection with </w:t>
                      </w:r>
                      <w:r>
                        <w:rPr>
                          <w:b/>
                          <w:i/>
                          <w:sz w:val="20"/>
                          <w:szCs w:val="20"/>
                        </w:rPr>
                        <w:t>L. donovani</w:t>
                      </w:r>
                      <w:r w:rsidRPr="0027375E">
                        <w:rPr>
                          <w:b/>
                          <w:sz w:val="20"/>
                        </w:rPr>
                        <w:t xml:space="preserve">. </w:t>
                      </w:r>
                      <w:r w:rsidRPr="003B2D5F">
                        <w:rPr>
                          <w:sz w:val="20"/>
                        </w:rPr>
                        <w:t>UML</w:t>
                      </w:r>
                      <w:r>
                        <w:rPr>
                          <w:sz w:val="20"/>
                        </w:rPr>
                        <w:t>-like</w:t>
                      </w:r>
                      <w:r w:rsidRPr="003B2D5F">
                        <w:rPr>
                          <w:sz w:val="20"/>
                        </w:rPr>
                        <w:t xml:space="preserve"> </w:t>
                      </w:r>
                      <w:r w:rsidRPr="0027375E">
                        <w:rPr>
                          <w:sz w:val="20"/>
                        </w:rPr>
                        <w:t xml:space="preserve">notation of the behaviours and interactions of </w:t>
                      </w:r>
                      <w:r w:rsidRPr="0027375E">
                        <w:rPr>
                          <w:i/>
                          <w:sz w:val="20"/>
                        </w:rPr>
                        <w:t>Leishmania donovani</w:t>
                      </w:r>
                      <w:r w:rsidRPr="0027375E">
                        <w:rPr>
                          <w:sz w:val="20"/>
                        </w:rPr>
                        <w:t xml:space="preserve"> in the liver and other sites, such as blood, bone marrow or spleen that are outside the scope of the model.</w:t>
                      </w:r>
                      <w:bookmarkEnd w:id="415"/>
                      <w:bookmarkEnd w:id="416"/>
                    </w:p>
                  </w:txbxContent>
                </v:textbox>
              </v:shape>
            </w:pict>
          </mc:Fallback>
        </mc:AlternateContent>
      </w:r>
      <w:r>
        <w:rPr>
          <w:noProof/>
        </w:rPr>
        <w:drawing>
          <wp:anchor distT="0" distB="0" distL="114300" distR="114300" simplePos="0" relativeHeight="252095488" behindDoc="0" locked="0" layoutInCell="1" allowOverlap="1" wp14:anchorId="7CF9C381" wp14:editId="7EF20880">
            <wp:simplePos x="0" y="0"/>
            <wp:positionH relativeFrom="column">
              <wp:posOffset>1024304</wp:posOffset>
            </wp:positionH>
            <wp:positionV relativeFrom="paragraph">
              <wp:posOffset>98</wp:posOffset>
            </wp:positionV>
            <wp:extent cx="7192645" cy="5039798"/>
            <wp:effectExtent l="0" t="0" r="0" b="2540"/>
            <wp:wrapTopAndBottom/>
            <wp:docPr id="4" name="Picture 3">
              <a:extLst xmlns:a="http://schemas.openxmlformats.org/drawingml/2006/main">
                <a:ext uri="{FF2B5EF4-FFF2-40B4-BE49-F238E27FC236}">
                  <a16:creationId xmlns:a16="http://schemas.microsoft.com/office/drawing/2014/main" id="{96F5324F-6C7B-C743-A7CF-B03B5D386E2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96F5324F-6C7B-C743-A7CF-B03B5D386E24}"/>
                        </a:ext>
                      </a:extLst>
                    </pic:cNvPr>
                    <pic:cNvPicPr>
                      <a:picLocks noChangeAspect="1"/>
                    </pic:cNvPicPr>
                  </pic:nvPicPr>
                  <pic:blipFill rotWithShape="1">
                    <a:blip r:embed="rId58">
                      <a:extLst>
                        <a:ext uri="{28A0092B-C50C-407E-A947-70E740481C1C}">
                          <a14:useLocalDpi xmlns:a14="http://schemas.microsoft.com/office/drawing/2010/main" val="0"/>
                        </a:ext>
                      </a:extLst>
                    </a:blip>
                    <a:srcRect l="4084" t="35970" r="3278" b="18199"/>
                    <a:stretch/>
                  </pic:blipFill>
                  <pic:spPr bwMode="auto">
                    <a:xfrm>
                      <a:off x="0" y="0"/>
                      <a:ext cx="7192645" cy="5039798"/>
                    </a:xfrm>
                    <a:prstGeom prst="rect">
                      <a:avLst/>
                    </a:prstGeom>
                    <a:ln>
                      <a:noFill/>
                    </a:ln>
                    <a:extLst>
                      <a:ext uri="{53640926-AAD7-44D8-BBD7-CCE9431645EC}">
                        <a14:shadowObscured xmlns:a14="http://schemas.microsoft.com/office/drawing/2010/main"/>
                      </a:ext>
                    </a:extLst>
                  </pic:spPr>
                </pic:pic>
              </a:graphicData>
            </a:graphic>
          </wp:anchor>
        </w:drawing>
      </w:r>
    </w:p>
    <w:p w14:paraId="587F00F0" w14:textId="58DE856B" w:rsidR="007E29E8" w:rsidRDefault="007E29E8" w:rsidP="007E29E8"/>
    <w:p w14:paraId="173DB2DC" w14:textId="5EFB343E" w:rsidR="007E29E8" w:rsidRPr="007E29E8" w:rsidRDefault="007E29E8" w:rsidP="007E29E8">
      <w:pPr>
        <w:sectPr w:rsidR="007E29E8" w:rsidRPr="007E29E8" w:rsidSect="007E29E8">
          <w:pgSz w:w="16840" w:h="11900" w:orient="landscape"/>
          <w:pgMar w:top="851" w:right="1134" w:bottom="2268" w:left="1134" w:header="709" w:footer="709" w:gutter="0"/>
          <w:cols w:space="708"/>
          <w:docGrid w:linePitch="360"/>
        </w:sectPr>
      </w:pPr>
    </w:p>
    <w:p w14:paraId="638E4FE6" w14:textId="219DE7A8" w:rsidR="00985675" w:rsidRPr="008B3AD6" w:rsidRDefault="002D2824" w:rsidP="009154C0">
      <w:pPr>
        <w:spacing w:line="360" w:lineRule="auto"/>
        <w:jc w:val="both"/>
      </w:pPr>
      <w:r>
        <w:rPr>
          <w:noProof/>
        </w:rPr>
        <w:lastRenderedPageBreak/>
        <w:drawing>
          <wp:anchor distT="0" distB="0" distL="114300" distR="114300" simplePos="0" relativeHeight="251236352" behindDoc="0" locked="0" layoutInCell="1" allowOverlap="1" wp14:anchorId="1C368324" wp14:editId="263D132F">
            <wp:simplePos x="0" y="0"/>
            <wp:positionH relativeFrom="column">
              <wp:posOffset>851157</wp:posOffset>
            </wp:positionH>
            <wp:positionV relativeFrom="paragraph">
              <wp:posOffset>391</wp:posOffset>
            </wp:positionV>
            <wp:extent cx="3212465" cy="3058160"/>
            <wp:effectExtent l="0" t="0" r="635" b="2540"/>
            <wp:wrapTopAndBottom/>
            <wp:docPr id="492" name="Picture 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2" name="Picture 492"/>
                    <pic:cNvPicPr>
                      <a:picLocks noChangeAspect="1"/>
                    </pic:cNvPicPr>
                  </pic:nvPicPr>
                  <pic:blipFill rotWithShape="1">
                    <a:blip r:embed="rId59">
                      <a:extLst>
                        <a:ext uri="{28A0092B-C50C-407E-A947-70E740481C1C}">
                          <a14:useLocalDpi xmlns:a14="http://schemas.microsoft.com/office/drawing/2010/main" val="0"/>
                        </a:ext>
                      </a:extLst>
                    </a:blip>
                    <a:srcRect l="25304" t="17003" r="24395" b="15407"/>
                    <a:stretch/>
                  </pic:blipFill>
                  <pic:spPr bwMode="auto">
                    <a:xfrm>
                      <a:off x="0" y="0"/>
                      <a:ext cx="3212465" cy="3058160"/>
                    </a:xfrm>
                    <a:prstGeom prst="rect">
                      <a:avLst/>
                    </a:prstGeom>
                    <a:ln>
                      <a:noFill/>
                    </a:ln>
                    <a:extLst>
                      <a:ext uri="{53640926-AAD7-44D8-BBD7-CCE9431645EC}">
                        <a14:shadowObscured xmlns:a14="http://schemas.microsoft.com/office/drawing/2010/main"/>
                      </a:ext>
                    </a:extLst>
                  </pic:spPr>
                </pic:pic>
              </a:graphicData>
            </a:graphic>
          </wp:anchor>
        </w:drawing>
      </w:r>
      <w:r>
        <w:rPr>
          <w:noProof/>
        </w:rPr>
        <mc:AlternateContent>
          <mc:Choice Requires="wps">
            <w:drawing>
              <wp:anchor distT="0" distB="0" distL="114300" distR="114300" simplePos="0" relativeHeight="251237376" behindDoc="0" locked="0" layoutInCell="1" allowOverlap="1" wp14:anchorId="41CCE210" wp14:editId="1015AF25">
                <wp:simplePos x="0" y="0"/>
                <wp:positionH relativeFrom="column">
                  <wp:posOffset>-47478</wp:posOffset>
                </wp:positionH>
                <wp:positionV relativeFrom="paragraph">
                  <wp:posOffset>3053690</wp:posOffset>
                </wp:positionV>
                <wp:extent cx="5013325" cy="1323975"/>
                <wp:effectExtent l="0" t="0" r="3175" b="0"/>
                <wp:wrapTopAndBottom/>
                <wp:docPr id="493" name="Text Box 493"/>
                <wp:cNvGraphicFramePr/>
                <a:graphic xmlns:a="http://schemas.openxmlformats.org/drawingml/2006/main">
                  <a:graphicData uri="http://schemas.microsoft.com/office/word/2010/wordprocessingShape">
                    <wps:wsp>
                      <wps:cNvSpPr txBox="1"/>
                      <wps:spPr>
                        <a:xfrm>
                          <a:off x="0" y="0"/>
                          <a:ext cx="5013325" cy="1323975"/>
                        </a:xfrm>
                        <a:prstGeom prst="rect">
                          <a:avLst/>
                        </a:prstGeom>
                        <a:solidFill>
                          <a:prstClr val="white"/>
                        </a:solidFill>
                        <a:ln>
                          <a:noFill/>
                        </a:ln>
                      </wps:spPr>
                      <wps:txbx>
                        <w:txbxContent>
                          <w:p w14:paraId="50C3AF92" w14:textId="0E3FE62D" w:rsidR="00F61130" w:rsidRPr="0087588C" w:rsidRDefault="00F61130" w:rsidP="009A7895">
                            <w:pPr>
                              <w:pStyle w:val="Caption"/>
                              <w:spacing w:line="360" w:lineRule="auto"/>
                              <w:jc w:val="both"/>
                              <w:rPr>
                                <w:noProof/>
                                <w:sz w:val="20"/>
                                <w:szCs w:val="20"/>
                              </w:rPr>
                            </w:pPr>
                            <w:bookmarkStart w:id="417" w:name="_Ref518571622"/>
                            <w:bookmarkStart w:id="418" w:name="_Toc525227219"/>
                            <w:bookmarkStart w:id="419" w:name="_Toc536814158"/>
                            <w:r w:rsidRPr="0087588C">
                              <w:rPr>
                                <w:b/>
                                <w:sz w:val="20"/>
                                <w:szCs w:val="20"/>
                              </w:rPr>
                              <w:t xml:space="preserve">Figure </w:t>
                            </w:r>
                            <w:r>
                              <w:rPr>
                                <w:b/>
                                <w:sz w:val="20"/>
                                <w:szCs w:val="20"/>
                              </w:rPr>
                              <w:fldChar w:fldCharType="begin"/>
                            </w:r>
                            <w:r>
                              <w:rPr>
                                <w:b/>
                                <w:sz w:val="20"/>
                                <w:szCs w:val="20"/>
                              </w:rPr>
                              <w:instrText xml:space="preserve"> STYLEREF 1 \s </w:instrText>
                            </w:r>
                            <w:r>
                              <w:rPr>
                                <w:b/>
                                <w:sz w:val="20"/>
                                <w:szCs w:val="20"/>
                              </w:rPr>
                              <w:fldChar w:fldCharType="separate"/>
                            </w:r>
                            <w:r>
                              <w:rPr>
                                <w:b/>
                                <w:noProof/>
                                <w:sz w:val="20"/>
                                <w:szCs w:val="20"/>
                              </w:rPr>
                              <w:t>4</w:t>
                            </w:r>
                            <w:r>
                              <w:rPr>
                                <w:b/>
                                <w:sz w:val="20"/>
                                <w:szCs w:val="20"/>
                              </w:rPr>
                              <w:fldChar w:fldCharType="end"/>
                            </w:r>
                            <w:r>
                              <w:rPr>
                                <w:b/>
                                <w:sz w:val="20"/>
                                <w:szCs w:val="20"/>
                              </w:rPr>
                              <w:t>.</w:t>
                            </w:r>
                            <w:r>
                              <w:rPr>
                                <w:b/>
                                <w:sz w:val="20"/>
                                <w:szCs w:val="20"/>
                              </w:rPr>
                              <w:fldChar w:fldCharType="begin"/>
                            </w:r>
                            <w:r>
                              <w:rPr>
                                <w:b/>
                                <w:sz w:val="20"/>
                                <w:szCs w:val="20"/>
                              </w:rPr>
                              <w:instrText xml:space="preserve"> SEQ Figure \* ARABIC \s 1 </w:instrText>
                            </w:r>
                            <w:r>
                              <w:rPr>
                                <w:b/>
                                <w:sz w:val="20"/>
                                <w:szCs w:val="20"/>
                              </w:rPr>
                              <w:fldChar w:fldCharType="separate"/>
                            </w:r>
                            <w:r>
                              <w:rPr>
                                <w:b/>
                                <w:noProof/>
                                <w:sz w:val="20"/>
                                <w:szCs w:val="20"/>
                              </w:rPr>
                              <w:t>14</w:t>
                            </w:r>
                            <w:r>
                              <w:rPr>
                                <w:b/>
                                <w:sz w:val="20"/>
                                <w:szCs w:val="20"/>
                              </w:rPr>
                              <w:fldChar w:fldCharType="end"/>
                            </w:r>
                            <w:bookmarkEnd w:id="417"/>
                            <w:r w:rsidRPr="0087588C">
                              <w:rPr>
                                <w:b/>
                                <w:sz w:val="20"/>
                                <w:szCs w:val="20"/>
                              </w:rPr>
                              <w:t xml:space="preserve"> - Domain model state diagram of </w:t>
                            </w:r>
                            <w:r w:rsidRPr="0087588C">
                              <w:rPr>
                                <w:b/>
                                <w:i/>
                                <w:sz w:val="20"/>
                                <w:szCs w:val="20"/>
                              </w:rPr>
                              <w:t>Leishmania donovani</w:t>
                            </w:r>
                            <w:r w:rsidRPr="0087588C">
                              <w:rPr>
                                <w:b/>
                                <w:sz w:val="20"/>
                                <w:szCs w:val="20"/>
                              </w:rPr>
                              <w:t xml:space="preserve"> during </w:t>
                            </w:r>
                            <w:r>
                              <w:rPr>
                                <w:b/>
                                <w:sz w:val="20"/>
                                <w:szCs w:val="20"/>
                              </w:rPr>
                              <w:t>h</w:t>
                            </w:r>
                            <w:r w:rsidRPr="009A7602">
                              <w:rPr>
                                <w:b/>
                                <w:sz w:val="20"/>
                                <w:szCs w:val="20"/>
                              </w:rPr>
                              <w:t xml:space="preserve">epatic </w:t>
                            </w:r>
                            <w:r>
                              <w:rPr>
                                <w:b/>
                                <w:sz w:val="20"/>
                                <w:szCs w:val="20"/>
                              </w:rPr>
                              <w:t xml:space="preserve">infection with </w:t>
                            </w:r>
                            <w:r>
                              <w:rPr>
                                <w:b/>
                                <w:i/>
                                <w:sz w:val="20"/>
                                <w:szCs w:val="20"/>
                              </w:rPr>
                              <w:t>L. donovani</w:t>
                            </w:r>
                            <w:r w:rsidRPr="0087588C">
                              <w:rPr>
                                <w:b/>
                                <w:sz w:val="20"/>
                                <w:szCs w:val="20"/>
                              </w:rPr>
                              <w:t>.</w:t>
                            </w:r>
                            <w:r w:rsidRPr="0087588C">
                              <w:rPr>
                                <w:sz w:val="20"/>
                                <w:szCs w:val="20"/>
                              </w:rPr>
                              <w:t xml:space="preserve"> </w:t>
                            </w:r>
                            <w:r w:rsidRPr="003B2D5F">
                              <w:rPr>
                                <w:sz w:val="20"/>
                              </w:rPr>
                              <w:t>UML</w:t>
                            </w:r>
                            <w:r>
                              <w:rPr>
                                <w:sz w:val="20"/>
                              </w:rPr>
                              <w:t>-like</w:t>
                            </w:r>
                            <w:r w:rsidRPr="003B2D5F">
                              <w:rPr>
                                <w:sz w:val="20"/>
                              </w:rPr>
                              <w:t xml:space="preserve"> </w:t>
                            </w:r>
                            <w:r w:rsidRPr="0087588C">
                              <w:rPr>
                                <w:sz w:val="20"/>
                                <w:szCs w:val="20"/>
                              </w:rPr>
                              <w:t xml:space="preserve">state diagram describing the different states </w:t>
                            </w:r>
                            <w:r w:rsidRPr="0087588C">
                              <w:rPr>
                                <w:i/>
                                <w:sz w:val="20"/>
                                <w:szCs w:val="20"/>
                              </w:rPr>
                              <w:t>Leishmania donovani</w:t>
                            </w:r>
                            <w:r w:rsidRPr="0087588C">
                              <w:rPr>
                                <w:sz w:val="20"/>
                                <w:szCs w:val="20"/>
                              </w:rPr>
                              <w:t xml:space="preserve"> may exist in during EVL. </w:t>
                            </w:r>
                            <w:r w:rsidRPr="0087588C">
                              <w:rPr>
                                <w:i/>
                                <w:sz w:val="20"/>
                                <w:szCs w:val="20"/>
                              </w:rPr>
                              <w:t>L. donovani</w:t>
                            </w:r>
                            <w:r w:rsidRPr="0087588C">
                              <w:rPr>
                                <w:sz w:val="20"/>
                                <w:szCs w:val="20"/>
                              </w:rPr>
                              <w:t xml:space="preserve"> enters the system through injection and thus initially exists extracellularly transitioning to intracellular if it is uptaken by a host Kupffer or myeloid cell. Removal from the system occurs if </w:t>
                            </w:r>
                            <w:r w:rsidRPr="0087588C">
                              <w:rPr>
                                <w:i/>
                                <w:sz w:val="20"/>
                                <w:szCs w:val="20"/>
                              </w:rPr>
                              <w:t>L. donovani</w:t>
                            </w:r>
                            <w:r w:rsidRPr="0087588C">
                              <w:rPr>
                                <w:sz w:val="20"/>
                                <w:szCs w:val="20"/>
                              </w:rPr>
                              <w:t xml:space="preserve"> interacts with sufficient amounts of Anti-leishmanial compounds, such as reactive nitrogen species, to kill it.</w:t>
                            </w:r>
                            <w:bookmarkEnd w:id="418"/>
                            <w:bookmarkEnd w:id="419"/>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41CCE210" id="Text Box 493" o:spid="_x0000_s1114" type="#_x0000_t202" style="position:absolute;left:0;text-align:left;margin-left:-3.75pt;margin-top:240.45pt;width:394.75pt;height:104.25pt;z-index:2512373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bIT/FNgIAAG0EAAAOAAAAZHJzL2Uyb0RvYy54bWysVE1v2zAMvQ/YfxB0X5yPZUuNOEWWIsOA&#13;&#10;oi2QDD0rshwLkERNUmJnv36UbKddt9Owi0yRFKX3HunlbasVOQvnJZiCTkZjSoThUEpzLOj3/fbD&#13;&#10;ghIfmCmZAiMKehGe3q7ev1s2NhdTqEGVwhEsYnze2ILWIdg8yzyvhWZ+BFYYDFbgNAu4dcesdKzB&#13;&#10;6lpl0/H4U9aAK60DLrxH710XpKtUv6oED49V5UUgqqD4tpBWl9ZDXLPVkuVHx2wtef8M9g+v0Ewa&#13;&#10;vPRa6o4FRk5O/lFKS+7AQxVGHHQGVSW5SBgQzWT8Bs2uZlYkLEiOt1ea/P8ryx/OT47IsqAfb2aU&#13;&#10;GKZRpL1oA/kCLYk+ZKixPsfEncXU0GIAlR78Hp0ReFs5Hb8IiWAcub5c+Y3lODrn48lsNp1TwjE2&#13;&#10;mU1nN5/nsU72ctw6H74K0CQaBXUoYOKVne996FKHlHibByXLrVQqbmJgoxw5MxS7qWUQffHfspSJ&#13;&#10;uQbiqa5g9GQRY4clWqE9tImVxWIAeoDygvgddD3kLd9KvPCe+fDEHDYNQsZBCI+4VAqagkJvUVKD&#13;&#10;+/k3f8xHLTFKSYNNWFD/48ScoER9M6hy7NjBcINxGAxz0htAqBMcMcuTiQdcUINZOdDPOB/reAuG&#13;&#10;mOF4V0HDYG5CNwo4X1ys1ykJ+9KycG92lsfSA7H79pk528sSUNEHGNqT5W/U6XI7mtenAJVM0kVi&#13;&#10;OxZ7vrGnk/j9/MWheb1PWS9/idUvAAAA//8DAFBLAwQUAAYACAAAACEAuuC0veUAAAAPAQAADwAA&#13;&#10;AGRycy9kb3ducmV2LnhtbEyPQU/DMAyF70j8h8hIXNCWUo2t65pOsMINDhvTzl4T2orGqZp07f49&#13;&#10;5gQXS5af33tftp1sKy6m940jBY/zCISh0umGKgXHz7dZAsIHJI2tI6Pgajxs89ubDFPtRtqbyyFU&#13;&#10;gk3Ip6igDqFLpfRlbSz6uesM8e3L9RYDr30ldY8jm9tWxlG0lBYb4oQaO7OrTfl9GKyCZdEP4552&#13;&#10;D8Xx9R0/uio+vVxPSt3fTcWGx/MGRDBT+PuAXwbuDzkXO7uBtBetgtnqiZUKFkm0BsGCVRIz4Zkj&#13;&#10;kvUCZJ7J/xz5DwAAAP//AwBQSwECLQAUAAYACAAAACEAtoM4kv4AAADhAQAAEwAAAAAAAAAAAAAA&#13;&#10;AAAAAAAAW0NvbnRlbnRfVHlwZXNdLnhtbFBLAQItABQABgAIAAAAIQA4/SH/1gAAAJQBAAALAAAA&#13;&#10;AAAAAAAAAAAAAC8BAABfcmVscy8ucmVsc1BLAQItABQABgAIAAAAIQDbIT/FNgIAAG0EAAAOAAAA&#13;&#10;AAAAAAAAAAAAAC4CAABkcnMvZTJvRG9jLnhtbFBLAQItABQABgAIAAAAIQC64LS95QAAAA8BAAAP&#13;&#10;AAAAAAAAAAAAAAAAAJAEAABkcnMvZG93bnJldi54bWxQSwUGAAAAAAQABADzAAAAogUAAAAA&#13;&#10;" stroked="f">
                <v:textbox inset="0,0,0,0">
                  <w:txbxContent>
                    <w:p w14:paraId="50C3AF92" w14:textId="0E3FE62D" w:rsidR="00F61130" w:rsidRPr="0087588C" w:rsidRDefault="00F61130" w:rsidP="009A7895">
                      <w:pPr>
                        <w:pStyle w:val="Caption"/>
                        <w:spacing w:line="360" w:lineRule="auto"/>
                        <w:jc w:val="both"/>
                        <w:rPr>
                          <w:noProof/>
                          <w:sz w:val="20"/>
                          <w:szCs w:val="20"/>
                        </w:rPr>
                      </w:pPr>
                      <w:bookmarkStart w:id="420" w:name="_Ref518571622"/>
                      <w:bookmarkStart w:id="421" w:name="_Toc525227219"/>
                      <w:bookmarkStart w:id="422" w:name="_Toc536814158"/>
                      <w:r w:rsidRPr="0087588C">
                        <w:rPr>
                          <w:b/>
                          <w:sz w:val="20"/>
                          <w:szCs w:val="20"/>
                        </w:rPr>
                        <w:t xml:space="preserve">Figure </w:t>
                      </w:r>
                      <w:r>
                        <w:rPr>
                          <w:b/>
                          <w:sz w:val="20"/>
                          <w:szCs w:val="20"/>
                        </w:rPr>
                        <w:fldChar w:fldCharType="begin"/>
                      </w:r>
                      <w:r>
                        <w:rPr>
                          <w:b/>
                          <w:sz w:val="20"/>
                          <w:szCs w:val="20"/>
                        </w:rPr>
                        <w:instrText xml:space="preserve"> STYLEREF 1 \s </w:instrText>
                      </w:r>
                      <w:r>
                        <w:rPr>
                          <w:b/>
                          <w:sz w:val="20"/>
                          <w:szCs w:val="20"/>
                        </w:rPr>
                        <w:fldChar w:fldCharType="separate"/>
                      </w:r>
                      <w:r>
                        <w:rPr>
                          <w:b/>
                          <w:noProof/>
                          <w:sz w:val="20"/>
                          <w:szCs w:val="20"/>
                        </w:rPr>
                        <w:t>4</w:t>
                      </w:r>
                      <w:r>
                        <w:rPr>
                          <w:b/>
                          <w:sz w:val="20"/>
                          <w:szCs w:val="20"/>
                        </w:rPr>
                        <w:fldChar w:fldCharType="end"/>
                      </w:r>
                      <w:r>
                        <w:rPr>
                          <w:b/>
                          <w:sz w:val="20"/>
                          <w:szCs w:val="20"/>
                        </w:rPr>
                        <w:t>.</w:t>
                      </w:r>
                      <w:r>
                        <w:rPr>
                          <w:b/>
                          <w:sz w:val="20"/>
                          <w:szCs w:val="20"/>
                        </w:rPr>
                        <w:fldChar w:fldCharType="begin"/>
                      </w:r>
                      <w:r>
                        <w:rPr>
                          <w:b/>
                          <w:sz w:val="20"/>
                          <w:szCs w:val="20"/>
                        </w:rPr>
                        <w:instrText xml:space="preserve"> SEQ Figure \* ARABIC \s 1 </w:instrText>
                      </w:r>
                      <w:r>
                        <w:rPr>
                          <w:b/>
                          <w:sz w:val="20"/>
                          <w:szCs w:val="20"/>
                        </w:rPr>
                        <w:fldChar w:fldCharType="separate"/>
                      </w:r>
                      <w:r>
                        <w:rPr>
                          <w:b/>
                          <w:noProof/>
                          <w:sz w:val="20"/>
                          <w:szCs w:val="20"/>
                        </w:rPr>
                        <w:t>14</w:t>
                      </w:r>
                      <w:r>
                        <w:rPr>
                          <w:b/>
                          <w:sz w:val="20"/>
                          <w:szCs w:val="20"/>
                        </w:rPr>
                        <w:fldChar w:fldCharType="end"/>
                      </w:r>
                      <w:bookmarkEnd w:id="420"/>
                      <w:r w:rsidRPr="0087588C">
                        <w:rPr>
                          <w:b/>
                          <w:sz w:val="20"/>
                          <w:szCs w:val="20"/>
                        </w:rPr>
                        <w:t xml:space="preserve"> - Domain model state diagram of </w:t>
                      </w:r>
                      <w:r w:rsidRPr="0087588C">
                        <w:rPr>
                          <w:b/>
                          <w:i/>
                          <w:sz w:val="20"/>
                          <w:szCs w:val="20"/>
                        </w:rPr>
                        <w:t>Leishmania donovani</w:t>
                      </w:r>
                      <w:r w:rsidRPr="0087588C">
                        <w:rPr>
                          <w:b/>
                          <w:sz w:val="20"/>
                          <w:szCs w:val="20"/>
                        </w:rPr>
                        <w:t xml:space="preserve"> during </w:t>
                      </w:r>
                      <w:r>
                        <w:rPr>
                          <w:b/>
                          <w:sz w:val="20"/>
                          <w:szCs w:val="20"/>
                        </w:rPr>
                        <w:t>h</w:t>
                      </w:r>
                      <w:r w:rsidRPr="009A7602">
                        <w:rPr>
                          <w:b/>
                          <w:sz w:val="20"/>
                          <w:szCs w:val="20"/>
                        </w:rPr>
                        <w:t xml:space="preserve">epatic </w:t>
                      </w:r>
                      <w:r>
                        <w:rPr>
                          <w:b/>
                          <w:sz w:val="20"/>
                          <w:szCs w:val="20"/>
                        </w:rPr>
                        <w:t xml:space="preserve">infection with </w:t>
                      </w:r>
                      <w:r>
                        <w:rPr>
                          <w:b/>
                          <w:i/>
                          <w:sz w:val="20"/>
                          <w:szCs w:val="20"/>
                        </w:rPr>
                        <w:t>L. donovani</w:t>
                      </w:r>
                      <w:r w:rsidRPr="0087588C">
                        <w:rPr>
                          <w:b/>
                          <w:sz w:val="20"/>
                          <w:szCs w:val="20"/>
                        </w:rPr>
                        <w:t>.</w:t>
                      </w:r>
                      <w:r w:rsidRPr="0087588C">
                        <w:rPr>
                          <w:sz w:val="20"/>
                          <w:szCs w:val="20"/>
                        </w:rPr>
                        <w:t xml:space="preserve"> </w:t>
                      </w:r>
                      <w:r w:rsidRPr="003B2D5F">
                        <w:rPr>
                          <w:sz w:val="20"/>
                        </w:rPr>
                        <w:t>UML</w:t>
                      </w:r>
                      <w:r>
                        <w:rPr>
                          <w:sz w:val="20"/>
                        </w:rPr>
                        <w:t>-like</w:t>
                      </w:r>
                      <w:r w:rsidRPr="003B2D5F">
                        <w:rPr>
                          <w:sz w:val="20"/>
                        </w:rPr>
                        <w:t xml:space="preserve"> </w:t>
                      </w:r>
                      <w:r w:rsidRPr="0087588C">
                        <w:rPr>
                          <w:sz w:val="20"/>
                          <w:szCs w:val="20"/>
                        </w:rPr>
                        <w:t xml:space="preserve">state diagram describing the different states </w:t>
                      </w:r>
                      <w:r w:rsidRPr="0087588C">
                        <w:rPr>
                          <w:i/>
                          <w:sz w:val="20"/>
                          <w:szCs w:val="20"/>
                        </w:rPr>
                        <w:t>Leishmania donovani</w:t>
                      </w:r>
                      <w:r w:rsidRPr="0087588C">
                        <w:rPr>
                          <w:sz w:val="20"/>
                          <w:szCs w:val="20"/>
                        </w:rPr>
                        <w:t xml:space="preserve"> may exist in during EVL. </w:t>
                      </w:r>
                      <w:r w:rsidRPr="0087588C">
                        <w:rPr>
                          <w:i/>
                          <w:sz w:val="20"/>
                          <w:szCs w:val="20"/>
                        </w:rPr>
                        <w:t>L. donovani</w:t>
                      </w:r>
                      <w:r w:rsidRPr="0087588C">
                        <w:rPr>
                          <w:sz w:val="20"/>
                          <w:szCs w:val="20"/>
                        </w:rPr>
                        <w:t xml:space="preserve"> enters the system through injection and thus initially exists extracellularly transitioning to intracellular if it is uptaken by a host Kupffer or myeloid cell. Removal from the system occurs if </w:t>
                      </w:r>
                      <w:r w:rsidRPr="0087588C">
                        <w:rPr>
                          <w:i/>
                          <w:sz w:val="20"/>
                          <w:szCs w:val="20"/>
                        </w:rPr>
                        <w:t>L. donovani</w:t>
                      </w:r>
                      <w:r w:rsidRPr="0087588C">
                        <w:rPr>
                          <w:sz w:val="20"/>
                          <w:szCs w:val="20"/>
                        </w:rPr>
                        <w:t xml:space="preserve"> interacts with sufficient amounts of Anti-leishmanial compounds, such as reactive nitrogen species, to kill it.</w:t>
                      </w:r>
                      <w:bookmarkEnd w:id="421"/>
                      <w:bookmarkEnd w:id="422"/>
                    </w:p>
                  </w:txbxContent>
                </v:textbox>
                <w10:wrap type="topAndBottom"/>
              </v:shape>
            </w:pict>
          </mc:Fallback>
        </mc:AlternateContent>
      </w:r>
    </w:p>
    <w:p w14:paraId="06EED741" w14:textId="276F3FB7" w:rsidR="00406E0D" w:rsidRPr="008B3AD6" w:rsidRDefault="00D034D1" w:rsidP="009154C0">
      <w:pPr>
        <w:spacing w:line="360" w:lineRule="auto"/>
        <w:jc w:val="both"/>
      </w:pPr>
      <w:r w:rsidRPr="000B202A">
        <w:rPr>
          <w:b/>
        </w:rPr>
        <w:fldChar w:fldCharType="begin"/>
      </w:r>
      <w:r w:rsidRPr="000B202A">
        <w:rPr>
          <w:b/>
        </w:rPr>
        <w:instrText xml:space="preserve"> REF _Ref518571892  \* MERGEFORMAT </w:instrText>
      </w:r>
      <w:r w:rsidRPr="000B202A">
        <w:rPr>
          <w:b/>
        </w:rPr>
        <w:fldChar w:fldCharType="separate"/>
      </w:r>
      <w:r w:rsidR="00F30350" w:rsidRPr="00F30350">
        <w:rPr>
          <w:b/>
        </w:rPr>
        <w:t>Figure 4.15</w:t>
      </w:r>
      <w:r w:rsidRPr="000B202A">
        <w:rPr>
          <w:b/>
        </w:rPr>
        <w:fldChar w:fldCharType="end"/>
      </w:r>
      <w:r w:rsidR="00980A37" w:rsidRPr="008B3AD6">
        <w:t xml:space="preserve"> </w:t>
      </w:r>
      <w:r w:rsidR="00406E0D" w:rsidRPr="008B3AD6">
        <w:t xml:space="preserve">shows the domain activity diagram of </w:t>
      </w:r>
      <w:r w:rsidR="00027137">
        <w:t>KCs</w:t>
      </w:r>
      <w:r w:rsidR="00406E0D" w:rsidRPr="008B3AD6">
        <w:t xml:space="preserve"> during EVL, </w:t>
      </w:r>
      <w:r w:rsidR="00027137">
        <w:t>KCs</w:t>
      </w:r>
      <w:r w:rsidR="00027137" w:rsidRPr="008B3AD6">
        <w:t xml:space="preserve"> </w:t>
      </w:r>
      <w:r w:rsidR="00406E0D" w:rsidRPr="008B3AD6">
        <w:t>are liver-specific tissue macrophages that reside within hepatic sinusoids (</w:t>
      </w:r>
      <w:r w:rsidR="00406E0D" w:rsidRPr="008B3AD6">
        <w:rPr>
          <w:b/>
        </w:rPr>
        <w:t>KC1</w:t>
      </w:r>
      <w:r w:rsidR="00406E0D" w:rsidRPr="008B3AD6">
        <w:t>) in a patrolling state (</w:t>
      </w:r>
      <w:r w:rsidRPr="000B202A">
        <w:rPr>
          <w:b/>
        </w:rPr>
        <w:fldChar w:fldCharType="begin"/>
      </w:r>
      <w:r w:rsidRPr="000B202A">
        <w:rPr>
          <w:b/>
        </w:rPr>
        <w:instrText xml:space="preserve"> REF _Ref518571967  \* MERGEFORMAT </w:instrText>
      </w:r>
      <w:r w:rsidRPr="000B202A">
        <w:rPr>
          <w:b/>
        </w:rPr>
        <w:fldChar w:fldCharType="separate"/>
      </w:r>
      <w:r w:rsidR="00F30350" w:rsidRPr="00F30350">
        <w:rPr>
          <w:b/>
        </w:rPr>
        <w:t xml:space="preserve">Figure </w:t>
      </w:r>
      <w:r w:rsidR="00F30350" w:rsidRPr="00F30350">
        <w:rPr>
          <w:b/>
          <w:noProof/>
        </w:rPr>
        <w:t>4.16</w:t>
      </w:r>
      <w:r w:rsidRPr="000B202A">
        <w:rPr>
          <w:b/>
          <w:noProof/>
        </w:rPr>
        <w:fldChar w:fldCharType="end"/>
      </w:r>
      <w:r w:rsidR="00406E0D" w:rsidRPr="008B3AD6">
        <w:t xml:space="preserve">), introduction of </w:t>
      </w:r>
      <w:r w:rsidR="00406E0D" w:rsidRPr="008B3AD6">
        <w:rPr>
          <w:i/>
        </w:rPr>
        <w:t>L. donovani</w:t>
      </w:r>
      <w:r w:rsidR="00406E0D" w:rsidRPr="008B3AD6">
        <w:t xml:space="preserve"> into the system results in parasite phagocytosis by these </w:t>
      </w:r>
      <w:r w:rsidR="00027137">
        <w:t>KCs</w:t>
      </w:r>
      <w:r w:rsidR="00027137" w:rsidRPr="008B3AD6">
        <w:t xml:space="preserve"> </w:t>
      </w:r>
      <w:r w:rsidR="00406E0D" w:rsidRPr="008B3AD6">
        <w:t>(</w:t>
      </w:r>
      <w:r w:rsidR="00406E0D" w:rsidRPr="008B3AD6">
        <w:rPr>
          <w:b/>
        </w:rPr>
        <w:t>KC3</w:t>
      </w:r>
      <w:r w:rsidR="00406E0D" w:rsidRPr="008B3AD6">
        <w:t>) (</w:t>
      </w:r>
      <w:r w:rsidR="000B516D" w:rsidRPr="008B3AD6">
        <w:t>Beattie et al., 2011</w:t>
      </w:r>
      <w:r w:rsidR="00406E0D" w:rsidRPr="008B3AD6">
        <w:t xml:space="preserve">) and the </w:t>
      </w:r>
      <w:r w:rsidR="00027137">
        <w:t>KCs</w:t>
      </w:r>
      <w:r w:rsidR="00027137" w:rsidRPr="008B3AD6">
        <w:t xml:space="preserve"> </w:t>
      </w:r>
      <w:r w:rsidR="00406E0D" w:rsidRPr="008B3AD6">
        <w:t>becomes infected</w:t>
      </w:r>
      <w:r w:rsidR="00980A37" w:rsidRPr="008B3AD6">
        <w:t xml:space="preserve"> </w:t>
      </w:r>
      <w:r w:rsidR="00406E0D" w:rsidRPr="008B3AD6">
        <w:fldChar w:fldCharType="begin"/>
      </w:r>
      <w:r w:rsidR="00812605" w:rsidRPr="008B3AD6">
        <w:instrText xml:space="preserve"> ADDIN ZOTERO_ITEM CSL_CITATION {"citationID":"stk1UdeI","properties":{"formattedCitation":"(Stanley and Engwerda 2006)","plainCitation":"(Stanley and Engwerda 2006)","noteIndex":0},"citationItems":[{"id":172,"uris":["http://zotero.org/users/2628971/items/ICJ2M52F"],"uri":["http://zotero.org/users/2628971/items/ICJ2M52F"],"itemData":{"id":172,"type":"article-journal","title":"Balancing immunity and pathology in visceral leishmaniasis","container-title":"Immunology and Cell Biology","page":"138-147","volume":"85","issue":"2","source":"www.nature.com","abstract":"Experimental visceral leishmaniasis (VL) caused by infection with Leishmania donovani results in the development of organ-specific immunity in the two main target tissues of infection, the spleen and the liver. The liver is the site of an acute resolving infection associated with the development of inflammatory granulomas around infected Kupffer cells, and resistance to reinfection. Paradoxically, the spleen is an initial site for the generation of cell-mediated immune responses, but ultimately becomes a site of parasite persistence with associated immunopathological changes. These include splenomegaly and a breakdown in tissue architecture that is postulated to contribute to the immunocompromized status of the host. The progressive development of splenic pathology is largely associated with high levels of TNF and interleukin (IL)-10. Follicular dendritic cell (DC) networks are lost, whereas TNF mediates the destruction of marginal zone macrophages and gp38+ stromal cells, and IL-10 promotes impaired DC migration into T-cell areas with consequent ineffective T-cell priming. Splenic stromal cell function is also altered, promoting the selective development of IL-10-producing DC with immunoregulatory properties. Ultimately, a fine immunological balance determines responses that effectively promote parasite clearance in the liver and those that promote pathology in the spleen, and future investigation aims to separate these responses to offer further means of parasite control in chronically infected VL patients.","DOI":"10.1038/sj.icb7100011","ISSN":"0818-9641","journalAbbreviation":"Immunol Cell Biol","language":"en","author":[{"family":"Stanley","given":"Amanda C."},{"family":"Engwerda","given":"Christian R."}],"issued":{"date-parts":[["2006",12,5]]}}}],"schema":"https://github.com/citation-style-language/schema/raw/master/csl-citation.json"} </w:instrText>
      </w:r>
      <w:r w:rsidR="00406E0D" w:rsidRPr="008B3AD6">
        <w:fldChar w:fldCharType="separate"/>
      </w:r>
      <w:r w:rsidR="00406E0D" w:rsidRPr="008B3AD6">
        <w:t>(Stanley and Engwerda 2006)</w:t>
      </w:r>
      <w:r w:rsidR="00406E0D" w:rsidRPr="008B3AD6">
        <w:fldChar w:fldCharType="end"/>
      </w:r>
      <w:r w:rsidR="00406E0D" w:rsidRPr="008B3AD6">
        <w:t xml:space="preserve">. </w:t>
      </w:r>
    </w:p>
    <w:p w14:paraId="13C4923C" w14:textId="5FC796ED" w:rsidR="00406E0D" w:rsidRPr="008B3AD6" w:rsidRDefault="00406E0D" w:rsidP="009154C0">
      <w:pPr>
        <w:spacing w:line="360" w:lineRule="auto"/>
        <w:jc w:val="both"/>
      </w:pPr>
    </w:p>
    <w:p w14:paraId="24BC4028" w14:textId="7FD5D472" w:rsidR="000C331D" w:rsidRPr="008B3AD6" w:rsidRDefault="000C331D" w:rsidP="009154C0">
      <w:pPr>
        <w:spacing w:line="360" w:lineRule="auto"/>
        <w:jc w:val="both"/>
      </w:pPr>
      <w:r w:rsidRPr="008B3AD6">
        <w:t xml:space="preserve">Naïve </w:t>
      </w:r>
      <w:r w:rsidR="00027137">
        <w:t>KCs</w:t>
      </w:r>
      <w:r w:rsidR="00027137" w:rsidRPr="008B3AD6">
        <w:t xml:space="preserve"> </w:t>
      </w:r>
      <w:r w:rsidRPr="008B3AD6">
        <w:t>may detect either pro-inflammatory cytokines (</w:t>
      </w:r>
      <w:r w:rsidRPr="008B3AD6">
        <w:rPr>
          <w:b/>
        </w:rPr>
        <w:t>KC10</w:t>
      </w:r>
      <w:r w:rsidRPr="008B3AD6">
        <w:t xml:space="preserve">), switching the </w:t>
      </w:r>
      <w:r w:rsidR="00027137">
        <w:t>KCs</w:t>
      </w:r>
      <w:r w:rsidRPr="008B3AD6">
        <w:t xml:space="preserve"> to a pro-inflammatory phenotype (</w:t>
      </w:r>
      <w:r w:rsidR="00D034D1" w:rsidRPr="000B202A">
        <w:rPr>
          <w:b/>
        </w:rPr>
        <w:fldChar w:fldCharType="begin"/>
      </w:r>
      <w:r w:rsidR="00D034D1" w:rsidRPr="000B202A">
        <w:rPr>
          <w:b/>
        </w:rPr>
        <w:instrText xml:space="preserve"> REF _Ref518571967  \* MERGEFORMAT </w:instrText>
      </w:r>
      <w:r w:rsidR="00D034D1" w:rsidRPr="000B202A">
        <w:rPr>
          <w:b/>
        </w:rPr>
        <w:fldChar w:fldCharType="separate"/>
      </w:r>
      <w:r w:rsidR="001366E3" w:rsidRPr="00B23FF8">
        <w:rPr>
          <w:b/>
        </w:rPr>
        <w:t>Figure 4.16</w:t>
      </w:r>
      <w:r w:rsidR="00D034D1" w:rsidRPr="000B202A">
        <w:rPr>
          <w:b/>
        </w:rPr>
        <w:fldChar w:fldCharType="end"/>
      </w:r>
      <w:r w:rsidRPr="000B202A">
        <w:t>)</w:t>
      </w:r>
      <w:r w:rsidRPr="008B3AD6">
        <w:t xml:space="preserve"> whereby they respond by producing anti-leishmanial compounds and recruitment factors (</w:t>
      </w:r>
      <w:r w:rsidRPr="008B3AD6">
        <w:rPr>
          <w:b/>
        </w:rPr>
        <w:t>KC11</w:t>
      </w:r>
      <w:r w:rsidRPr="008B3AD6">
        <w:t xml:space="preserve">). Alternatively, the </w:t>
      </w:r>
      <w:r w:rsidR="00027137">
        <w:t>KCs</w:t>
      </w:r>
      <w:r w:rsidR="00027137" w:rsidRPr="008B3AD6">
        <w:t xml:space="preserve"> </w:t>
      </w:r>
      <w:r w:rsidRPr="008B3AD6">
        <w:t>may detect anti-inflammatory cytokines (</w:t>
      </w:r>
      <w:r w:rsidRPr="008B3AD6">
        <w:rPr>
          <w:b/>
        </w:rPr>
        <w:t>KC13</w:t>
      </w:r>
      <w:r w:rsidRPr="008B3AD6">
        <w:t>), shifting it to an anti-inflammatory phenotype (</w:t>
      </w:r>
      <w:r w:rsidR="00D034D1" w:rsidRPr="000B202A">
        <w:rPr>
          <w:b/>
        </w:rPr>
        <w:fldChar w:fldCharType="begin"/>
      </w:r>
      <w:r w:rsidR="00D034D1" w:rsidRPr="000B202A">
        <w:rPr>
          <w:b/>
        </w:rPr>
        <w:instrText xml:space="preserve"> REF _Ref518571967  \* MERGEFORMAT </w:instrText>
      </w:r>
      <w:r w:rsidR="00D034D1" w:rsidRPr="000B202A">
        <w:rPr>
          <w:b/>
        </w:rPr>
        <w:fldChar w:fldCharType="separate"/>
      </w:r>
      <w:r w:rsidR="001366E3" w:rsidRPr="00B23FF8">
        <w:rPr>
          <w:b/>
        </w:rPr>
        <w:t>Figure 4.16</w:t>
      </w:r>
      <w:r w:rsidR="00D034D1" w:rsidRPr="000B202A">
        <w:rPr>
          <w:b/>
        </w:rPr>
        <w:fldChar w:fldCharType="end"/>
      </w:r>
      <w:r w:rsidRPr="00B23FF8">
        <w:t>)</w:t>
      </w:r>
      <w:r w:rsidRPr="008B3AD6">
        <w:t>, which induces anti-inflammatory cytokine production (</w:t>
      </w:r>
      <w:r w:rsidRPr="008B3AD6">
        <w:rPr>
          <w:b/>
        </w:rPr>
        <w:t>KC13</w:t>
      </w:r>
      <w:r w:rsidRPr="008B3AD6">
        <w:t xml:space="preserve">) </w:t>
      </w:r>
      <w:r w:rsidRPr="008B3AD6">
        <w:fldChar w:fldCharType="begin"/>
      </w:r>
      <w:r w:rsidR="00812605" w:rsidRPr="008B3AD6">
        <w:instrText xml:space="preserve"> ADDIN ZOTERO_ITEM CSL_CITATION {"citationID":"YXmH6Z9a","properties":{"formattedCitation":"(Kumar and Nyl\\uc0\\u233{}n 2012; Zhang et al. 2013)","plainCitation":"(Kumar and Nylén 2012; Zhang et al. 2013)","noteIndex":0},"citationItems":[{"id":2577,"uris":["http://zotero.org/users/2628971/items/EY6QPKCJ"],"uri":["http://zotero.org/users/2628971/items/EY6QPKCJ"],"itemData":{"id":2577,"type":"article-journal","title":"Immunobiology of visceral leishmaniasis","container-title":"Frontiers in Immunology","page":"251","volume":"3","source":"PubMed","abstract":"Visceral leishmaniasis (VL), commonly known as kala-azar, is caused by Leishmania donovani and Leishmania infantum (Leishmania chagasi in the Americas). These Leishmania species infect macrophages throughout the viscera, and parasites are typically found in the spleen, liver, and bone marrow. Patients with active disease typically exhibit marked immunosuppression, lack reactivity to the Leishmania skin test (LST), a delayed type hypersensitivity test, and their peripheral blood mononuclear cells (PBMC) fail to respond when stimulated with leishmanial antigens in vitro. However, most people infected with visceralizing species of Leishmania never develop disease. Understanding immune failure and the underlying immune mechanism that lead to disease as well as control of infection are key questions for research in this field. In this review, we discuss immunological events described in human and experimental VL and how these can affect the outcome of infection.","DOI":"10.3389/fimmu.2012.00251","ISSN":"1664-3224","note":"PMID: 22912637\nPMCID: PMC3418610","journalAbbreviation":"Front Immunol","language":"eng","author":[{"family":"Kumar","given":"Rajiv"},{"family":"Nylén","given":"Susanne"}],"issued":{"date-parts":[["2012"]]}}},{"id":2546,"uris":["http://zotero.org/users/2628971/items/2QPH78Y8"],"uri":["http://zotero.org/users/2628971/items/2QPH78Y8"],"itemData":{"id":2546,"type":"article-journal","title":"ROS play a critical role in the differentiation of alternatively activated macrophages and the occurrence of tumor-associated macrophages","container-title":"Cell Research","page":"898-914","volume":"23","issue":"7","source":"PubMed Central","abstract":"Differentiation to different types of macrophages determines their distinct functions. Tumor-associated macrophages (TAMs) promote tumorigenesis owing to their proangiogenic and immune-suppressive functions similar to those of alternatively activated (M2) macrophages. We report that reactive oxygen species (ROS) production is critical for macrophage differentiation and that inhibition of superoxide (O2−) production specifically blocks the differentiation of M2 macrophages. We found that when monocytes are triggered to differentiate, O2− is generated and is needed for the biphasic ERK activation, which is critical for macrophage differentiation. We demonstrated that ROS elimination by butylated hydroxyanisole (BHA) and other ROS inhibitors blocks macrophage differentiation. However, the inhibitory effect of ROS elimination on macrophage differentiation is overcome when cells are polarized to classically activated (M1), but not M2, macrophages. More importantly, the continuous administration of the ROS inhibitor BHA efficiently blocked the occurrence of TAMs and markedly suppressed tumorigenesis in mouse cancer models. Targeting TAMs by blocking ROS can be a potentially effective method for cancer treatment.","DOI":"10.1038/cr.2013.75","ISSN":"1001-0602","note":"PMID: 23752925\nPMCID: PMC3698641","journalAbbreviation":"Cell Res","author":[{"family":"Zhang","given":"Yan"},{"family":"Choksi","given":"Swati"},{"family":"Chen","given":"Kun"},{"family":"Pobezinskaya","given":"Yelena"},{"family":"Linnoila","given":"Ilona"},{"family":"Liu","given":"Zheng-Gang"}],"issued":{"date-parts":[["2013",7]]}}}],"schema":"https://github.com/citation-style-language/schema/raw/master/csl-citation.json"} </w:instrText>
      </w:r>
      <w:r w:rsidRPr="008B3AD6">
        <w:fldChar w:fldCharType="separate"/>
      </w:r>
      <w:r w:rsidRPr="008B3AD6">
        <w:t>(Kumar and Nylén 2012; Zhang et al. 2013)</w:t>
      </w:r>
      <w:r w:rsidRPr="008B3AD6">
        <w:fldChar w:fldCharType="end"/>
      </w:r>
      <w:r w:rsidRPr="008B3AD6">
        <w:t xml:space="preserve">. Insufficiency of cytokines, either pro- or anti-inflammatory, returns the </w:t>
      </w:r>
      <w:r w:rsidR="00027137">
        <w:t>KCs</w:t>
      </w:r>
      <w:r w:rsidR="00027137" w:rsidRPr="008B3AD6">
        <w:t xml:space="preserve"> </w:t>
      </w:r>
      <w:r w:rsidRPr="008B3AD6">
        <w:t xml:space="preserve">to basal state, where the </w:t>
      </w:r>
      <w:r w:rsidR="00027137">
        <w:t>KCs</w:t>
      </w:r>
      <w:r w:rsidR="00027137" w:rsidRPr="008B3AD6">
        <w:t xml:space="preserve"> </w:t>
      </w:r>
      <w:r w:rsidRPr="008B3AD6">
        <w:t>may proliferate (</w:t>
      </w:r>
      <w:r w:rsidRPr="008B3AD6">
        <w:rPr>
          <w:b/>
        </w:rPr>
        <w:t>KC2</w:t>
      </w:r>
      <w:r w:rsidRPr="008B3AD6">
        <w:t xml:space="preserve">) </w:t>
      </w:r>
      <w:r w:rsidRPr="008B3AD6">
        <w:fldChar w:fldCharType="begin"/>
      </w:r>
      <w:r w:rsidR="00812605" w:rsidRPr="008B3AD6">
        <w:instrText xml:space="preserve"> ADDIN ZOTERO_ITEM CSL_CITATION {"citationID":"46JtJaXa","properties":{"formattedCitation":"(Wynn et al. 2001; Scott et al. 2016)","plainCitation":"(Wynn et al. 2001; Scott et al. 2016)","noteIndex":0},"citationItems":[{"id":2778,"uris":["http://zotero.org/users/2628971/items/YDRRZFQU"],"uri":["http://zotero.org/users/2628971/items/YDRRZFQU"],"itemData":{"id":2778,"type":"article-journal","title":"Role of granulocyte/macrophage colony-stimulating factor in zymocel-induced hepatic granuloma formation","container-title":"The American Journal of Pathology","page":"131-145","volume":"158","issue":"1","source":"PubMed","abstract":"To examine the role of granulocyte/macrophage colony-stimulating factor (GM-CSF) in inflammatory granuloma formation, we injected GM-CSF-deficient (GM-CSF(-/-)) mice and wild-type (GM-CSF(+/+)) mice intravenously with 2 mg of zymocel, and mice were killed at various intervals for examination. In GM-CSF(-/-) mice, we demonstrated a marked delay of zymocel-induced hepatic granuloma formation until 5 days after zymocel injection with a rapid reduction in numbers of granulomas at 10 days until their disappearance. In the early phase of granuloma formation, monocyte infiltration and differentiation of monocytes into macrophages were impaired in GM-CSF(-/-) mice compared with GM-CSF(+/+) mice. The percentages of [(3)H]thymidine-labeled macrophages at 2 days after zymocel injection were lower in the GM-CSF(-/-) mice than in the GM-CSF(+/+) mice. The DNA nick-end-labeling method demonstrated increased numbers of apoptotic cells in and around hepatic granulomas of GM-CSF(-/-) mice from 8 days after zymocel injection, and electron microscopy detected apoptotic bodies. Granuloma macrophage digestion of glucan particles and activation of macrophages were similar in the two types of mice. In situ hybridization demonstrated expression of GM-CSF mRNA in the endothelial cells, hepatocytes, and some granuloma cells in the GM-CSF(+/+) mice but not in the GM-CSF(-/-) mice. These results provide evidence that GM-CSF is important for the influx of monocytes into hepatic granulomas, for differentiation of monocytes into macrophages, and for proliferation and survival of macrophages within hepatic granulomas.","DOI":"10.1016/S0002-9440(10)63951-X","ISSN":"0002-9440","note":"PMID: 11141486\nPMCID: PMC1850246","journalAbbreviation":"Am. J. Pathol.","language":"eng","author":[{"family":"Wynn","given":"A. A."},{"family":"Miyakawa","given":"K."},{"family":"Miyata","given":"E."},{"family":"Dranoff","given":"G."},{"family":"Takeya","given":"M."},{"family":"Takahashi","given":"K."}],"issued":{"date-parts":[["2001",1]]}}},{"id":2749,"uris":["http://zotero.org/users/2628971/items/6E5TQYYY"],"uri":["http://zotero.org/users/2628971/items/6E5TQYYY"],"itemData":{"id":2749,"type":"article-journal","title":"Bone marrow-derived monocytes give rise to self-renewing and fully differentiated Kupffer cells","container-title":"Nature Communications","page":"10321","volume":"7","source":"PubMed","abstract":"Self-renewing tissue-resident macrophages are thought to be exclusively derived from embryonic progenitors. However, whether circulating monocytes can also give rise to such macrophages has not been formally investigated. Here we use a new model of diphtheria toxin-mediated depletion of liver-resident Kupffer cells to generate niche availability and show that circulating monocytes engraft in the liver, gradually adopt the transcriptional profile of their depleted counterparts and become long-lived self-renewing cells. Underlining the physiological relevance of our findings, circulating monocytes also contribute to the expanding pool of macrophages in the liver shortly after birth, when macrophage niches become available during normal organ growth. Thus, like embryonic precursors, monocytes can and do give rise to self-renewing tissue-resident macrophages if the niche is available to them.","DOI":"10.1038/ncomms10321","ISSN":"2041-1723","note":"PMID: 26813785\nPMCID: PMC4737801","journalAbbreviation":"Nat Commun","language":"eng","author":[{"family":"Scott","given":"Charlotte L."},{"family":"Zheng","given":"Fang"},{"family":"De Baetselier","given":"Patrick"},{"family":"Martens","given":"Liesbet"},{"family":"Saeys","given":"Yvan"},{"family":"De Prijck","given":"Sofie"},{"family":"Lippens","given":"Saskia"},{"family":"Abels","given":"Chloé"},{"family":"Schoonooghe","given":"Steve"},{"family":"Raes","given":"Geert"},{"family":"Devoogdt","given":"Nick"},{"family":"Lambrecht","given":"Bart N."},{"family":"Beschin","given":"Alain"},{"family":"Guilliams","given":"Martin"}],"issued":{"date-parts":[["2016",1,27]]}}}],"schema":"https://github.com/citation-style-language/schema/raw/master/csl-citation.json"} </w:instrText>
      </w:r>
      <w:r w:rsidRPr="008B3AD6">
        <w:fldChar w:fldCharType="separate"/>
      </w:r>
      <w:r w:rsidRPr="008B3AD6">
        <w:t>(Wynn et al. 2001; Scott et al. 2016)</w:t>
      </w:r>
      <w:r w:rsidRPr="008B3AD6">
        <w:fldChar w:fldCharType="end"/>
      </w:r>
      <w:r w:rsidRPr="008B3AD6">
        <w:t>.</w:t>
      </w:r>
    </w:p>
    <w:p w14:paraId="64F5FA52" w14:textId="77777777" w:rsidR="000C331D" w:rsidRPr="008B3AD6" w:rsidRDefault="000C331D" w:rsidP="009154C0">
      <w:pPr>
        <w:spacing w:line="360" w:lineRule="auto"/>
        <w:jc w:val="both"/>
      </w:pPr>
    </w:p>
    <w:p w14:paraId="512833FB" w14:textId="49441C50" w:rsidR="000C331D" w:rsidRPr="008B3AD6" w:rsidRDefault="000C331D" w:rsidP="009154C0">
      <w:pPr>
        <w:spacing w:line="360" w:lineRule="auto"/>
        <w:jc w:val="both"/>
      </w:pPr>
      <w:r w:rsidRPr="008B3AD6">
        <w:t xml:space="preserve">Infected </w:t>
      </w:r>
      <w:r w:rsidR="00027137">
        <w:t>KCs</w:t>
      </w:r>
      <w:r w:rsidR="00027137" w:rsidRPr="008B3AD6">
        <w:t xml:space="preserve"> </w:t>
      </w:r>
      <w:r w:rsidRPr="008B3AD6">
        <w:t>share these behaviours (</w:t>
      </w:r>
      <w:r w:rsidRPr="008B3AD6">
        <w:rPr>
          <w:b/>
        </w:rPr>
        <w:t>KC4, KC5, KC9, KC7</w:t>
      </w:r>
      <w:r w:rsidRPr="008B3AD6">
        <w:t>) and state changes (</w:t>
      </w:r>
      <w:r w:rsidR="00D034D1" w:rsidRPr="000B202A">
        <w:rPr>
          <w:b/>
        </w:rPr>
        <w:fldChar w:fldCharType="begin"/>
      </w:r>
      <w:r w:rsidR="00D034D1" w:rsidRPr="000B202A">
        <w:rPr>
          <w:b/>
        </w:rPr>
        <w:instrText xml:space="preserve"> REF _Ref518571967  \* MERGEFORMAT </w:instrText>
      </w:r>
      <w:r w:rsidR="00D034D1" w:rsidRPr="000B202A">
        <w:rPr>
          <w:b/>
        </w:rPr>
        <w:fldChar w:fldCharType="separate"/>
      </w:r>
      <w:r w:rsidR="001366E3" w:rsidRPr="00B23FF8">
        <w:rPr>
          <w:b/>
        </w:rPr>
        <w:t>Figure 4.16</w:t>
      </w:r>
      <w:r w:rsidR="00D034D1" w:rsidRPr="000B202A">
        <w:rPr>
          <w:b/>
        </w:rPr>
        <w:fldChar w:fldCharType="end"/>
      </w:r>
      <w:r w:rsidRPr="008B3AD6">
        <w:t xml:space="preserve">), they also have additional interactions within the system. Infected </w:t>
      </w:r>
      <w:r w:rsidR="00027137">
        <w:t>KCs</w:t>
      </w:r>
      <w:r w:rsidR="00027137" w:rsidRPr="008B3AD6">
        <w:t xml:space="preserve"> </w:t>
      </w:r>
      <w:r w:rsidRPr="008B3AD6">
        <w:t xml:space="preserve">are still </w:t>
      </w:r>
      <w:r w:rsidRPr="008B3AD6">
        <w:lastRenderedPageBreak/>
        <w:t>vulnerable to T cell mediated lysis (</w:t>
      </w:r>
      <w:r w:rsidRPr="008B3AD6">
        <w:rPr>
          <w:b/>
        </w:rPr>
        <w:t>TC7</w:t>
      </w:r>
      <w:r w:rsidRPr="008B3AD6">
        <w:t xml:space="preserve">) </w:t>
      </w:r>
      <w:r w:rsidRPr="008B3AD6">
        <w:fldChar w:fldCharType="begin"/>
      </w:r>
      <w:r w:rsidR="00812605" w:rsidRPr="008B3AD6">
        <w:instrText xml:space="preserve"> ADDIN ZOTERO_ITEM CSL_CITATION {"citationID":"F5Q2vEg4","properties":{"formattedCitation":"(St\\uc0\\u228{}ger and Rafati 2012)","plainCitation":"(Stäger and Rafati 2012)","noteIndex":0},"citationItems":[{"id":2765,"uris":["http://zotero.org/users/2628971/items/PQBRJN3G"],"uri":["http://zotero.org/users/2628971/items/PQBRJN3G"],"itemData":{"id":2765,"type":"article-journal","title":"CD8(+) T cells in leishmania infections: friends or foes?","container-title":"Frontiers in Immunology","page":"5","volume":"3","source":"PubMed","abstract":"Host protection against several intracellular pathogens requires the induction of CD8(+) T cell responses. CD8(+) T cells are potent effector cells that can produce high amounts of pro-inflammatory cytokines and kill infected target cells efficiently. However, a protective role for CD8(+) T cells during Leishmania infections is still controversial and largely depends on the infection model. In this review, we discuss the role of CD8(+) T cells during various types of Leishmania infections, following vaccination, and as potential immunotherapeutic targets.","DOI":"10.3389/fimmu.2012.00005","ISSN":"1664-3224","note":"PMID: 22566891\nPMCID: PMC3342007","shortTitle":"CD8(+) T cells in leishmania infections","journalAbbreviation":"Front Immunol","language":"eng","author":[{"family":"Stäger","given":"Simona"},{"family":"Rafati","given":"Sima"}],"issued":{"date-parts":[["2012"]]}}}],"schema":"https://github.com/citation-style-language/schema/raw/master/csl-citation.json"} </w:instrText>
      </w:r>
      <w:r w:rsidRPr="008B3AD6">
        <w:fldChar w:fldCharType="separate"/>
      </w:r>
      <w:r w:rsidRPr="008B3AD6">
        <w:t>(Stäger and Rafati 2012)</w:t>
      </w:r>
      <w:r w:rsidRPr="008B3AD6">
        <w:fldChar w:fldCharType="end"/>
      </w:r>
      <w:r w:rsidRPr="008B3AD6">
        <w:t xml:space="preserve"> however if this does not occur and their parasitic burden persists to capacity they may burst (</w:t>
      </w:r>
      <w:r w:rsidRPr="008B3AD6">
        <w:rPr>
          <w:b/>
        </w:rPr>
        <w:t>KC6</w:t>
      </w:r>
      <w:r w:rsidRPr="008B3AD6">
        <w:t xml:space="preserve">) </w:t>
      </w:r>
      <w:r w:rsidRPr="008B3AD6">
        <w:fldChar w:fldCharType="begin"/>
      </w:r>
      <w:r w:rsidR="00812605" w:rsidRPr="008B3AD6">
        <w:instrText xml:space="preserve"> ADDIN ZOTERO_ITEM CSL_CITATION {"citationID":"A487LLWo","properties":{"formattedCitation":"(Siewe et al. 2016)","plainCitation":"(Siewe et al. 2016)","noteIndex":0},"citationItems":[{"id":2578,"uris":["http://zotero.org/users/2628971/items/GKTD3VPK"],"uri":["http://zotero.org/users/2628971/items/GKTD3VPK"],"itemData":{"id":2578,"type":"article-journal","title":"Immune response to infection by Leishmania: A mathematical model","container-title":"Mathematical Biosciences","page":"28-43","volume":"276","source":"PubMed","abstract":"Leishmaniasis is a disease caused by the Leishmania parasites. The injection of the parasites into the host occurs when a sand fly, which is the vector, bites the skin of the host. The parasites, which are obligate, take advantage of the immune system response and invade both the classically activated macrophages (M1) and the alternatively activated macrophages (M2). In this paper, we develop a mathematical model to explain the evolution of the disease. Simulations of the model show that, M2 macrophages steadily increase and M1 macrophages steadily decrease, while M1+M2 reach a steady state which is approximately the same as at healthy state of the host. Furthermore, the ratio of Leishmania parasites to macrophages depends homogeneously on their ratio at the time of the initial infection, in agreement with in vitro experimental data. The model is used to simulate treatment by existing or potential new drugs, and to compare the efficacy of different schedules of drug delivery.","DOI":"10.1016/j.mbs.2016.02.015","ISSN":"1879-3134","note":"PMID: 26987853","shortTitle":"Immune response to infection by Leishmania","journalAbbreviation":"Math Biosci","language":"eng","author":[{"family":"Siewe","given":"Nourridine"},{"family":"Yakubu","given":"Abdul-Aziz"},{"family":"Satoskar","given":"Abhay R."},{"family":"Friedman","given":"Avner"}],"issued":{"date-parts":[["2016"]]}}}],"schema":"https://github.com/citation-style-language/schema/raw/master/csl-citation.json"} </w:instrText>
      </w:r>
      <w:r w:rsidRPr="008B3AD6">
        <w:fldChar w:fldCharType="separate"/>
      </w:r>
      <w:r w:rsidRPr="008B3AD6">
        <w:t>(Siewe et al. 2016)</w:t>
      </w:r>
      <w:r w:rsidRPr="008B3AD6">
        <w:fldChar w:fldCharType="end"/>
      </w:r>
      <w:r w:rsidRPr="008B3AD6">
        <w:t xml:space="preserve">, both of which facilitate the removal of infected </w:t>
      </w:r>
      <w:r w:rsidR="00027137">
        <w:t>KCs</w:t>
      </w:r>
      <w:r w:rsidR="00027137" w:rsidRPr="008B3AD6">
        <w:t xml:space="preserve"> </w:t>
      </w:r>
      <w:r w:rsidRPr="008B3AD6">
        <w:t xml:space="preserve">from the system. The infected </w:t>
      </w:r>
      <w:r w:rsidR="00027137">
        <w:t>KC</w:t>
      </w:r>
      <w:r w:rsidR="00027137" w:rsidRPr="008B3AD6">
        <w:t xml:space="preserve"> </w:t>
      </w:r>
      <w:r w:rsidRPr="008B3AD6">
        <w:t>may produce enough anti-leishmanial compounds to clear the infection allowing it to present parasite antigen (</w:t>
      </w:r>
      <w:r w:rsidRPr="008B3AD6">
        <w:rPr>
          <w:b/>
        </w:rPr>
        <w:t>KC8</w:t>
      </w:r>
      <w:r w:rsidRPr="008B3AD6">
        <w:t xml:space="preserve">), but if this is insufficient the intracellular </w:t>
      </w:r>
      <w:r w:rsidRPr="008B3AD6">
        <w:rPr>
          <w:i/>
        </w:rPr>
        <w:t>L. donovani</w:t>
      </w:r>
      <w:r w:rsidRPr="008B3AD6">
        <w:t xml:space="preserve"> may induce the host </w:t>
      </w:r>
      <w:r w:rsidR="00027137">
        <w:t>KC t</w:t>
      </w:r>
      <w:r w:rsidRPr="008B3AD6">
        <w:t xml:space="preserve">o become anti-inflammatory </w:t>
      </w:r>
      <w:r w:rsidRPr="008B3AD6">
        <w:fldChar w:fldCharType="begin"/>
      </w:r>
      <w:r w:rsidR="00812605" w:rsidRPr="008B3AD6">
        <w:instrText xml:space="preserve"> ADDIN ZOTERO_ITEM CSL_CITATION {"citationID":"i088RNQ1","properties":{"formattedCitation":"(Albergante et al. 2013)","plainCitation":"(Albergante et al. 2013)","noteIndex":0},"citationItems":[{"id":2607,"uris":["http://zotero.org/users/2628971/items/V9Q4NYEZ"],"uri":["http://zotero.org/users/2628971/items/V9Q4NYEZ"],"itemData":{"id":2607,"type":"article-journal","title":"A Petri net model of granulomatous inflammation: implications for IL-10 mediated control of Leishmania donovani infection","container-title":"PLoS computational biology","page":"e1003334","volume":"9","issue":"11","source":"PubMed","abstract":"Experimental visceral leishmaniasis, caused by infection of mice with the protozoan parasite Leishmania donovani, is characterized by focal accumulation of inflammatory cells in the liver, forming discrete \"granulomas\" within which the parasite is eventually eliminated. To shed new light on fundamental aspects of granuloma formation and function, we have developed an in silico Petri net model that simulates hepatic granuloma development throughout the course of infection. The model was extensively validated by comparison with data derived from experimental studies in mice, and the model robustness was assessed by a sensitivity analysis. The model recapitulated the progression of disease as seen during experimental infection and also faithfully predicted many of the changes in cellular composition seen within granulomas over time. By conducting in silico experiments, we have identified a previously unappreciated level of inter-granuloma diversity in terms of the development of anti-leishmanial activity. Furthermore, by simulating the impact of IL-10 gene deficiency in a variety of lymphocyte and myeloid cell populations, our data suggest a dominant local regulatory role for IL-10 produced by infected Kupffer cells at the core of the granuloma.","DOI":"10.1371/journal.pcbi.1003334","ISSN":"1553-7358","note":"PMID: 24363630\nPMCID: PMC3867212","shortTitle":"A Petri net model of granulomatous inflammation","journalAbbreviation":"PLoS Comput. Biol.","language":"eng","author":[{"family":"Albergante","given":"Luca"},{"family":"Timmis","given":"Jon"},{"family":"Beattie","given":"Lynette"},{"family":"Kaye","given":"Paul M."}],"issued":{"date-parts":[["2013"]]}}}],"schema":"https://github.com/citation-style-language/schema/raw/master/csl-citation.json"} </w:instrText>
      </w:r>
      <w:r w:rsidRPr="008B3AD6">
        <w:fldChar w:fldCharType="separate"/>
      </w:r>
      <w:r w:rsidRPr="008B3AD6">
        <w:t>(Albergante et al. 2013)</w:t>
      </w:r>
      <w:r w:rsidRPr="008B3AD6">
        <w:fldChar w:fldCharType="end"/>
      </w:r>
      <w:r w:rsidRPr="008B3AD6">
        <w:t xml:space="preserve"> and produce anti-leishmanial compounds (</w:t>
      </w:r>
      <w:r w:rsidRPr="008B3AD6">
        <w:rPr>
          <w:b/>
        </w:rPr>
        <w:t>KC7</w:t>
      </w:r>
      <w:r w:rsidRPr="008B3AD6">
        <w:t>), promoting its own survival.</w:t>
      </w:r>
      <w:r w:rsidRPr="008B3AD6">
        <w:br w:type="page"/>
      </w:r>
    </w:p>
    <w:p w14:paraId="6E3B32BA" w14:textId="65061532" w:rsidR="000C331D" w:rsidRPr="008B3AD6" w:rsidRDefault="00000922" w:rsidP="009154C0">
      <w:pPr>
        <w:spacing w:line="240" w:lineRule="auto"/>
        <w:jc w:val="both"/>
      </w:pPr>
      <w:r>
        <w:rPr>
          <w:noProof/>
        </w:rPr>
        <w:lastRenderedPageBreak/>
        <mc:AlternateContent>
          <mc:Choice Requires="wpg">
            <w:drawing>
              <wp:anchor distT="0" distB="0" distL="114300" distR="114300" simplePos="0" relativeHeight="252179456" behindDoc="0" locked="0" layoutInCell="1" allowOverlap="1" wp14:anchorId="35681879" wp14:editId="2AECD358">
                <wp:simplePos x="0" y="0"/>
                <wp:positionH relativeFrom="column">
                  <wp:posOffset>-841090</wp:posOffset>
                </wp:positionH>
                <wp:positionV relativeFrom="paragraph">
                  <wp:posOffset>5124</wp:posOffset>
                </wp:positionV>
                <wp:extent cx="6741795" cy="7940040"/>
                <wp:effectExtent l="0" t="0" r="1905" b="0"/>
                <wp:wrapNone/>
                <wp:docPr id="50" name="Group 50"/>
                <wp:cNvGraphicFramePr/>
                <a:graphic xmlns:a="http://schemas.openxmlformats.org/drawingml/2006/main">
                  <a:graphicData uri="http://schemas.microsoft.com/office/word/2010/wordprocessingGroup">
                    <wpg:wgp>
                      <wpg:cNvGrpSpPr/>
                      <wpg:grpSpPr>
                        <a:xfrm>
                          <a:off x="0" y="0"/>
                          <a:ext cx="6741795" cy="7940040"/>
                          <a:chOff x="0" y="0"/>
                          <a:chExt cx="6741795" cy="7940040"/>
                        </a:xfrm>
                      </wpg:grpSpPr>
                      <pic:pic xmlns:pic="http://schemas.openxmlformats.org/drawingml/2006/picture">
                        <pic:nvPicPr>
                          <pic:cNvPr id="495" name="Picture 495"/>
                          <pic:cNvPicPr>
                            <a:picLocks noChangeAspect="1"/>
                          </pic:cNvPicPr>
                        </pic:nvPicPr>
                        <pic:blipFill rotWithShape="1">
                          <a:blip r:embed="rId60">
                            <a:extLst>
                              <a:ext uri="{28A0092B-C50C-407E-A947-70E740481C1C}">
                                <a14:useLocalDpi xmlns:a14="http://schemas.microsoft.com/office/drawing/2010/main" val="0"/>
                              </a:ext>
                            </a:extLst>
                          </a:blip>
                          <a:srcRect l="10316" t="2775" r="6909" b="28369"/>
                          <a:stretch/>
                        </pic:blipFill>
                        <pic:spPr bwMode="auto">
                          <a:xfrm>
                            <a:off x="0" y="0"/>
                            <a:ext cx="6741795" cy="7940040"/>
                          </a:xfrm>
                          <a:prstGeom prst="rect">
                            <a:avLst/>
                          </a:prstGeom>
                          <a:ln>
                            <a:noFill/>
                          </a:ln>
                          <a:extLst>
                            <a:ext uri="{53640926-AAD7-44D8-BBD7-CCE9431645EC}">
                              <a14:shadowObscured xmlns:a14="http://schemas.microsoft.com/office/drawing/2010/main"/>
                            </a:ext>
                          </a:extLst>
                        </pic:spPr>
                      </pic:pic>
                      <wps:wsp>
                        <wps:cNvPr id="48" name="Rectangle 48"/>
                        <wps:cNvSpPr/>
                        <wps:spPr>
                          <a:xfrm>
                            <a:off x="2967228" y="3641330"/>
                            <a:ext cx="672175" cy="932567"/>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9" name="Rectangle 49"/>
                        <wps:cNvSpPr/>
                        <wps:spPr>
                          <a:xfrm>
                            <a:off x="2560971" y="3852342"/>
                            <a:ext cx="1399260" cy="758203"/>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32676F7D" id="Group 50" o:spid="_x0000_s1026" style="position:absolute;margin-left:-66.25pt;margin-top:.4pt;width:530.85pt;height:625.2pt;z-index:252179456" coordsize="67417,79400" o:gfxdata="UEsDBBQABgAIAAAAIQCm5lH7DAEAABUCAAATAAAAW0NvbnRlbnRfVHlwZXNdLnhtbJSRTU7DMBBG&#13;&#10;90jcwfIWJQ5dIITidEHKEhAqB7DsSWIR/8hjQnp77LSVoKJIXdoz75s3dr2ezUgmCKid5fS2rCgB&#13;&#10;K53Stuf0fftU3FOCUVglRmeB0x0gXTfXV/V25wFJoi1yOsToHxhDOYARWDoPNlU6F4yI6Rh65oX8&#13;&#10;ED2wVVXdMelsBBuLmDNoU7fQic8xks2crvcmYDpKHvd9eRSn2mR+LnKF/ckEGPEEEt6PWoqYtmOT&#13;&#10;VSdmxcGqTOTSg4P2eJPUz0zIld9WPwccuJf0nEErIK8ixGdhkjtTARmsXOtk+X9GljRYuK7TEso2&#13;&#10;4Gahjk7nspX7sgGmS8PbhL3BdExny6c23wA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PJc/sjJBAAAxA4AAA4AAABkcnMvZTJvRG9jLnhtbOxXXU/jOBR9X2n/&#13;&#10;Q5T30iRNm6aijEoLo5HYAQ2z4tl1nCaaJM7aLoVZ7X/fc+2kFKh20Iy0TyCR+vP63nPPPU5OPzzU&#13;&#10;lXcvlC5lM/fDk8D3RMNlVjabuf/n18vB1Pe0YU3GKtmIuf8otP/h7PffTnftTESykFUmlAcjjZ7t&#13;&#10;2rlfGNPOhkPNC1EzfSJb0WAyl6pmBl21GWaK7WC9roZREEyGO6myVkkutMboyk36Z9Z+ngturvNc&#13;&#10;C+NVcx++GftU9rmm5/DslM02irVFyTs32E94UbOywaF7UytmmLdV5StTdcmV1DI3J1zWQ5nnJRc2&#13;&#10;BkQTBi+i+ajktrWxbGa7TbuHCdC+wOmnzfLP9zfKK7O5PwY8DauRI3ushz7A2bWbGdZ8VO1te6O6&#13;&#10;gY3rUbwPuarpF5F4DxbWxz2s4sF4HIOTJA6TdOx7HHNJGgdB3AHPC2Tn1T5eXPxg57A/eEj+7d1p&#13;&#10;Sz7Df4cTWq9w+jGfsMtslfA7I/WbbNRMfdu2A6S0ZaZcl1VpHi09kTxyqrm/KfmNcp0nyGMCxWGO&#13;&#10;eTrWoyGgTJtondvFKKoryb9pr5HLgjUbsdAtuI2Ko9XD58tt99mR66psL8uq8pQ0d6UpbgvWItGh&#13;&#10;pSxNdtGiMF4Q6whgjrQrybe1aIyrQiUqBC4bXZSt9j01E/VagFTqU+YOAReutCGmECtsZfwdTRdB&#13;&#10;kEbng+U4WA7iILkYLNI4GSTBRRIH8TRchst/yMUwnm21AACsWrVl5ytGX3l7tAw6wXAFZgvVu2dW&#13;&#10;Dgg661D/a13EEEFCvmrFvwBmEo8wGIUTKyBRkiBtgGqSBqnvQUai6WiSUiKwwyhheNEnpQfeZVSj&#13;&#10;hLz17g+ZAXy2NdLi/ysltC8EUERp81HI2qMGkIff1jy7R1Qu0n4JOVo19Gwk0cLNupFjiRqPJjES&#13;&#10;NRksFqtkEMer6eD8HK3l8iKNAUs8vtgnShcsk7vrteagc/bruXK+wavnOSLGE5wd+dElrcIdonsu&#13;&#10;o/c2ftANckx9bZEAQjJ7ULO40FzJEjNQihWKdkrJ79btdVJ3DvZatRfJKJ0kUQQ7kEMgG45GnRxS&#13;&#10;aTjBjELiGOllOorGk8RW+ZOhPpFvzLWWVZlRoi1D6WoVy0q5KlhvnISAuoerjtMDcttHZVvmsRKO&#13;&#10;TF9EjlsEYh9Z0tn7++kQxjmkwikBEUS4s8cB/rrQ9jtsnqsGBslyDq/3tjsDzwPobTuidOtpq7DX&#13;&#10;/35z8F+OdSzrd9iTZWP2m+uykeqYgQpRdSe79XD/ABpqrmX2iLqH9Nr7Ubf8skSJXjFtbpjC2wYu&#13;&#10;XrxBmWs88kru5r7sWr5XSPX92DitB7sx63s7vL3Mff3XltG1VX1qwPs0jHHHesZ24nESoaMOZ9aH&#13;&#10;M822XkrSOLyrtdw2ab2p+mauZH2HMlnQqZhiDcfZc58b1XeWBn1M4VWNi8XCtt19eNXctrhFXfKI&#13;&#10;uV8f7phqO+4akP6z7GuNzV7IlVtL+WjkAoqZl1bLnnDt8Ebd/18CAM1/JQBW/ckpCMUbBGA8CdIE&#13;&#10;aJMATMfRKI6IRO5uJAEIRynkFmjaN6bxNApG7wpA6vKuAE4jnGK8KwAp66EC2O8BfCrZS6T7rKNv&#13;&#10;scO+Xf/08Xn2LwAAAP//AwBQSwMEFAAGAAgAAAAhAI4iCUK6AAAAIQEAABkAAABkcnMvX3JlbHMv&#13;&#10;ZTJvRG9jLnhtbC5yZWxzhI/LCsIwEEX3gv8QZm/TuhCRpt2I0K3UDxiSaRtsHiRR7N8bcGNBcDn3&#13;&#10;cs9h6vZlZvakELWzAqqiBEZWOqXtKODWX3ZHYDGhVTg7SwIWitA22019pRlTHsVJ+8gyxUYBU0r+&#13;&#10;xHmUExmMhfNkczO4YDDlM4zco7zjSHxflgcevhnQrJisUwJCpypg/eKz+T/bDYOWdHbyYcimHwqu&#13;&#10;TXZnIIaRkgBDSuMnrAoyA/Cm5qvHmjcAAAD//wMAUEsDBBQABgAIAAAAIQDbFh0Y5QAAAA8BAAAP&#13;&#10;AAAAZHJzL2Rvd25yZXYueG1sTI/NasMwEITvhb6D2EJviSwFl8axHEL6cwqFJIXSm2JtbBNLMpZi&#13;&#10;O2/f7am9LCwzOztfvp5sywbsQ+OdAjFPgKErvWlcpeDz+DZ7Bhaidka33qGCGwZYF/d3uc6MH90e&#13;&#10;h0OsGIW4kGkFdYxdxnkoa7Q6zH2HjrSz762OtPYVN70eKdy2XCbJE7e6cfSh1h1uaywvh6tV8D7q&#13;&#10;cbMQr8Puct7evo/px9dOoFKPD9PLisZmBSziFP8u4JeB+kNBxU7+6kxgrYKZWMiUvAoIg/SlXEpg&#13;&#10;JzLKVEjgRc7/cxQ/AAAA//8DAFBLAwQUAAYACAAAACEAwv4DlAYcBQDsnQwAFAAAAGRycy9tZWRp&#13;&#10;YS9pbWFnZTEuZW1mjHoFVFxL1yUOadw10LjTWHB3GggE1+AOjWuwBHeHEIK7BAvuEFyCBtfGAwQI&#13;&#10;kDSaad5737yZf/6ZNXd1d906dfapfc+pu/retQsRAQHBCf79z5GEgoDghfafHgLCkAcCwn0RAgJQ&#13;&#10;Xk0BAQER4SQHCyHQEgEB+V+Xv85O4Lh6uFEKEQHh/L+MIUBREEIqkBHgARAOXyEiLMO/inLKsnCI&#13;&#10;1H9cn+b1hs8LhyMAFeQ0ntpPcD8OeMuoIafAycPFD2CcOz7aBvAAuYEuFg4AMTGQrLu1uaeLO5BF&#13;&#10;1s7dxdney5kVANJwd7HysrSGG7Uc7c1BcCzQWYAfPvCXs70LRM7c0xrIIifCy80jxC3I/YKHn0+I&#13;&#10;l4+dm5sZ/oH7qblY/b9dJCQA1hCrJwq8/1JRsHfyhE8KUnCCh5eztnSxsgaAVK0htp52QEEBQT4J&#13;&#10;CaCHJ5yuM8D346n4cgJDm9vZA/G1Uy/rBjqQbOm53bXTFNJjSD3jl0Mes5s/iMPyCrsz6Tri39hP&#13;&#10;Vc2bm7MmrLjJOqEW06ZU93e2uH8uu+/GM2tBf+7eGXD6TbipRL+AjW8+Xu5t/jn6KXnuXtHNvClT&#13;&#10;lnLMzIJdsrXZ83DTH93zcL2HG+yd2fNIg3jdfRULEqbv7KluILB9YL//jNHY7Wlq1I34lnH/tcnv&#13;&#10;0eIaWm3w65+MrQE3t5pG6VfsxQVfMxDpJBapSc7ANbDGxhVwaGdrI4FoRrlUPhS6N65y6sfaF4nW&#13;&#10;FhgtzgSr46j4ncvVd8d4p428Jy0t90N+ts2s6dYZooKEMjYYwjFNWENk5PNMpZgI6YN+RiNsq6jn&#13;&#10;vTeRHXpL3dbi7M93nzgZuXDwLq+M8z8sWDa6gn/Eosf80onXWCR4SxFjMHqHZkYtiKcSF9HT/d6F&#13;&#10;2ZwICsyrWJ5e3hJ6M9DYb86uMBXkdwMit8WJRGC2w4Ad4MHcInptDXU2DIU01WKPNaBQD0Owmri2&#13;&#10;sbBVDuxmMVPyHglTp/X+NpNUcmGcisROOoT38ecx3C5C+ojSA0VAhw0Gt93fboKCb9NV7pyPSDLJ&#13;&#10;PrQMrisn12kzFFVwCMLkDzTLUmg5p1OgdX49j8N7iTCkINgrhfO45xJlprBIv4oxwZ+kCBoipEE0&#13;&#10;9JlTiIZ7NUXvM6PUYgKBN8/G/A4k+kCIOnjY96/aeVXfPShffLnyzcxPVjbDS7CeD/4keraOHhDH&#13;&#10;PcElvm2z2wVRi1QZ6ltcVNSrVVGpaUqQZbr7YCntmXHYL/8H/YWzO5E0nXerXAtdc0fvB6Dno/wh&#13;&#10;/90d5eFVpCR6Nf++7wXX9tjIaIwKKvOb0CwM9Tz0iLTT5xwq2D3qz/epA3TP/YxYZinq/NitTe3b&#13;&#10;msnEMA6vuQDzfG19Y1jjRpDWuo+TwS15MP4ciaP5PtaMvaxS3YcIiMFK+J8vybyzNnjIjGb7OpHF&#13;&#10;gJezUlF4dugsV1SyQ+LvqO2Ww7RZGrIQ8hQxnUIYCUmY17zMjhLrhBQMHSwPUZqnLU4PPMrOeHJC&#13;&#10;XgXkHLFQhvSDNQILOMGOagWzEf1NAP9nUr4rV0TBE6GnhZbmTqbvbs7lV+KP9JRIlxGvjBLfMOZv&#13;&#10;YqsmijKeMjS773rRJ8vNyP0i/F1u8yHUb02bZQ7t2WvTKyPG5H5tXofTjK2YMu/4ZvS7l29gYRV+&#13;&#10;OOE0jizGpqsBTtMLJOZNgBd0APEcPkHUJeBm5R7EjAezDnTXCUWENtud2n6crMHwdGQakm6jLMfK&#13;&#10;OBvNxyva2nMhRUPKeqe+SJ5iYfbITxZbvWdv/Sj/Pr4wbvTDslAEtqeJh2ioo3Txs5EprCihbNyl&#13;&#10;Avuf/Gv5HlFp/iXah+/BnMva19PX3uOla5pmTgghAymIcbi+a2kInj5nrWsOLUF4nanxFLD9NJNQ&#13;&#10;np0dTTC2YJw1WZLXl1L2g4AhhtqhXpzmYfmibvF5H1QzgtRpbsU98ju1s06sj+pjMVq5fGfsiRtG&#13;&#10;PLkYH82NVzXX/fPnVG+WJ/rzqHtzx7krgf6Dqj+FojtXzVXaDCIM4nPD9MnBVQTc/N5nP4OWJDA2&#13;&#10;okPIXSUxOD5wcc0mXFA1b36p6yo04bAEhmK9Y50/E4JS0YkX9aP5YSaqN0wt5iZhIprz7IsII81j&#13;&#10;PsNN6zjHeb+oHEiAWaGuxIqaWlanW/E6hVKE8REnbLpCi+I8JU+k5JXbT8ccgqL39/OskwoMiSIl&#13;&#10;CsE9GqE8g7cMcixzHn3kKCxGZOXfWIu/1TcV/EIfzdcvSLCLFYO8WWoEdSJmFKisEFjKaH2wb8po&#13;&#10;j8n/FSqA+Mbhaq9C4GJ5b9Myc7NSHKtYrDxkRDg4sFhA7BV5+6pXeN166zf/B24vWrcpNaEDdRv6&#13;&#10;ulvc4MJRVRUQi/HhLEc1b4Gg77l6p5XWJ3nitwYO9LkPc4IOOmGYh+GRv/ReylPNclpnu7PoCkQS&#13;&#10;pImxqM++Gihcqz1XHopUcnhQe+aXCUxcjDCATKaKoW1cmxtRxUCb+gLodClI3r3xfK3L+VGutX5n&#13;&#10;+Bd0CVbBHFmsU8x8+XJ2xeUxBOi5YkKlEqJT/S0eJhiBd9Qk6aDUNYrvqe/v++YcZ5dkgwZoMIGG&#13;&#10;mOh8KL8/tou4GcqJ1ID86aiv2ictujLSZkF+JK5BRSOl5dllBVcT2qFxitqD96lA63del5VQwhjD&#13;&#10;sWxUgTzB2IWOZQ7D2o7JwoIZzI4AHXPZQSVnYVaHT5HrkBn/tHUkrU6jQx8wMWrZ7lwMZwmx/CmR&#13;&#10;M8qv1cNVQpxtYZSgOFrXhqtSgJGLcjkshAKJMqyGD+sxxHxksWWZfXzvx2riDilknZm6RPJQlnXB&#13;&#10;UHoV73hw//V6u2L2NIzhQnan61vG+zOxnjn3qq5b6fMaXDK3T20iMhSqKyT03z+OXjkPj11/arho&#13;&#10;jC7uymV02diimXfTyHMVY8VfFlDVHZOru1CGotsE6DLurpu9V21r6v7Jcy7RU+cqo+EvuYWjpT42&#13;&#10;aX3AKdjCRnvGRGAIiYdZbgUGKfdemNcG7xF9GueBQplwHTbCB3tQxh4AuOk0vsBa8ISP2saku+P4&#13;&#10;D8utnMOYVNOkrtBnShWeoVqKhxMvgqIWsL2TXpzzUS885Fw7T7hvVrvHcv/SrO5JLnw/5HQwY8R6&#13;&#10;Da6Yjch7V+ov7q5/6LxnOF118fw941K92UPN8zs2MYSNrGwZpjKWrT4zLp/80UC67Chj2XsKC9Fn&#13;&#10;iyYb2LX5FkNTZHz8+y+HsG+d11krGckFHF9xHodM8ToNAXXFQ1+O8NAuBJG40EaDYel9F9ofPccN&#13;&#10;LS9GwhGXwl+ca8WUFCRFbtNrOavWpzYju/TO5zJOsclKZDv3lXwYY+qL1OFbxsEj73hNP3R3EORt&#13;&#10;+cOykqg5YDZ3Etcj90Cp48V+YRb/BfIZUxXB5fMzmdI1h1xJjI2DliYU4OlIzUfLQqIMm7eVcx4J&#13;&#10;svtjblF0wsLJybyQrOLz+58pWnglLgmynX1iJKHuP6HZSVphpoUESQ4sFB/ODCmb2Dt/oOEYeuDS&#13;&#10;0SFRDSYv4QyZNyNlgiLinRlGE1Ymq1qP6XKPfEbrYelYnbsNjfMLcSc4swwUVKmYUORC57dn5SXa&#13;&#10;7wwTX0ydMTljdSrLan0uaO5z+xVrryJnkHn3S07lnApJcghPaPlUWiaOkdGquh8KPM7xDieUzHhz&#13;&#10;AnB2a7rBfUVUTcXssrmWGIcZnk7+/f1laghR2Ue+YAazTYGgCZ8O+q5gF+SV3ukvo4msTsPsZd5i&#13;&#10;HHs4uXx4pgZopm1sb19irvqgi52EbuW0FiXXF0gXmbOZ8SLTuwtUW67EWEfnjEcuctpnReg4LKV8&#13;&#10;rQZ8XWdN3OMPAMhsqPLK9RuSLZGeKKBA9mXQF8uQdGe/1zlQFSGHe5TdEeIC6vNVFXgSDYSEuyhX&#13;&#10;fXodJOaD8x4klJGZH/M5bip6WMSqZO3HRYP1rvRW7zpKF/Qeaypwuy58X85tEnfdmtq2Ywc+hoW/&#13;&#10;KdZ/tP3Umpkg7liIvjr9dZP4Us5L7fTLtTmsw2LltuN7y3fFSu5vO/O6Nd0VMaW3dQ4eS8PpONxR&#13;&#10;PewpvbcdbNFxuKcMRRfNL1AEg9o+O8b94brK+XWuVjM1VXBehBWebZJn+au3nSg4dHMdH9MLahOA&#13;&#10;i0ksMTHvXkm/5kzC/HWOe1fgtlN0yqMke8qjyy2XI6tr52Cy+Q9n58JolhlJN6yVIdbUP4kg77q8&#13;&#10;pOHGn2UOgOLvryWPLr5XQYeWh2SNqDrrHEinPUiC7BEjWOpNj0EuVjZiZcgrz25vvxhawBFxlAx+&#13;&#10;0E18zaYqXmzvmBcpTKwmflkxuc1XwBGpLPJpKpIti8iqEed1EHMUOUeR13nKwoCb1BWa/b0wQ9AE&#13;&#10;rVvV4qYg+IAZehJoNH4Zdo7MoVJskiDb8VEZCSRerWlk8NG9aORr+MmfchymZF+dwqvON6S/G2Dw&#13;&#10;SseZ42qxy+PeM06k7lZKtiQt0IYGRUU37j+HaV3KrX5IrElcJLxU6tRi8IkQ9a/Dbg7P6QwGx/lB&#13;&#10;1LFle44q0OePPO04zPIM3mLH9zJm576KxxY3toy/Uh33eHkIRmXvYF+vjyEWqIhhXCGgmlcG2/dc&#13;&#10;RRkWoY37qpK3tFfkQlA1C8LADido40I7vWMnP6q2zHRWng8wD8mZ+1xRMAYQxeLEMpVplIifh68U&#13;&#10;xzVjSHxgO535juMbxKPdd7BIemUiG5DKGvrVcbrmENspiSgJSaK2TomL9hNWc2Xjgm4B2MjoKxuk&#13;&#10;JE7Hk/0azaqk3sLsjazbt6A5AfOpmuG+iq4dYbvc0H276TUHWtYQvhO+UzTFMXrqavEE9FC0B6aa&#13;&#10;tG8w9zWg8pfDJaoI0VmqP3TpCe+JJSltJjwe+4aayqTTLp9XqUU1yzBPYsgQgtTwdd0BNz1YtKY/&#13;&#10;7/ziq6veSwB4stclMZvQDlqX46OhgaeL3MJT6MIlNu7kdnbGnAHlDIXHvJyg3cZh3O9tUjEiY+HE&#13;&#10;PKnspoTDszrRFwlkfXpGkNO2czLfvAqeDXSR7Fk6ZlPW0SC/gXdftQGrhJ1px3sDnJ9ryV69xZmt&#13;&#10;AXOvdgQd/Gb2pUE5u9VMVR65RES1jMNIXrGvFiW7ryPpxlc9xAYVIfNl5hSn+lwKklWtcYV9Eb3H&#13;&#10;rh/aPq1S7JJ4eblv4qM1JYOrOyNDXtnXO5xTicr75W0NakOq0HkVUjgUtR5d0lEfWKTuFft7tPaK&#13;&#10;Mwlf/sEZ4S7Nh4J0pBqdjXSktJeejOQl5d5nQi9MxsjucOrq/nBe7VjzkIp+S50L7XgyKp1wC8Mv&#13;&#10;IiQOZxqteIzVQ4PT4G22V9iAZmSs9hWDUuWlgtIDF81B8eERXEkFyLdJHSje+ptJCUnJJFCcyvoh&#13;&#10;a78OiHQb/GvC0kslojOA/dK3nyzi1GCtz+arVnfEK4qAlVXKOWSqDmmcCqu+QW0VIx3KPZtX8SXv&#13;&#10;Socz5B6a2JK5f83um2xUrVDDU5QUVmMqFoUK3NchonKUINWBRHEL5iRV8lx8oyy07BR3r3VHHcVA&#13;&#10;sV5/QMZO8PUstM52qPQ5WlbIL+1sEdAM0n4Z5H5PY8FZXADuNqyQjYHd8gRcFE+zgbD1oEWnnJ2k&#13;&#10;a7b+KaF4SWxeQfiJNi/VqpJfF5FPfkZJvLru8BTzoEY4u3TiOj8baU7wrhwJUeRahaHs04vXnTSw&#13;&#10;8Wz6+QmOf5KPGO4VzfpJdlCJNg9CRb/bwDZflKJYps715WsunrjKe9nZCm6/E1NYLe91yb4u+2rl&#13;&#10;k9vquxQWfDy9088+/RbycGGh9mJhp72eejH9upVaP7FKn2cRv7RqSZTzs+Eyh4jfN4fqYS9L8Rr0&#13;&#10;hR1/M/GayL8bymO3f1DIx27iddSL9H838detFMdu6/qJ6aoAd825eedDSJ0YfNhevKZFhEgsciBR&#13;&#10;gOFrWEaD5xLxciNC7CM2lQUOusx4dGVjxmp4RlfLn6mGXdIiofVYFmGEdVnANteDNx4np6NJZO8F&#13;&#10;QqI/mW04SkyIZez7CqlHJiLilrkKziAN3dEZP86JB0AeQ9BW6HwVwY5JOvKSIWSSTRxtI1rcamhA&#13;&#10;tRvE2urtQ3bsGHHfePyZcMHyI3pQYjkP47SV9m8FNq93u1TcTFtsEnkX8oGUNIc4QQO80lYzZHJ+&#13;&#10;9Pv42+RotOqwFLpFwJrTpY+DjbAYiZsZjyH9jZvEzaCQRWY8vXd9wtJeL34H//W65sFRg9sAV6DQ&#13;&#10;u3hbr4GaIfyOoXpSluoPQ7kFTQv0iif+W1EmgglL34QsFuE4cdeBGvSEpetpfKMZ7QMHZxxRU72d&#13;&#10;KBOBhCUwXbgBDlU9Zx/xlDscUkrv3faN+Y8wUVBagetn9cdTaSyc9M+SgX8U3vT87g1ee1sb6OUl&#13;&#10;BzFdPa1tN4Kc/Ep0/UrziniGJlw33tA2DLR1+BwPRR+iXYQmIinjkyZMJBqyU95b3+/DnSKMigQY&#13;&#10;Wnr3OwudKr2CkZDqnjdWUYUTMdf1x/xaxmsZ4y5UZVqSGJwKDXdDmXMvLRrXnhoLM+ZQA+87EivQ&#13;&#10;gf6JUeKLUKFCKe58CW1jJ68mzUrN7Wh9xrLCBEjaZ8TzFy+qeVltPrMGEyiosD1zfg52GhzyHJMy&#13;&#10;9D+Jde1+XI7v+Q25xwr/ftJDnkXajIX7E9XJRMM6IUtZbwtTHY8xxNU2lm5n7ULc328bgiifD8G6&#13;&#10;wzWr42s/ktCviqLzsm/TRJ9okRJd8pk5Vi3YJXdaWsg00+NgRY01ELGTqiy6mzBifkHJQqyn2Pjd&#13;&#10;weuSGlfOmw5NbohOQ59SI8eT5oVqttpNKrehprLd8fvG3NZ55DTHF12CVEngJFhz2tgIsQbgIUdP&#13;&#10;AOmrc/XcMCKGL/FU5a1ONLg9frKj+TO+GPxtzwdnQgyINdR9yf1R6+issSYHHbF9SjjQUZSyxmXm&#13;&#10;ZELUZmtVtSxa7PMIS6NoiVSbm3VdFjO6LuOS2ecgH1fwtvT5V9WyoApE3SpMDvfYqTYx7So3Xygj&#13;&#10;pUDZD7Km0NQfZYs3JeyyO7/OCQ7840WGDv231vHIK9UhlyYCFI7pCRBqYTKFQk7mth7C03il/aPJ&#13;&#10;Jf3E5t2h/YErtrc01gL1RzqXUO0fJk27G5gJk/lQA1ZdJbeaNQqZYUWnnLAyO7VMTbvu60EK0N7p&#13;&#10;BsUtXj6zVlsxKvEqcfHndpiuZasjm9HU1ifmAQzI4rK97xJSC6TbX3nOYOJi/SG3TL7/a5X5iIpL&#13;&#10;uapPrMxaKEzNYso4h1S/I87qyParmiVHrfu6WuqOCffyIqK67DnagclmAyhl/SQDZer17+ecA9mz&#13;&#10;P05zI/0YpqdWNOzDQEsiWIWWKQPWNWulrILR2XyKWxUGxll6jELuU7cmKx1q8Mft0fWy3rO3ndKF&#13;&#10;FET2LTA1y+EWz7ydxt9GWl+amizQjtrsJ4Wyr3480sfeCclYGoisbnzBqr3Zp/iMWG9kOUs9QE+O&#13;&#10;J5vkkujIvwbcxMJo7jKBirvlE21nO3O5KQzrrI6LwiayC+VY/VsiT6gyWnQGviYCiKy5P17nmC8d&#13;&#10;LC8I2Eyub5c0rjTn+SX2mAteIRyT3yz3/c4J/BmQTIl+Tp5/mY4SyDb2djt1Osqkf00j/wvebkao&#13;&#10;RPrZs90biW+X92mHRmtSIwG0o/jvFAt8h70RO8tsdDGymBigUtjuc51r5kD1rJzat+fRtYGPMtil&#13;&#10;DBy3n3A73gZRGOYIvlTNR0wc1uDP03nwddtpHbWAUqwIqdkZEn9ozATg49c9+um6pShJs+E3eatA&#13;&#10;5LVFFYzCxAVvfw2kXf/99O/2WUpWmaPbpBJdv28TT4D2BDQ/uDXSQtYwexTe/qYnp3l1q0LKAOkM&#13;&#10;88s7axfmMrXvV0r9y+n04y+Yp0LxtFyG54MyZ06L2yUwzsm8+jGYTGeTcs3rEi/ikPg93fsxhd8d&#13;&#10;rtPyxTZQo5WWH4qjrUYWf9Ha5BG8QWjoIPqSf1F9/tsTV3BUER8Xalbup72iolCcKt51pXOUNoMy&#13;&#10;LUBcwjKEFEuU67BZkIckiIt59EZfZMTYDPGGQQFLizlqMK1/NianjP7A1yDW/u3xrIAIN8RIzSWN&#13;&#10;13BFY0bbCqOGJasmqzUx1yirOvfhxuTqwJZlsZGeNWvghFCaapInFZkRL/lUFiPZR4kmMg9V98eh&#13;&#10;+AIhvZHZuQ0Lwm69L1V2gacl0xg/z/DSbylZ3lUyoVbJMWVxI+sTi2cNS4OVgcKr+KsnKpfUv0uM&#13;&#10;2bv1lHzjSbLKnT5BYK10s4SSeuVE0GpsN78rphczSb0X5zTas7NgDaPEgi6o3EORb6aNqDtZWX4T&#13;&#10;djuZiwM1LbdhBW/leYAybhvpyDFvI5tGnq1S1WvnjnLb2K8+I/FfAFhXtkKtKjsv5mGk3djJwyS2&#13;&#10;b8gvSoFKRvwv9V6Y4WF/kEMjzfstdCfD2U9wuxBNq/u213jbv0ngvRqvOJauMDbmuRxlIra5I+9N&#13;&#10;jCM7j+lRPmq6RSka4ycLi3YzIMfDZ28EX++Vs9I5iR7tJariFiuXXvXVxgzR+nb69YHKBK6LRtem&#13;&#10;D/sEEWQXd7rHdfOKINcQRJphpPKpQyDiCG/n/PuW8tH86z6pPi3NxrTq75evOK7R+IKnkWhsNidb&#13;&#10;2nB32mSkg7Eql+czd4wHsGyWlcnn3s23WUcblp4OBZTEZWhTrIikrcSoifSKoM6FXlrcgZk5uru5&#13;&#10;6cwdD8vW2CL8eH/xlyfGnzWjJHSvd7QLXknC/7ELaISyF7TkE2F1Qou1RqA617efjl86/8RGd3m1&#13;&#10;Utc/J/haRsxH8KIx6/M8jHxy2ek+eb/R1I9rErUfJjTJOACTSaZUqx8vCRTOYEa24rCsWtn3tz3/&#13;&#10;MF7Yt5m5bWe5cXtaaC+WauO8EK48o2lbFh24dy3XWdw4+r5WbuYdWMIonMDQjec51Gt5TbRDvOPc&#13;&#10;ZyW8yovwocF3XdW3pKNak3XumQDYr5OHsgCqZZGBfNaLSmVRVk6WZ7+s6GxsQ0kZDIzgW2PbF70n&#13;&#10;q+07T7bg03nZpcmmW6bgG7TkjzzgcPKrvmbil6bxRnr6TO7m6XPEbuINg+lXV8Xq+F5xQGYpUDuu&#13;&#10;eImnv9StH9j+DfhoN2z2yuvWhOoVhcB9Bldf8nfqpvFe3JrJ44+UpGfmtz9trUZqE2wPK7UL37gL&#13;&#10;ntksN531Wm6/7hBKyCCC0KM57/CjubK7k5Hm8cxT0iyGM2uGCbrn7dKD+urHqEpw8Kb3MFzNtsX7&#13;&#10;Il8ljKNNicCk/DSSBAiUbdvFVHsmdwwhyA0jp+ulPwoXAyg5xlvx1hqLNKRcqyuxjABlM1LQXStw&#13;&#10;/vhgFdWMjlAjWurb3oUo0sRLv/fRFBFFE2h3F6qkETcz3xezqIl48tG2VXMi+tE6lknRgjNBK2W2&#13;&#10;tNp5OX9yfB4NWLS3GkNwAaRxMNRJ9x8RljqipC1+rWw5pqDNl4Gv83zy7mt+SPRd3m7QToEdo4r9&#13;&#10;sJORI9JS51qXZjqkQp+/h7j3MauAuH0CYrhHROgUKd3SvvgOd3RdCnlATYoQz6Yj87THVfZLdqF8&#13;&#10;Hhv7Ox/tsKVqKVFjHeykSgVjkVSNDPXsWLU83dy/8OJBBxsrXLNTiru5nzNAcamLSasE97aqib+1&#13;&#10;Iclm6GJtNFsYUwxsfVJiksTeWKGCaa6olITh6HcYDjMXYOkzVkj3pWzmV5lYr+zqy5A/BHWPiqHD&#13;&#10;X0ykvgoUNlvFvFQqSzf8vdmJm7Nu6v9H4krs7C7RayOToYRkNDfBvIS97DUrsdJV36XZh5iO8qQ0&#13;&#10;0UKhn8Kfhehe1IDPhT9fd4SWJ+G+8wlsSIvaPntzyX9nyDmZR2N8GXQAvrLLUbr0ueP/Q88u36wY&#13;&#10;JaHKN/vDhyGjzvdPCK1xJWULj3aMMc3QNRGReUO4WyiqWHOvnrExm+lJSMZYr495mEoJOzBAWkU/&#13;&#10;9lIBp5sDSYv7jNKUCX+PFSQ+U/MrXC9cn/Q7y0eXtGRYP6CxQC1K4mKSZF33B6HJW+nL79aFR4Sm&#13;&#10;Gfh1+zM4cTFxb1g/nNkYBdKpfGdAlfjC4BPgHN4SDnZx/xOOaHrbCrA0kxGMQ0hxR47oa7/SGT98&#13;&#10;ZZQQzmH/+saP4KU0m32T91EYGHGaqXDWxI4th1MmtO30hjD3XBicW1S8QbSZgHOx0xVqfTH9y5XQ&#13;&#10;lOV+GtFyRIziPKjCiFrttfE2SfAfJ+glV2bPgQmXL1nGAxt3+ujz5G+XEeTxxZHZ4D/gDF51WVOJ&#13;&#10;jfSaNpqgIlcBrO+R39wGRzRehZx0zjKDt+kk5fcSqqBppXfTjs1C6gyeXSdtg0AfQqlvdOHQ9udU&#13;&#10;kdCTn2lWb3ErRsaoCaqs8X+G4PPeqa+syNg8B0m/9w0Xa+yLEd6fAQT2eaO2BwFWKXhNrfhQLB5q&#13;&#10;rmiF2cU6AyO+2Cx/UKH52QqNqmpofpcXU72xBNVTxgazYJWkL9hUVPqyPhAHnxTMRJaJ3n2u6imr&#13;&#10;6XZ7o/AadWHuA7Tlu/NL70WfZdxc0jUJM8wijGCiIAotKiPdGoTVsL708R4hp0/GWAIyczXgOB+C&#13;&#10;2YU00fawE6Ntk+V8d0CRM+MrgKxqpls0Nqo1hMC4wm5pX4T/y+AGmUkkQdvh+izfa90Z9vKLDVRA&#13;&#10;lRoroNK5e45lHqBepOM4KVDdBC1HrGsiZtIQAKA48WOn9a/yDgPyN7efp1kykp+f44AlqG0dS+vE&#13;&#10;VFOj6XezdM+1tl0q1mtTKK64uZnWVZ3hd3ot/E7/E+Xv82MqdfL78ummS0veQFoBe64FFynWxDZg&#13;&#10;ZLCMUi9GT7AmNUmOLOV0AzmLhkkRp6sSxpCqr/dRWK5ng/fxeu8PopYJmvKTavyPBvyPfsz3r36s&#13;&#10;7edqDQTJmnuaO7nYwlVsc1trDyA/fFzzX7n5qfuP8v23+19ecGXbxQviCeQBgFTsrTyARi+eUCb/&#13;&#10;wp76/wcMANK09nDxcreETwNX0uGquaWWtScc/ZdiDtK29vUEgpSd4TRk/mll/2mVTQAgeV9PRS3P&#13;&#10;JyEdjlXkBgo8TQkAKfIABf854wUKPZ3BWYAUXODs4H4K3EDhv0cVeIA8f10bfJAXyPMfKx+Q9z9W&#13;&#10;fiDvX1YJ+AGX5K2t7M1lXHyBRtzwAEL8cDiPMA+chyw8tDUETvtJiYcT0DB3h3f/a96e2P2TAEvz&#13;&#10;pzzJqAFBL13cnc2d/s3SE/F/nGSln5z+dlWVBXLDhXzwX796T3Y1VSA/AKQlDfR094Jr/P9drKdL&#13;&#10;//+NxQMP//8M9pSH/618T/mEY7wsPP9aM09LAR5DxtzD+q9Mg5SsnbytPe0tzTllXJys4MWCwHcj&#13;&#10;2ENs4fWzgmfH3tOPUwkAkrP2sIQvQ3OI5xMKXniep9xqwpOq7aIDsX/awADkeVqg/8sC/Mvlv+Hy&#13;&#10;FOEpnru969N2DJ6nLRrwavzfKf1P8rLKck/gp2vghZdTWU7bRVFZTs3c9V+yf5n/B59mGdXmt4T7&#13;&#10;4lbcIUCA4ho8haAtUihBirtDcSuaAAVKKQ7FrViLFKdAcA9Qirs7RYq7XnruPed/rqy78iV7Jnv2&#13;&#10;nnl/86x3rYymj7uHlaOSk7XzX5I0rGzsHjvJB8gu8ziHYfU4tAF1s7Ry+5sj+79zfDRqerq4OFg5&#13;&#10;/iWC/y9GOn/5MRAVEOAFiYiC/z5wfqCAqCivmKAAv6ARECQCNBAUFOTl5xcVAz0uRYGCwkBhYRFe&#13;&#10;kLCAoBBQUAQoCAb+s1tICGjwn92Pkf7xiID4H2OCxYSMgEJiQGEhoIiICC8YLPAIurAw0OC/3CJi&#13;&#10;j+36nxP+4/ivU/9ftv9cEviP959v/32nf2L/YxUTAz/mzw8SMQKKgR6b6b+CiD3eTvDf7v+6xP/r&#13;&#10;wH9Ci/67hI9F+I/1b/0E/qtAj2vw31YX/Oe4R9Re6PzryfwvOfwXN/8XXv+A9T+lRNXM8VEp/0/I&#13;&#10;H+dubNyBoEeIZP5y7QEUFeXn5QeBhQX/jboHUEAAzAsW4xcSfUTjkSbtRxEC8YJAggJij20tZ+ai&#13;&#10;aGVnY/u4EwTmFRUQERbB5VN6lGM7CxknGwervwLwF1XZf+kQD4gfJMor/AiKIJBHSIyfFywsyi/4&#13;&#10;GFBQhPcvLUKPTSD8WGdRsAj4Mc+/Gx8nhKweK/AvpfpHdv61/l85//9miEBiwiDhf08UgYBCIFEh&#13;&#10;sf9tpqgZx/9N97GU/sK3IXA1a0KfpJ41Kx7jDaplkPSH2FhgSCYRUBoVXRaI3sEUwY7az7mMy8SJ&#13;&#10;jbtK8d7cUI03N7eDnJyS6KW2TBe5DGOqzwQkgai+vmnooOXh4W6JudOrGJotuTCh9fiB9D1Bf3LK&#13;&#10;T/hMMdXQAHRVcP9tH+O3ES4QJlDU1MBkew1mbmOGP6Ep5M0GzyjY62JIvz/kmOtKG9l4dvyHJFAG&#13;&#10;/wkxS+LEmDWc7KyHx1uKtBxLW1v7s/3BORx9zlj6xcpGSmdPqInZleeL6/rw6p6WysY6UtOvOMD4&#13;&#10;qEyJsoaWwlPHwHlI7/jOiODXmR7PqFLU39nvb7npjYwkfea/VGebzW08mVRZbmJeVe2mo9/OvKO9&#13;&#10;tA18kCBOEIoZgyK3A1o88kHyAY214rVjTB9tAw9efRekaJM+vE++noOc8UilYfngtwz1fGNdHedI&#13;&#10;ORSmkIbkmeA//XjL+32Dxy4Jy2Al5RTFwVoThSj1LdUzi3SaY57IHj85onuSyUqbHKza7KCpPsWt&#13;&#10;Ee4pTocD6e+Hw6fay1N/IBuDlwPUBHvMsRfMv3FS8vbDvFy/n3/E/6jR9RxBldXlt/uZm6rLp7uS&#13;&#10;wpwhvCmqcAm3pLKJ5kDHdC7qfQsebaUE9sEcBPas5EJaTEOciWR3bu3yvc2gVHRr5FCyk+cdrR3b&#13;&#10;IN4oaj5YMeEqozIjQjdkjU/GthIuOWrFnu3TtOgewMtEuyHIcLDlm5UeYYV3vNHN0ZGNMl2JPzyo&#13;&#10;FipEjLTJ8qmjPOkB1w3gXFFKLFBhZLROEj3vc7ujrUQ7suNaLEPO2wfClP6Yoo/6D4rnci0QXlQV&#13;&#10;ldUd3pNckemKDQtItfnkLFYegIbRyn/12gTdMqGf2L8I+qJptFTpWUaYj0fE0vq7IV8CnXMSOfrG&#13;&#10;/5yppmApOJkEv4i9VWVPikD9lyN0upNqz48zJAKuiuC1uMIoYwDYs9WNWOu5XpkaQcd5dvo8MX5K&#13;&#10;5TkkM2r7ndbEXgRJTCPmEftKle55/ijHLt9LAWJOhU8GGeagMvNhQ0thMITn6mRoOpPEMXnVhtum&#13;&#10;BPZp2NGv67cfls24ahd2Zt9Ph3sTIg0jlmvNenah81ZTBO86zgTPveSn/7zJyT6fV62PMjWx5mUw&#13;&#10;a9z3cUlP39ITD66IacHGO9D0oYgnliNuRgxcNqxcb1bZ7qfPUWU7C268G9zqddzBPE2r9TfGNfVr&#13;&#10;4R1ZvI8WiQmAbCzvps6xaThLBhSNT7C/RmGKwsh8g4u5rhcT68KLp8fDvbKbNejaHPYHEcOxsput&#13;&#10;KgPLJqqKXnnD+c5EubIispwR+jAWlyRi4u5i5HOJ+OC21D7FN3oTG31h+K2ud78Yvpd15phMM092&#13;&#10;5i37XccQ+vDZrbULJlftlH62qPJgIXGa8ySKao4GBBeWZ+b/IMwKrGjBsTC0kFxlCeQyqT8QNUO3&#13;&#10;9R/X9Aqd0+Cic0HwkLZ4FKe4VzddZmyp8w0vpyz5+jfNbSF8FGWeMTYwPzdf0knzkaZdDPMuR/B9&#13;&#10;j0C6fW8irQUudEwyQzDaxcp56nveb4CGqXd1fNX4DoK4T7dXaa4AnDsR3dVyqTeINzVhg4pyFQxw&#13;&#10;Z/Z+l4Lrp7VLnLe3SZvn0w+vrtDaLSiORzOb8bkK/FzgZkQRnnQVDKT9YpUzrERcGyq9PTYLU98O&#13;&#10;qb3u6MzLgFl4mrUfJUtXF9/0tsMpVqYjXOZ1rUgmS8Mavf2Mwxw/gaX8JSS9JCX73VDMC3TZ/I2n&#13;&#10;KazOGY1QK3vdk2Ypqyaqxdj4RpJWTpoTQUzyPW7UrpJHqRIsRFdbnuykg5TJ5MZLoURr9Z5LNPOs&#13;&#10;aQ05qvTuc8oRdCyG9uK5r2uwtuldxGl/j7hX/2Kp8RVpt7Bvcvzs9zQO6pLeko5UqikSh3hI8gnS&#13;&#10;9auz3e6TKB1cv687m9bh31n8OA7tWrVW6bYxRtZfNBwqd4aY+D/Fdb1PJ+r2bqX1w3tewvI772ub&#13;&#10;YQHdU7mHq2e7IfB0ZBIWMOSGnwTzyvsONQxO1l+HutafUDFGKrpPAkYZCoi2mJdhZ1sg2n0y59pv&#13;&#10;ESURCwhsvbLrK7lHDbia1556OSiV3UqVbQLFSD1h8z/FiWN4VnRh9pQz1HBcpusH0XUz1k8MRRtG&#13;&#10;enmJwHraIIQJs2rBkU0XC/pmetTJgm9Lx9RpZin/UrAHryhvsjW1eeTZS/Rq+HIn65E3YR0TxfCb&#13;&#10;KeyuZ5FbaC9UGIIvkKYErtTytqim6BfiTPJTHbIb1LqFZWQgTmq7qnd8z2g/sp88F9cQn3RtrS8D&#13;&#10;i64jGOro6GkPr1jqCZI/Gu7qAdDcyWH17CaayDsj94G12sI7AO6PRbXcVDRwGrVaadOTCW6UJLsT&#13;&#10;05o0tMR+MapFAB7ENUChRPcICrsTBiVuqUgc2J13/rq/uNbtQo5Sf9FPx0hMsxkeqndftmaAwUz8&#13;&#10;VV2zrk+TQOURyGkbKiaqI4KLCdHogLLSLCr+DsGwUW13vTnfW23X+w9Hj9q0eblpbIFn0BeydeTu&#13;&#10;JG1wjA+FH0+dMmwyM23mxNix3GxeGUK3mOnm/KOqZt/rxoiFiM1xWhvLpVsUpze8M1bI3hL5+Wff&#13;&#10;d/ZVuWj+g3QLbSg8bXtC4qvwn62c9Wv/zSHbXYktTs9M25Z7pP0X3cs3yoKOg3730cc/DnzKUhf5&#13;&#10;oW9fUjIGRGXdJbWGIe3dZ6Gx8JhT9ynq2m7P5MLWrQ+IA6m8AGv3sbhB8qmjPZypiIDJ6PKwzTvc&#13;&#10;bwGl9lNlUo1LALT76HsFgp3w5AAFgz9S95HG4q1v6w0kPyGuF2KDdPPB6CIbXPymMG5jZE2u14kI&#13;&#10;z8WNtM0A3ipkiPft137gQOL+hxZvSGRqnLaFqmUP7O7sVI+qw1qO7wdR7bLxRhYFg49n6ZGwmjyz&#13;&#10;YbkFGO0IvX8FJ5+xV5zvJOMU57M9Cx3KxUmVIWp4MUYWskHnCB4Ah443zrFZlPWeVFB9X7NnI177&#13;&#10;BXBICBs6ueXBPKCsgq5of1YWqmUIPdUeGLmutvhtEt2eWXjhVxHNrDXuipsylvFewGGo3C9CwHQw&#13;&#10;5MI1gySLgbFU/nDaI2kqAuIQUkK/BmOEhTkwHciSK7iXIX/Wix6TupgicItt0dk/bow+XZw8SxHq&#13;&#10;e63upHlFb9TnBk7/o0mPjXRxHJR5/Afc3dYYK+AHRWzrFBHfQyKsbjYbt5EMngtOzqtHSq24rUCY&#13;&#10;TdZW51mw5hLNnAjYk+X4lTjf3Q0mmRlDzep7D7BkoE46TQGnOFLFQ7LYYe+whqIePr70X5XBWC3Z&#13;&#10;zSYVkAGbDcbP9reu93PYJhxlMIxv4ch0z8RmxLRgXeTdSsj6Yu2TgfdxeuVbMgHsQ4ACyusyPtD9&#13;&#10;+IovAu3CONiUegZdGGB+58win7Xm48Z1dr2bVCvGoG4SIfKhLUOblSunpA3n9yeLkhrm/Wz7nAhp&#13;&#10;0P63hUPyZYQl6EUdEO8OvDn/jMzd4lRHV6SuxhH+jmvzyzTlLPHSVJRXXlEU7S+/IC6YxAWJxB+J&#13;&#10;q7WAzYZbQJycO7rxsu+KzftZr+Ha+qwObE2OWRapb3K3evDSpqghT3RaJvSbrWWriG+AwS15TJnY&#13;&#10;MFZGD1nrfRtc9F8ksNu1rUSprpkxYJxfNtFWRNyOTZnyb/vVcfKUtazAq8LdxVvunoSSyUN3bjjm&#13;&#10;Vzim+sc3/pvEDqI/Upn8u6/UJcpWttR4J8oi5pMVcdGPm9VP6D8edHYbZ8wBLjgCUFgoij+rqhWk&#13;&#10;osfYdpiSzFolXpOaY6jIk7kxeDAvzxbLjtuft3P+otct8cHen9h7jwVp2YEGwY5bSmoyiemIOJkS&#13;&#10;pxD0a8uSg/hTql2tRAw+v9kA3DTFYuvBH2EfkUR+Ppm7IJT9B6cnnz3Jw84xuqy7uLvk/fcPLrt9&#13;&#10;Vm+LXZy0dmBlyHqGO67CJQvxkHPirruPuF2vjMNObowPt5Jg1dyQteWMG8ZPBt7n46IXN16+4xKR&#13;&#10;EoMhnAtvuhyxA7pKxc4b+ZPQbhoOygMdvec4IddekOt3kGsYjLzcHdJz5HUymaMqdlpICdl5GeM7&#13;&#10;crDhWYb0GCndhKF5r9p/qGIg63I7wxvAKNuI+bkq6SnEviPbFADYvqkwzOsgtSV1ZqoVOWjsolZK&#13;&#10;2oU87zgDmYvuR5DOPNG9Z2iArMhUZ/gYyhdCZcMbaJDYpDbFD0VLEbHl4WGMabhqaps/he9GDkR3&#13;&#10;x0qRfmlnyLmIK5esOJPBMF8i+cIxs1xWSlY3uI+4Fe+mQPKycheAA9W/wGUAA+l9fcfwJVHF+K1W&#13;&#10;C72z92F8WMtiserywWSv1MtqOGJIJkCzGxZ1CClwyj7xupixVAvhBafB2izoAyqG1rDuZWjHK5k8&#13;&#10;9kbcf147Gd1jOXpH98LqeumqhiVrP1XLG3vhSR1Y8rXzSJyfCL6CqxZOyuicvRzAVw2v/uBP2IBj&#13;&#10;iTJ0ZyFMnMJHH2wmIXq67ijhXGXrkWK/2cGPeHJbgGaqNcr4Eq6VceZItkVgYHQzXc2+ZfvZ3aam&#13;&#10;mb2Sz2HR+VPTC/fes7zjxF2SzcE8fi+nMMSh70BoCb8OHNU9dS42umsX/Vz8BdCRS8eizPIdXaeh&#13;&#10;D2SzP0+fvUcgbojhvU3BnGlD4QNAnoPNtHmewUoIbcsF++akRlOzXecee1vsY1JA2G+K509HN5xS&#13;&#10;oH49lAgzBu9PwUPZd+idQso5Ecdkx9e8ljn4oX1bXffzTOd3v04uqa+MsOASzg4riOlM936ebJN6&#13;&#10;OMXNCDcV0+QUjqtTSyXYunbv7moLS6/MxAeulIWJh7VJgUnIP+VGd+IvQt0dZO/Fb9L6ccu7+Zth&#13;&#10;8QDL180h/itJ6V7ylavvblkVtPP27BwV+rwhT6AEarMdzoL1dyHSClZ4lhxKw0r62Eev0F/0QV6o&#13;&#10;/A6+a/XB/yBnMw/1SDoP0l7mGciRMG0cqRNzzY6LslhvVyFQCpXRYJi/8c7LUJDJ2gsheJIczW6/&#13;&#10;TDGg5Rd7kCOKCJwmcM2nf7pO+lFBN9+h4tUCEWLaJpp2HKPZjmxTVf0LkmpaT5zB135OBorOAnFx&#13;&#10;dqPcubNQG6GI3GMeSLWxoN+wG/KV1QnSHVBODv4AwfRJYZNffV78st+9yxx9MyoZFtvyZLlLpTIu&#13;&#10;Wydt/spnDbuW8OQ3LLaPM05b9msPAeMexwDyBCjrFNbizdOTKv5lzdNet4s+kjz7MGUEgDWtOB6+&#13;&#10;daJyYZNW5u6kyMeUZFJQVu1kGBB13CPZBXZTGCAWN4frRpxPEUc27R3RBoe0KEjnx/PszfI6iOBj&#13;&#10;Lmdxvp4EuhCyDQa65WQKkFYJ2cXy3uLKcrbNl9OSKS6oWzs91+0PluTxQBvF0g8yKcdiTsrBuL3m&#13;&#10;ngyYwF1i1A5+JizLykTxZ9Jk8b1fUzmjki/611xJXu/DX57eA1E92RDf3nEIHvms+YAc5JzVgZdi&#13;&#10;Ff2DXIZDSO2oCsCZ9Zl5ZmYwHN8OoJusQh/o9p2r+13nYUPk1MqP+q12IjeSJnAihbTCCC/FQL0U&#13;&#10;3cfx92cLMxjzEVNf5uGdzTV+DJNarPXwjPowaHtKC+oGFZ6xP3caQUFuuf1N4ebFlQ0xbieEUAra&#13;&#10;I5yvh1b5lmwWirpTit7xjNbbzIme43W3vwSZT9X7oqtq8/vUoC3DkzR7MNUFiGyqCMcpWSqUbZiV&#13;&#10;2WVBPB8e27WPlFiVb2VW37ynC08SjjadIAJCUOj0iPub6R39hZOwmD58UZlcO7PQvaeKe0L347kX&#13;&#10;pJGOlR0Zdy7zXVZKM0KIdhd1eAkgk798JpYvGPdOfj5UMQQn8gKCExcx/am33QZTTsGOMlorfMqZ&#13;&#10;sYe55uPIpT/zqJp3Jgx3LvaA93YeNTks2vmACG2hNc78cvZ182B90TalqLBoQ1Hr6tcgVlH8WqAW&#13;&#10;imxu7AeUEBYUQW4MYMJRLW5CN7Z8k7v4EaNZfsb8q804jHWnqpB5Be0EhV7MY6EZeWPG8ri6XuJj&#13;&#10;WsQLtKKo2jy9Gjw6xZ/b6PqvbYbFt408OIyUDvLsf+s3RDvlpheoa0QJGTUY6XPyJGsr0ebb5D/f&#13;&#10;fm2XfBp06ryt09fdpMcgEq9VrbcHP8f2+wzpe1fdvAe4ibpjJJ2Z4noUew+WyBC7zqaO2w5us8kK&#13;&#10;MzPmTs5O1tDX+On0IuJ7JmYHYVKAe8VLBu0A+xThJX1LOgc6czprOqdMe9jIdYNnjGf2Gelu8mTe&#13;&#10;5EGplD6fLm2panqPyKy2Rbq5gZlf23nNH5855VqdP5+M7EVn0f5Q+IVAeuidodVeVVszfrN+cwqz&#13;&#10;BxV8kV+I34aAO0iI6YkZ1KnUKdSJrw4Ke205ZokcP51HEHwiCDcG3MFPwxyf/yh6RZXODzKT1zDV&#13;&#10;mLb2rDarHrL+aX1T8C3AyyinDL/sddkv3uSb5PCQLseKrBQlMeqX1vFXsqs/e+UseXw+S7zMYuPL&#13;&#10;6fKKg6xzuYXfqgbb0qbJiI+W1aRof+my/63SEMib+1N9lRA7XEo+OxeqnFdgN+pgx/jKP9SjvEbd&#13;&#10;V3v2A8lDcg30+mVDW2CqronIp9fWJdNyDnQGQ7VVXjNhe37v4sBWpK9uA2PrMVn2SSmIKCgmeRy8&#13;&#10;dX10tabJGI9EO89D5C5nD8+0KzD1HCdl7U1iuhT0t/S8dL30lyr36+DWd/3XUWdNZ5S7L+0T8B30&#13;&#10;DRIdqxzTHBMdm/9Qz4kYBNOFdKHttb9Lb46CULAsjiySsxiHkPBV80mHcxEvlj6TlFcEqK0ujrSM&#13;&#10;BPGQDMmGJ7NEKqdkoSvlpJtVW1e7VvtU/xn1/SxmFydG07ArOqU0hZMf9fHAVYYuiOeQLPD298QJ&#13;&#10;4RW1f+eNW/TlQo0gVSqvt6QMYKpYCxv1t/H318iWWyPG3O7GUzpvlCzk6liUSQfFc0IkO4at/ugx&#13;&#10;hyVH5jNbKf/iEnYMQwJEzfmo3JYbyqBVRkSH19KB5PV+m5fJE3+vy0a5pT9yaX6cgOU3h9tpYxPf&#13;&#10;2DLoA3zntyu/canGgCHXHlfbAoFjcsTBRNO728bf/FABfChiCLyjnrroEkMGv8Px9NKyhmXYmlL5&#13;&#10;GF/m5R1V7fWmpPHNr6bybzDNu19tzqMtqmCfoT4C5IPnbeIaH0PA9uX52lz0FsP9kdimPBITYOxy&#13;&#10;WdY5Rrjgaqs6s13lboU8hMVse56RXr3+NZdWJ/SwOsqaML8WGy720xh7yKbxlH9VCCIXkEvJ8Uo/&#13;&#10;F/tlhkkBYywph07xZ6et1hk2yDNHmd1S5DHByKpWF31OkBDCIkKkoYYX52miTT/XcPJJAxv/Fia1&#13;&#10;gpbK79LyLI/U7saijVmP183U9+sK8lnkUY2hq2yz1z6H0fWzef5fAeqqnDZdE9B+vn6MDa8NgSRa&#13;&#10;gyh4kBzi0iav5q3P5cHck4eFl5/KbcyYuUMa1TYJc/4s4nOZUkvgQjtZq9CTOsx0n1x08h1yzaOV&#13;&#10;mIGaMEw6hw6pHEKXhmf5OkgPAU1YB7kYMe9HKnB72rDUUPxWYJdE5+3wS9GM0MpDHEBgzPAgsh3q&#13;&#10;wuePibWiWRji7kKfJE0eGYajhk9qRvI9jCblfWUBRfWXbX5867bSQ7qBkBl+vM02w3p8GlO0eZS6&#13;&#10;Tol60pYwhmUt2fAXVHHhsm9sUdlGiHhGiCH12ERooPg57KClFUJzRkZLXkSmbnjUtBJ6+DP1Z2k1&#13;&#10;jISxWEpP7fCSV9xJlFcVJZSAXrkmRvLxSrgItDx98dEsD+C2C0A19ml8uLoT4/aLKiWb04YSJcp4&#13;&#10;OUA+Vx/LwheC2jiJeOi+bLmhom+sgSJ0NIKsnfyUkG2FrEm+JxZXICkyeOyQR68s+vPPdbc0Wc2R&#13;&#10;7Bb2mA6YHodfDORnlkX5sP5zrQX5MX7zWh3xYQKhTOuKixmsHcEd7TO9tHDXGtLrM45TIohKa77C&#13;&#10;b51T+x/GC6oxo86/Qb4ZWV/Ytjl89WEypXlLq7Ng5da8Lf63b+KP8j+pqMmNq/UBqScGLYuOK4/D&#13;&#10;03Ksi63eItIKrYvoJlTf1j7XaTaiK4jWRhaSW5K//hK+J1cVf5dOB7yIJd/hflsg4ll7zY9vztCX&#13;&#10;YMt/kwJj0tFoNMx5mkdB059lM1RxtyNUGwPjjMljFMqAyXdObx2/QOhnlg1+IT729uGOylffAZyp&#13;&#10;00TFccpnvpob1aX5JskU8/VoD+M81JAFampSPFRdPqN+HtWgeiUq3kVQnT09tEd5ztXYBtd07mb3&#13;&#10;CF+U06kocKAWb4+uXNvzOsdqHCirkJ9EN2kDvYvPNP82U7f3VDwitcPrbfQsRt6UD7Vlh2FKERxH&#13;&#10;YZnrEpOgXd3zK/fPTwOWnMpVMqXa9uN9O2Se8c/VM9vgplKvcqo47S1LvyecvS2b1fIsXBiX8MzQ&#13;&#10;L4rWKRn3/9Gor1zc90wjGDFKNvDhbd8bgah55a8J1CkswvGsbqFifXcSkgk/1wlXO6zqP/MmBPfR&#13;&#10;DHxMGu6myg53iIexF5BYUW3YxM28Sfq1Y/Emh3NCjWdCHSKsRiqswbfz+oDV/XepW+B1fYMxQb7k&#13;&#10;+IB1NXg85lojQETuvBvAJT1T7qSWHRs8HrXDSsN+M7btgXD43GzpPBOjqpn9JltDtARaYjDNe843&#13;&#10;8G3R1Lm4bmTwbdFzQzoZCouapZJTs7HPLa+kClo1Ck/VnNR9OYPtRPS6UPsYj5mv4v3lBs0nXTMA&#13;&#10;LGx9dsd0V1kYcdl95dwpAFYpMwLvyFvpFla2Xmq3T/7Kg3EnA7JwRsrPcv1mG8qnAQqJzp8t+l2F&#13;&#10;VfB1SotfX7260gd/8c+fncAW1oga9bZXSVEwtjxzaHyrARuWu8+heZPnpofIFeJ8zalpNaF8pp3x&#13;&#10;SRlfDU1LLbxY/QenFsvE9+tieHErWY+sbiENskNXrFqA9qc5XWrmy4rkaYJzirlOJj2yCGtHIfko&#13;&#10;yggzRz3uCIsj7qDmAZrpuT06LXWtpHaBCW/hoIlKxzTD11lfM7829yhYTF6+bXiLKxSaRp9mICQn&#13;&#10;pMJcQlEU9Muyzvzr88wNdrNX9eZWeNN0DjkkeTVa5oli7yjTkfvWddWIPVWR7AV55KhrCm1Mbt42&#13;&#10;1cDUsR1UH/2sIvP865ody15gsjBM6G75pbfSmM4Yw2ank+6Lm2HDWfKsnGZbqdlsgrY9XyJrv2A7&#13;&#10;E++w5/xzvF8gtgQ8+XUVOiv43pocZj/tyDN7jS3KueTWyZ6jGCfP9Ve6kTWGlap9GN33IClNKnXL&#13;&#10;B/DMrYu4RQJyzjUiLBv1C8/VnNX9ijHeOv+IATAZrKuBVQiSNScIJ/jG83a2XJQgufA8ep1WjVZt&#13;&#10;KDtDh+pZiq8uJB/+FV5E/R1e7CMtaOzeeszR0+i1nUeT61/m307BgZVI+Ln5+IkPkDsMOWO+AbkW&#13;&#10;KzVTXjdHvIj6wHOspstFmEfYHrOTvkO7w6tWOEjXVvbg6Ec8Ni9Fdn+NvMtHfzomgOElRDO8Gi1P&#13;&#10;iDlQ2dxGq7KMZn2IIXUY9gQ7BIiNiRcizW69vGLazT1PQEyEo06E7wjEnEXdRzDSkwCJ44HUGi6U&#13;&#10;SZh/vkA8Aj16A1V630cP41TlCHoEAVykdXpDnWKxrobpcL8Q+bbxDJP6yhCffpAcpryWCaAKvKmT&#13;&#10;UXsanIP+oU2NCrOAHyDfpsge7LaerbAAonJFmjuUdinqh1Z6MMmPKVEpsVlwb8R50PRo0CvZmJNl&#13;&#10;RrmeikTm11mQbYA8JHu8Iu+pLijNPLaIA6h3lul1ZQ46beF882EjDyjeRO7BE/Um3tiTHcwe+JtY&#13;&#10;Me1rVKWiprdL2Om/9b0/lXUOXNoN4GW1R66CB7CMl0di53jrtPdTQe9aUcs77A+f762/w25cNrFt&#13;&#10;dW6n96ZdbAeY81mTHFjcLw/SSpKBO5Ep4ocOK4KXgLtLxgGF+axre7FPi9cpFejbUG6ZhhwW/1u2&#13;&#10;c5cxkvuhOvSx18qXfLodiIfXSS4U7ncnKWMBDyYV6CePZqlxtmXjqIPurqzt7Bv0S03lwzsG/Y5f&#13;&#10;Eis9SS5V3SSqdVUhPDxJLsXdJC3NgyRpwySGU/qoRS2DJJLyyvbRBCXDTjsGeu9JF+UKDC1w6pGt&#13;&#10;i2wS7yc7eMz49HPnSL6LwjoC2knuW4noZudPcR5iLkMolIGRb+4TWYhSIx+yLSNv0Xdb40GsC/Mv&#13;&#10;V5/Rs9r3MVvSPb67ytOz7fZhHqPPKIrEsfVpWgrOyGaxGvQJrusdA3yymqR3ekU0oLUJlH3Kllg+&#13;&#10;qUIuysBWYQPUq35HnHWFY1L9juR1xWqW2HIzYYRidLxzL8gtIwPI1sfhlvYoQLHVD3Y46+Ju0f7Q&#13;&#10;wQSGsuqQur6hdcpjLkQbRZzcOv/V+yZZY5byuKk+1WNMn4Q9pgemxj4DS0Kf9Ca5RRa/Pr912DHK&#13;&#10;jMJ5QkACYR/KMfFVir8sQTy0z2bdvaaw9Tn08iEVury1rSZDVgcFcsrvhN9CKUE7qhTfpjBT5CO7&#13;&#10;IrxJBQeYWn5JBqHHSj/+Aj51g77K5y9LJWXDNtJBMhv7YoVUNfZNPKvq9JWdH8W2okA9S6zKaFEi&#13;&#10;i2WCoXeQB7NR2QXOM4WMOkrc7OFgDzaMlGSXbJdP2c0WWcPJp3LZj8O6ES+z+FOehgZbUnGwdPZh&#13;&#10;C5DkzVw8C48MXbME4IRaRNdP14Ic/wcARCC736KjIiPsNmt4WGiIJTgoMMDfz9fsY/L2Mhr0Oq1G&#13;&#10;VWQmUQIJ+ZHdy2x1bcrqWJvIwsJEfh1ZjhXlrSrK6mxY1f3aNnW2MtHMdm1LB7Yce11Lh7ulo6Ul&#13;&#10;MdmyITsxwZYfaavbnxdpayBD+5Vg+Z68yCG2uvOiXCTKq0TZiGW7HR+w5QdV5tnqSJktv677jMql&#13;&#10;+WV52N0r/NM+XWIC+lc0IT3vuA66lc+tDELCW+TXWSLz8uuCI/PEPSk6v3xMXd9+Jfl5IXb7kMSE&#13;&#10;OtJtdOSoOojMrfOO9zzOn7Nh0/4lOHZiwnjOPywzjIkcs6zBAaPKeKm8tKROKh9SR8v4GD7xdYGR&#13;&#10;eXWBs08FXb1sLuUvb3WzjkZ3L69Y2h1Fs6zQfVnGr8qX41XPATbslt41pKSO3DXEzYTg3T2Lish8&#13;&#10;XlNWZavTRuZGVi6tKkOZQ9+SeovDkh9ZljekDvqX1Ac7gsVFYsIrQbd3sqNQXknsmtiV0072oNvd&#13;&#10;9NsF7vqPd+lFuz3fIO3Zv0UuhI8U2QPZrLONtvF+I5HXTP5WkQlLR2diM/wZQnCW45GfbnUUTUmK&#13;&#10;rpOje5TXzRvgYaO8Ms/DXFVevTbYwudQljsE25ctNXXEYbC9KdK29DdAzUae//7amnJPjRJt+g14&#13;&#10;keu/xYTwfnN5hhAMHy4ospKrb0a+5zoyKL9VBV5jZV5iA8Ql9GwAbd+SbYSsGNJAXHc1QF7YK+j0&#13;&#10;pJEj8HY8N7jxeTgcXiQkYEWcHUs4anfspzu3DNtS29IeY5bautsq0aRYtKB4o2LpkGQU2IASFAsM&#13;&#10;LLHXOYaEtBQrhgzpiP0k8X6Y6GfpEOyhytNDlegBO2jCRskJPXFWbfqW9Cupm5cXUufIG4JCRwvd&#13;&#10;1bekbhfqacgQbJXSwinSueODPDynIs8pcVhIc/cyAPvALoYsXeq+irTX7Vq6NGQpX2nu6wYC11c4&#13;&#10;PBUNIDpAATaQeX3FrXmR9hAhYnukHdkawmXaDg242YAaoP1fS7hDawmnI7cdhIQz/ksSzvwnEs76&#13;&#10;RxLueGMJd0KeO3IJZ/+vk3DnayTc5a8lnNNawg7kNkdIuOt/ScK5/0TC3f6RhPNuLOF85DmPS7j7&#13;&#10;/zoJF1wj4cK/lnCP1hK+BbntISTc878k4V7/RMJF/0jCvW8s4T7Ic28u4b7/6yTc7xoJ9/9rCQ9o&#13;&#10;LeGByO0AIeFB/yUJF/8TCQ/+RxIuubGEhyDPJVzCQ1sk7Aipg9YSnnedQOG/LvJh14i89K9FPry1&#13;&#10;yEcg+8OFyEf+l0Re9k9EXv6PRD7qxiIfjTyP4iIf879R5BWtRI6pfmk8mjqiENEF0R4RF79N43iV&#13;&#10;rAK/4RccWmJloLd+EfzDGyQJ91ynxXsdSXIYjKAdvSDbOnrBgsLYrlrcF2QwAlaSD1GC5tVHPWNt&#13;&#10;IF3qoyKRdHYTWp8RhgQc2owoa1PGKGtjRoOGOEKsv0fdb72EuBiVY/0tKtX6EbY7kFFg3d8V79db&#13;&#10;P4hroEjej2pgxOFt3Rt1p/WljFjrixmdrPUxWFdv3dYVyQ7rpow7rRsXipon4gTZENVA1tZb13Oy&#13;&#10;w/o49v/QAnHjQfeD891k8kIxUM12QSZtb6DP7LBWR7WxjsIHiUNvHR410VoalWUd2LWBRNdbi2LE&#13;&#10;eL1i9lt7dhU9ONwDpbt77xAlOE5zD5sQ9Zq1rXuECN7a4Wu1RfWyhmH/CesfwtsjrF3jGsiWlwvb&#13;&#10;xkUVxjyU3kAuiDE4edBNJrnJ6JidZDPuRGNxzxVNHt5eGIs8k1X11gVI1m4vbJsR3SCdcZit22MK&#13;&#10;YxYi0hHRiEENZKAjQV2tjlEHqe3UeDVWbaPa1XA1RPXTmDUmjZfGoNFpNBpFwzRUAxq/Btc3jni+&#13;&#10;B/dTxGeACuPvTJRNtPlAB/exlGgobosbFLgrYEZOUI65i09W97wbvJV53uOv/gS1LpOwuofQQOu2&#13;&#10;hg2pS+MFV9iQ+P/OT0UuvvXsP2t7/1nnikW+H5lfgSirWzYDt2XzRtls287N8mxm2pSNGl3JaXlF&#13;&#10;3azIiry6c5F5tm39i29wu5jf7h+Ztw2K8weWbCt2VOTV93f05/n8kO198wt7XzPWkpaxCvNv0Fk+&#13;&#10;76yQj9W39w1u9+a3+/KxevOxevOx+jr6irHi4/PHD8gFeRf4yLshUV4NYSyX/4656zDiS06dA1w/&#13;&#10;ygdA52pynZfao+YiOI5eIX7wAqjwMtwODD6GrUQLkXCepMEhEkbi4Avgv8l1HCywDNbjez6cIRfR&#13;&#10;L58lbbFNOsznZ4+uyTAZcvB1hsjgD5lw1jXHtdf1B+TCUthDVOJLwlyvQDIswtdaWEcMdJRrGwRB&#13;&#10;L7gV5mEf78FhV73rO+w/HU4RH5LMOrm+QgOTsSYLlsBWeJnYSSSJI8Ncp7A+CHksha2uItcMfO5H&#13;&#10;bJUMvWEOjnaMWEkbEk/Wkq+l8655rhU4t1C8NwhG46sa7oQ1sA6eE61GsVDZH/vPg554bwXsgzPw&#13;&#10;CwESS3LJTPqp9J30E+vE1rr2IB+DcLwyeJxIKJUoMoiMIZPJc+RF8ha5SDNouZQlfcomsw3I2yBY&#13;&#10;DBtgJ7wLn8BX4jcyL0MTYchTF9KHzCGP4nPHaTs6nM6ly+lh+qOUKn3NVLZMvkt+zcVcn7ouI8/h&#13;&#10;EAedcKX3gxKoECfKk2A63AELiQqrYRu8hdwehaNER0wkmaSSAjKQDCMTyCy4l2wir5Ij4jfGziJ3&#13;&#10;vtRKI2kynYHjzadL6HO0nr5Cz0s+0jRprrRL+lq6yPzZcLYLX0flRHmaEqr0VPs5H3AedSW6VrnW&#13;&#10;ol4C8BUFsZAIXQhDKVbDQtTkEpTZOtgEz8DzUA/1riskC/bAR8jXMfgRLqHGQvFlJ2kkk58aIYcT&#13;&#10;STW5g6xBDreSHeKE8TX4nHxOrvDf34NgqqWJdBgtp7PwtRbW0E+EfAySXWorJUo9pQGun6XnpG3S&#13;&#10;LyyaDWVT2By2lK1hj8uhcmd5sDxUniw/KO+QP5A/k3+ULyhhyiJlk/Ki8omqUdura1QniUBebCQa&#13;&#10;XoQ30OoekibjdRR0IwtRq8WwD633PLwNV+AP2AWbSRg4Ja7NNq4N0OBajNrcCS9Jt0E23Evvp7e4&#13;&#10;cqQtkpakuS5hXymor6sv90/l/xCbroLMRHyDzvYLAAkp479NjXUKx+8A6vcAmoN/De1PbuiwrJ93&#13;&#10;Axxww9AAYGTXYdVVeGEb75T/+zAhrz5tAczYnxnH8MV5+OE8/NcDBKBHCljnRuBegCD+NXolCJyb&#13;&#10;BecfUgYQGoTA9mH4bHgvxAUA6+sAtkw37JU38f8mRDj49wbfxE3cxE3cxE3cxE3cxE3cxE3cxE3c&#13;&#10;xE3cxE3cxE3cxE3cxE3cxE3cxE3cxE3cxHWg/P+1lTvLu0ECFbo47LISRgkwNUwCnczCJIlatIoa&#13;&#10;RiBYo91qn5gdFB/f+0J2UVN2b9PF7CJTUzbkZDdlc6SmtPOx+8Qg1rKNDY375d2XuzSw/leed//l&#13;&#10;XTJ5kVZTPo7dYYYIiVjko1gdzORP7XO7825PDjedLoLk86kpvnYfezLt0rSb7nb+gjw6XEdYW/lF&#13;&#10;0EMgTHcMCSQx6ufeUqYxwzvDN9O/pzHPO8+3j/8a/5d9X/V/x/d9f2MgDFBmwAyFKcpTyl5vSeMI&#13;&#10;lKnDxygv8NIv8Nps8kvxo5P95vmt8lvvV+d3wO8nP9UvuCCot2nGnqCDw6ecLDpvOg8553OQF6id&#13;&#10;MpzUgrldmrmDqU1khOIDZh8Ttduoj8lsJ6P733FHnz533NGfnD561HnOee7oUeJP9jsvEe1lojQ2&#13;&#10;Oi/T887ZzofxdRtZSMbh624hjxUAkipvBSOkOcJj5SyZGsk+LTMY9NtBm2kzpBjKDHUGZvAu8HJz&#13;&#10;dXIfspRzYT+yNNy3Q3qGeHXgMl+xKL04PdpXf955RDqzWzH4ZsV0jfG9XCzx75F1ADC7vA3ssNhR&#13;&#10;rvoRFqKG1pglFhZMAoLGkjI2ShlnWU0epGssTxE9BJuC2wd3CGWhwYyycG+dw1cO32A3hIcyyUvd&#13;&#10;HjDVSqjXaO/brJtNdjLZPs++yr7eXmc/YP/JrtojCyKuSvDC+aws04XzPoFZkNOUc/4rLJDhqSnD&#13;&#10;p8CUZt7bozhVRbVj2Z7G/P1UxZt4EdXub8/L6Xzi7Y5Dxo6cnxwiO8+p2bUk8jQxleWsqp3QJ4TO&#13;&#10;arSuu/PeJ+7pPHJK6ezyzNmv1B5yfbxh7oCx/XrlJV5x21s62gyfdwrM2KG1kTURJKWBaBzZCYHh&#13;&#10;0dH6izWGowZqMCT4OsJl5kgwRkerphq7uiDWsDxgdOBtMDp2syklJYWuT6lLOZDyUwpLSStIbWUf&#13;&#10;F5pOm84fPG/OShZ2gnR4U1bn5CDTfhM3muFkCvELDGiXhrOMaRPZoXm6SiCfbUYX0i4tgE9YTeN/&#13;&#10;ukgjbTFtYkjv0PZLBs6dlrtiWcbI8pKKkdR5kdkje2aunXzA1SulfUyPatdl576ZOSrZOThr/NSJ&#13;&#10;K1NC9tHguHkDKudNmFg+qLBd+ucvzSvJ8OtW8UKD8+x7E57jfxGbjvpPljeIbwJe6cj3MhQaCo0r&#13;&#10;DUcMstVAStTZ6hL1YXWLKsvG7sYFxs+MzMdImAySQWvUEY3eqJMMBqPxN7OiqIpBZTrjJZAbSC+H&#13;&#10;VjIYVdkgbde9Rjry/2+bPL1dQWMVMio6eCH7ZFO2TxYq/wL3D1lZZFFSPJtretvb2zs1heCiwoVF&#13;&#10;ItF67R2I3aed3Yew5E3Os7jm/YljkzPf+SDJdO4lmX9Ikxtn0NqmFUKnh1Gnq8EGIxwBXt7eG8xm&#13;&#10;s6/Ra7ev1hEYGGbe4M1sDWSQI1hyhBl9Mn3NRlAWWLzfghqvTMtmW0SB3dSbK/Bk0ckmXODIXdZJ&#13;&#10;1J5bfU1ZF/ZwHpFF5C+cCNW5DTTaF01SQr2141YK9oioGNLfp6y0qqZyUvs23SJcMFayNr3QPje6&#13;&#10;y5AXicHpdLo+dF70JguHVzw4peZhY1BXg2T/xflWvFfgL9++59zz9T7h0w6zOLkBDJCAPq1HL2Ov&#13;&#10;hFJjaQLLaDPYlyb46Ki/xhEUFB7j44iVbdQRbtQZjDUJt8k1If4nDTUhm00RKRF0csS8iFUR6yPq&#13;&#10;Ig5E/BShRiQVJHrkP3xK75NFTadM53EJohLOZ+E/nOX5LJ8sE7oQMhyGQ8DVOfoTbqZ8stw0zR6T&#13;&#10;9GnfbKuBZMTt5SOrbxvaI3MguTckafiyTjZDh+VD/3XpF5fzh/kVXsGFXd5b/v5P3qT4gZW1dyxK&#13;&#10;6HovrY2My1tXvCWno/Pyvg+c75/aTkKeqnxlzvh5Hz6LumyPdpmJuvTCqBMVQP2lS7IEhg1Gphr0&#13;&#10;qDb1HeNU2GJCN0gPGIjBVODdyrW455TTlMUnQhSqKtTfbvY1Z9h97SzTcbKo8yjnF8ZfH61qSmQM&#13;&#10;WEOOc+ezi5yz55K7yZNEHkf434BzW4pG/6CHSEiGUY6ASiuxeHlp2rSxJTj8MFrYjJbA0bENZOQO&#13;&#10;eUGYl8/oZCw6AvQLwraYIlMi6frIusgDkT9FssjUgpSrvDWh3zPxt2a3sD8raQ+ySVqJW/GPSs9I&#13;&#10;Ih3apwsvoKjhBM0qMoJ2aN2GjKgZNapmSlnZFOcXNRPG5/xw6NAPOeMnTHT+/Ouvl0luefHgkSMH&#13;&#10;F5eTjjNmTKiZOrVm3Dtp3TcWPHb06GMFG7Oz35n9stNFyMu03ZgxfYrLy4u5L+js+owlyjsgFOJg&#13;&#10;qCM9PNI/2BEXp4t0UNnLx6Ezhnv5n7QtULxqjLfF1ChbTKEpoXRe6KrQ9aF1oQdCfwpVQhMK4ls7&#13;&#10;wfOYAZwycw//tpgst7HUFDO0s/kG+JhUypeKna8ltCP0H5ERUR1Yi+P39wto15kYPyc953TvNs+5&#13;&#10;daOz0ZeE6kp63JNl1cQk9J3+nPMCTWtfPnVMj/b9x1ezB4nd+eVTzp+df9Q5t/3rFUffdcVPplpS&#13;&#10;fjx2JqLLw3NWxToevvNO99/3o23JWzCnoeKv+484JlRSEiO31WUqGdpCpVI3U7eYLVbWSg+yNcpW&#13;&#10;6Um2RWkgDbq9ZK/uC+kLnT9RFYWCRqvFNx1RZeqn00Wb8dJPlqPREVJVE8f/TkGnZxJVtDpJRj8Z&#13;&#10;GGjR65iCvtGvXitRJDt0wYaK6bVB8TN6my4EFTVlZeE/n6zg3vkVeaeDMG4EZhflZGebs7KS0UXK&#13;&#10;wvf07FdSx3aF1LE9QxYlBXkqJKyQ9gzxwZb4b5EpO1tFuBcxseuJndglfBGaTGY0PENKqc5ZP7Lp&#13;&#10;2FjnG/RVmkjzSL/LXUiy8yMhkVLX5/Ic+UfxfQbTHLGDdQ+oD2ikYXRISEnYWHYrWSI/7VfPXta9&#13;&#10;w97VH6Zf+n0VdDTk9yBTYAPROyItGo3F0NUqSeauFq01ICNQk2ENVy1274zwYJv9YftzxSI/LDqP&#13;&#10;2WGRTxYGSBEes7lt8LjIOTZjtLcFBgTa23CPQ7kVcPOwK2DnLoeUfvgiCSDTnh2pOveFJw98csvu&#13;&#10;/Y89MSjZSlLbOtGmnbt37KCr2OCPdlxYsrQqvcz58++/X6rKqv3Z+fG+/aRCsuAc16H+5+BstZgv&#13;&#10;DnCk3WomqiZGjTGUmKvMc9hyaSlbal4jrWFrzM9JRhrnr41DB6RRMkyWYBLtHxwU3EBs2+39PZNp&#13;&#10;4pPhudf55ikQH3ua24zTcSIBZn809VisJO+S0MPFyfd8vHPYI2VFmTPWO+ub7qJz2O7GLp/P2Hjs&#13;&#10;Z2d4u8WTXDDNeXif8zzyx9fkQkxWdmAqzL+VIsXhwyglGqagNTGIJsGy8irpCXbSYdssDzNZwnxQ&#13;&#10;rDloAXzQGLLD+W+S9rC8O4znPRtw7juwbz086xh3gJISZZa0FG39D0UOlg7INEjKYOlyoVTACuQh&#13;&#10;0jJJI8uKRqNqqUTbSlIvM2NajUrbarQqmjreUmUmyVpFq5Ep0zGJUJ2qaBSLkWqjIdhgfNjev9bD&#13;&#10;WXZwb9PpINwPZHOrxnTPB99ktSgpXjO3Z/+Zs017VBlt2sQ8VyZNtoa7xim1mAtgyk/sWjRl1ce+&#13;&#10;gSTTLLKiaROd45zmzLqfW27TBjqyaUPjo3Thaqf4ujDUMduK85Qh1uENlHaVNZJFpciUojaQUFTf&#13;&#10;My3qOw05RU057n2Fj30daU8PX/lF3n2lwHlJ6GAjykyPfWnAF6NR6GqyWqGGOMa8pDhv6qXRZPha&#13;&#10;/CVjtFewn38DCWtlGdktpsGdnzCONpE4BDpxYJFiNEwZpMOzqp3HiLV6Fkl1/v6b813nv+n8r1HN&#13;&#10;ZaOcvaumOpu+aPpB3n3yR8HLINdh2QvXJ/8+kY2OKo23alfbBOuDvQPtgW3GGiqM4yNOJepjTbH+&#13;&#10;bS1tYjr6Z1pe8X/f/4j/xwnnfM8F/OF7OeCPRG8v8NFHBFmjAzXREV56FpR0MD7oYGjXZD+JdY3X&#13;&#10;Jgc9lOwT2EfzUFtLqjXdZzCkJwWnpDaQ8O1XF/AFsYTPX8BF7FnCPGMSSs3ijsjHnOVZCwGBYgHz&#13;&#10;PDeZ4Jru0B5w0p7ljU4+MMDK2/DEyQYdCJnjFdtzR3XenQ7HknWnSx4kNhJ4lvTQOL/QTCyccOuK&#13;&#10;7on3OzcPWuj8wHna+Y1zB+1H3q1IGxaUNLdH25jwyPadxx56hyiXzt2VGV1W3CfGEtm5bbfKt993&#13;&#10;/kbU06wt2oUd7eID1KUKmQ4DUeJUyjRaXE7QQErqaTT65xKHVsHd7C77dI/lXmhqEouqiOcU3K/6&#13;&#10;CM35sA+cBc73nfnybueVK93YToJpMXRyfc0y2UjMW/h3u6x09OlEO6TPIksI+yKctPn1dNy3kV5G&#13;&#10;mYLsa4mPioxgbZLaJMXxChaijwgJSOhoVeN0+oQ0fUffIihK6tghrksbS7alKCRRU9QhuFP26yQY&#13;&#10;51BInodrNHHSJ2v/qVNCFbjZ3p/F1xaqQawxjniPNviXviju2JqWnhHzH9ssVISPX2A4CfS3J5EY&#13;&#10;EZNRY+h/fenXIRkpjqExuf06lj4iPdcnovPwoRVx4TrneW3BFOK7fdkyKoWGOt/HHUGnotJpD/zr&#13;&#10;kUFPTqZmH3+twRQY079H14krf9R5WzK6tUuLzllZuqqg4G2nof0tmW2NcfaO0Y7EDk8/8t7QVH9y&#13;&#10;0P1NPXNcJ9g6eReYMZvPdURrbXovswGCo8yqXmeLkvX+C6klIsyqsxpj9MH2iDX2vr09i+7CSc+q&#13;&#10;Q1Gcz/FxmyKInDUCt1H+XHU8WTe7916eTEN6+tefPl/UPzXLeZaEpnctujV6dnjWw490DL/tDjbU&#13;&#10;+f5vTmd9uq3vEnlX04VebdMap9XfO63Xqnt63rq8wc1vAeaL7VHv/JuAJjnyHw7YEkAXhZIe/iXm&#13;&#10;SvNM3Sxzg/+7vnv9NUFUYWEfs6hwixrgpTOYXjZE+enDTeneVkgPDwyz2DTpgcFW2yJ7Ye9rYiXm&#13;&#10;jFy7YlfCVxunXKdTUKltmqchdpQYKlXFbqMdTIAbkkAimTT2lIpVHUJD290zZqCWROoG3u38w/nH&#13;&#10;78T8834iBzlD6GudU3NX9rp9Zo/FE4vnT3sNd1UkmGQ2nCWbxNxy0KYrUBcmnF0fR8IZA2ZA/mHU&#13;&#10;JEFglElVdGFROr2/ZPG1KlYphlmslnRjcLh1jb0wv9UUUC8+5qyrWhGpIN9lBIpNnheJjADOcrNa&#13;&#10;hFbo7LUpmNad67xu2pvOK4R8/vLtFV36z51+6yxWOriIai47VpeXkA6/kEDiaKx9ceXe4vY7l69+&#13;&#10;CddhMu7vO6I+FPGdTM84enTXLPJbTR7GHIxoZcUkW3rK3U09bHeTu7wXWXVSgBToG+AbWKjpFdAr&#13;&#10;sIelNKA0cKjlCPmSnQ371nbJZrqFdDctlheYGKZuDzra9fEa6VXjJXl5hShREXY10JwQog+QaISU&#13;&#10;HjgnIrzMMM9ADZYoavV6MDw4MmpNizabuHEOR32ePJ/sFsd+d/ozvAmlMWU4wY0vrsUkEpkewHMH&#13;&#10;1e7xn0KrKCIfE3Qi5EC1F3lNnTNs8eECh6+eNgUo5Z0GlGSEB5JI/dDljQecu4n1lJ807baqKdPP&#13;&#10;jZ1UPq/nPZtyY9NCUsrHPE4MJImEkCT3OYg/KniZ/BFmQnd2TcYrCfebFHO/PphvjAR+AsiwJhBb&#13;&#10;6lH/pbgetShTL8ycg7E2ECzAv5VRAqP4TiwtxOA9K8bJ+7B1MP+GLOKFGiiDsR5/deEkZrnZBy8I&#13;&#10;j8qzFIySOeeH444I5x8Q6J9EUPH+7fz51j+yQzvue9rRtIQ2QVPiX3vNefLxdZ26nJc/kqQzktTB&#13;&#10;Zst+r/Feqea97i/kjkIecp25bATq3Ci+a2uow7Q0HB2gHJWSrJqVaGMU7tZyHLZQW0KQdwq1mq3R&#13;&#10;MSkJvpa00IUhidr0hODUtFYme6Fl3Z3Edde0n2+RUVM+YtFFXd2joHbMqKgOdh8/XHV8P+NRWGci&#13;&#10;FEY7tDe3y6A7ly6Y9FBWuK3jQ/rOlQ7iXzDb+dRHzt+9SLohJKl6bfuI2ORBiz++8svXw75b/eQj&#13;&#10;T9zTc9LIW5ZKtcHxUx+9cvGTCQ2bNqYFxIzLXde9e2RXEtP4K+kpufW3COPZCHknaiLHES3TGFri&#13;&#10;VenF/ALNYIgKVE2qTpMuW4J9TTE+mLe+Ye+bf11qki1Wo4gOAej3/VHsnuUnYhzu7qVuT3ZI9HN+&#13;&#10;FR5TPWW68yQJ7bJxKBvRvbDznfc1zaOrS9J7rV7eVC/vbLo0sqfbFy5BxrbKH4gz406OiF7Qi5RC&#13;&#10;KWFkG1qToupEvFViiIphtr6ZJXFo7DGKnCL3IRlyILDVeRS9gADbQ1TnrVfe4HOfj3Ovxrnr4SdH&#13;&#10;vYN2lw/SU5R5a3TaQfISeaVmhfZt+X3NIfWo5ohWr1GClGQpmbWVE5UMKVPpJRUqw6UhSpU0XpnJ&#13;&#10;FrPV0oPq09ILbKuyRd0hNbB3pPeYpadyi1osL2YLNHvkvZpD0iH2lXpYo5e1WoZ5sV7PNFTFoqrI&#13;&#10;OmqTpA94eqzFXR9TqBazYUWn6gAwGya6GNDb9Cl6h57pMS1eZO97gs+6cbjQxA98IeRki4AdmLWo&#13;&#10;SByF4dZu9pA9YMa6rCzvRZgO47aO58PD0U+0zofnkyAympQ7F5Dlzi3OKzOcZ+SdjafJWufIpjHk&#13;&#10;4znOp7msluHbFnGOH+3wpUB0MldCDAlmcv1Vq2hWgHvrQLY4T5AwvhEh/P+OVtaxoZAIu7sWQQZq&#13;&#10;maAfoLjmKUQjxoM3VKE3mIV0NtIlSJcifRjpw0ifRryC+Ba15YXt7RCLvFhxrUZhn0HiPRrtxYq9&#13;&#10;hqGX0aBfSfZ4GAXSQUu88QkfKAI/LIVjVhCGviYcfQxmwiQS++sL+R4f07THhP7kQvNscMOBbsad&#13;&#10;nzYfbXHf6i95bF1VWszeXbT7i9M8bMSpvHJ5VpJJR51H/NqMnZEY6DzmFzV+dlwgGqR/h+QBC+cW&#13;&#10;dbFlDiiZyIZmds8akFHV1I/u6NK216j2PZpupUvKE/r0SRzSNJk5Hh8U5cho17csMRHnz9dtOf//&#13;&#10;D3GGPR2JMvEn0SSDlOgr9QoxmxRtFDp/L6YLlNMDvakl2McrxvvaFbzHs4lO5os4+3xOlmcV33Au&#13;&#10;MdLSz51HAuNm3JseimvYNyO1ZNF4Vrptf1MEXV2cNHBO14qmemRxYHSuJM5IcjGfWccqxGcqQVDk&#13;&#10;aBsoEY1hsWGxSQo0BnmPNUpyVJCfqo/y0gcFaWh6oMWiSfcJDrY0kBnbr01e0Gl69gj8ZBdqp0Q1&#13;&#10;n2FhhI8SaX97/u5P6Lm77547d9GiuTTJ+b3zW3x9T/wwFQkmfk2fvFe/adO2bZs21Y91PkMG/fQ9&#13;&#10;Gep86nvqQFnOdQ5ga9E2jWgVtzhiA301ulALjbKpFkUX5asP9tIYg4zpJkuEYg2xBsUE3zBfFNFY&#13;&#10;ZCctyUnrrKqDmYdekUG2CFWaNvVOzBArsvvfOjeMaJ1N++YXJyc6TxOfpPYjF9DHd9/fe+YbRYkN&#13;&#10;D9Ms3K38iPuVj7tG5TftlX/cUBDbw+0rs519MWaNwDXBeY//Ivy7UPq7gZh9VeTfVwn0irLoA7wk&#13;&#10;q681IMbfEqFLDxPcX59acdazBO9uC4/KuJpGXQ1Rdp+WNIue7tI2ovPDExeEZ65xDExtR3ydp22P&#13;&#10;3L3TeZHo93x8+4A7xvRZ8dTTUwqXSMvE3WVQHN+2KHCcBHcLMASCBIK7u4QECwQIrsEtuA0WYHCX&#13;&#10;BCeQEAIMDsFlAsE1OEEGGCwMNgyDPnLuO++fI3XfqfvlVvWH7t67117VXdXVXbX3b7U20F5BbMlH&#13;&#10;vjOoptLFxHghz80CIjOsSjo3KZPVun12XfTo1MJY5gyEOXHyEj5q42ZcTQxp8wbHy+8n9Ds3IRkW&#13;&#10;nTtwl3PK15ZWWFZwx+KwunB1C5yeZAFLkYQxgjKLA4mBNrqujiv+FekkMNIYzdFX414xmx06y405&#13;&#10;xplfq3hfCXFRrzT7t35ImimpvzO2jF7P7gXuBmzj7/s39syNsWoYvh0ptEY/etKVmmyh/0rBOFgh&#13;&#10;vKlzlIpKm6Logr1ceSLzEeZbSn92BZ0gd6sXX5yvMNicuI3NATUT3g98p4BTwDULFQKAvNSiWVGE&#13;&#10;fc3OJoCo/ucpHu7GJ6WFhdV833qRtt7BsA+Ljd4tZjs/9q5gl/fKoW/JcqVs/QqaxWZn5DFDXL1a&#13;&#10;gCwGag68xvpGRuru7rCSqzb/L8QuSzmWe3P8bHdgTJ1L541n/lyIfdyjG0HCkFlfr48mMTebmQwf&#13;&#10;sdy+POyGvRTApnnsjVWmXU7Ceu8ltNLEYoGmmRhBMS3X1rg41BxAdExsxwOyv1JMOUdDBhEtGDrG&#13;&#10;gs+lUtjtDq4/dJavLgVdzZIMNbqQRiRYmsX97GRVLr8JLREjDhqv/5KTl6xl28Dh/SQ4F6w7Syty&#13;&#10;L5jxdmbaLPGRaSgrEw+TYKFhpTYlvoo6a9dQWZqHrA3/rtUT+YBnHE+J8Yjut++eNn/NqYt9T4T3&#13;&#10;7iRPO1EMijw6yRXwOyPjbPIcNRKaJyHRDTQP4FhR5jOWa/qKGUKb/bzD7quGcG8a7rB7/KfrqrYa&#13;&#10;fc2TEU2/jn3hADeawdHwDn++oW/NJ9kftOIFtGk/SH1uK/ne7M03gdEmnKOZ5mqrjv6KIG7jx/Hr&#13;&#10;u7kid0LwV6X61IQaGsEtnGkVtXjaVu2yYT49db1PRTRCD0BFZqkepTQ+1RYN4UOSzQh09+qdPKa1&#13;&#10;cdSA21ARLxsGN6zd0Mftyr3JAsZr/vh9ibibN3A9V5me3fAgQ9TQFUqaG03d5yw52ov26ionsxB9&#13;&#10;YwNnnAnt4UOvAXCsmzS6ENSA/0IkiyD/hTpnTfQhP+RxLa+p0r6WC2vNqPQob4H/KApb1nApNuKa&#13;&#10;A2Xir1grlN93zHvQsA1/YhGsM3u1+IZYnK1/O9bb2pt4V2RHZsKyVomCVQ/Bz1YuYm0n/GNOl6Hq&#13;&#10;+LvvF4khe4JTTVGeSZ4Z8IToNqWsbESfmguOYvwr8OxjzgZHIf7XlZnUCRIhEWZfdPS4DR3CwT82&#13;&#10;fn3CKdQJpEXgpMN92ooUd/nOf366X3VI7Lfgsiw4nqiJI7x+867XcylRs2zbZmqAvmkJVb4FOBvg&#13;&#10;OLwRtOtcHmUJMttiNxkYwatORbu5bxhvrJ5ekAlJdtHxaH/SfTQs/s7rZo3mqQ9Pnt/lqMjTpzY3&#13;&#10;qum7wzLkhBWNRyAK783Qk2vcGMgtufx9ha8jazLxsGGRsjdev5QDnyqbldbr0R2Ublea6Uh8SVBb&#13;&#10;rH63Tm1CZ6WPoWeKNarfmEpDeZW5ixFkhVFZhDzajhIccZt3tQVIobxFDiSlVQ3Xs/j9Cnt3RNjn&#13;&#10;r55D2lHrAHnzpstUiRQ5IMe61I6zOvGJE/kkd25Lk5UyCneTODfhGbiNNQSyTavgugOFzSdLy5aB&#13;&#10;F4mqRrnuPtkkziYSpnWE1Wt2ixWecozeH8ICFWg5FGZZZXqtibGQYX4sjZ2ngToRtozJij25kv04&#13;&#10;5bVs854nd0w8pOizv0SIcIbsu76DIdMbZyI01AvXoSZ1pAsq3z68dbkjX2CFldgBdbPNcZz7abgr&#13;&#10;Lmjj8VBhkZOU7ZL8FCK/Fs/h1F9rnsDMubo13s1ouHPJFoNNZED349yWj9YrDNnGJd3XFq/zZWLi&#13;&#10;x2biBEil6BHpL9U+roAEKBEwaVvKWlY3na0CwfNUrrtIj19o6bw+F3jBq/UqMnGSXidTORj0qUKh&#13;&#10;5TSVg8sQrrgYMNhW4FlccVyT3doelaRcp/SKawFJZsuSqeHVvLrchSr5UexMiQgyofXFDVqy/c5i&#13;&#10;STbaFYcVW3sJWRfXyaypePiqeBjJidfGNcgJjnbUmbGYlwsA1epPE1PbSoOjr4udSRCUxc4b18ny&#13;&#10;d/342QTupjQYiljrjw3JFF976YjEeQCobM11OnTTr5VQyRyXcWeqyu/gn9rcP0GG5K/I1d9Ec+Di&#13;&#10;A4Hktje0mYAYqk0S/n7WYno2P5Ziep7Bcg5jZVkVnca4YyydRBLPToN0qNLlSHEu64IU56Cp0qth&#13;&#10;ZWjmLxMdqlpmU+X5kZOmNmcmK55FpVfsu4CQhcz3GRmp2Zmpqa57Ev7HEDzjpve7A1OfXk4vBDyn&#13;&#10;y7OBIgV1Xdr7tMrfiTi9iax0Chs5UdMvd2EC02oLelzUHwmnfYzFxeNiGy3LFgF6+buOQPiT8YX5&#13;&#10;SPvk0KcVxJ9HHpSVOfBxb6qpWw9+TUe6Gi/boVHEtWxR6S5zF24h+qiT9gNJA6AIsTZRxr1BN+P2&#13;&#10;s8LU0hLOJo6d2aXPpNJJYWZ+L2Ouh+Wa+x23Vt/PPAm1FcDdGw4oFlOWBPuBLcBC2zFjGo8+830u&#13;&#10;lYZ/oDd9mnAOplexNH/pJ33/0uFgXrH026SmQ9IpW4dbWtIQYAC3BlbnZ4dhogQctTLHVCYWU/jy&#13;&#10;wmCi329/YkoL3+3dk2c5hb8+a0xROfyCUNzQ6zXdm+0rXRzIXOB5bPvcUdmR3dhI3VHFSj3AyvHS&#13;&#10;adGknbOMuyAAUR74rd7BANy31v7ZUNezAW9AuBJsdlpFYyAJNEL9iHXdbGighA721we0VAetx9dU&#13;&#10;At6LddQGqXyx+3mxMRxtAD4D1sPTkJ3tAddDNWkjuk6fn7f5SEA/LQy6iO2ff7Yvp7R2nnIc6tfT&#13;&#10;y5rVrP4R7+JSaVBQli0xIhL8IpLwgcY7M8sHdVZvRqYp1bhcl+glG1/GF0D4qzACAQb8n63KXdz9&#13;&#10;Xb6VzFNCVQ30n/eoOrld7avTg5IEW94EJUQPLBw7CDfyQ2+dnxhjn4lW9Uw1Fhf7xFfWBk1mx8bo&#13;&#10;fuFy1xQcZF8+HyhtEJk2PqGhFMNrrMwza6/3UYh02V+QXSNmFwh+8XW1ui2yk38zhDMOT2bwhzwn&#13;&#10;hInyh9uh/MeEAkMUG97mWP6m454w0ARVv9NAqTvRpDd7+NmvKlALzBiZR5xtIkP3bamp8fUbDW4k&#13;&#10;6ya5y4Gxbpwj24/n3xbLrLQ04HTGoukjzXgEKrfUlEcgsn/V6vh/a2D/AVUkyC/+p0xk+mLIsZeP&#13;&#10;pO2Sy+s5cXcq4D62tXsuTtB2RAsKTdXoU5QRVa3n4YrBDA01Z7KFj52PqlGkrXeVl2jNYS9R7ceY&#13;&#10;hjz9zL41S9aaB8uSDCDQZ01NruNP+w/I32qajEGVgksXH34X6OvRymJgl6wzLYp6II291vrSRjLY&#13;&#10;rtXplaSJbDyqKP8U4pcMe66zx9kuslW5ExNp1ghOH/KdavN9L9s36wxSZsRvTokonhBKdf4Ap7BZ&#13;&#10;qsy1pW46Dq2/yJJV8Hba9LWWlvRxHmXJ51VzL6xT1VnXYQ5VL7RLstp+sf1iI/E7pRw2kmjGzBg2&#13;&#10;UiZ3H90nXn0CnSjRnorlPHwVu5ucPpQ24l34u4pMnRM02P0NhzCmDdYqo9jNBk2TCrM1V/9m265F&#13;&#10;vY1eI1GSW/yrR5m0Xu8bk6xw6soyr/EfW32892+ewm8i71+QrP/Ig/vPKbjfZOA/UXB/5/z+bnX9&#13;&#10;7vJv0vhnCu7/yoD/hoL7I+X/BQVO5A56ExUT5/ud3z8ocOJ3QNvfubY7tIzvNwL3l3/2G4ET/cNz&#13;&#10;E7wD3P6C336H+gti+5OE+4tfu+vx9/B/aWl/S+LPlj+uNWX6RyXuDlnj+wNa+yPIX4MI/z9T7q89&#13;&#10;gT/cu98R/joW+wu9+y8R7q+L/ibC/b35bwP/20Huwv15F+7C/zv/TfAOu7tr+Vf37Q+g8bcEeFdF&#13;&#10;8c5L+/+4b3eo2v+EfLvT7QSFhYVExP9RfBPlEbgD1v5b8U1cmI9HRExQWPwfwTchYR6x32LgHfgm&#13;&#10;wM8jLPabEvwH8O1vIuYf4Nsf0OR/C76JCone5fNfJSTvwDc+fr5/At9wLdJ+UIsGHQQfCKZ6leyo&#13;&#10;pYloTIrshGtypFPRqYfVIjnuvSiUS3k1qEdCic25bnNPTPvWuZSgIRSTVMlETN4dHWN92/z2xgNd&#13;&#10;46en26QRyTQy8PonPLAzKdP8bjqSJ+wrLP/oEaEcWhfaiXz48OOMTV2zZusXVHLIKbTJtae25EOw&#13;&#10;jow3aBbzUDTHcUjtK914GUVPNLKESnpytiROlhfwe6E3RKHn3VA2/RHHl7bwUKQx1PvWAzo4dHpU&#13;&#10;pGW9fAJSaqNvX/8l2P29M/Q7g6TlWfZDed4VPD5rqlBp/+H0GvKxGkoAGsUv3PFFlZGyN0sn3q2q&#13;&#10;6AFwCOo5jXCN8+AcujkAXc0wHGGMWSB5EzQtw3beNx5ewPScfFb0rHnWXGbmEG4+xMtKezAL7H3G&#13;&#10;MINs6jJg/ZaDQaJ0CMxbu4nKpwPW27ZhmQO69EXD8CjizyUJSt013TBxlETkScFPT+h0VJMUzEUI&#13;&#10;0dZ0XLQfEb99UUsyM65RTaHzZL6QfRFD1GJZw08abUf/Z+as6j7x+BMlfCXSYtxi41B4uHfnRpeM&#13;&#10;lb9suGaE8HsGzXVDDxDlsTxN+Dn1sfF8VvXLgQgdv3aqRQYrDrEn5r2LHDlKy8J+naJgrm35uZir&#13;&#10;e84wJSD5Mfd0YFekUAbmkGB1AUporAnXIeoUb3h971tDc8pxw1gX/3FKo0q6BYNMZyMIe4MpGi72&#13;&#10;syDpyoo+BJ1XdSPOZ6oQ7fJVPDKuOo8WDGNx6/LPFlNWYjYa5+5IssdaUm1aDWoMfVx9IFbjaqIK&#13;&#10;fe9+EyZ+TXojnimEnShOVYR9NvnDxtXA6oZym3uzy6YEirF3oLISZVvRCmdPn5VHESgx382h8G7u&#13;&#10;cFQyF6Fz7XJiGa1T+xmz1+UEIZH/hNKsFe7Im/SnSUKmZmxy9E5wIJ+sOF8IbkzBmZ55dLtPg3nm&#13;&#10;bglBy3Mw8SLiD8Er0POB4gJBPkpUML2Vs4lBREVzUHUF/oGLHT2c+fi2WybgzTnyvm108Cp9bPMS&#13;&#10;6mda2E+NY3+aMG8fZhFL/wq0KsClWffi4dmcgZpFbqUGx+xJjrYbUHFXTlsGN6xDe6LanLDrktfK&#13;&#10;/LNXGpy6JOUefvgJPkldzVK0Fzc44kQ2OsBbb5t7l2hWp4i9jGUuK22vYNz0VuIqcEtW8uUckKQn&#13;&#10;VDuDmw/r6FF4gegqLKppE/axyK3K2sSXjmPFrUOlSjek0GCa0q5WaXplEPELbN97bvCihlFqzEQ2&#13;&#10;pVFpQbOFmrPks735m0K9WkXx0a+sgxv4zp5qRrEB8TBGcAGko472/KZ3TLahlyF3vQM7xolrgU3T&#13;&#10;LerbFQH2hSoqvGONjrQHGVsQwfW4ieHqivlX+DR9M49j+jL8EkoBy5lKQw8Aw/VW20ZvW/XmSiPW&#13;&#10;r+LaXeaQOBfRR4cmGCYtFF10EDGIKcgx9AKvZNuT5zo+e73TXJZiR1RNQw0Oa5m2IW5eosI3xrPS&#13;&#10;JDwmE2DKCSoY13dPXTzHyaGujgQGYo7jOAD2W9EuGXthoXZQZlVF8yCZYyW19NZedXo71mcKLSpz&#13;&#10;6xm7xM3s10UsM6aPQ22PpdyLNChnw042eGVBlyesc8lj2jJRZ2qmx+yG+fgs2lFcPxoMQ8jn9PI4&#13;&#10;oAhVKK3ZY1liqAcj5rcg1R6Fx8RUtdY3J1X1yv4YG9Ujhn1hyHl1ULc4N+QSH3Nvw4tnhovUG314&#13;&#10;EGf7rVD4chIyoIdQbCxykGmjE9KI60EAOCYV05KZeb6WpX98dL6AOufoXeZARvYk3S2rqV4U4ZTH&#13;&#10;G50vbcPj331qMsZdTbJ5Q9sIiAn2aE8kDU6gcHlGIQjBGmyucjc1pc2Gq59O4F8HrlCY3P26KZVc&#13;&#10;IEp1kg5aTHz9GIqMnTAQ5Tnb89lcfkrBcDQGurLApBCCtYhzenhX+1dMhL1OKM+W1DNFQCrONYfy&#13;&#10;u4ajH57XVBJE6xVR92m1yANOQYVlIc6SGx6r1y8sqakVs0JdzgrSMpI/5SpfthJscQVsx52diDvQ&#13;&#10;SUVfdwxmytE1WZZgn3YfmcvvC3L0jM5ObPaAEQRzt+g9cNsuLlDwG/G28Dl2K4aQdvSe2SAsLdIH&#13;&#10;Vztaac2775sXkraRZoxp58CUj12ePR+PjkTDeloUWa3eV0+Y9wiaaP0wnK7zSE56AwCK8zAotCVd&#13;&#10;qZe4sXSo5irRKwZFryJiSU1TZOP9eKubkCxmDuHB6Hpp6NpRZw3xukSnNfMgodO6EVLaY02y0WCZ&#13;&#10;EQXzd5vtmNf+iYc7hrgTJq1oaQ0c2cO/EkEwzrXkWlqiz0g8wA8MB/zlvXFm0L38rFJmjW8Crv2z&#13;&#10;QpAoqTMoMP8Sxz+02hgfoyZT3hQPZxmt21y/75dpxBi0JueAQs8BLMeLILevZIzO2UDwZdxgRDSA&#13;&#10;LcqPMc3AkUDCDhIYXXTjyCzE4EraOCRSa5OfPCmQbt894rp9knptPuQpUuR0lqfbBsE8OgvAvHQ5&#13;&#10;BVyuy6xHfTk/GrriHw3hPFsk2wGriZou36ISsYLkwF8qHFymjnLOUV8upvqAmDcaELsbw5KiazxG&#13;&#10;0dswkRhRpaBjg1O3PhaprFWZCp2zzn4mg0kpS2PMWQ4wXNssyWrxkZLeh7G2cJFzPVmENFnhGM62&#13;&#10;WVWdCbyqRCMI/nJnJRk+E3rViLMxS9LvHqAa6kM4vs0Ffec0MbSeq7IrSVlofq2VG0a1To9jr7h0&#13;&#10;YiBUKBrFtQ1YL1HhPMOLDwviSoUjhK2N5YPdblDXncq36sjMVTFZkz2Z0SNaSC8oYumugojZpUzH&#13;&#10;zDUO4NDgdLDd4TQrRD5nAzBbnAV2Y36e1Rm6uc9zeuLbrSCMfn1hFa/LxwjZI9LY9jJTlYz6umHX&#13;&#10;DGsvxJxSfF34qwennKDL20q6jbH7+TjeIm2K0Y1cU5e7CC7nNFl8EdqBQ31KZ4EwEKdlym8FPZdL&#13;&#10;FoqrHSKj8D58NpdXvgNnUyKj39FQv9f6yT6U1SwR6S8lknESdhEx//Q0ELNGus/z2GLYU6Sr0tBO&#13;&#10;qHH25E2FIFYN+aaVwqDn/rtJ6XFKVNCwB/xbgLBh31pPrZGIxkaFbkpB/OrltOnhku9aML0dW2Yk&#13;&#10;U7sBf4+fDBGvaktsXwT69ddI5FO2LubEKMOkk1PC6km7bs6BajWBNW+pEhaBErE2xvtp/Ldkei4x&#13;&#10;Tl30pgMnwSvZWgYKDFuZTiTehP5yveLndXWhjeu4EPa5/n3ZGktC1OfxZ8CfD7yTrXL5Ey5ZV5J6&#13;&#10;GNdl1GULXejRv5R48yld0IVvWxZWYEE9dKihl+g0givYy/63zSseu07J34vyEO3ohzmYq+EP0SKh&#13;&#10;gz4mbCaaYdIO1byo/eD4xzKUY2qc83FqSbEmuz5363VzWs9P7jk8HPQmX4r0xjfkthlySK7ULy6g&#13;&#10;CxOpJ8wP8+XDnY8GFlOdVCRoc4fuseFbUjVOYRw55Mia4O4eI0AwPJfCexOMmpe7fFR7IA62y6Ls&#13;&#10;fBwGZdRaez7IzIvpLVYyR5f1QFgznBCtHoaGFxTjgqvwwPmDU8XiuA/5KPYlHiRF61xHdj7pmelV&#13;&#10;87n9qlmWXLvc0nm/YZas6oZ2Yi9XkPm5oPyvJxWklzYRvi/vW12N7VjcNKw7bb7mN7h50hfrzjx2&#13;&#10;XYf/GGkQdLDDkVaP9iseRPx9OIyG1i+R/Fp2yuxxaLXcFVO+/JvL6CMnAU6djxIkJ1TT+AhvmuGC&#13;&#10;b1j5sIxjmOEVLc2MU/ee2Q5YpxNS96gRMDN5lsz0Uo6midWL+Dj7gXB8pESq+tWY4AKO86Dww04M&#13;&#10;xU0GPr1vguDRe6uMkAd+jQDqsYvXZoSDMsNTJEaUVvxWHFb0W07meIueGmX2omL1giB8UBNJv0UK&#13;&#10;Dzabp3sghVygEmOxC9p9+snO8QOmDfl7uXVLRBOENXSekT96iMwoORvXxi0lGRqnLCVNRflXFmQj&#13;&#10;DKFWtwv1Rndvtu0C+XZAv/y2BBMOywvSShJ8j2D8byZXtW7JtnI8hHuuAna352HAW0dAAx9NOXa3&#13;&#10;NgPg0hpSCfoBInZf8lUKCWnhVWC7h7ngi3mQhP6r4/fmItVvXmmMxGlUpXGVX6Un+ECiSxJYc/2T&#13;&#10;ba/jPRERxRi7VTp/clV6EfHyPX6DHJb8DC9baRsOOMsyIa0RVdY7ON86A8QYBAVpkeKSsJPeZkrI&#13;&#10;teiF+6CSAlsfo3lwXwkozOPsOIoldiMuHS8lseC8feIyoV4so5ZUfaSEl7Rz/VHXUMRmUuGLYVrY&#13;&#10;EOzhQlSc8OvVq58UUDf5lSNC/jrzQ5Nb6l+0+bBQWdSU9C2Xxa0q6SdSOO65FobfAw+MI4n1H6HD&#13;&#10;MoTT4nRltz6KrZ0SLCHUhJdDLpoR7aSN7BaeN7vAXjM8oblQH/RAvm433BvNvChp1zlY1Ekw7a3o&#13;&#10;LgiZPO7jmRN/NvNw8S3REdJ2prhzKPXyYoX9PoSHdXsxuryy6EMQTo9O1iLOuIoF85y2Cr+RVBtX&#13;&#10;wVtHxgfHzRoQDSnqAJohYkVhSaJKfpFn6UmWwK9qG41SZvtc8+iHP412jA2/eHUHnVZ/77xGvWbi&#13;&#10;kZd8EFbjydY3mkEj6dtneG5Ogz/WbeiP3yeAZGGInI3cN1BTXMCBf2LRgPw+Oyj4wKE30KZ/FXuH&#13;&#10;ypmaw6C2ppPXIjGAxVneOChEUfpbXEcFez3EsDXhiqT5gQNrH1DSnTDsSNl5Dn+R+a5KIpDuo2UF&#13;&#10;cwGaaEhmnJMFs2iQZptq5kpz4m1oTiVpTXdcgicjR35c//XNTSScfrA75nJaM5f3pqNgBSxybhdy&#13;&#10;IKvdFuKe259Foyguzvdx4H4hYZ+ueRySTTQGeYi3YWxZJtZ5JU11e5nBg6KK78WcpZciJnmjvCo2&#13;&#10;hnVc/nA9eGCM5EuR7qr/j+Q+lEiobJMfpkDG7KEzRbHmYnd5SURkMOErZ1IviHibF+3rYkIFtWU+&#13;&#10;nxYM54fZJebaBVGKIZn4vu7jATRsCIy0Y74Ny+eLmpphz0PNhzLSSJKsxb7f31bpUCHApFbQYuyb&#13;&#10;s2LN3lbme0Yw7PXk7ZS838iRxMwljR4Rwsn+Qyt2y05tIX54KsZ2H4681JaPAHN2+1uUP6mS6HRW&#13;&#10;23hmBL89i0bfNQM+Ng376D0pA8jp/qSQLE+8QgBGVyvBzgslQEgQcIdfn+gryE9FW/VeX7QgX+IB&#13;&#10;Ef+kqEVaJY0uIsL5TGLDxCcKswP319JdJUqhc/Rc3BBewWJ0uvMOhOJCjOGxJCL4V3/GLIfbPqZm&#13;&#10;nJgAdgoIBD0ShGH6WKfPwT9zZHUw33rGntzw5GcFZ5vTR+SjS79i6sR/NWhvXyocnblU5a7mVKj9&#13;&#10;PinwWvIX+zIONmE6EP96O0vjsDI0SkoIA1yqY3iLN24cpvZuXGeByHXnJd93HPoQwhI1ZHclx54Z&#13;&#10;OoUp+rpqsIcFgAxxdW2QT4x9mqCo3i29RRO6RxBF9R2p+ojljdj2mN8okMp7Ug2XRjNpnXYRs/fo&#13;&#10;PQslWDeZzSO/iZU4jHRH24Gufh1x2ME2Eo4ypIqv51pIYbTPeaEDe3MotRlztf9ky4a9iLAVzX/3&#13;&#10;kX20NyLoyRu6QT9zg1P+nBUYXPk7btf3ExNglJ50/oBoEatk+NEg9jChjEr7DR2Cmzx8h398Soup&#13;&#10;bK193UnnK/fCM0LkKKixA0/fPlDHdapLUQskdZxUkPJdaZH+PP7tKdU2XVeqZfWp1BJEv7Dyc5jZ&#13;&#10;Lp6Jr1BfgqIFWh/TMv9Pjte8iqI7WH0Bm+MvLwhxBPC3XnobjoU1fhbdqteyQoXo6IvzKcxj51ES&#13;&#10;N9bIido+2e1+Np7Y8E0wAMvzHNvQtcdHZ/x+/1AajwXj1IP3z9x63YdNcWtt/UajetGGmxZrUsYB&#13;&#10;Y8bUM6TA14BukVykuxIOI7G0Fpzk+rpA7f7FkpbiKOrzkaqssOnxlNo3rREV2QbDlHI0/hg1F7RG&#13;&#10;Lwv5H2g2eD/1LWNpHtLAh1ksISqD358LFCzJHzDHDWDaYL/SmElNsHkwr3yWbDDwaYP9GF9YF3ek&#13;&#10;yL+e4ZfW0LaGF3OevNsH30nHAN7g0KqSL9t0FxSmvAnpbM+mSv1fNNQrtWgZcblkOpZklbZP5kxK&#13;&#10;ToawAvBt2+cSnJlzRhhtvsyz7Js7AwLzgoeAVp0DSkTEj4VunNvsWUTyuCFUlnUL+41FjQ9coM5p&#13;&#10;zlPOUy6ezuC5n6BAMVfvJbcztdaRO3asV+a7mSPAEfC6wGnFIaS7Y+Um8xrzkv2Md39lvrOpoMm8&#13;&#10;NpDhvXW6da11ufVn6MN+lX7BRDuG1rxYXRiBz/s8fbs2wYF3W8M+W5Jxecu50nmiEm7ePKBPR45t&#13;&#10;j3/SAagLqMzJZJk7pNbyIFhZG3hvaE1Jq+wN4p1S9ghnLX07AoPq+EfYhHJSXDWbKg1mcSuJjd1M&#13;&#10;4Ve2UHBH3HTTDDLdrX0MdsuXktyMycjORqaqkvpqw+fhUevAm9pYKYWZFLvvdRxH7TayqPgrBWDp&#13;&#10;xLSG8YRIvfQdr6eznrbzJADXVC2rEAIgIwtJr/rw4M7WyxBSNQolM+dc5pV+7JLSWAQxT/mZCkwf&#13;&#10;FbRQmclJsNGdC3YWN+5ltMuZk/fJDu4HvjabB5GFGKiZKMZEzxc7ixjjLvIZv3NpcylPPh9qvPYg&#13;&#10;aeI88JCc+/CLKDCm3VduXXQBtlhQ12kfMnLTeA26Fry8H5h3rXo5dhaAK+aVeJT4OJGzPzixnyGH&#13;&#10;YZG+QZOELOmNUS7Rp8V34WRuUOckMngYGWCtDZO1ChItknJu/9BDLia6pcd0SyUGVgRRFXqw6Bwg&#13;&#10;UdJfFY1YuFhFfEQkmjOqxqSpxHwovgQe550VMSBNFYKicXd159D20DZUgSE3D936qNt4qWPHPuYp&#13;&#10;jnnJHI5C59garEhCZejtec4od+JIhYkmZy24pCL2+54VdOFIAPqb0bmv1vt8ed0K07CUZfedeJvL&#13;&#10;8Pk7Ky5sUU3bpB0uCBfmjqiQk5+icOAJf5dof6f42YixWtwoBP2uaEBekM/6fM6ofi5DoM/w/HHd&#13;&#10;h7FECWMfH6yu+Ycg9Hv7CGdkHU17Lh2BewDveilYqnPsYqNWkFf0q2M0MkIrOjf4bMhcy6qSnPhw&#13;&#10;kvxEFizBf6R0Sz5fYJffAfMa0gXnLnjvonTH8hc8HBc/J/Z3yiI4G/d9rxKhvowFwP0Za9EkMcn1&#13;&#10;RVL2I+/OI2wEJsr2V+hZ+Rlelsg7Cj+YN0ZVreT6cihBIsvopOcp7oWg8tNn21usylKdgyqrz0uY&#13;&#10;HXKFiHeYHb7Wozf4Sh6PxdC1kl5+I7IZ+j8AmCBn320ad6NdU05giDxLXio/LsqewJgbZBxVMSpR&#13;&#10;TZ50mcSrsfHaeFm5Ca7xI+OcFc1fQ4kQdSMCeE1c7VeOKJ8qp5Vz4uoH5UflvPKrcgH5S01GP8+h&#13;&#10;/HytUZrUPP7XdYB/dpHi7xZ4EhbAnSjz5ai7d8FSuBsegY3wFFkM1XAc7oAH4Uf4L9wDK2ARvAqf&#13;&#10;w3/gUdgEP6G2/wxPwNNwCA6iBo+EUXAfjIY3oRxehzfgMLwFb8M78DWMgQ/gXXgP9Xws/AD3wxH4&#13;&#10;ED6CcfAt1MFiGA8VcBNMhAkwCR6HyTAVfUslTIPpUAUzYCZ8A7NgDsyGm2Eu3AK1mPvdCvNgPtwG&#13;&#10;38G/YTehRCKMyEQhKtSDl2hER/TEAD4CJIgEk1sIgV/hN2IlMWQumUfsxEGcJJ4kkETiIm7yEFlG&#13;&#10;kkgyXICjJIWkkjTSjNyGdvVukkEyya3o1XJIC9KS5MIp+JK0Iq3Ryy0g+aSAtEWru4K0I4XEQ9qT&#13;&#10;IoxvamAbKSYdyZ1olUtIF9KVdCPdSQ+4iPbhNJyBPWQ0KSdjyFg4C1+RJeqN8gi5jGbSLLSnO+WR&#13;&#10;sE65gR1iW9jTbBetpNPUbTQbPWYLtSVtSXNpK/YGe1PdrG5St9DW6Efz0a5PpcfocfoJ/ZR+Rj9X&#13;&#10;t6s76Bf0BD1JT9Ev6Wl6hp5Vt6o19Cs8O1/Tb+i36DXGkQoyntykxqixUpAUrLYl1cr7ygdqK7W1&#13;&#10;OkItU5ureWobNV8tUOeq89SR6ih1tFpO7qPNaHN2mNzL3mHvknvIUnU2tVOHOkd9mEaz9+RJ1MLe&#13;&#10;Zx/I46hTLleGUiuNZc+wzexttYq9xT6Sx9IYGseOUBs7Kk+QJ6rT1Rk0Xq6Qx9AEmqjerD5CXeip&#13;&#10;ktRpNJmm0FR1tTyKprGt7GN5vHwT+0R9hn3OvmAn1DXKO+wYO85+YP9hP7L/svPsJ3UmeqFf6D10&#13;&#10;Katmd7Mv2Ul2iv3KfmMX2EV2idXDx3CSnWZn2Fn2FTvHvsZI4Ru1UG2H3qtOBpkwH/PCJ/ApfAYn&#13;&#10;4Bh8oc6SZVmRmUxlSQ5SJ6qT1SnqVHWSOkG9if2bfS/FyqqsyTpZLxvUIrW96lE7qMXqWHWcWqGO&#13;&#10;VzuqndRKMpFMIpMxVpqK0VAlmUaqyP1kOpmBUdIlUk8uEi95kPtncoH8Rnx4DKvp3bKFrMSIaDFd&#13;&#10;hP6ZyEY5jFIqUYZefjaZQ2XZpD5KFapSjeqonhpoEDXSYBpCQ+ld5GY6U45SH1Mfl800jJrYHHYz&#13;&#10;jaDhNJLNkMMxxopS3lbXqk/I0eqT6lPULEfS6XSJHCyHyKFyBK1S/6WuU9erG9UNbC97BeOpl9jL&#13;&#10;6i20rXqDOkwdThaht39d6cWqlN5KH6WvUqJ0Uboq3ZRBtIAsZGZyjHxPPiEnyNcYdZwiX5DT5Cz5&#13;&#10;hnzHosl/yH+ZhRwnP2AMeJL8m3xOviTnyBnyFfmW1DEr+ZGcV44px5VP0P59oZxQTiqnVJsap9pV&#13;&#10;h/KZ8rnyrvKe6lTj1QQ1UQvVjBhH/sy2sx2qUQ1DC/mbGqQGKxeUi8olpV5lqqyGqKGKV/GpUapZ&#13;&#10;xdRX1VSdSlVJNanhaoQaKdlYDItVU5mNxTE7c7A81oY5WTx7lj3HXmX7WQJLZC7m1oK1EJbEklkK&#13;&#10;S2VprBl7ntWyA+w1VVFV1oq1VtPUZqyGbdOKtGItR2uhhWkmLVxrr3XWSrQuWletVGOarFqlWjaL&#13;&#10;zcRIdTorVGxKnGJnd7Bb2QIlSUlWUpRUdiebz+5i89hcdhu7nd1Cx9CxGBuPpKPoaIzXOtJutAds&#13;&#10;hx20J62g4+A5eF7rpfWBnfCs1lvrC7fDPlhIe9Ei2h420+60D+1L+2F0PQCjvUG0N7xGPRhtd6Zd&#13;&#10;aCEtoV3ZbngJXlYGsyV0PJ3A9rAXlFI5k94EL8jJcoqcyO5hS5UhtBOdRCfKdjlBdskO2S0nyfFq&#13;&#10;d7WH7FRL1C5qV7Wb2lntqfaSY2SrHCvb5Dg5Sz2sfqx+oR6FX9RP1RPqKfUz9XP1S+UwvKieVI+r&#13;&#10;x9Qj6ifaIPUj7SGtQntQ+Qj93UH6iEaUo8rHbKHyofKm8rrcT+4PS+Axtkg5RB+jk9lieaA8WHXB&#13;&#10;BnkIrJKH0uXwvfqy+pK6F3N8vd+BXflpe+HT/D8U/vzH31IChmGZghmNBjrMaAwQhDF2CISCEcLA&#13;&#10;BOEQAZEQBWaIBgtYIQZiMQKPAztG4U6IhwRIBBe4IQmSAfNlSINm0BzSMQPLhCzIhhxoAS0hF1pB&#13;&#10;a8iDNpAPBdAW2kEheKA9FEEHKIaO0Ak6Qwl0ga7QDbpDD+gJvaA39IG+0A/ztwEwEAbBYCiFITAU&#13;&#10;boBhMBxuhBFQhvPnXnc0etwx6FvHoScdj750AnrTSehJp6Av5Z60Cn0p96SYZ6MnvRm96Fz0oLcK&#13;&#10;H3o7+nf0/uj3F6J35x7/btyDe2ApfQC9+f3wAHr/h2AZxgYrMF9YDqtgNV2J8cGj8Bh667Xo/5+E&#13;&#10;p+gqWEfXYGS8EeOCzRhRPI3xwFbuDbnucm3llhl99y7YDXvgBXiR6yHshVdQf1+F/XAAXsMY4nWM&#13;&#10;JN7A+MEfNxwWMcP7GDvwaOEIHEU7fgzjEb+l/hy+QGt9UmiCdA1NkK6qCe9fQx+ua8L/+ZpgvK4J&#13;&#10;/4AmfPv/kCZ8jbF+Hcb03/0DmmC6rgn/h9oEzNV4LiZypr9vE+CamhD+v6gJ1+OEq2vC6UZNONtE&#13;&#10;EzY0asKZRk346gpNqEdN8F2uCWTiFZrwPmpag3e4D/VmexNN8MIh3JTLNAFz/CttwmrUFq4Jr6Mm&#13;&#10;+jXBft0m/AOa8P8F7+C+bhP+b7EJjZpAGBn3Z5pAZFLxvxIx8idY/0jEmH49i8RFPExWkdVkDXmE&#13;&#10;PEoeI4+TteQJ8iR5ivyLrCPryQaykWwim8kW8jR5hmwlNWQb2U52kJ3kWfIceZ7Uck0gPzVoAvnM&#13;&#10;rwnke/IDasIn5NMGTSCfwwryM/mCnCAnySnyJTlNzpCz5Ctyjnz9R00g35BvyXekjvz7Ck04QP5D&#13;&#10;fiT/JefZQnKMHCcfk11kN9lDXiAvkpfIy2QveYXsI6+S/eQAeY0cJK+TQ+QN8iZ5i7xN3iGHybvk&#13;&#10;PfI++YB8SD4iR8hR1Kg/e57w/zObwJ+nQzlR/DaBqOipJ/CPHKDXnSKeXgdBFQkmISSUmGA2CW+w&#13;&#10;CSSKmP02gURcaRNIpLAJNv6cnbiEJrhJc2ETviRZJFs8YedP2/NIG9KKawJpTfKbaEIBKYKtpANp&#13;&#10;d6VNIIXieXuJsAldSCfSGeMSbhPO8GfvGCf0Jn3QJvCn7QNFnDCIDIEPyVByAxlGhpMb0Zt9R9LJ&#13;&#10;GDhFxpJYOOlJSU1JTnK7EhPinQ57nC02xmqJNkdFRoSbwozBQQa9TlMVmUmUQLOOCZ1GOGrcI2qY&#13;&#10;O6GkpDm/TijDgrImBSNqHFjU6fI6NY4Roprj8poerDnmipoef01PY01idBRAQfNmjo4Jjpq3ixMc&#13;&#10;tWRIn8HI31OcUOqoqRN8D8HfJ/hg5J1ObODoGD2u2FFDRjg61nSaMa6644hi7G4Xf7NP37wZmlfU&#13;&#10;IAPvuAY6lM0dF42E1+hYY00o7lhjSSgW9yRXx7LRNb37DO5YHON0lmIZFvUdjGM0b1bB5wl3B41O&#13;&#10;GH13rQdGjuBc2Q2Da6Sy0ho6gvcVllZjTiiuMc85E/37ZQPXcUmTmzXU1amsvLoTiuDuEv/lCH5V&#13;&#10;tgSvuvVzYLf0ztLBNeTOwCT4HMcX+6dbntCRF40Y76jRJRQljKsePwKFC30Hb7d6rB0TyopLa6D3&#13;&#10;4O0Wj0VcNG+2K3pevhNXv6t5++btOc13Rs/z06/u8Je/v9cg6u0/gbRb30YBED5SQhecZ41jlBgk&#13;&#10;ASfbmr+Ut4bqUa2xGv6UElxmBc6nQw1FnZFcNbKrS1nN/H4N0xhX7J/ciPHF23UWK1/DiKJSrD+i&#13;&#10;2tgGh8H6xgRH9U+AW5hQ993lJWWBEsVl/Ak4yze6UVfwfgM/QwiGDxedMI7v74yOgeuE6I5NCvCa&#13;&#10;i4bPuSaiJrtb78HOGkcpFtRCWrNutaDrPXgbIUtLa4nvzlootu1CayfdOBxvN+OqVlGM4+NF82ZY&#13;&#10;kOpELr2ZoxN23InriqPaUd1ldLWjk2McKhNzCYo3yqtLM1CC/QajnKA/jugpjWlky0tL22A/Gbwf&#13;&#10;JvqpLsUexgd6GC96wA7qsVJms264THfvwX0G18wvjqnxFJfiLqD67u09uGYvblxpKdbKapwp0rkV&#13;&#10;0YE5Z+Ocs1KRyfH30g/7wC5Kq6v9VwnOmr3V1THV/Iz5r2sJXFngCRTUgugAJVpL5vcWt+YnOGOE&#13;&#10;zJ0JTpxWKZdpC1TpBo2qhZZ/LuHcphJuhbPNFRJu/Q9JOO/vSLjN35Jw/tUlXIBzzucSbvu/T8Lt&#13;&#10;LpNw4Z9L2NNUwu1xth4h4aJ/SMId/o6Ei/+WhDteXcKdcM4duYQ7/++TcMllEu7y5xLu2lTC3XC2&#13;&#10;XYWEu/9DEu7xdyTc829JuNfVJdwb59yLS7jP/z4J971Mwv3+XML9m0p4AM62v5DwwH9IwoP+joQH&#13;&#10;/y0Jl15dwkNwzqVcwkMbJeyJqYGmEp5/hUDhHxf5DU1EjpESSj0NdRtRiGiJSEtrHw3zyTq4D/E4&#13;&#10;QsKo+W6MjO+GxYiHEayR24jYRe7ezjTPbjIbrKSrx8Ds/SMs9mi9wf5+LVF2Pmo/Fv3lHmLBrOEk&#13;&#10;sWwPBl17PWZkj2Gmbif/AheZg5F9Mlm1I2WCfQTe2ohh+UacwEYcmL8SsnF7XLb9JdIMXIxgGzfE&#13;&#10;MfKc/aus5vYzWbWUbLfvS6plSF6JwytPqH2v7VH7y7ax9pcQm/23NqXU8jYbbRPsD8bVklXb7Q/Y&#13;&#10;agneuN9Pptuw6XP2iSnL7aOzxP3uy2vp5u32PLw/0GOw57Z22lvaTtszkmo1gtfNbd3tqVlv2xNt&#13;&#10;opoDO3V5wuyxtgftbfBWnK1jUhvEHswzV0MqWb3d1dW+G1lc7o4uKa2X15Kbd5QkZ7lqyRxPbkny&#13;&#10;8pSSJFdKd7srpVNSEvIDX1cXqEPV9mq2mqYmq27VqcaoEZpJM2ohWpCm1zRNrSVbthfalT1kMyZL&#13;&#10;drJ5h6Zoci15BgvZHvK0KHz6eY1pVAMtotZ3YifP6SJqyead4m0lZJ5TBKfUkqd3+Iue9tgZ55i4&#13;&#10;YaQNjw4wY6JEo5iA1ZB7ahW4M2pGYXShqV1YXqfia72MuOw17do/0cRWsxzVsmaTrRRDM2R8ttLG&#13;&#10;m3/S0P9TNR1fyovS0rr1nb1jxpTxY0SomdCxHDGi5u4ZGPrPH+lwbBs/JRBHu0eMHDWO07LymikJ&#13;&#10;5cU14xOKHdtmjLnK7TH89oyE4m0wpmP/wdvGeMqLt8/wzBBR9o6RRZXDLhtrceNYlUVX6ayId1bJ&#13;&#10;xxo57Cq3h/HbI/lYw/hYw/hYIz0jxVh8nR0r+hVNq0LtROOCBiS5X02XPkMGY9ZVWlxL1nGLMx3k&#13;&#10;vWCUX4RkeT5YWQZ/Quw7hjjOqXeA76x8EIzeib7/SPm4qbs4qLewAPbCPbAatmKevwH5ZMyfV2Ku&#13;&#10;OR7P9g2YnR4hcZixz8dzjw4N3iI+33swBp7C+lWwD5bBNgjCNhMhEu8uJS7fHLz2ID8SFviewPy/&#13;&#10;NWbPL2J2PxyWQp1vo28H3u2LWTvPhffBmySBbmPhvmd8p0HDnL4KFuCd93zdfVvBBM2gSGT6C+Al&#13;&#10;4pKO+8ZBNOTj7NbAY7AWXsFs93ay0zfON8P3ru8kqmo0xEI//J1LdpKT0lZ2l2+N7xufFyWRDKk4&#13;&#10;6gh4EJ7E/rfi714CmGvfRKrIg2QZ9dDb6U52p2z21qMcUqCzeOYwGbP+nSip/fAj/Ea+p9GSUaqS&#13;&#10;Dvha+v4LBvE0gq+kHGbg70L8XYpr2kMUzP07YK4+V3wa7wOaSgfQwXQmnUXPSj2lG6TZ0gdsGtsu&#13;&#10;L5FXKgbvT749voO+j8AMNhgKlTAPV7cPs/vzcIFI2FcscZF8UoT5/XAyn6ymu8hasov2JnvJu3QT&#13;&#10;+YJ8Sb4nF6lMg2gkTaNV9EG6me6j70gV0jLpYekL6SfWTqbyWvmM4lI/8Y70Lva+48v3nfT9iiZW&#13;&#10;AyfuTBH0hBuhTDwnbQG34iqext+tuGv82cMh8fsliYU68clDICZiJdmkB/72JL3IGFJBHiW78fcl&#13;&#10;MZef+ccwqY6GUTONpf3oSDqRzqcf0flSjJQqdZWGSFvx93XpiHRRushkFs4iWWfWBZawiWwV/q5j&#13;&#10;G9h2dljOk9vJPeWB8nx5sbxEGiW/Jx9R5ilLle3K98oPaBa7q5PVJbg7h8T77U1/GEnE2WfDJBhF&#13;&#10;islIWI67sZaUQTVq12iyCOc4BZJ9w6R5UmeaidrwEtyM2roK5sJi6QZY6/tY2gRHUVMmYF/zYT0r&#13;&#10;Apu8AnfndshELWr49f9M+GuQS37QJQCS8Qp0/2fBRgPIOKaypAl+8EMdgbjPD20B4sPLoZvvh/6h&#13;&#10;/+sISvYjuBlACPqS0JUAxkyAMOzX5EDc4kf4DYjHASLwfmRvgCgPgDkxgBoAyxQAK8rHuh8gBudu&#13;&#10;6+5H3Kzr+H8b7MnXcR3XcR3XcR3XcR3XcR3XcR3XcR3XcR3XcR3XcR3XcR3XcR3XcR3XcR3XcR3X&#13;&#10;cQUo//9T2bvyiyCBCh38n9HUMmqBITRjLcC7CH6NvPQp8khVpBJS3aewm3/PJQxM2409yUgzs3LC&#13;&#10;nGFJiCK2tPbSKfnFCx1qWY+LO8Tfd5X6PpeT5T0QLD5Z9ZFnobuZu3mrZq2azw6Wzdkdg0qyB2eP&#13;&#10;hvHhY6JmsenBs8JmZc9qGdQruDx4OpG6BpPmmc3Tg4PBbXS7XLmmsDBXmDHJnWJ0N8/MkFODw1yS&#13;&#10;pHcnGZs1z1SiU/l1vqxEK4lxkKGPTmxhkHJDnMSZr8+Ncca0Sk/JTfWkW9tG5rayFLStJeU7nLtz&#13;&#10;otPSep7vUdfT+HOP83Vhpry8jPq8jGF1UFhXWIjX5rwMBDGFmfP4P1PeQi09zajt1fbKiGEwLCtz&#13;&#10;GBkGrXJbtnAnxKtKZESU2ZTbiiiCzaHuli1yc7KjIiNURSXtSKschbYkCUl4OyEe77XKbUU3JOYP&#13;&#10;7DI5LapDz/aPp3l33pNWtLnsg8K9ax/eUtpiDgmKiTRsDhtD5HPVfYtnrj7zbnm7jdKB1OJ+7Yd3&#13;&#10;dTdvO6X00oUxhWTZ8OxuE6bPkxwPFC/d88zse8a36+Pd27tX53u89RbvqxtKU0p+Wb1+SvEYILDU&#13;&#10;O5yWyR9BBLTz6CLCdOFRZrNVt4esAQ0iyBpPiAfms+5GS2TUL84JfaNr1ew7/SKyfmat+7CuZ8fy&#13;&#10;4rNQWJiVSaiqhBnNUeEJ6STJneRuaWyVG06HP5LRuU/2g7Mf6JTSOsowLH+P/JH38H2feE96P//h&#13;&#10;Ie83p+dNeGjDoF4k+asHiUt88LMY52PG+YRDridIC4PwSJwP6x4azqcEoMMp6TRLROQvzsKbA5v1&#13;&#10;Yd1nTeYRbmqVy5VCyokj5jgSaVQVqfNj6Z34LFa1d2emDM/f7R1OcpceJagLPzxEon6eVj73/FTv&#13;&#10;x+eWeT8XcxhAPqfd6ArUVodHDxkSscpgYXItKUIVKeGjnjaehYwedTiaM9I5gPzs1dMVu4R+xwHI&#13;&#10;bfEsUfHXi8c9vUvIYDKOSIukFWylfqO+VlerV5L1BFRFIVTT6fBFD6pMlhCJOSL0epcJyyJk2WXC&#13;&#10;CgaDLOn0TJGJgf9hIY1TtVpS6tExiSo6vSTj1QaPKTgYZSQ/Sh7VW4KC1zqXDMcpWnqej+5RX28R&#13;&#10;gulUHA2F5oLCgh71BfUFYXmFhKs2/gvLy1iYnjbX2K3P4Bq2N6aG7S9dmB4dKJCwQNpfmhaou9BY&#13;&#10;UKAicKuHoaYTAwnPIQmSU0og0tIv6u48SSOPL6vf89hb9D46hC6unymNutCB1HpLhGVZgXJhyOkh&#13;&#10;EpLhdk/rIcFDwsbT8cHjw+bQmU61S3BJGLVp9lBmD0cZJmlxZmqIS9JYVkxFaFaCNVUX6UqOsqSk&#13;&#10;1pIbdzhnjBF7z9fDj2rdeTyh9YV1Jn5c+dqyMjvM9piirbJmcSluNZqlEdmqpRFII2lpabfdhisg&#13;&#10;2fyUJrkTnGFNWMnpMPuPZ5SfphC6f16nSdOLbvc+Qp5+vmfWvd3neqe/SmcSOtHTK6XH1NajSu/0&#13;&#10;fl7/oNQ7odW992XHevPqh4zvcOPjbez1F+XwVUNn3l2akZSWO2Lj0mlbUCuG+I7LU+Uz4q9Wt3ny&#13;&#10;Y+QVZLks2Ymd3U4WyovD5X6adJctLCxSaWOTgtpE6uJoXJxFyqL5xqwwq0OXZbHYHWud48c0sVS4&#13;&#10;fFw5an+dEIGxTiy/DcSaXeHuEFeM2xCly4bgCGM2Wq5QoxqLVzJI2YRQJumjg7Ih1IQvmlXJJozg&#13;&#10;C//8LzEWGAvS0vyv/Oc2tGwaMePxToiHMKMpB6WGBkxVnI4kdxiedmcCiyMtwvY5D2w/5v3pP99/&#13;&#10;Oq1t3D7rA1u9R33wzJktu0nnZPmM9/iepeu8h70HvF7vyxtL7z/3yIur3yZbSMd3T4mztxV90SbU&#13;&#10;Ex3keaLVOMZ0UhwBqtOUm4jVIGkusOgNtWTQDueyT/0i8KvAaVx+gVAA/6EM40jYKl289BZ9rz7j&#13;&#10;oPziTm/R1vrRfIy1qIsZOIYBCj1OTRcnUcoI1asaU12KbA0mepcBLEFBwY87Z0zBQYyNmsYJFOJB&#13;&#10;ysvAg4QjcVeXE5aArwlrD9FLhw7Vs0Pyi/Vr6Y0XOtCt9X3Emg7hywPiFJj5XzzsFn/snJ4GfrdK&#13;&#10;MzKzsJ+EQ4cOcVeJN9HQyT3F/HZ75iiyS07SStTB6kx5kbRSqpVel75SDeukdYzKcrKWotug+43K&#13;&#10;qqxqsk76kBJZVjRN1VGaLEkuEwpQ4cYEi2Sm4y8SGmqdJlOmZxJftaLdpNysnFMkpXHlwUecM4Y3&#13;&#10;njBLT+PZYWhACnDdBdz9oevTFvZIT5PnGg9wc8GM3frOmnPAqBVoKBOonDqMTB2GSyJOHdpYNSxh&#13;&#10;zT76Fgmvf4RWeevrvd/uQwm1oG/V11x6kJ486RUywjWzbrhmGbI84UAlGsdkTbKqhLrQ+CpqLem3&#13;&#10;o+mkcE4g7FmhfxcinWsO0nOX+qAIf9yK54zr0a/C3kRAmadlRVCFaXbQHBMriRgcMS5iTgRTtbgw&#13;&#10;o1FPQkK5fuk1qpiCmC4iIotZo0J1qGaRUbXEgGq2uKma1fMYgKtafYHRJJSAcJ8f7uROXUEDkgDC&#13;&#10;jjizc1tupcv2/3Dkc2/2QWn+rKJp3iqy5K718oufvb7FV/8g29XG7pUq7+N/Gb8T93uW0PkkeMhj&#13;&#10;UoO7kBK5lAyWK+TREbNkLWoPySQWiCGxnqIEp8M9wjTVND1CMsXZI2IjJWdcVARzmxJdcaDTxahx&#13;&#10;BuqOjdEcrki7K0rKCq2IsaZobleS3pKccsS57HLDeR6d54d1Ymvr/cvhcU2DdxiGNI2be5L9u33M&#13;&#10;5nZRUeOInaCJNEeiPcggbnEzQeq85MnKtmO81oN0w4aJhyeOHDhIViWDKf28PogFqaPz5njzD0qx&#13;&#10;Ux54JC8OXebarOH1CzbkJFTOP9A/pVOEM7xg4E/3ZcXUV+NJ6ev7VHxKO1T8jf5nntapmURvNMQE&#13;&#10;xSbllBgrdOONap5mCtJJMdlqos5mDLLlp9H0lPzn82l+dqrLZFRlLTYp3hxbS6o9CWabXU2ypRuo&#13;&#10;raWhQC0oiI1QU1I3JFrbxaTEdg1Nam1p2+4FsgKcsIssh4BlPS9s6+n6/Y22tbAODQxXAC6Y9Lr0&#13;&#10;Oi4olJcwt8m5rSLjgVhcJDfUCdFxMU6IckRgiBEPragTrDazk0Q68QX8xlWY1NtuQ0c6LDGK29K2&#13;&#10;4lsBeKRIchsDSDWhHcnhIg/D8DEbhwhB64vhFSc8mGwVTkIqe95Yutw5LnviyKx+ZGe7yKA75tyT&#13;&#10;79RvkH958sUZ082uoLiw1GbuYalRulbv3LLsxd0rqg8PadZl3f2RsUpIcGzGWDJBaxbd/IZ+3VP7&#13;&#10;vba6pGRl/YrYeEm6M0gpSvCUjH920bKnwslprqf5vpPSu6yn+N6F9Z6M9RayMnqDtila6qqFrY6Q&#13;&#10;pAjFZlWDbRGGGDUmxmxMMhEpiYZZbfoksyXWVkvUHc7Kub/7rYIedXl5V/NcLcCiuYIi9W4ICTe6&#13;&#10;/T7Lglfos5zCZxmigt3os/BFF624uc9yXsVnCdlClN9j+QNwlGAOFx1taYQclR750rzVWDlvS9fM&#13;&#10;RQ9MucOyNe6HPe9fIKYPY1nPmqOj7tgw8fG1ny6e+dEBknOWWEkbGWXQ2ndcqpP3oW22wUxPdquQ&#13;&#10;ziGDQtazjTGyS4ugoTYjaDabGq6nNrNBTg9PN6aEmax2Q5LVEmdf6Kwsarr8+tOn/YlFYRhGYmLp&#13;&#10;1uhYnR4IiTbg2mLxBSzUDfoYzY0LJAGNMfGFCAVRIgHPIPdALfmyoGULU87PD6ydu3bdnEUbSXW/&#13;&#10;zLZPP1G4ZfIO74XvPyc3njt66M1X332DtmoR143aLrRbNmowaX7hGzIIz1uJ7ziz4nmL5d+gQYI8&#13;&#10;s1doD1vX2yU5hIbKEZEhptDICE+QJ0JLsZJuhuekg+Q16WDMx9ox3RH7xwnnzOcSDAfDDproDZrs&#13;&#10;TAxdFWVLzFNUNcppi1X1tiiDS10Ruz72+dijscwVFeqKlS36IDUsJCnUliRbkxLT1SSLxZ30oXPd&#13;&#10;sIC1PS0Cmw/rRZQqzFHGsEY94da3riHM6wQJTJZkKhOZKXaMREzGcGOEkSlBrviYRDc4wOYmcTad&#13;&#10;WXWDITLETYJDEqxOLJLxRYtGvQo24gukNZxLoTypaam3oReDqcO4CvFg0BlH/CFPCFFFwoZBEOQI&#13;&#10;0xeP2RzdeaR1rsl46Xv5vhX39M+M2Kb2yuo7u33f173fkOhTxG5I7vr0LRtkksA63zSgz4SuTzx5&#13;&#10;YFhu5/z703vHGkkCwWSAFHnd0zvdvqOafOr/RpRYPHRm+X0wQw9PmmpT9DaJhEbkRQUrJr0FQ/6Q&#13;&#10;4LAUs0k1hYbYQ2jIpQhLtOWSc+y8gASH5e0XgmpIjYSzRGuflYkZEiah5kh+LpTInMgEDGASWua0&#13;&#10;fDahcGdYojnWYujr2L5z+7JlclGLGyh9ipIBzyy9NFpas3SDyHHaevOlc6grdvHdKs97euRGdNG6&#13;&#10;6AZrpbpFQRtjNtg2Jq1L2xVj8GhSVHxKyH59PJpfpqTYLHqTTR+arqany7FSelR68xTZmhnc3WVQ&#13;&#10;HNG2KOAQAgQLBHcN7h5scHd3Dx7cGQb34A6BwT2Q4K7B3S24BxsYZNBwyal6dc5597x699+relXd&#13;&#10;P7qru6p7r+rV3bv2/hZOEs7qRA6O/fDQZ1fRicU95ADgfemPjVMns5wlz+dOPgXZxgHCXiwjaS/x&#13;&#10;7F/ow9p+yFyhHym5P9AvWX7xSi7KwKnHFqOl64Ys5PecQZNnOenQLPys2wUZkJoynL7/+BblZ92z&#13;&#10;ZsPz8tLxHT3PTjtGKfHGEH4yGrrskXOAfDxxUWhhOgDsdMjOrRXdlhuYHO36nqeBOrJ8NiykTrEE&#13;&#10;mNtTnhZidiqftZI0z7u7J+9v/oQtybLLwarX2p4GtCY7mz3mXq8Ynly+xmFsYlCbmpxFU4m10h7X&#13;&#10;x1JAya1WXqw/NyUiQ8a00pgbogA5R68TKVFpUIyYx1XTjLw7GCoYdaMky3X9kiRzCwdHFrkHRT9Q&#13;&#10;/kD5LUxVZxfv5GoXrfXp2H/cq9+SJRu6quxj8lQKyvZRSQPob0QA+AvnN7VkjkxgAW4YE/G7SGCM&#13;&#10;PV/zea6YZ8LSosX8dwXrJWVYRJ/XSjasa7s6TQMKV3CjhTKRhstsUcGD5Gm+F5GP2wbmp48Bn2+1&#13;&#10;+lqPhQsVGGwL36P2w1tpIw5b7C2PMHvktysIfCBNvwrq1i5APZQoS8Ea/6mZeQEh0qHNUrWjak59&#13;&#10;qqkqGrxVUWdvnbfQrSy8x2E3NWxb43fFjwqWDopa4sVcwQuPkhHcFyJbsXOL/c5O9uvdTwovJ4pa&#13;&#10;mlUSTWg3r0yEDB78rzuVZK8J38EEB+uOXzpCLF3etlz8hzmGIkkD2kC6qGuWgfRGcU8GslUpQwQU&#13;&#10;dEvEpLDhr6y/2jfIzfJ+4EFWGWqDAv3pWRcIV51L6Uzm5zBp5r5lSozly+n/LYA0KvpTV0I1WMGp&#13;&#10;gUb3KiXTSPnrMt63sry+vtYiZxBnHGEaVs/z7VJW7zPicgiAdi0s4mdSiqFC8FfGadudu9bL66Dh&#13;&#10;DNTmtTJslU7vH7N5aolwsZx8knRlunAddgVmv4RZ5EsnIMvMNZtR0HhgyVlL+eBtRG5TiSJhnT/d&#13;&#10;qO4yU42DmXlp0NPClYn+RjS4rRw243ENmxXGrmsT9s2wJ7vORa3nevwKDgfWgnXeMaYwvJdX70Mr&#13;&#10;lk+lDraRrJ+m3eEsRPettGsQV42eIFKYKdRgNo2K6tj2vjWK3sjCOR/0iZUJPafh0ZNPErlBofSW&#13;&#10;wvt81mm7+nt9HNxkOXFZ5O6wJmRFpxd/Sb4OqxFTOa/jrDV1d9ZUGy3HvY5wqW2eveu0GItyUU+4&#13;&#10;Tat4EOJnatgbiCj8089rcxxDXGjXsNhQeKI4tPhezIG7H68KcVkR8YtdjeRMkap9DCvDjHlsOY1A&#13;&#10;TFo4zziU+DRv4zEoswV9S+DK0GxOSZPL1ZXd9T6Sgg+TutNGjYBEjjL6FznJnRI5mgJ3A9rJ+xVe&#13;&#10;bF+OaI4KEQoBF2sr2NqzfufjMPWHsyRY+mR7euRvpuLo0GoDwGO+wi++3LQ4YNclGLYAzKW0TWc3&#13;&#10;vT7PsAn3euW2NSNBQVYhNM5rdzzOrefWFx5G3yjLo4lc00+0LWGjXs+jluuo6FXSF6GPhYUvYEKy&#13;&#10;0MxTCl8y+pzNw7a5YlFoLtrYmkls7mzmitOJqRBJ/KEOKzKimWUQ924W26x6OiY50D+rN2ZVxaKZ&#13;&#10;JE3UxAByVA9UkcHv9J1t2vcNX3/Mht1VaNU9WO1Dsp96Hi6dlhqtryoMEKuSG1lOkww3n4gWb/ug&#13;&#10;xAYDHuXPzM5xv+G9EX/mpQ/mfGgJMZDLIUSdjuGWxC9BlZ9pJgr/zWP/cYuDXFdxq6GIumKjnfZo&#13;&#10;MN4rvvfp+qHlZehYaTDivP3VoPcNnwzAI5nEgWuAAF84UMZS58yOsePDdFXqNdNdCz2UNBVssXYL&#13;&#10;y0p0n+yo8mDa2yuJoNaWrlbUSsI2kmuZUJ6YiMpJRqR9J0+U/HFBWNDG8/wkgRBZK0qrmhHW2ow+&#13;&#10;3kuDFra7zyxM8i2RY3/pcGj//e/h/HCUMRw3ozlc8m/WtlvT3/tXerWsFExSrYZUPSilK8TDuX7a&#13;&#10;xcdFK3M2KXhWyg0vfMMEJtWQfig24Kxr5BtwshF//CM4GUli4miMqJIG9YYaDnIxOKqXRBudKWdp&#13;&#10;eBWNHnmGL+XkuVUqU/H8NFRUlpqw6q3NiLShcwkdEOwhJMf6RvM7p+905rec2/4bGgST7V7znD4s&#13;&#10;3OPJ6kfkQG/K2ICmeLveyRbnS3EjyQVG8ODXwrk3XpuSGYWSxqPJPjEoQ7CsSu+fh6kOySVrbc2g&#13;&#10;ebo2//Zy+LUPbb+EhUoKLFwnMx+iGeNAf57EUoVUfDGGSbhtbAYlY/x2NNpWG6FhxRIDDeNnq7Oz&#13;&#10;DPNYjqM2Cxf5wA3hm49P6B7DJw/go11KG9J7AHF29QaxuJ1c/mB/AXQsCasAo66gJS0y6XUiZWJ+&#13;&#10;klHBTDH9l/7omrXVygFPwj+b1RO6AfofMcimpTICJvHXWHy8m7Zaxr+uJer1uLy/eSd3Gb4a0CXU&#13;&#10;9zAdck1qEEH81qhi1pFYAUOI/vHJbyN95sAbfNd0gg6rL4/1Fg4+6m14q9BMQ6WXyUAqZY3qGkmW&#13;&#10;YtoR08ikHxs3kMJslIv16Ye+HEruyQN6eBPHom3MDgoqtJfohPVCBQeeGdxXr/540GCZ8aW+0Wr9&#13;&#10;QrzG/oA2a8r8JMT6nofOQE8aZLyBR82L5hMabugHmW4sfyI/a8vw/7x3MBsYDiNOgyOI9575MgQn&#13;&#10;fqdzPu0yo2tJafDhewS65jHai999zLjRjzeKtHxcu0Djo88ZUBBXoh06/vLDWX2ttBwVFRoynyQI&#13;&#10;Ti+KopUvi2mnU+6hh5dJwqV9T6Uhl/hKAqNjgM+e6WUicUq9KdJyhe7j5LpK9lsh0MEFgq+6RndI&#13;&#10;BYExARB8ln8vp98EqBNmzTJP+oDIQCuV+P2QJCSzivNx3cmY7E9bgbUeT8mWCJoauyUhL4+hjCu7&#13;&#10;6F1KX2I9/DoysGNWb6A4dab5CyQ/9O2zp5MPi6tY31bmYqbDzNZNsrId/k/xcv02jWfENbaOErIZ&#13;&#10;41lyToKBsp0GV1CYWbiAwdf8XIdmjSreQx+jFb0s5LpPtqqumpxkXGkq0OWOXeOSQ4JENBz4GgpC&#13;&#10;HCWnBE3QW1aJ1NT5rL6b43LHLrihIwoF9nR+RNPYL63mtlY1vG7r7Kz5FISWhYz0+XkUIe1TGeHP&#13;&#10;zm2eR1cCSiYKZzehX98GoEYPtxcUHHHnGO/sUdIOfJDAZDXgphFqNbDJbhPR398iHfBBelPnXO0S&#13;&#10;YIGMcV2inBM9bYw2HrVVy533Mb7zcp0YElA7C7SZvMC48d6QTDxLaTVZofHovAXP3cxU0qsKCSau&#13;&#10;s1LxbYOf0SeLjoakpo8LacgmG3lTMxC/DlRwFWceJUWm/hA3Jmyhsgvzgf8cyZkm2jQ0sS+R+E3X&#13;&#10;X6kEdc/jR9y3dL6Mvb5P/AIzJGEXnp8SKOdKws5FKRnDu7ZCBMziYtaJ3J1wBlDJ73kItIoGfx+O&#13;&#10;vvkt4km//VlBmlu6FWEVlncoVDIkGxmdZcP5tdBSvNlVhk0yR3LauYBSiuGTpTLN4xqYRKqAEVe6&#13;&#10;hkYl1M2ggbpKlTNpV+iw0+LTdNad/SqDC2H5wAla4Sprn8E1Xg12GscCsAvWZt1u4cm4otETzaUP&#13;&#10;pE+8ltRqzxlFuTQof1mRW3rAzNH8cRwjeIrmqUJflOH0yCNGQ3HMG/pKDlPYaebsmtSPaebNvwA3&#13;&#10;+BsPUQy8iyhtWGwUPVDltEuwL99tTzoZPIJvKqLRC0PflNsdTNxDOGZB5/uHH1BpO9dY8v90Eyev&#13;&#10;pVspJy/py2fpQc8MR7jyhVo7LoiVgXz+1gxwpMaJ3U3ZFaort0YlnkS4m4SHNqOv2EKkfyF4I4wK&#13;&#10;Injj1tp+f+X0OueqMncQX0gNDhyY+BteKAzTCv0cS/LH7qvJ7j6U1+0xDkAU8LNTCuEVb8+lHt4U&#13;&#10;Uc9lNmuyP513uB8xg/Y55+R1UVDwwcZgFgPL+/aRX/JspoK9H04YItHwhCSMg5reTFr0YnJKnKN8&#13;&#10;h7dG+I7yB6/Hfsh+F67n2BtEQOkND5W+VTsXK/BL2gyRetIKxni/A6D0LizrEjs32zZalArmi7qb&#13;&#10;QwEYzukx3L6dTkMBqI9xSZ6rmTsOIpCzHLXTen8pS2b0ZoLScuqfcxQ8gnp+ST4tBMdjXzLjtRul&#13;&#10;eOG3a8wFSJ9fFORiB6vsbVBJtAdPYl8/2TsNLoqHZvN0fQ77xk3JdMWTHY/lx3wQcotPZ0uxj12E&#13;&#10;7wq0LaRmYmOr8/G0sqoufEphwB4hJaVVyebsqGifmbacKXNH6toQGJ3uMJ/ZrVjWGCE9FRR8rQSt&#13;&#10;JXnykesaxi7R0VIEcytx0zPkshe2V5hr6m1Aa2bpUrTETehl6ARJaUUJNcWRMmL8aKDJeSi+21o0&#13;&#10;in2VyJkbloBkH9rL4zGFnwZs6xuVJsmeuEM8V1z8Uyp3PQbGkf72B3sd8U2K+p1HEjQqcuqcKdVK&#13;&#10;wC5EE1pfJ18IdNnYs39bF+94QKCu8TZrsV5LFo1R9pPsF/s4b5+XcnZjIoQyLw8l02li49DBLmzP&#13;&#10;AloaK5zT/o2ONZnqpBythLKan4ir7vMCkXXOMNR5v0oPzKqnUzY6VbxjT3UV4eJMZs2NR9JMviOr&#13;&#10;tGr9WOGCf0mqx/87s7BupA5KupypV5Vlvc87aTft3bZlZSFGvVOWsU/vppkWX5UR3qoJWFHT0uNt&#13;&#10;9TPX21OKG7bIqpiFsIyUavGXqDB6mRaXz46SFqYrZwo5MMxAK3UG40j3cJM/DqRZQCxG6VJV3NAY&#13;&#10;K5lzuUvbzeeaoXJL9dAjB0h/0O3HwgEtxXeKtbUvfZcW7v0NA64pFgEWo/Aeo6NMMoIDqUpERgCz&#13;&#10;lT5Xw9mYWjkdJz2j3/TfK+wICklkelpTZ+m0ddY1zwjqjoguf4Yp5mrSWukufOyatlxMkeIn34OJ&#13;&#10;jfRT7GGbbIdoaikSwDhR9ogc2nRiWCqzjPUA6JNPfcN+uEHH4Fm6uD7/ByUG4jCsMyN+n5Fdef+J&#13;&#10;UdqPj00l1xlCtlDu9tg2Yvrf/MvTcP2cjSQ53c+vsnTiJ/6DLfQX+fmfCE9c3P8mPCWNOoawY0rB&#13;&#10;/qCwzUqFcsRzY4lTFSXqXuXP+L+qicApJxhNQAgw4ZLAKk8TFQADx0kHxPRImWaVhG6dQyrMth2s&#13;&#10;60NcmgUQHtHSJ36ouq6V29L4VXbWMJ/v+5LRHTLNvmMe/YgBAHlkr47xhZFNnPcFe5X2eOz38m1Y&#13;&#10;nrZ06j+gCmdEoaYdGEocq/g6nBjMwmNMNVbVf38Rnq7BEdv2jd00rrK2c3lm9bGvFzNQfyjepl6e&#13;&#10;7OpMdB8GXKsmnK5W5A7kC0FdKYuGEm8kGdTpI+Nkk+w45qmgNLtfsKiicAZlbSNTUmTbhNXFNBO+&#13;&#10;o6X/QKLkOMmy8xq9PfwdSCtmfKfos22gHSNFnlyUUhSjs4fqALa5FKXUIWeYjeSVy1R1Y2BIbmgJ&#13;&#10;vm+2LHYfFTE+6wUFHh1l55IaE5CscFZPdD8pL/ewVu/dwZ/5V+v9h6Dw/zMo/9Rx/kVP+ruTHYXt&#13;&#10;PxJLUo4WTp9sHa0p2OQ+WTq627r7sMiisP2ldV4cJzNH97/QjhuFAedfuejfwSfOv9qX+j/dmn8c&#13;&#10;8n8Hnzg5/p72f7gaDQ9z93/4Pv8vwScjCm4+Cj7Of3GT+HhfWuB/6UhGFP9uHv1tmX+QS//dLfrH&#13;&#10;vf63Jvn/xC3i5Pzf4v93+3+QGzg42Tk+/tMt4uLi5OH912RxCkL21uxvPKtYaYCdoYlihSu6twpS&#13;&#10;BmGGh/IHYoq/NgMnsmeKEmFRvEkKDNbAwYkMLJAR7Ya7jkSTJ5h7FR1IX0ZfJpMilkmdR0InaXkE&#13;&#10;0/HwQnuf8GAEAW34sK396dAe16rUrmqw85KJfJ9IjpsofZEMzUlez+bgCCo7kKNygPSNGR50AM03&#13;&#10;aLL8M4auJsfb7dUDR79zvEcVY3oIbZ/O1IScCUvCn0omStS6oULsjF76B6C8shhjE55W99IL3gge&#13;&#10;k/DXCWP6V9Pldpsbb/Rjc9gdFKGohP2SGhAqLD0L2thxYRY8kHRKe/LQooCvXT5oPfPdJOb1WuSL&#13;&#10;W5Tzld/2JI/rIapgH2t5JSFb0PilStl3T5nYmy7VPKliyOF1mWDAt42uADfjakhTN1QwCVAGcQxS&#13;&#10;ob6xY04Ukbjj70JYB7ezjSZzIuXGF857c0ZpvFqnpgib7dTG6ruikE/j8THnn7hgK+ui75ZHoR+u&#13;&#10;V68FZMwsM+sP6Ez7UUjVqTvVhIcXnjEWIQVVpzpYgkxLI2hfsQR+ysOf+vnTS2ING+uwsPpEZvq1&#13;&#10;vlXNNEcMLhzzjNe06mbu5mI0dv2CbNG0LJtMGwzhTcSjZW1sjfy8UTi0s7a6oM2G+hat3i3QBKEz&#13;&#10;jD++QIxYnqKL4Z5hO6qaJU+p4dQ93ZBtAQuecRGAa1EP7wBflB+XveHQrdio0OuBuSe1eWD6mMlJ&#13;&#10;blO6gqsKvOJC2hu2wY9xf+8tMkYtq57HOxX83QU0YT9t4Ye+XxceLHQcp/ryZTGyGHoH3L96ASsy&#13;&#10;tN8TuDGbXpxYuoe1aEmr0VzNZ2mQ2TRarwnfylwVHf6+R4CuFOcWrIhicl+SLOigXeHrcZP8fjXG&#13;&#10;pbcR6UGBjqZV3+2hyOzmMDcx+zGFhx1PPFwvARhsT9QlenrrlWIqOSt7qMN3JUKyFANQYQINuYLi&#13;&#10;L4jL/JWnP50Lfphb0k3X0VYHDB2Hd5xGX7AGPb8HXaU5Q7A/RQDYIz4xeLXAPp/Pa937jIjmxHYz&#13;&#10;7i5qdd9Pw6iWpRtlTOaFd75ViRaD4yPWH9/ZITVnh4gHjFycpePTB6CCeHYrDbuCFxDF4YYn35RQ&#13;&#10;biC0Gi70PKpIfO9U9UVdSxSouHojENxJov6ccta6uLXOBVtmkHz4BSfSzb0wpbqJIArmSzqQbkw9&#13;&#10;GPjVNMdRLmjMCDOoVjuay7Upbj1SLCm/ty/ufMJ9mYeYWXG9KaTw9MYBeUUMmOJaP/yDbZzBqC4R&#13;&#10;280ROZNE7Cus4W7KIhtYZCK6Mf6mxT/lIPeXTXjREl9A6rsQh6QrxyzqyYTSgKF0vw7bvNZVJp93&#13;&#10;jBq2grt3CKeIRCdydOmjZ/FPLmWXLL85MEBzHqtuxl8cUxnb6hVyAhqa1kGwGZHYCDc597tapNHA&#13;&#10;z5tmr/4cyL+j95vYQ+3+4HWXapZnLRYiii9rVPEDSd3RLYWFhofue3sK2hLjIuV6VpwcMaTBh8zg&#13;&#10;sJFP0kHsIR9ycwiMyYafGKBBdjJxBfiyzs8CZ8xj6nTnkIxKPl+YXyKdDIvKS631owzNQgptljRT&#13;&#10;b7LpvP6wnkwi1wY72fnJ5YgWXksMOUkRJmyZu/Effaeq/F0I/fTEnL3Vf0/M/e6S4Nu+YLSVbRS3&#13;&#10;AolzrtcO71ByWYturBByypd+nDj+cfE75kkBmg786xlNowLTHcuj1/oKzKJ6TkRxPhOcjkgBrx28&#13;&#10;zNDwb/UzSkmOlffS8UYvdlf2bhO2rIZAaVALV6Oik8ZUe5wv/DLEENVmH7TjlggrsTOT/Cf6K5pr&#13;&#10;AcNrHvkGJa5ghtVkOg+poyPzST/8nzKTrhCQlGxOM/TN1FQV257v1XlDK/Ux/Zr+frmOodjkgOZ2&#13;&#10;EBNI2D2j9EwIRjCCNMw/0b0+Fkg2fjPFn4Tvck7pwh3oNvSt6jh6zql4p2jCLi/JJWimsBQ37E/U&#13;&#10;dQp9ENTdEv9AlS/ewTM3uT/FJqXnD0BOKpztOuLJz4gpb3EaImjO2i9HPKCvKhLTRbq0ZU0vGBDH&#13;&#10;pulf1TT4B0Pd/zuDA5LnofLKuxPVmri2dYo9e0Apfmaq430Fps4a5iKw3J88lSPqWMcBq6P6cxZJ&#13;&#10;AC5hAd0ePMKIdG6eTjE4yyPfennunSu5DwtrF4Yfij/HoUw3rJtj89U5KcVx8au1HggC4OLk9LUp&#13;&#10;EOHkPC8DvUBxaVFRjmbT4iucy3ldbFDJvbS2xr0f+JVJprMH4qOP296sGpLN5xZZnzSBFLrTuOgD&#13;&#10;6G+QBU+HE6DCTxN1Cg/QVh4motE+Zv92BdNnJo7tciCc8ybZ3/geEZRQa8AlXJOWy5/76IfI8CdL&#13;&#10;yBbSDlAZcAQMlk/V5txnRJTF+iQMHDPZcD6nhut25g8PYMiylcIZm0S2SHc3tjDeRhvUXaf6VcRk&#13;&#10;flrdafhp/GCwjL914nR9F4moz6oB9kG+9BjsdiR+OugsiifwJxXxjxUZeKQr3EjL6wqqbu18djuF&#13;&#10;3QYCFvVmodE7OueXi9ele0++j1+jJ1drIpueqAj5nqO0I/k0/9JEeDvvfdITAN8MbwL6KFJtC2qr&#13;&#10;wNy716S712grC0hHKQ9j8nPHGmtz1/URnfv5v4om5DsqFZlu149nDBIg+vGPC767B7EWH3K28teE&#13;&#10;uYtchdyofZWyNZSNBoWvvj73EtrkT+RH+O6AuwrIOi4qJZ9x6FI1GnRwNluc5tOAoJ9L2mqLEXxs&#13;&#10;XTT3Oq18+DuPzoWuYxdamwym6fXWfBv2i+l8jLD7wK6CVFjJqskfhCrn5+b3HZ6gFm4pEXHU/p/n&#13;&#10;ly8VBLhQ/EHvtnH6QmS9qkVLhwTS4JsV/MOEIRI5YWz9wJUJqLoF5kKUr6x1JIVdrCdcXn5Agb1N&#13;&#10;UYYyvxWROX2Bzx4vNL6OdlJUhey3L75bqvWj0eHkQV6NrAIA3Q95V0BvwG6IKZED736J8VKNdadm&#13;&#10;OAk2R04V1wNBlwb2ud1jvmSokgc1OtRTkCXgCA2BV5xVLA8aByrljW8NcYoQPCss0wkWirLZTY1+&#13;&#10;7WGdgwbASHiY07iY8con2VmNaj/KiyeC41aOo74USz+XhYaIYKSCapG5DXqJj+XAAaJmjzwos+5Z&#13;&#10;VQiUpHJKgSX6b2YK6TFgbFLjabrwZ4fSBccP0Ad3QM7PNVdC5wkgxjk45GsOwlI0eaDEocWK0ucM&#13;&#10;mH/FlToY5kq6G8mFUmTi+lR0Qnmj9gDXyBGSZsM2rXqKdnfZ0SdFtO2ihX/xRNE3hqGhsixyI9jr&#13;&#10;F38kpztiSI755EjXengQRKnWkpMSlZJsrdJ+U5xzi8PRb3Yd88GkHeE+rFVB+O09xYoQc66MTR3F&#13;&#10;otYV+1EjfvGcYnyhlRXgURPxs41BdlC8C9IynIhaNHBBnlG7u3WZuRX1lBl8W3+aOwNudRU+ahE3&#13;&#10;kEcUmJZb5O8zLxdF+SXH8PjhznkIw7IjCODHrgXLAwfH0CBZbHRQLLlRhSjnnZrafeEF7Hl0OOiY&#13;&#10;sR6OYssAIAOpQnysXm47M1zgWkewL7j5YrKm2i+O3oyk6NTVZJdLTIGQRePhUzGoRHrr7MBd073w&#13;&#10;dqXZYFwL8AUZnmSzOCAOMfWP/EQH8iesg3yjINn4sZNu+km37IRneWChMILvNtI1mvqKSN939DzJ&#13;&#10;i33TVYM8/H1HIqrcfm/wQfHogS6UkOCoIcGD6cH+MN037YPnjOt6VEE9CUpKY6gTXHxbohfzoazE&#13;&#10;vj/Y5etgySrmvSdRiVOeGe1EO/98iE830sdfk+XWIC9jjIF3q7OvFCjZkQgQP+10eoovg4l7Q9cS&#13;&#10;fmS/Zn0NDITn/kWXBv1QJAzNw054u7ovlhJ6o7JEKtpF2p19/U4Uw5ThDEUhlbSdVbE+8VxMkLz+&#13;&#10;Ukwwl8yus5gvRH+HBLbCXPySxw7HTVm7PwaqWJu+ncK0QR/rvbcqb2m2hKQWy7Cue+hk1AH9VLoC&#13;&#10;GuJfKDmri1IzgOsJW9BDUHG3NQHMYn5DCSY1/OY8BAT7+ee25+zh7zKg8DjfCgKIArshZK/czonR&#13;&#10;FV835j81ohx3gt+9056k643lmOsbCsUwktta/Eo9IY9tgcDDA0BYU1RiQVa3qu7oHuwm26RwJvDG&#13;&#10;/4j4aHCsqFTPvbQnAjllxNDUv7Ps1pVRGssikDiCXd940Y8cmMbFh1T3kZyJk2ytqUwCfGEqC4si&#13;&#10;pX481mM6ExINVeULSziXD6qxXYidO8yoeF3bhs9owPDLkws6vrXLrtf3z68/IvsdbWH4nL93xllC&#13;&#10;b99JXDZTyWETuhaBNj5UcrlWnp99r+c3BhZ+jh/cf9Rq8WLDbefNCxkkU3T+FWRQvrNmAQEAJ2E8&#13;&#10;jyxzahuUPZ4KX9GA9otV8hG7MM7RLQjW1Z8ziJxQjQKR3wN7HXrxUWkZrfsdL8YK424SLidKk+QM&#13;&#10;4IkAd3RJdcCB0THJK780oSs9ul/MLmTpG9j/FWx0+ciRaaf/T1bsW8vRBifblml02HTH0Z/TTiff&#13;&#10;baylZf3InJ33ggfUnmfRure5kWGl1NrGIbpWcIc2RYLRG/Tv6llGvgYuSHxrR6yB5uzNPZAuw/lq&#13;&#10;tCGdCt1Jc115hZZ89ZoiWtpGWPcd0LqtXZ/DqvE0eCLH0VC+fP/g0E0ktFO59ANj5bXrU2SutC5m&#13;&#10;5aEMgzRgtJ8otJW4s7qT2l6nM46cQZpZo6bHYM+N7Bv4i8zjxVPYMffuZjfAQ/VAwR9ycFNp/HzS&#13;&#10;+YChvUFOknJBY04f8cY8a5+sXkrIQxrE1yIPilg07soNL79k6rJwCTAhrNoI+bianJYAe0Wj82qn&#13;&#10;/ahFB11rQ8EfgbmYFXygJTF6cBzm53gB108M2frsHqr8i37MRjx/G40mcjklmv9zB6JXLyKcPkaf&#13;&#10;ciqFlVrCDdOV7Qd0nCqb8Ddd4tT1AJxPQlJRkbaChzU4KldfZz9KJxL8nIhTx/BEJBCbDmQDotT0&#13;&#10;m6Nsp9PrYuOMDaor+QvOYLWpQRQ4aca45hYOyI62kkXXXk2saGC4CEptO5bCz/dpr04mM/QZmLTJ&#13;&#10;N8m9FXNoEDqB6NrFf3SpOGihqrZOR11t/kh0RT89Tyd2AP+0enG3Zx2WrA+XGCwmQ7D9szyyEKje&#13;&#10;7Jn2zZfAvAJuTvGkZH8x2yweEpQjSAUKX8QwJYO2jekb6w5dVxGvSJuekc95DMSO2A4Rg6bkcGUG&#13;&#10;Xl8HviUUUVi34JOufAKjtVzpwEQiBCAPzsaem/4ugb7Aq08lnfFYMcwvQ9EUWYqNEqfS1GSq3gKf&#13;&#10;kEjzhEVPO1ICFOBvo1ButXteg0eC6nmJrpmCNlQUv5RqOgj320AScs8iLtLVvt0QrGHowS4oWrAy&#13;&#10;iHXUhR5UJ3X8nxkhEmSg5CnzmkGskB8TdnOvH0Xz4KYMg026+dvyjvpqJriTAoK4GsOkqVimMX/r&#13;&#10;Tt0npTssi9C/cs/QFq2yFE4xqG8re+szL9r2M+4q2MHubY593GVK2Zm1ZXMyaWHjNhVNFnY5/NH9&#13;&#10;SM2S3EgKSOvIIuu/mDvLoDiidkEnIYFAkOAOwV1nYJAACe7uMgQIbhkcBgkBggwW3Anu7k5wdx8k&#13;&#10;QNBBggwuy/ftbt27e+/u/Wp/bVVXdf84fbr7nO7TVee8z/uwJ65J7R6rf23dGQJ8vtlQ9JXl6PXt&#13;&#10;YSOGgK7wvHxQb4hUZq+en24FD6zdGp1EFPqSH+S9ghI/MzCWhbHD3zW8kN+QmRU5He/4ERJsf3En&#13;&#10;LQ6XEAWHoAIloQF9MKlKPoaZfsNA1+B3DhTyAW8DziVbf9Cu5lMtqfV4Ke+X3ysHSDEfae2ojmPD&#13;&#10;Z4jdl4ijHwGfZ9N4w5VmZmXFU1X3TcKDqOzysDf40ybvG7vHJX3fLs1mcZJwqbWEQBWNbUp9JOkg&#13;&#10;7pRPq4iC5HIBX9aO3klPfkhrcKCN5wwZt6bcFsGzCttcZ6tw7/xwyaV+1+E2vV+wAvzNBMJqPsiv&#13;&#10;wwJhYX+ZnuBWjWVupSqMH1gKDPTjwU0NNI1lLMItzvojSjRQyh67Mhi2gHnBnfqUwQa2oF6fVvYZ&#13;&#10;scBYH9TWjV1jvFDxPgnu6ZwxIPzX/31s1E6TN6vfV7Ee2HXOHaQ9iWt9+ArmHcQvPzydb3Vp3btk&#13;&#10;eMhj31Svzza5Oldv/ZQfyFbMllNN4hzXPcSQR+k9TUJYQa9YL3aVgTebL24HQrFCr82sM+irgrYF&#13;&#10;skq7Ya76KbxvzmROuHRxLnTuBYIA4YJwQ6DhqkixR1ytaMMt6vKWvBYdGvLg3xelF47q7GvbrOHW&#13;&#10;cLPbEbcBt56L9EMo3BNuDtdq6RVdyrDMtMt0fAz2ybvXurW9GMXuXt8s3H7tFihIS4mkhERaRLpF&#13;&#10;EsjgyDj2U0beUgLoPHNJSQlIiUhxSYmTiZJx98JvGsGatUSH1JRvjdiE6IXee7mdo01CzZZ6w22B&#13;&#10;+ZOB0hqpL0FV5dw6VxWvDXHru04QQ2uGiY22TQipeYzE4XszWgaIsEj/N92X5L1HpjisoWJdRNUM&#13;&#10;B9YXeND4NtRQRzPhRZ0DnQtynHWeVj7HYeGTX8vooTsnLVeYorDxoJ7HLPoHTL/Qihlp26AlF3tG&#13;&#10;elFjg59tP8sm5z5uwOtEllSWPD/SfjgnzOmhP0nSZU4I3elhrVI4IFwLfbNRTPUs9FgDr+HDhv+c&#13;&#10;kHZJXY1rIN+00JiQntydPWLsdZgu3klahB0NfwvH6Nw83YmwnVT9vL3j4mqNz2e44+2Q24zb2EXs&#13;&#10;4bfDsPQD0QvIhdyF+K3Zxc5BySHiIA9bHa9i87XrAiVPpK5sa1kOPv3qG7zxLyNfeyIGyAjpM/Lo&#13;&#10;laM9InZTJn9t4akE9gDIIuyBeeh8RS3ftHW1NQ1wa7seEM7RAmyJAgQrSBgi943bsivpFTbaPneb&#13;&#10;IhfunsrjyZ2EcQROHIJy1nFauRvwxLCdCdSLl335+rs7tEHcuM5ovbiP84GqLE/nV3mrdwh4W4rE&#13;&#10;7MlGk3bqyBV8FhrWhdMixFI+1vvXOPGu+a+BR6CjgZ8BTibfuK+T29oiV+gY1Xvo7wOqiT8auJIF&#13;&#10;4sOnQ07DfYlbcREc5Brb7MOs5EYJegkfNfkJSF7+nK/OMA8BR+LQCDVhLdwoTVHXiF78KWpgyxX6&#13;&#10;2bo0uG9ekX51SGJD6WO4TcVx0/zX6mjSXybVh9LPaXUwob+Bes3lLmKzgnLti/fKyUzAGrUfGgca&#13;&#10;RRrkb1aABvay3++j8OpwR0DkurNlZ+q25Q08wZ3jWLdewbomNMMRzPQpXsTfh4qU4uXQlfUDSkcn&#13;&#10;jTWWAxgwc1Zi8cwim8F2ccnnZ01d0NLwxCryt7EOHz+K8Cw2cBqecCwdHJbWpXrP6dP+kDYEpeIB&#13;&#10;7ZHMvube1/SYIswVRRmafj7/B20SCyy0bae7zBeuX+zAgbOqUZTe57tZCZkSKFMXIxEj3YlYC4f9&#13;&#10;5tIhuW8NhKxL52gWev6tQETfHdL2Q7HaPgD2aAa8aVwuTVJUoiama2PAn50Lk7CnML2++WZnWlNx&#13;&#10;ZC+eY/soiU0BasN8/euNf+7sEXplun0MkJm08gqv3pVwmnK4+XoxRXUTIpoPAH4XzfE5Rz/3Zr//&#13;&#10;8MZK7B4mWmB3kzA2SUEmIwjMcLJ+oZS7wxzF2N3wR+O5UpZ4irz7lF4zLH8a2Jx6lActJHDvuN0T&#13;&#10;Zc1G2xW+AdlbpFkrcqeTjuSyucTrJeGcmfv+Me250+NzwzE7J78f69IVaElc6bcbGaNgj5Gq8mJP&#13;&#10;6a30q2TS85n7yjlFzJ7A9xlSigt95obEnYvrrbldn02pISplsJXq33tpO7rUOTz6+VAX6kZeekQ7&#13;&#10;5+/6Wa4UX0HaW0McofuUJQXnF2tBlUOpMOKXVzXYBf1inT49m4MdJrhIwp8wtEvOP98qMT4B8Hyv&#13;&#10;8lVkpTAqOzF8fcOnSrqVlv/EG/ypfHP0N49BEoenwmpYAxF1CM7o7DarM5YjitgStpsPr1gnzqnE&#13;&#10;HfdjmJ99OQj0RFcyi/VFneHf0Yv1Do/UWaA/olruYIoNdwTND1gI2lGQO35PdeXzK0vxJGfjF+UT&#13;&#10;BRik2o9gAqbt7BhT7EfdLKBn4DNR5zjBpRHe9AOe1RAQEXQxZ8OsKmrU7GzUernvcNvljIWKVnSS&#13;&#10;6VT1pOhKcXwbe8Uac9OktdxDq5SIOjnINOrKkHq42zNwYbxs443PtwxbZZ6CU1kRGeruHA+RM4cz&#13;&#10;ayosFa019t9YHuyOVpyzMmcCVdreRVHT/TCJ7ZINW4gkBV8iKTUMZePn1cc7Zl88MdjZBvGZskeW&#13;&#10;8fV7UWMCmEwPOkSRgrgjdK1XCiJnSKSzqyDEqBymka3oTacMA4QQjKVQjmL/Be+4TCV/CS1xCcGe&#13;&#10;1nGJw57APeM0mscy2jWcd/EDzI8AmJJjR0O3Xzq3XjVcgUtKUpulLid9XMUAiwefGZPTRwmcS5Pt&#13;&#10;t5M2RzRrYMnjTouSCcG61rzZWd7anRiLL/iDlKTiXJKNTBIXtC4Cz8cPaG/Tm75gwq7pvJgNwkOs&#13;&#10;sDOxHkfOn4lEO5dDnnOJRSjtNFN9Fu3GcnB6c7nevhx1e/YMHKGzw3fVfeDgWwDu957zVsbZ9n8v&#13;&#10;q0jsfqbfyljBkb/Ph2s2yyPKm5g6jqDZfrMNe69bMVrwt8mLr60ZLFHR+2bUL4UrmW0kfnvYNHUh&#13;&#10;0sOmxAPeGrxmgQ2SSaJbtPO4XZGmVrM657shvY8A5qROruyaLI/Ba/Rokyg/rdVIHDALBxRuCgh3&#13;&#10;KVfzuiX4MIkvRB1Y4g5hV1O/RaEye7QwrsE/AAr3tpusVTvTht/3jJGjhQf00Sx00PWpbSZBlmtT&#13;&#10;cPNHa8mNSY3Jb8NVFINJraWTkex87M9D6LhCkKYBpJ9Qu8QfHG5SZ8NhfQyb1ZBegnwHbZAtiQ5W&#13;&#10;ol4/Jj8EyceRHzWoNIrJa5tSN7KUohUIa7aQMCHE7WI8oFWrJcTGZQHjV8Dce5RxGfZDrXDNiiyK&#13;&#10;OPdhqLTaQAJI9g8Pibgw915ovklKdp2VWV9yhGSorqVcfa5uioG+7guOjwkpCcoJ5QlABZCCu0Kz&#13;&#10;lK4LQJGN0D1UGLdIGZcSqwTXZKEHE9KRZD0DIiOpkpY4iWbGw4Hd9rRtPD/52RgctW6GSx61keNJ&#13;&#10;tFGnuRpwmY2s9b/cFnyfCi4Asfuw31vRtVns2e6p4Exhp/Te/v28Gqp9ltFKfTyO9q6ZKtDq2G01&#13;&#10;cXVTLqS+5dShlU5lc6XXYknekVyix1A0UuWtQU+qdDPVeP90qheKiHYF03bodZ/qapDKn6Zmpaip&#13;&#10;HNcWqpz5ebrRDAuuFZP85JWRIwucmpJF+EFOMMLEy2ilWGYXfRt8pnAWcv3q3oaKPyqlf7RipGIU&#13;&#10;vw/sNfzeggqIk3Q7KpEAHx3neKz8o5vBLRrcAe/NrOfefLOpwDN8lXiSVWVA/RMnt+m8NMm+dTxz&#13;&#10;y9M0UlSX2lR6evhGVT8bZ/PNHvTM3rmkCcvd27gBpeTOFro1vcylDPJrMrChf5tA2jipO4AGIhM7&#13;&#10;lQk3SrdRffZK/e1srr5m6r4qd5Aqc5CawKzUS6qP/JLr2GG5zMUykwQSyKLn6+2KkJkQMg385c4N&#13;&#10;Fv8UNWebjxxFhHX5/HGy9kWUdQXwQhTXXPp9ycGZZHXm+GZVHfkch5l0L1WVfam2Ihxknu9MJurv&#13;&#10;B/4Q1OlDYOCUNTNWzjrwm/QU5dN6W1LHebPe30az3wY163L9vxKVv4LSX6sIobdrek2JX6nvyUHG&#13;&#10;vzO1kYPPwR4Tt/E4Pm8fKFepff2IWlvOr6I+4WxPej8ItF6/8KJYfaQ+pzcNkGrkYs9lqI3jkvb+&#13;&#10;iynyxrGN4uHxldcPrqzEK17JPjZc4lJpyROMDf+6KXL5lfglVg6A9yXjkqLBrpKXwj6Nfc7hxJq7&#13;&#10;FVObwjHN94UI2Q2UHpyjRpOKMFJRqYN3OUH3568Orp730Dko3PNR+teJ5gM/tvgzWs3PBqo4/sTR&#13;&#10;SvmbWYH+/GkHsupqeEwErmOa3juH7HXckgNpCuXxHyTsXxzZnHLmHyk2OODvfk9RPesoQteCdCH5&#13;&#10;1j83McZpTQQmDvOtazYxemvI4Zd/wDect3kxXJaLnik+3bq6zrM7eoOR8iV+tT/fMAe9cVOnHl0h&#13;&#10;i0Md300CfyXlU0k1ul8A413Hb0rTYruux5AnYcVLRt2LUaD/HvtOBz7PEJOun0LPQu4+UajU+96E&#13;&#10;yjw7UmiKSHeG+XjV1oHnxQvoj/vYth7tysRF+fqwMgvbBbYDrfqE+EpXOxF4J3/1/ALiAEublc//&#13;&#10;fmP25UW8Af7C5QGaVReN20IJ+oGtfg9nJd3TsNQX+TT00Av3Di2AnkagM0ulT5aLDQfCbpH3LTGM&#13;&#10;rcO+n8WqMhc9eWCUT2GJiXb48JH6StCigR0bNNXeDL6IfYENH1w1P64ysgNBM306RT9DF2QOzOoT&#13;&#10;D80yK1UWLQ+MD5zrM32eRzQvngU+jtt9885QVrZotH8BWC9iGsik6EQoq6tU3BdFa5nN6mERSU7r&#13;&#10;KlUofXLVrYQzVurH278oKbP7piVqaTkpj2+qa2aOr1z5ck5RxCRRBY6vZzCnb/PCtnvpqQ8u2JPn&#13;&#10;qsdKJcxTO4WKdw6thxhdzIx0dXoYphjTYsZXcZnOze8/4f+ZvvjFqtyYjpXnV2ViJ0D+S7pa+Pdo&#13;&#10;u5nSAonQWF91sws7S72JXcANzyQym5bSzSCwzsFD10r2S/pSnQ3qK1TNs8szZFXSd07gWKGajWYi&#13;&#10;JlROUTo0JFRewZZ9Wi15YKA0+oeaqYx2oi0ibgGgyXdbxxer6qyYlyJ3lCK3xaf3tU2kznF5IIPM&#13;&#10;nOuamWEIPPT9gvyFL1hes7ntT9oGlOWBp1cH5fjLT38Rvqf+AHfxHhQxGOVbEBdY5P5sUTodFl3r&#13;&#10;i/gEzvroW72Jt5/m6ej2OqT0hz4eUXyMPh5ZfPZQ7e7MSGlM+/333PxAYYq9AQntRxqSHEgOhaCK&#13;&#10;V48YGyvixxQ9WTxN08i6hHztyDleBs0tRjgbeqQ8C3qGL+ufqNxEhXSDrMpAGfdBFyJ3/9dUcs5M&#13;&#10;gM+szpzqIqgLkxx+zD6y6NABALpgP4TlaE8oR91cu08AGqqi6aTpdtKI+TrxBkePOoEggSw+OQYs&#13;&#10;7hNciqOEoRXaF8EftDw/5j/raLNcBGGSgwuKHzlPO1o0nomtbBfsH77HWMrxa3qWRMFSTL6tZ0pd&#13;&#10;hhra9Rk+gGNJzkq1gjr7V95S1wJ7e7opUMKydhdPpNnAQm7y2TGwWmM5dpgksXqVCahYTkMnSIkE&#13;&#10;hKEsmZLM4IRUEz+KL3QVOq8ZpcbuDfJko/jSDA5FcM4TxkGvi+S5nRqjC+2aOjQ0RPYKo2cwSGUV&#13;&#10;JgcEE2dYredyjt/KhIpQkuYRzBfKsFyfU1ZHVl3v5Y0gVVnydEG/lqzdwyUhdEU2giwk1E/PFT05&#13;&#10;8bxcjg5K7LIstR/WtgBe5ihZWO3NwDLHmwzL7tRLWyXAo+B+6ZTtT8LDItKa5ppf0CAlpmQuJo7U&#13;&#10;SIuk6vP0Iinw+oCmo8rSrobDDsg/jvaVkA9T71KIUZ+qeqO6Zu8THGfX3ZdXkKMtfq348XgU/WSk&#13;&#10;iXQ7beKtorM7F8oEWrMsF6dbQTYFAzwM1g3bInUuUCDVGpM9/RwXs/8Mj8NcykdLTS2OznBwGXer&#13;&#10;s3YqT9HgQ14bmZY8hyPnujYhwzJZjX0e/fK2Y8yXjTLZxkMOucYVJMMylbMDE4M3/DEjUNiQbj0S&#13;&#10;lPhFXQrdvcsuNi4w9pER3b2dEL1gOSZQo4JrnTPJuTjuy/yjCHqBEd26w1PRyzC8I/9FNx28o2vQ&#13;&#10;U5Khp2ovn6odf6qW2PmIjmH52E+l677ix9+vqQoen6TQcbrs0FjRcR5S6b1vy2Q9BjjkBO5v8KjC&#13;&#10;BAsU0HHYnq7sga4V90WNwX9qjfN0nVAyUhZdPSrAAYXSP+GDoWHBW1ZTrkmzTuev3wuvcSX7oiYo&#13;&#10;frN8iHNm81c6+IHsiqlNVsrhnhMZVFlAncOoC7q6WRTlMO/rs7RDE39KCZHVyEdhloUo+aHCZPz0&#13;&#10;VfYqrfQ9yE3aCdHeotoNfl9Ar8ckKJPUbcfD1w3132IyY5uXAdbYm0cw63PXhma9/gVueJo3W3Bj&#13;&#10;zYqrQdZTIhVeDVy8zo2xWajXy6xqs6e0hWOUuhGXhXHE22vrMy1khDCbK8zBqRoSeAnYv8SyaAN9&#13;&#10;VhLIWyYS4n8OQTnZt0rm4XhqogKD43PFEd1zU15Tc7W+RUE0KwtL03Pc63QGIiXFFjIFk3L+9c1z&#13;&#10;THb2agQmSmVrRAvfoNvqNgMJ5VFHDnBMouGVCY760S51t8vvtajok3l2XuoltahvzKb3ZfovaqX6&#13;&#10;3YqMqe9+r2wrOictDtpZ9CVjjZBMm3xPrWP/mPBMwRXW0TtvWpWUZzd6E8lv9sYgYjgmomz1Ew+7&#13;&#10;FwuUMNn0DVTKvP30u5RuYxB7nbyRDGhI2KhMvd4r50YffQTxfSNc/WII1X2OTY6fRjAL40Xj5eRz&#13;&#10;B8U0PQHOTwx24KKPOLPJSzy5ZqrBnT2cLKCbgcZtwFFfxVsLDr3Xdex65koyVqh95kpcXK1yEpcl&#13;&#10;XzBE0wYhEJEbFTi361QjD+tMuLzrC1KGKEWpXWPgkIMxyCGGKTJykIRPyGBK0XIwl9lSfrCxkOC2&#13;&#10;ucisXOO9NJFKhLyejJk6GrYeiHEwudrXZkqT0NyRJD5NbCOlajsuKj7TO/0pJ6rltVOpGt3TGeJE&#13;&#10;UTFmEdH/3OTJ8vpiEIqjpNGGqq8PAyH+z625f+YadGRJfEHIq7CYc8nBAEHn9gQ/O6Swzmkx8JW2&#13;&#10;8E3nn//+mauD1jR0bkTwhW8emTOHndos9834cCGjfvK9vrwtZNyP1BtlOZN4s1wQ2/IpfXfBrd5L&#13;&#10;hwMpgcsvVrXBTYaZEyReuMg31mgicogBanunIn75nRqreZfc2M6o7OTyHcijYwD8zKBxJSr32mWs&#13;&#10;bqrued49xDbRfZ3ynAa2gZBUmi8pj/38K7092iL7D76Oyrw+RrZ0XKnDDcCaDTaH3VzNErhk4ja8&#13;&#10;q6evDIfAfaLtXcxb8psvmiI/akkUcmJ13oLrf1BOz4UFGw0bWhrp0ISizrzNsZjAP39x8yQY4Jdu&#13;&#10;tI2yDDpAv6BX2cA5jdigEbnaJxygSWgutsT2bEQ6Bua6TamcC99mBFs918+6KC/JQ1ieaqjQ/ZFP&#13;&#10;AxIe63mM96fUc6O4P441lqyV+EZckjoOoJ3Q3Cn7EnNNe9l211kvWWZ/KJ3f2YdhdZR0NNY3ujWJ&#13;&#10;FnyqnuIeKritbKZsXMksgClKGLvqAW37YyAd1E+TpOrtoRyWqR7G9RGHT8sbuG7ffMY5Iem3Z0vv&#13;&#10;I4lPma5s2gP8SresVGxUrGVqjSXR0hHDSA3pWs/d/cIS53LfA5sdoe0bLMY5cewDRV5kvjCzhgiT&#13;&#10;/cdLM8KK321ELYyZIq0Vq0y6RkIFvp6y7CFBVRalxKttetT837cqLRcsWhuKmwyjxbr/iL6PRjtr&#13;&#10;9n5G3evsifuYRmy9ri9R1sKvaQC7dLDvcJNroXdR05ghMpICpbA59eK1GuNxwZCmFRmF7hNQRACS&#13;&#10;1idSVIe8zC/7GHQE2CZHRBxHUH8igqZ4bhsejN3u316Ecf3aN7kYtaKNsGCxI+DocWC3TNbEPBwy&#13;&#10;reHpl5vp5BNvUUEMbWZhGew5WCHwmhO3rbqtmxAK9oQ+z5WSv7aHWQXJMpa0v245e9crAWt1vLTt&#13;&#10;8uNevctEOzZAt30g00+1pakuVg1i1czC0CoUJ/wvDx9yOrc6Mlkv9hx/SDO6uj1KT0/Vxr38hM7M&#13;&#10;sIQ2APQ45PZQxddEQQoqpm497sSg9ttLqwhZeYuffZD55PNOb4SrzdvQD2G6oz6JmEJFdrebk5Sg&#13;&#10;9U2x0BQxQiJkXq9kByWHyyAIbJ7GoE7U/pkfNBBI23jDsWuez/FX3n3m5Ej0E75JiH1/tdHd+Zbv&#13;&#10;LrKgLgmSgvj5Gn+lsPxumGs7E2j/Y6uokpBfqWLMdrfORgenWK1FO8ZPnUPBjgSxftlcD2srOMR4&#13;&#10;nHLqtOw4HC6c/lWQc+f26ghjo5ujOQccweBaisTDmi7drJzj8ylzvcselXLVmfHJOSJ2lXJJJ5t0&#13;&#10;Raoa+wEqve7J5m68dO+9lEZusrJ4kI9bHtaBKZAKNiYomuGu65GxDl4AHj6K/8+efLpCs35nynF/&#13;&#10;W788n07BP4w97hkJM0HZgeV7hpbN3HY8/s8/PudDsXn1ultMiLcVjLk4SNZNWyr6ywLzeracqrtY&#13;&#10;KwrD+Z1CfzBDD+h78avfAX+ikLofbhsFQhu/Q7CoP8XKTPzBpStU5l6to8Qt9ayZK9MHVYwpdgOz&#13;&#10;aVm4v6bUJN3wqP1A/dMO8UvV/vg8sWOe2gDo+Mm7zNUiM/BhWgi55oNkfyM4ZueL1dzhND4sBMMz&#13;&#10;6sfZB2XdnnG1Cmdrzbu9STkvI+/MTvoloNBOBsgbDiAPWzS5NL4Z7ZFuONvVKMlt3mah8bsour55&#13;&#10;iRac5VtapFbYaxlvplltmeoOtu6ocS8GvDJYqfLpB+/MaMu84q+g5DvDapXsVrhFNlww3ycHPKci&#13;&#10;NmKJvqHvnZk3La6ba8ZQW8HrLLl9eXM137DLSOrfnlCZUir3we5dEOosu3kROUXO0VnxjFyeOiXU&#13;&#10;ddnTvGCZJp8/UHrGDtyCQq/F1OiGjzo4gx2eUtN8AdtEvrX94NF50A8Ky0/V59ha0o6oGE18JKCM&#13;&#10;fZSOcNMGMpSyFMnxQhMh15Z+7w3IbUfwapCE57wNLnnADNZmBA5M8IazyqDBxVZ1orM2jjcTK7LK&#13;&#10;Sfnpl8TmqrT0mqESps6/iaU0jLURjvgdS4tJp/NQIeAiYRW+ZwgA8rqs2/q/q6vzBsTGZDT5l/GJ&#13;&#10;S0AzcfZct3Yn2bLko2kEgJQBcLSi2VcMKW0pPa/ORReHXWIbqe7zGaTOFt4p4ROQfybxyhtrmpjb&#13;&#10;P5fpCA29qlAfbyZ9G/yIt5HXHJFkOB3MFyxKYYHLfrRSgl9vlE6bAgaXmhvfSA48ZjrQGhs/zGf5&#13;&#10;DD+uxv7AUXfIkDCYGn7EnulDeHh8FG3NC54f7BL28EC5NnrfKjfqQY1DLSm65OhARS3adeaoBJB+&#13;&#10;ssd1Oxdzdr1vla6TRMHhYpatvfwrtHSh3Xonds2/hcMMHqsW4VJrnTn2eEjfeHVVr2/Ui1A/rvsV&#13;&#10;lug3TFYxqtXKArdxzKbEJ/M6tZQg4Ookr5U5EbratyvewNILHiJwZH2g6jXoNFjYDLv8gWSROPHd&#13;&#10;N+5/kDt5YPXL3igpulEgMDaKuG3dQNG8TySkfr2aaMEmKjtaoHnCp5XeG1aRt+TUO699Vlp+JWTj&#13;&#10;gEZInb3fWnClqlWQtdHdiVbF3htccqdC6KiFhDOLio8CpE7449c0TrC1HrV6ZYp9I1nbs+5ecbYU&#13;&#10;X0lqrbVdYDtxKA4ubiSUxcRLDWJYSp+6EhjrnD6cyuwQqZ+dXGo5wZunMqKTSNYa9by92aAFcrGM&#13;&#10;AofpZ05MSiwu2/AWJYqVHs5hOP0CdFtxhC2Nf9D6eGb2yDom6RM1szPqH6Uk9aRYUNUHPlln5aR9&#13;&#10;9hHS9MU1QbehwBHvfRVlEhgL0J+XJVNIg+rK+y9+UbQXXbxKk6xSyCPnw+yVxonlBleUHcDSMvM5&#13;&#10;4dLW17OL2J29/iZEBkjiwq61/hKShU/MeZ34w2oGlEK2wnbhiyKqgQRXHSwtgmPxcGk/nr816rW/&#13;&#10;UixdKPYSIMh1QxKBKE6WwEymI6nhORwT9dYGtXw31vca9199G1sLzObP6c1jwjN4i541rlvR6gLx&#13;&#10;7bkRHj9CkhtwQ59ipYRugEjrb+NewOjqvfcWQCJwY3S1nlyPDq9WO+zwAH00tceSQQB/aTG1l6nW&#13;&#10;gWKtGCIOOzV1NPGUFjQbZ6m0XDpLN3PG+Kkwxg418bVIAIAAfq0ijopSrjc5QTU/J0TNs6cj5WML&#13;&#10;BA71zpi2CEfQXMEdQkL1ws6M8uGu2ZdVY6FjL24Pk6/HQqfTBXNq0vEngY839tS9H5zSJhcFPTPk&#13;&#10;ti2JthdrnByACSuhD31CIq7pY3fsULftHvadwG+GTHNAPucNpAHRDjw9KGiVJ43kletZwR+inSj3&#13;&#10;pX72pl93ldEs+IBZTMDwTmK8p4SewBazH+aGZoCAc8PQRwxnxs8dWFnLP+3H06qSgzRO018JXDZ5&#13;&#10;OhFmuByzNOVMHH+VS86hWW+/9ow9Pd0SHE/75E5MeD6UmqTz1fSgnKnAPaMN0MM7h8701++ZhSsS&#13;&#10;6z8CHf8kK/6FSHpePu5/HzhvFD3+5FHH7Dv2xaBskYCQpTgEvWUmDaK4CDaHPuvX5u02Je8X/HPI&#13;&#10;BM8LQLe7ovGJET2phx6FY3eutcWLoJLUqVERt3iFcv/OxRKO+1mLCZLvSAsyS+u5r3+ZJgzQ155/&#13;&#10;dhdQrfCX/IBzCPuq8ypVZ7cu+dPl7EXP/f4yzpjVC4JS6w/rsungQCgh4IVKtU8Bc0V3PdOoce/O&#13;&#10;9tuhnuDWiFoMYiZ6LxPGz64fJz/45FmRkCG5jM1nuYcc181cPfP2swXqlXI3NbI14otGXZQ1tUKp&#13;&#10;hhV3FAuAW3NcYzD3ptQfJZd/6Ci5SENKbAMub4UQ2aztxvJhXvL/SQP+vyvQOVRM7awhruYYXP8q&#13;&#10;GfMfVei8/5sKnfdfU6Hz/p9V6P92V/+fEDJPvmn+d7wgEKcA4Mln/U9ghuf/AszwvBP49zyNgOC7&#13;&#10;/1z0/c8m+B9v/r+hTP8FMPNvjfPfhd//sGJ//Ae/5PIOBOLm5OYR5AP8T6TJ5R0vryCnoAA3EPQE&#13;&#10;SLmY22u/4wXycPILCvLy/gvCbw6ep1L/QKLExR093hlwCAJ4Ofl5QDz/q/KbD8TzZAv/hzqe578x&#13;&#10;dpZBUUBxv6ZTCQERaVBCWmLpkBSkBKRDcmlplkY6BES6lpBSUroR6Vy6WXKXXliWZuHlrZl776c7&#13;&#10;c+bMnA9n5nz5nS//eX6PgKAor4DooxP8/1J+v/1/lN//df7/CLzAY+If3/2/ym9BQYDA2//zBzgK&#13;&#10;xH9EZ+YvxTzga22csgRkWJ/rssO1nqli7BEwv6KUE8/QeoWJhUNIGM7GUhjiqasrK4tLbEo4i/GR&#13;&#10;ag/rjZ62AyXOefUCxyIC4OMjLysLhp/7Q+HozsObZY+SiRwxj/HMNrVXbCwyL5Vf9lmTqI+ZdPmN&#13;&#10;4xSKsEdvZ/zl3Cv3/8dn/uqlcaIKY2re2zeC69RQUwW6+E/jcjSBH8vkJlQVcifIInwYkqSddON+&#13;&#10;TegriO1HNTE+olN9D0oQvjL/pxyJ1tCWLrMAgrso2dz7sLxD/f0IAOmzbwp5nLc2F5oPGuPXORy8&#13;&#10;UYPza3a9/HA+Tc3g7DJ5OxZnPzAqZTR9edTkHaVA5iC5vMOx7x5todmhXsVkte6KbbG/1M1XxcSL&#13;&#10;y9udxHIA180EkpBZ7r+5mSJ3MxuWYCWQ84OhyOOQad3GX3H2L9yp/iOfHKbvZS9311mDsRXexxw9&#13;&#10;LRlG/T63Kpa6XTeLFHu7qbapM8kY5ZgdTxNuH3TZYkuuyXtabcBTULasfnlj2cPX0c3r/FpZcwtu&#13;&#10;/icZ0XdT+fbdojNSpO0R0nk4JZgcWwUi+IBeg4JuukBAB2Y7cdBj58Lv+Jt6rD1FYJP+sz6WYMwb&#13;&#10;Iwvupn1e2WuJX1WKPtPiJ3XboCCCO7CfPoP1+HreYBwWlBatpyyj3c1X2HmQ0hh2n2RYFWgpVq0M&#13;&#10;zuwmiBegE8L2fXn+KexN5of1VaIqNw5G/CCifnA+MrRAliCJJPOD3LVF/fKjMfxExoKh6+sNJnO3&#13;&#10;vOVrYcrXe4q1U+c0c9DZumMtx1UD5fss/uCJnHsi94lqJn5Y2lcO/qa22k2NGvCnOIru3w3e+v5s&#13;&#10;JFM2i5Frke3eB9ScFCpN30/CcmDYMX/41MNK8CzyeFBe9QR7DLKAONtJl5buWdO2SLQhvNV6tIRm&#13;&#10;8EFlJl91EzDXS8VrqzC1VZL7cTKY1IJt++Kt9SnPfkcc+grLs6JdRZ6/CbmLUI730tvL1P+kKj2Y&#13;&#10;7TyeP8mBwD7S7GkfxioGAZrw/0AGlEaZNYZMj6R8xvzVupSitNhV9gSR+saDhWuF0hK1paqlcflQ&#13;&#10;gORWxRvZ1DwETwidMD4xfTnYp6u95sJCzAcDh4xQAbNpBVn0gokUGOb5Ph5KYjVg+EjTaIs77BF6&#13;&#10;KuRiez3nWW2Yk9tKStCyI8uIuNgNY8OopuFaxFF6qZpgSFk0/m3KVNjcFao6kBLkXz7l0aBUrBNc&#13;&#10;4DPbMG6t9vv+TbFrsHLHFlSdagb06WaveIl4RZ22p6Eg6lwYH9C9KBlZV7Ldqp9NKNXfom+nidhf&#13;&#10;YhoSVsoN3ug2xFa8t+ZaDV8yQnFmFY4ntQXPu+9OC7m+vNI4ShXH99GxkZi5Vsw+qvGiQE6bLe4g&#13;&#10;SFEV0rP6Iko5fWL6KNx9uFg11z1nw+EzpzAf147b42Lcfn+CracK2TQKoG/RLjuYrhhhoWLdn7bt&#13;&#10;vh7j85CIU17F7sLILZ5/wfB9f2QeKhWyMljjxHm46AwydGw8dZ+n1E5f0xVZczyTbPzCyw+1Cu7s&#13;&#10;990SmFOxyIObOJ1eRLRHLFSrv2DFADknUYd4mlZUdy5ONajl+Zi+CwqJqKoJ2zKd6GGrl2uVhl1T&#13;&#10;Al8g9W446/VEzPbkKerZf1fwdoScMZZgGLdjOOvJfOaIE7JrRqLQ1sptKqQ/bUtlW2aFaQN4rMRQ&#13;&#10;X02GL+CGIcQ/2kyUUQoQbuJPtKNuvzcbfqC494Pj3BxCj/8MZ+m8Hc/S7c6ZEqiqv9FGz+PT77UW&#13;&#10;zv2acjhyCCgGJLH3e6Ajb4Y155CwRYdmacB4a4KF1HCV6vZsnx8D4N06Vx0T/uDgPiN/gP039mpw&#13;&#10;VnpylN3anOgCda8Q6DtDfZ9ZO444IYHXwcgYImRHVvDnSKglqasLpjkxZe3QmHJIp6xafkXb2hhB&#13;&#10;ooYpLtnZytXi6kMljEF8ujIdcNmyRTRPMgqXGnSSQgH/RDVqtcdHOieWaL+DYFWGOtJYQ8hV+pYC&#13;&#10;UqRD0nTdMJMSpKWV/RJMsKHteCJAQIfrYh9n/bODYMYXiUhdMWq/H8S3t28qQwLWQtEr+TaTeFTz&#13;&#10;g3s/PX1FZbZvsEQ82g14FybymyAXvzKecsNFr+JxVaEbl8Mj+5Jmn6grSpG+Uno1VAejMOZYo04Y&#13;&#10;B7WdhNSJHlNVK9/x+Z8bxSt8WiGzkZ9PVUnmrkZansPSnt5ZL+6eofLE42zFcr5hhguC54l9n/nn&#13;&#10;X/SQ+jIuxLR7XuZBxXGZRDoi0C0N/zrmQTYh3EwEe30LbRiyiwnM3dmyOVH6fn8S2mpMJfu8FVvi&#13;&#10;DrIODxzKLTGPskbmtxCuHGA+h5VY7Xuzi44GyCOBY/o0VbPJFI5jTMbO0WbV5yFvX1379SKLj4Mx&#13;&#10;wuAIl2G7Lgr/um6Tp4sK9+VOXVRhyhiyP/LNhc5pBvKpH/WIi/pJr5FMhuAePpj3eTXyThadBC+1&#13;&#10;FKme0KnNnhAb/nOU3whLT/mcVxh682yYsmvaqtGVc/qKcE9xZvKAuKOxMqT6yq7xnhf8y5KN6tL3&#13;&#10;qGb+/rHMPWXsXEwl1wlgXwPC/h8yZ77TqEx0nyHojiQ4/hoR+WRGbJlY/NHXygde6yhRxB3gW4cj&#13;&#10;9jTPbs+vAFTZIEty11uxfNb7d6unSpHsF9f+N6Rb5F7pWtLc5hc+fUxN5cS1dY6tgKcSjVi3k4LQ&#13;&#10;LlAgzHTmsYnHF0is6fR2SN6fM1fPzwfAs+6PeP9g1jl38w65l3t7FR3V31Z+cNu2lXmrrblSOybP&#13;&#10;HoYX5pD/7C3ojBf9wu1BsDusom6vYK0ZjigTv527Hiu9TPiBLG/Qrx/zgBJp+wdCFy6gRQ8ql8fK&#13;&#10;HeK47eWeMMTFTdDMAfZ9wloH4Poe6bp7dDuA3jU9UCv9eAPQVZDWbNg5q5IU7GlQA28aVZW2ibBU&#13;&#10;XzmrFuvSL7+fD9qqP6DvyOXSv2mtallmiTzTKiK27IaXi09p0Kg8naxqeaJw5wswfT+9A1QFGLNE&#13;&#10;siDHmr43TWR5iSg0F5vvVzCRFBflp37/FKB2sph0oHEYE2taF7q/a/V7WBnkqlfiq4lWAKUxRtL5&#13;&#10;GUwwPNv7bMWJjhcPXD0yXHWFY+5nDmtDmuSgc7YQ/hOx5q37WD/lpHTnvpxdaOvZMx6c6v6D+Dua&#13;&#10;54khxJ5S/UOhgR/PFi1xIJa/pZBuUU+fbZhQdvpRI1vPmI4L1jsEQxhZL2rlK+yiSjxIecj2vhzj&#13;&#10;vTDimOoAsRybW1EKO04LNhcFh3vNjHZpkhb/bjYnUWz31/PLE/Od+Bs2/lV/ILUrKOTp2ZomT4cu&#13;&#10;XMocHzcw9Dwh1DTPcVH+sOiCwsnq7dHMc9agdgWPXuZ9VuOeUkMv8mCfgteQ9PJfwQvt2DB2Sueg&#13;&#10;nvtGEy++FgZckzBR5nTa4pj7u91jb1U2VY08qdOl9AKkYC+luaEPmNydeNftso4ZQggpn9sHhYvE&#13;&#10;sMkPGBW5tI5+1km0naYjkkl9YrwUorQP3mRooKhVIVHfsJGk8lXuy5OMAYckPsHzxtJEvnrzrQXx&#13;&#10;zjwsVMVMyS7kYD0wxKoQM/dTPvHMt7b8CuLAf4zTgE0sVAiwHNidG5pQyEWPn4YhVsjldO1u9GjX&#13;&#10;1aJ6LNIAY8btSi55FxMDi8Lmnje3YbKHFgOnDc5xV98FgChOt9WLddgwrld7tdtmn/6pwF8a/NGP&#13;&#10;Xp9j8Bm9njeg9kmhporXkVy76y3OI2T4s4PUcgQfSk7MlKXDxUzPb/vm+3WE8A4eSPdNsPhdz+Oj&#13;&#10;HcOCvqFsKmZlcxwseWS+pn0NeF54GAtcNyI2IpV2Ej9pRSK6LbdZpb+gSVrJPF/PdeALHEtDZvMH&#13;&#10;QteUWN+Q5IpHC7YOxypvZMdTVakZnPDZ6icor731ICU+58ZrbWeAB39tHxyJX6yaLtPXmD3PIaZC&#13;&#10;5OCthkjAPh7QBXyIU9Ahmp/afbPU+UpkmsgL0GMwFqKQA+ZYb481lRTZ6YT4aPkE8ngB3O7HyCXx&#13;&#10;djG7xPtXouo6ktjf0HryvZBowefvF4n3XygJ8can77biNj7HyGiAyDhFHbHsm+NLYfglD1zpwmKI&#13;&#10;hpWkCJbaamQQyBdogQXtBc4OAaAj5FpS+68V8QMWxVGIgDQQHub9uE0vZSFu8P8aFRkxztmObMQM&#13;&#10;J0gTwNRewF+joE/Q7I9VhHO4ueHn6n9g8LQO/TSGFt95fYvx41Mp9P2q9FKsjk+2jNfl3ytpdv41&#13;&#10;wfwzOZmBZrDRlog/GROFGm9QDSJogVFmIfC/lm9El3HThHQ9NOrGCkJycHmAnUXYSn/URG1w2eFZ&#13;&#10;85uKOvwFurn5e09ky2jsKtG45lAZzbgqwIqQtt8uP3uhZjb/sA1l5YNpFgivee/Yv1qf5rRi5Srh&#13;&#10;b1HM0/Xkxe+WbEMsKwsooqVrVUsa1yMHt/WJxwvc4KP/poAmHMLODTz6A2YlH72NMy83APvTDI53&#13;&#10;qUJmZiUT24gc7qCCS7c8Ur+7IezLO0TI/SWXP2HA5vcY1WACjq6ufzoX3WewbzT3T30v9RfpEjv2&#13;&#10;Pi8y2Pg8WsirVtrSn3/J46GFLFiRpvAA0RP7vpcLdRPDQZzLs0Xrhg/sXhWiJD5aNj8+u17ueXOJ&#13;&#10;6EJHuD9ODKMShGRXJWYFVRvAJ0d1o341cGp7fssiR4Ztzl1TUwBzkaexKP3cBAuDnFPZpgiXy7t4&#13;&#10;q87IO3khvbweegtGnmnNKccba/E48f1M8xIY07tFliN/I+v6nkBUkteDNxQg5RZz9CpVSEMnfi1h&#13;&#10;7r1578e9Zmr8KWDvMBf5SDtOK/2e3Q5j/ItMwp3ZJN7q6m3K3uEuVlszQvGPfUhZbVCy9Ex/fm7p&#13;&#10;SlnMfWfBpC2fUfmEcpC+S4zYNg1oxcRVDUDmCJ4yL4i49uS4/HsPAw00Wf7zjs5cnsSoeKDp1ZRy&#13;&#10;Nv3CKCVPBZmQrGBebaV1yWfsTpTraKpJoETL6L7nzSc4GD/K9dA/aPEFhiL4UiplogNV68fnQRce&#13;&#10;t/oHiwWCD8fQ2TP0XxejhBf76t0JGWy0V5hXVG7PLQlcMDrzvt4/cW4YR6j2Pjnf8NC3dO23kOKq&#13;&#10;RHjrtrubrWJzt+B9DD6ne7alYOBX1Jkuqa7O/Nvy05P1INsGs8qxrLpCQ4Npab/hq3Bp4SyI+KHH&#13;&#10;o2SxFvE6i49dB2uzq1aWF/ZntkfFoSy/AWZRKbxZOoei4acH8rJr51xI1AXQeVeTwJ5EG6MeJ6G1&#13;&#10;SEcUpuWStJ+NkTJqQHeL29otxu+U5mJLTVazdVCqhahLKR3Ea0oBaI5ha4nZJV1GvjgcsloxOJTr&#13;&#10;oDD5oQmhhr12WBeMVL2Z+RJISLeuFO3BWGSH4kTFSkccDFZSMm2V0e2TYKoCQUJ4u8yvZ2fekm1d&#13;&#10;ln6PpmhjUXLC/mXZCw+xP864g31gmceCkMjybyIRM2eqmaqroffJhDpFz2AEDlzLWn+8M+/O/6CS&#13;&#10;JmOURqQozU4k/QMT58190Rgw8gSPrI2IbybQtoJK7BJoSZWay0puI0N3FCvsk9u2RDfRuqlcVUF+&#13;&#10;tqS3VUQxWB6I79Q3D5lAz4Fk4n3d2GFByUtGULey293PS59RxYqNv2rE6FuE9icmn2tRONMpOhCL&#13;&#10;UqIcISxLdfU017lyEVd54jFnuPlTUA/DE+WQ9JCLQa7K8wINH3lJ7I6YAvmllzcmt9GdEDSwsjbE&#13;&#10;255vymBQfPws8COVbCAYhZNv6de7DgjWv1SdkE450YN2/bpNUoaG5BrZDM++8aCvJDady9a2+snX&#13;&#10;drarvH2wCRim6qqVmaJtpvE8EkUru5Q4qnAFRNU7IEp9LcS6vp7rwzB44jpTst34xMdrlzjEI9od&#13;&#10;ljguIujfRzpnEeVyxZ7VL7SCd3pc8voCqqanYRZZEUE3HoLz0p3r4mV63juW8clLHPNvtokhxYOO&#13;&#10;r4r2THN+YHjJ6NkNoood+oNU0wYWGNGeZOzA/PZtccyW4rgfQloB78PaoVRhFxhez1XsyhA+51Gc&#13;&#10;8/Ub7XgQXDTHWK1zaWYGlHjzSSAf4pw2xsjTxLvw0/qAPX7NMfZ2EROXG7l9t3eACvhAznN4LkNk&#13;&#10;6LWu4XGxmRKuRpNwaTXqBpUa8E3p6rCvAynfS2uXOVbq1rSA5+8b3pqB5/mFDG3ZLj8yhsn9rdKT&#13;&#10;/igq876sOk/epMTR/aWThKecS2mRuzDppPz3BzxTgUYI69vH2Fd3uwp1B1waBdmH332dy7SCuIpf&#13;&#10;MI/4kdxyJURWty5h5q52fTyVgZUoTjTbd9sAnrbDSl6frdTXj6mP4Hzd1KD5SDKjYV0tO8V4EYpf&#13;&#10;tPDz7xyBotbbT4G3PZySyQOnvkF5pSfcef/OQOTHU79BrK6wxCuu+9Rg6uIInZln54pWk4Y/o9kV&#13;&#10;Wl8w51FR9Omefs14DYsFWYb6KnNP+jnSLH1xrhDRy67qKOOZ+gRcXBJxbms0v9W9VfQYsvyTe/h6&#13;&#10;eucH0kbMvJMXmiqxw3Ddcad3X15nVgj8EQLFcllYPLbic+Cz53P0WWhb9l/EX8Bfrjv8d1R0JHF4&#13;&#10;+86cOJfxprQo5d+xyhfJfd/R79u7x7t7vku146cFW1YDmAPwBD56qGiVaJCniceK57aY87j0+BM4&#13;&#10;GfwDnGvcZvwy9yD3USjID65h+Vz8bzgyIkrvSRzJb5o5fm7pCi+D5RqzzxPh6gTUG7a+Fr6LJ5CT&#13;&#10;3ZO0jaGNcnJwWmL0DAuaFZtFTQlPOVJBI2FFv+BzRKjejR6Nro1Cw9Tsodro63u1WD7OtleHlzbB&#13;&#10;zS4E8yzzElWvedNv7RTS2nPrk7DFUvzPOILGky+F8sbOrrzMRhFnfoP+EsGjpdc+9/I4cUSFVUCm&#13;&#10;rNgqFirkOFlRr6/A+w9R7ea12+hIA+40+8D6z0tAZ6xtKR3/9/7GxuWVke0+QPx6cINjsnXIoxh3&#13;&#10;5MN1YQ4P9WCEe8sKD+kQFxKQWYovuxbFA1pmQmxeMLWtro2uTedZMgIZLYf8s9FbWkS51K0QuQSL&#13;&#10;qOnJqck1VoRZglvC0wSeBE06fPoBulJ6Ozp9ehmJII8V9+TpATFI5h4dLGCyBdLS07KUSaGU1h7W&#13;&#10;Mxwu9u9NuF5kO224cEQ7Y0T7j3/98mtKvrVYyGPHoWwmhOX31yxq/tumjEiNqqmu4RMH3cqVZ0aW&#13;&#10;xh+t368/gyOImV3H0wEpK+e/D74eSO6qrxM94gT1Kc8p9qqhQccF1d34w+dsc65T66w7whOABDTx&#13;&#10;DBGmyqGcCz1Kb5jKcnaBR7pADyW9YAPo+llsSde/i0ks8/rBeITBskZxI8xUnYd3128QcRYERku1&#13;&#10;/7v06uJLnHiWnmgiHXCNM7mjk65pJo3x0kcgZdcycyV+BbXC7j7tfgu/GFEfO8peZge8BmRyNNFC&#13;&#10;cGWrW5zdyf/mqL1qraFfuHE+PDIEB55vNmKV93PwuRcAj2/OgnMUKwXrdI8z3cxJJX4ElZxlZpkP&#13;&#10;mGS4FVy00MNF8m7XV248HCcqpdO/7CvXH3g63JXHlEaCA2DbOkMtQ1B2cB98AJMxC3yw7NTmxLjo&#13;&#10;zWF4xjRxWYld268coin1rLu1F/c7VxDZfK9Xk9z0z/OZN3jdOfUGlYws1lN582aTzx1HGpxODipe&#13;&#10;inVrqN0L+HXcdQB1k+qSyhIhpQeuBiDi852r3jIl7SLrULgx5pzd5J3npAQSe1eaj95D5InPU1bI&#13;&#10;L9rdvwOfHEpPI9yGRe22jcoZ48Hx4EcUSabbnI//ZoKov+H2W7I5YgY6W2P2AQuRihJRz49JunPa&#13;&#10;PToT+lEyeVD/5LKCUyhVY9LXLzOoxByIN1YwhCIPVH8oABCcigmhAX5xa0Ud9bRLy9k3kLiZ9Aud&#13;&#10;N0cFgY/0CETuJoVXW+Ymh2SafNc3+CbGrNAKhUtfjImSMi3mFEqa2iVULZU7eU3MGRapxfa0mPul&#13;&#10;xj8gDsv0iFCs0vQPFKWUuhUH/mWHHRn1tyK7PSK0bLZBTX+yl8jCT+OUAZGLz+YXrNQUtx7kDP8+&#13;&#10;BEPAJmnyV/YMIyTe7i+iPHDS4SpVIdEwvarB1F1xevgwXd9kdDs4QjG3f1YsEhwK+N1H6uZcJQ/f&#13;&#10;lZzf8TtxoWhmBmxGfXaFf7Fy6aldSdkik7GZdkiA4+QR+K8kG5+yrmQtnxR5YjduYJn+HFtJ12lh&#13;&#10;vCw1uUkrze5AWUsp9ka/rPl5gFqrX9hlvhxORUq1aD+hMoQ5aFPkIZnrGst49qNb3cErrlX86dlc&#13;&#10;ilJXE5E1u/K9791UAzg7n5X2zcNeelReKeWQ2/WJuTHAdwoHhfUzFzeNT3ObX/Gysjzdwczpx74m&#13;&#10;FOzlLr12VByNAv06zTxtMZyvsGPL5rTVq+tc7HYCirwFiwxkdYxJ25oLpppT6inogaLNk8DD/yTD&#13;&#10;7LI0iaK+ZBWNzSvUSBaSPrfZtkN6BIYQTOt8Oy6s4GCHpnNty3lkSDIl7qMVowlSB8JNGebx9/Zg&#13;&#10;XzzCCeanUUEs71IA4Lfm1N9PtKnGuLXf6z7XhgV0JEan/d4mDMy/D7+bCjAP4un6bjeK21+K/Cn5&#13;&#10;Ojj54bvMiPm28PVvsWf3cB8B+dEUnR0hkFleKnybEakJMl1LAuzwiMvZ7eCCtGHDrjs+yGcs4SO2&#13;&#10;FHUCd3N6uZ5pvJnK5lP6nlnjkPc3/XTFB60Faqa7WceuJdk0tiVivXROJG/BSTKDjA3ureXLnoyr&#13;&#10;+peCW6MlthWLo/GA22zsUSGP/EwLkQFnCfpTbTw7JJmCnLxYXNSpmmSOMpN461DTFR78dGRY8Mzr&#13;&#10;/oepaKROn1DHkwnFV0KKHyLtbKVk+XjDIY9Ib3CyMrEpqRCULJI/Qv2KwHyD/U4xhIMlNtZyExSk&#13;&#10;Gj8TNgoYi/Cz1zbBGZ5Ecmp/TCEr3ibowLH8zbSV3zIYoEYqAhWBkheff7Rszqiinozb70MlW2Zc&#13;&#10;V7UsmFjyCqYPH7njb5ZVumeLKUk6XfD7ZyWeWV9dSylJiI0CXT35xV/yfPvUz6rkuCUwGc0+NBWQ&#13;&#10;HLzN5xbcEe67RRf8j1o0ne+Mimb0YcPcmka6T4b5QmJE5mQ+IK9rK+6OJ3hC38bwPrOahv3zdadQ&#13;&#10;59tOgfEXdt88SlafCNOXTIs6BzjTiSRkfLZtpvmc1kRVh8sUdKde9d1xDKOu+TTqtHTP9blAFS0g&#13;&#10;PrufRyer1XCG23abhldwkNs5eahkDCUQUZ4ZaktY99NQtW6EzHA8Ptmb5g39FOfBCN7bD5Ej5+5h&#13;&#10;dypB3KzWIBpOroXYhdjh2D/JFdxF1vUVLDJJYu7pd71CH3TmUs9HgXWxo2m/nd0afY15luUbNxtl&#13;&#10;jQmNdYyJjdWMuZZZG19l1+/ZGvIoJySzkheQpKs/aSN3EN32vY7PsdAVekOT+o1DTDvhx8RILdL+&#13;&#10;uiJAI4EcrRDc29uhyDhJ/d3oK5CHoVi4/lM9lb0lhnM+qdOREz2QvrKpocnrJxzIrv7sSCEHqMql&#13;&#10;QDsp50mZS6bnI5dzmQHUBEcbKCzyKHBNKtRTJg6q16c20sS4t77gwBsaQ8qzvk8k11zn1X5fXZGe&#13;&#10;Lrj9oSgbyIsX57laoLz7vVWnOl9/5t+YCKzIL2NxyslG2rJRxDjjEQ30izb7xFe6fK7VEQkalPwc&#13;&#10;ZMVQCn3kjgRhYmf11w2gNVEF49E6GOfZT9Do3dRFBmjm4g/PmMiIqAOdoHfcvLMTHUBj8P1J4O03&#13;&#10;KT/2DkH1UsCOtVW1r471IKefvtRk/M9iP0BWqQ913Z6yR3bL7IpG5ImXBD/C9RxxYn+cno/ftcIj&#13;&#10;nEww9GTF2mk7LDue8Zq1lVe1jyMkVocpNT9ZN/ZrmRCuDs0bNWZdklofDjGy4ChtUUUtUOxPIt3v&#13;&#10;b7RtYguBv97plb/UK33xS064/LmUQkM5yWyxny74pZa8gwKpjpXDu9qZlM0ymj4dLOHS5zPJRpOs&#13;&#10;M1lLkKKZtCVt/31Z+nKKY2fTMi4ppZgUhdUyifP8PJToeaG16t+71Pkj4sRl0k4vDMk92aspuZOS&#13;&#10;sI33ghtqqez0eOa/JPc4fCcnT4qs1t8P9MS9Ybyhu5Nol7m7f+Xrs/NYekJqC/kgQLx29zoLF/FA&#13;&#10;1BG7YEHiQlRnzzBG7UHO2C7n2mPM9/UhOHuN/AxYaxBS5kuz+ZUqmmNNXrJGFSRf3KZqnGoTiVhT&#13;&#10;yQYKBqoYpzBMeS9hotGP7KwpitAyWir61QVz0JeBp1EVGRuCvSRvjESVBj4PaLIwuBnvV+/RGhzU&#13;&#10;pbEBLydxjvKyThYDUQVaFPeXju9kC9juiLNO0A9JbCbvKoKpBNCpwXIUWMTCG8Hl6t2m6qt9FRLT&#13;&#10;Mk2EnubqHKfmM+E9ohtrWV+YzSnciYE9UwHqzRnVhNC1YsKmfMIqCeHQacRU+ES+vRnihAVlq46p&#13;&#10;PljUsZAiIYTpc9fm3BMAjJsKl4IoNLGJEjn3dOUTPvD5RhFFiGw8xKoPzuOkSa7LZXWLl6L1WZTO&#13;&#10;cQ7MY178plpjqY2e92WYgOPeiXf9dUW+M+t1PV2+I+kaiQMR8u3YtOfon6gGJULhejljv0FPq3e8&#13;&#10;2vMAJ/g5RUKhwecOWGBvR6yHQRk5is7t6vasbvNpuvtvXRuCAWkTp6DObmqx9K4dxNWUuXAo39ll&#13;&#10;QEQ1ktTHvof3nvRhtOtEWCxGE8kp/ZcWROEKIwURu+44t+f6nGjcR8vATO8IETCp9vTL0yDpbvxr&#13;&#10;HeneqGuC4H7wGXVASuKpG3AmLI/9LtiWYubMU9XmnzPFQngpQ3jx6qO8tz7P7Haan7dHseUF/tQP&#13;&#10;kx5HCtFotTZnrPT2ZbYvnCNsC7Me3gn1QgVY+g1OPaCqv8KV7If79v6BLt1eqWxfpFwMZCleutFV&#13;&#10;btquXLlkd6tXwI94eLIhsdkexL2vh9lMdP8TN6qHk9QQPl7S59LwjW+bpF7J9f+iGZTj/zfbdMNh&#13;&#10;JXHcLZhX2c6KS1mvSrf2nfV19Al/KeuMGe9Pp8z1Kbli1TQCbgatXujE/IDty9YZHJ3U8GjY0Pgh&#13;&#10;0dDin3cKI2l6euIsuDScuG+T63IHHYLscp3s/uiNgezGDGYOffTHDHzGFu6y6NadFL79+uTGpiBa&#13;&#10;R9qvLOrRbBylcCK4yZqcs/gfxN11UBzbvi9wNAPBggVnkGRjwR2CBIcEd3d3dydI8AR3Ce7uFpwE&#13;&#10;Z7DBAgGGQTP4wMDj7FP37rfPua/effefV9XVtdbq1V1dv+r+p7s//dVmfVCNDZ7djg3Bw5JEtZY4&#13;&#10;C/Gx5mMQJmzMTiTl4KUVpF531DC+uNWqQTl/jgNTp7JWb0opA6CFl5NjrljSbxM2fpca0rfUs5BQ&#13;&#10;2Dy6onqKaJf89u1zUlR1QgxpsV0qD69y1t4mf9Fpc44ONLe6PYU6ZkVPQa1VTiuQOHGKjQo/39Dv&#13;&#10;YngLLM+eztEjbtoa7ZD3WahFUIqjpkQ4s1qNaT7Zbn08xml46OuQQx4kMyJrp9/n2kOdnkBDCyZu&#13;&#10;3aosZTAUUoH6hdYAmtFe6uCwEhGdcvPVwS6/vfSDAxmLasvEyFYDzmA9PF4zW8ux0mawfqvBCX7s&#13;&#10;4/1gDUZU+wHzkR3XOY2RqmWevo32tRK+0wmXMmm8XJC1E8laLaOu/Jk6pGNFvjf/Rl/cuvnpnV2j&#13;&#10;psJVu9KGLXa0tzKbr8k9eT6XJYj8885nFTFfO3FU7HA4Mv5URR9BK8c2NFXYXe2toIxFf91XnZbZ&#13;&#10;284wN3axbwRx5GwCZiGrm/iYeR5SLhKh2F9TbRZymt5bLTmsi3K+AWdGxFF+qp0TigpYZai1ystM&#13;&#10;GayNESRy3sSwL7v0oxzWTKksGTYPeFWp9U5Gg7Td7uk2m3V1L2GZqpiqqIErefJ544ZwjcvFFtF4&#13;&#10;2ql5ytWr0/2SyuU0c1CTE83OSllAQmhoI+Sq8ivkIaYFZVGhWniQrZfMwxq28ZZaNvnLtJz+BgFy&#13;&#10;Xg4BBF7I0K6eQLMrLwcDNQI70Fg+E2TediBPcGkox14qtGL3pIQQLk4ir17WqY5vugIuU8LJrJzK&#13;&#10;EM4d9PCWqWagj6rGpZmlpF7aYCYnwX9pNv72DR32vIIaVyAG8zGonLISYYK5xMT4szPDker9t8uH&#13;&#10;15hLjwwETmeJr9bONgicIgT5NQiCbvqUv8WfJrl8AbwXaC2IyDZrbUiL2Hmay3/HQJDwKEug1N4W&#13;&#10;kW0+hanwjfXh7tUaDBezza8+Avh03MWMY/q0CPD9e4Kgi/wnzCT22aXL/327yN6aknz7YHB+hPAG&#13;&#10;7U8lvDSX/TCCk7AVr9ZXa5fGn8/MH6W+xTzKfZO/TnPh/yEoL9/u3xthLtlYURAxuv5aBb4kvVEc&#13;&#10;MobP9A462x3jsSFnWOQKWo5I6vojzLMLDg3tlHXemcQYOf1x+8IUniuo/6K/KodGGddsCSd6Lpum&#13;&#10;sk5qIE8BSEPn7C2rNGX8DBwtLCHghH9L5bhd0x7iETv189JJdZtGZnANuSUUAikd4EkgmY/tlxCX&#13;&#10;jBbDMb3nyULpfjYW4ERWn1xWk9y6rHj/KnVX1gzxtdh9nCvBxFhs1FrQodp/0JXr5t6KLZxlSpet&#13;&#10;qRTjludy+PK3IvQ9blA6nS9PLW2qz8bqRDjlOKNepPAQ1wcTsmda+T++L0YsejjsMhMxkTkyq5T/&#13;&#10;wklwttfwNKhOpveJN7cepsRspCeqWDZLOL7ipwQfIaj0Q4lPinZT3TWyLa/eJaRLuvtskI++8cct&#13;&#10;3nrNT+YkO4+TcDHRRBVor7PraLUfTWxPeam6wbs4rVpmlFHciggr9humpKA3BG2M4GvuFBR3r1fu&#13;&#10;SZUlNwxT7R6xC5MXMC7kqTQg15Olb98SDZ8vSYluL6O9/G4IrnTrWRG8X1hNS7WT2juDLAuxskzW&#13;&#10;rjWaWezyJYxNTLJooW16JgoOHDnx8dpnzVq9bgojs4rMeO0Y2oqkr5rdN7lk1ZQp2O2mSBjVkKkt&#13;&#10;zkLZbVYzWX8geC/KtWsVND0RcIqa3YxJsaKw1z5VrU4y81mw2yz3koo0AydymEzwfkPPe9G/AbdC&#13;&#10;wJYYDePUHdfgFA2M5hS78pZ+tCDmHX0WGj+mg0F30PnNXeCrzd9kgY/aHOAm6x1sS/Y2BtoEtJ1G&#13;&#10;hl0S0YLCO14HAVG1naJife8At+PoH6GI6nYBOlpiuak8PpTrFNee3CkQKrfIu+CPvzYCnzFmfc7K&#13;&#10;JUsmzxfhoNvo8JPq8ye6Vh+mp9vWVu+LmIqpuhsuHakjwxf+1klQfUzF37xPZa44DrS3WRMRilXP&#13;&#10;xdE0vzzxTdzOq2xvI68q+3PxdnC2f9MyFdGs5Ko7WJBbH1HvlSpk2QadYcXXHvp6Q2lU/WPn7NgP&#13;&#10;yXGWZVag541mOq7DmjzJLFN6kSHMzbBLNS/vGqgtGb/giDtGGJ/lUEbGk6+VHHp44UX6ZdSW7bgk&#13;&#10;lINKxIeKqlilVmbHBfrT31XV6ze+tpgf4DJqVskvVeuL2OpXdaaUKY3nJ7BR3gacy1LMi7Sqt6BB&#13;&#10;6WAskGwd9wEzq3uN57CaLNTMEOw9F/RpC1QUEbDpOWBZjAtxR1FIUKFYYtam0QwVVMd7/ccWjHq8&#13;&#10;rBm51sQueoW1gN8W/7iA5YKybge5Fr92sLaJDZlbJ0HoJ4KnZqepW8HfiM3F0Gu3gzLDlEhGsTT9&#13;&#10;wPGi7/np8QwULSgs6vf3e+bRT/tDQpyqaYvOu2QcmazVo/RkPJmL7xSA89MXDIixATpxitLjObuu&#13;&#10;INdbXTylBQU1W7SNL2d5MbyOf4Sbt5O17ZfVAHGDplSLYuWI6IcZk1lW7USaGVqmW950yCg9aaag&#13;&#10;kTrfbMMuQ1nDEtPmrnkV8ljQ8ddBj/jaLyPP0nfknMZc7wU2dnxEnYlifejbSMC3HOwkm2e+D8nO&#13;&#10;9Wz30kz4rJEx6cPPG9QDmOeatVuWmp2bjVtG1CCxF7F+X3+XrAg7K2yU+eLQ1ogZkK8wYgsTyjpW&#13;&#10;kJToJHoAi6zrP12fGX00VE+Uv9I7PddIqNMz7sYHuOnWjidur6eBXcWUdvh9CDf0azrurRBWC7JE&#13;&#10;JCXSgrPyFy8PzHIEnkfYqK7S6/E7Em/4N5uv4nR76kqkfWa1YBHMndt9203yvSRpklbX2Lm6DdQF&#13;&#10;3blggnv0JHpJiZUm8lqR28cB4/PjFKwouAdznGoH1xaUUZ/3vkrd13QJD6/AG3Z3zlOc9ME/aVMv&#13;&#10;NAy05drLGE8tL7OvXpRQD55zZhFBd8wF1GRKiDRLe3xrMRDGVVQV46GWfc+otGqb4FS2z/hM71fQ&#13;&#10;Tl96wwFLB1GNxjRFYaPUrK9heXW1kilc68bk+nA4GBn4OC2OqAEFU2yfOY75Xfdf9EmMypDWrQFL&#13;&#10;30jRPleNliAqevGR8f/WvDFGLXzYrIPV937k4WJSRCzyRDmA3OVQWkMoiwZDFAAOr+L5jSWf59i6&#13;&#10;kk8E9hZRGuUnZUgaiFjQcwavCYx/eccc7mO/8zX+lSAAh1TR04WT144Yj8UIP/oLt7tT3nybgXMa&#13;&#10;PbCnIS1Dq3D8zuP5OVOZleTi2QnuR6hKOa653UKNpUyOqNrxWIW6TROS/dgQuQevOmgvAXMtL1mD&#13;&#10;bE6E3nQy3N41g2zE+Giqi7k3tnsFmfvWN/WS/ZTL0Hjct5GYuDjSo8ekDhcUE+69d62naKmh3uPH&#13;&#10;ZVcVt3piGs1vYE9e9JDFlPpsoc4HisIaMop0mU4ui/IlRLCfYAvVhF/lq7X6OpwbFYp3EZOXXd+9&#13;&#10;+ouRWgfoHkLzvirPUygmiB25iCGyQfdxrI5HEwWKzBoqZYLE8TwD+wd6GopgP3WBnHJLmaAGvjBV&#13;&#10;iUogIegijkidvtFqXUixOtjPOsMH4Jrb6aMdjSHLXKR0q8f7HpCZha9RZZXbaaWagFGnU/j0xBvK&#13;&#10;t9eZA66a7tqVpAcsTXyoAXOX+7AbURwynqi7QSBkNcUSaVr7W21tF4f7lE+3z4U32mqVRs1MkwFn&#13;&#10;z/BHzrqpBmHlaaBRCWg7XSGV+9NLJu2eYLBT0dcaBRcQde6qlCfcIuh7mrvzJBNJrS0hIr49ejkN&#13;&#10;dUk56DKXwG6Ty6Ds4jlcCUYvvM7Y7jy8UEvEUoCzqyHTgUKha2BJxF6f/I6ZHrK5IRcXd8zdDbY2&#13;&#10;ucM+vSJbFkX9s+mQH3rMXR/4rHW6/x+Dl00K/xz36I35pPaCeNDLsYiAWskxxz+/WhGL2bDopayO&#13;&#10;MD10sVCPV3ptPl9GNpFM5NbGw+ITI7km72FP97qzoJDzd507+Vxyg9PDMhnqza7H4sE7raCySUxH&#13;&#10;1qMlir5VhuQqo74fdi1J52gBFr5HMrthbleUjWA3Nh+HjrSXAwKda6fh7kCXHrzKAJpiJ8r5Nsr6&#13;&#10;IMI40V26lbCJmSH/nB0wRUkVdo94ZN3EGWu9+wAzvY6lwzeDQPm2hHjcDsDWmuSJPJG4LdKvE0AH&#13;&#10;QPwEOckf6Rc1UgcgaUN9ctHhhxNxIqNqWZH+YSyX2lrwR27f8xAs0ETkNHzroxoyrbl5VbO9UZ3W&#13;&#10;zJhnI3xtVLj3dlm/TSi6zZ8fqv+KsfYqqVk/KuVHZKfSxGAj6615cw+6NkS1GYz1XIUMeTGMkVF8&#13;&#10;fL6YlWCVrmeVbjZxqPq1FSunPaZj8szLv1aX6vpPnUVTPAyVRphNE3vzCsnqEZbj1Ue+O4nswMLJ&#13;&#10;3hkr478P+7X8Y0psjLhCmkVKHqiSTEdbhdTjzQuhl+W5bmlVnQfrCOKJst4eL3Bmpy9wDxEE31nF&#13;&#10;aT9si5qKnWgCBu/uZRGTtC9/6tb3PXW/UMzIXO5mmQkHFgAAlp423veol/3FusKnplv8FcBcQl3Z&#13;&#10;0Pf9P2RtullT2Y86eS3v1HQRewaO/fH0c+dixJVM1NOP2svH54+GvF+euJaRuIb87eNGZ1H53s/X&#13;&#10;xCRPSEuJb3Z6kGIMePRT8eIxLgpP6sGOPxEP2DA/WLU5cnp9FvbpE7tIt8zr4dd47Ewqa7AzoVub&#13;&#10;YQ7CNPI9rZQ7vW7Y/gQzo1EbzFr/7Q+s5tdL24pnDzwj247M+Us63YmVyuMvTwGiGF0FPsEswfXD&#13;&#10;JMjAsew3veXQKDydgBDNfapYdqfctvGXQJv4w5O+CN4Tg1h220t61t4U3mmaWLxGuKDp74FK4MP4&#13;&#10;9nedS3u9AN2zXd/y4Sgdxzr97vXtHVbRBTvw7DbVIrm/TkAGr7X3489KZdOmG0ZNWY36G3hlAqP9&#13;&#10;7/gaOAmRs/t3r7Rh/UYz+x4++ykDo98PDjUI9djrlsVG28wmGQScU9N+ZGjBlW/yB2UK1CEtOU8w&#13;&#10;QAeqYl01EFgpqOnbQz7FZxvOHSmSmQl1WP12YKvWF9nUNHGQwmlzU98cN6CrFZ5WES7zFff94Ze5&#13;&#10;2uuCZtpB9Qqqy9J3HJaSNgLruVCpQDkE0JRd5TFjl3PUjG10LU4XxMbs+a5LKa/xZ7nwTYIW2elo&#13;&#10;wOcm/2+hnrcdgUnZcw8HC+jnvRwEcXsymsWdqoPqfqD1Zz0ioa5savYK72rtSh4SZJkLHrKi2jR2&#13;&#10;Swo9lkWsjw/er1rGOdBQTIzATLv1zWVXdYIz+dG5j99XSJvHwolqDHm6y+Uxj+ofPjsPbKgxIgcw&#13;&#10;u0WZ/sBuHkfJl1EKwJWdsjmjp37F69jbqgiurFmYhjBcFMPl3aCbUOPQrjhQh3/7J2pqaURh2gV8&#13;&#10;c2AzbZWqR69KIemyvnZVR1NEd7MsQpk4XzbQDj4ETwlbVyr+ziMQ7J2bd+wIqVat0vuwSV7BSy5k&#13;&#10;TwetIVcvs4uPelCb1GfqK6gs2/KabH5j/cndxu6x+Q3EyM54v76QKVB9Xj1S9OcPiLYK4mHOO7v5&#13;&#10;gWkwEk9xMmy71Brba68MjKt8isN7kpI5x+Do8nglyc3FHcksrUj2y4PEUiSLU4Aea5h06ss83+CK&#13;&#10;g/jE1kOF1COA1cyr8b8gPv/NJCIu/r+Fixgmr9tFcLz4eHpO5N7Ro3NfcdJI883MeyD2QQUMiB63&#13;&#10;QeWNJGUPuBuJaZkRRwFyM7gLEGpeqtekhkMmE4reAXLn5rZ5prRompdZJj8TfSVwovcb7seJ7W7X&#13;&#10;/SPqCXgnE6OLX5xUfWnCoqx1c/gdKl2nVaTZGTVoDfJxsjLvdRU/prGyxCQQfpzn5mcPEI+W86ou&#13;&#10;qWNpo+zZq9sx58RgciVYi1bdtmgX/+6ZWB2NYCpsv1PnWoAZIyg1HBl620tOZDepRm0NalNehTpJ&#13;&#10;HeQyVkU3xkFS0IQAEyiaoWxStx8hAXQAcPUvb5gTD94gjMfGWd+7vG5xKfraYMihJjHiSly3mokx&#13;&#10;/q7yh40WyC8YyZU1Huu/KO3/PE+IVcLZweL/VVBx/3u2EPe/ZAv9OeXfXNA/Kc5fOoiG+/+cLfT3&#13;&#10;M/v/qaj4/woS+ndFpc/HyfFkqgQFeAxp+ASelBQvHxsnLxf3P0AbB83/tvHPSKL/8FdPkUR/Cqv/&#13;&#10;3E7zp7D6j30NaTif4oz0/5Nr/XtQ0Z+F+7f6/lXZf1ZaydTRkoZdztLBy9LD1tz07yX9n9krQR42&#13;&#10;QS5Ogac8IElTFzlLW2ubJ7TFKcjGz8XH+8S45D1MHWzN3zlZO1jS/Ku94uTg4GAT5H+aR8PKI/DU&#13;&#10;5OV/kmicvAKCbNy8vE8RTpyc/LxsXIJcgvx/w1fc/5Jb9Gf/v4OvOHi4ef7CV0+H5fgbv3zKLfJI&#13;&#10;GZ7z0uxD9IrQ0kbUE/7B/eVF0gsOzLve8BA5NAvCj0i0aHJhr2iqiorGEibQLQmJV2ZDXKSlxKWl&#13;&#10;h9GJUqSvpHUN8JNen4shpj5gIA+5997ln649KgsoV/qd1tbWVp6QhWREh9m+JSMS89CZmGnWJAG8&#13;&#10;aImTPDmK+3WRsmOeSMVADqNPrkzKe+tmk9w2hEHHFut2nfQjaNzDe/rVgmxuORvqfJNskAZILwTW&#13;&#10;KceAQ5nxmZKr6gM5NA/ATLcS/FhfhnOWHbJaISmDY9PAaIqlygzNFkSNLC3VF9lborXrRQ60uKRI&#13;&#10;PuZ7IM6Je2grDLLou/hVyL4mHMiketEkVesz5w4YMTJcafNuiAxWEwQc5GuzaAPrDk4WtrBI3Ou0&#13;&#10;cH2FGYkPsSQMW1m22jRftz1XxSgOsBwD4263MW4mmqfVhm8WzzDHp/QZPlnl+7fyZueEWVVNUiJi&#13;&#10;WjOJI/se0lazqOLKu183VfYtRYevi444G751rbi4xRlIx6qI4fqqi4/G+m1klovpWrkaz5T2Y5i8&#13;&#10;4kDLSAhAOcb7MG+OhDUrGwkc/sXZaxw4oEpa9cfZ83qUDGevkqVdzixnUPHShQHnItpFctHh8i2L&#13;&#10;De6NIKNxfGddaK0EnPeMcKbs5LR8JRVQabuG40t91jNT+8dIoqRxV30eqhuxsEXaNXdD2PuiUydG&#13;&#10;ICocDcI4I1rehRvgaUK3+uGbnjb9o/yZOk3+byGgD8EZ0kokYcBLHKkuvGSj8BbuvUsG2ASq4atk&#13;&#10;gOezaBmeMRe/axMEK+Kw1raOwn5Kn3DPefpg0Udiml0s4LwrIcCdJZqXnyZ2ipS3/RmkSbxyfYmk&#13;&#10;GdAMnGDIZGDURyX3euFGHttC9RnBhJr1lCrTyr80i/0VjOLokCXdtRvgXOmaJ5R92E1RvULaJMaK&#13;&#10;j0nEyjZzuv0mt96MERl2GPpgHqoFcX9m0UB4aWUq5hXyx3fCje9JxqoX+yM6p7ZUOGMK3wG+WCAe&#13;&#10;8nhYFEfblMpBgji7aqIwkp9oLEdUjd6J32mH/cnb87es/eSUpKfccXe1OE+/fO3FLhDxlOpjX925&#13;&#10;ufomi1wTfFu4b1JMiINxpI10RV1doNhPbsLggr7D9uxzoTdF8gaeH/4F894M5iV45UlezQpVXkod&#13;&#10;RosC5NgbPJeMomrcr8jQqGWDj2dG+0JKFplx0Tt1qiD8C/GgfZnD2jz7Aucacz1vFI3DDqPixQr9&#13;&#10;GQootEMnAg43kJA9kULdIflKDn9rj8BWKSYJtH8rwRCP3Ex1zy9g3RXSovMdTRC7M86dfcSnJW5n&#13;&#10;4Ivo4zZ+ltm830YdD+8JrCSemUc6nzb4UUmFTM4e0jO3X0ADapXMN56BC2R3+B6EHMGuooppTmOy&#13;&#10;yCkuBNvmUY/OP51fKFe0vl/lQ7viqz9F1jPplh0Qk/E49jfBRXr0Yn1u86xfbPdbvmE4sKs1GwLF&#13;&#10;n6EtSFoAafXTFLFoHyG6egF6TsGrrTzfjdzFjXSarrXxoQgi86nzFZ++yflWju+izsqoO80io+0g&#13;&#10;hLvNkRjJF5RA07UmK+1TPLkuHgt7xR7l4h8li35iyKwkjIN69hkM3cCBUrDtD+71/Lr5dc5F0oW6&#13;&#10;OJiH748usHHry/3NktB7y4KfY1jSuji8k/7IRK3rG4925CM8bmai07Tsq6tHhnTj/i9vLe/LrRZ/&#13;&#10;O0lQTAJWQ/y8i4J4j0YHxfGX35xtnB5x1exUjVWEugqb4uKPzSdtsS7g+9X4ve3xEhH9RYgrMDuK&#13;&#10;/tgJRYMtGJ0+B611ydcNwjWXLr1k72wOVf00716z0vsbRXAe3sKaP1x0O9zC9ywSwxE3pDdDicbI&#13;&#10;JFfPXcdb9gPhbp4oMyh+rrhPwiq1qkAZaRQJMkcMWQGpFZSFsiO6a4UJMnYGU0EQrMu6huCcEXGc&#13;&#10;FN7WnU/EG8cZ81ZjDixTs4RB5HW+uhF+qNM2gZxhPdPibZ+Rjv0nTB1X99IXXJFniAJ/0YhIOkl0&#13;&#10;KWqwvwCOfeTB49LFfhsOQ4ZJ2n3tnFc9xNczB4XgOKEJLyB5UXBG5UgL8fmG5W5cm3D/zL/VcDFe&#13;&#10;viW6SV06ELnBgbDhgeAJfqBdVWqMnMaEc/GtlEBco/2RLDtjc69Q/q5BZSODS/4bsBdLdyL01l5w&#13;&#10;eaduiy5Dn7VHCyyzg33YVJ4XhQeVVjYLZkGepH3MDzVcjnUwwYYxh1ghRQvWiaCa4NVZFk3hiYqM&#13;&#10;xz9DEEEiRUBXxbwqWBBUNOQWZKmEpUj7FduVGws5RYvgOv1RlJHbNVBQcLDCXUCyC6vanf/K4+pL&#13;&#10;cNn1ddqM6Lprpr2AgjuOo/eRjxPpPUQhq8DK5slXOT7Dw16dQpXUOW/dhIX4hbWCvVyDTE49j6xH&#13;&#10;Bc5wbMQwrV0+U9nXmHnlmOAmLHQf80+Ep3nnFMCErLBu3lJ1oQfK1oR/UtUeJSXfJX0XXvMEpuKK&#13;&#10;md6xMunyhiorlwBQezlMwLDbT8F2h85nFUJWc67K/biAI+d3xl8dnZJfkFNqJD4T0Jp7+vcCZf0s&#13;&#10;+p1d3U559r03cvCR8WB/mH3Hx0esmTD7zOzg+4Cgh7QHnrrNkOAmc+6jg0vfXjNwS7atUffPROWH&#13;&#10;vIdBn6Er3zPTW4tgSezPiXaPpNRy5uzUMNrpPvSAPZyFffWKhHyv33fLo4jmqEXdGm90297Antc9&#13;&#10;TQHHlz4wSPzd8oTyDqI30HzAZ89rAeiNtp1NMnPdVi8PNzp/BklHvzAPy5/qk3d2qb1cwZ4RX3Nn&#13;&#10;qJzuFe1bOqjZ+RrgUZRX99gLkj69VLTepphpKthUfd8RV7p6O+9EdvfADZ2vScn2cBKACATDNbNc&#13;&#10;hXOxIUQFpzSGJ81LbcXIQBcGP3Vs6HW6d9HSKbCtGH0x/aTHjLroOYxsTTOvkCuhZ4O9BtgdmxSM&#13;&#10;dFAQcPGp9ov2RvLEBN0GEOH4Ha38Emm717ocd47XUsCs2+P5M5zemNoi/idupX1NExmm9Gtl7NB6&#13;&#10;UpSC7lNaeB0qRACqOYPxw/A83oP6V6fq2w/sNhtHSiANXz/J/cLuL6VevXUP6zA07QhKPzpnJljl&#13;&#10;AAC9UOl9lwhsF/MmZ10vSrfwQWZs//WQjfIYfT27LMT66I6H6j0qplybVA/BzP7o7InlgrPtKF8W&#13;&#10;Q2cErIbUGvNkTF+cBKn4+GoMIBLh2YNm3KMZ8CPwhlBpAWONrJ/hp9PFl/jSHBvs7Vf4ww3inzkl&#13;&#10;lkpWZJ4x2D7vsPyZ8IC7OMvqks/XNZMokH1NL4rgPNt7IQBog/G3zfzODlASpXjZnr/qVzHtb/SG&#13;&#10;AbIZPfjzsRveY1aEOJlDa+3DC0TLrE7xP8iZTV0dY1oAel52fQTAYUIXll9PgK1QzY+khrR8GPC2&#13;&#10;3nQDmYAAX3ozKkIPnlljLKzW8A/MtoK0VvJj1sZ5PDum6VVPV+eRyERwepZNa9ixb4QQ9Bpjx9xP&#13;&#10;Amz4y/rwRhsVRmm5jqXfCbxiAngduK6pAguYujOikOdpNz80SCQl/A65FAcs12lm3IEL4JNbXOyl&#13;&#10;x/2uZ7KXdx9JIxHPluUTz7CFTHZIqThyDPQWyhKHOJwweYgMXfMjnZHSYmsN5DcNBxiQOftJj75r&#13;&#10;93PVikclbyR2SIVpvTTsYQldD0ko1D/sLdCP/lAnUVb7RAC23Md+v7moYrK4LT5lMylz5e++yjjt&#13;&#10;dXWvxrqNm3OhfMqsmOgCIICYcNLOkuvx8fPUfh+WI/6RdvDw0qJsSpjnA0pOs2cfNeIPqGT+4Szy&#13;&#10;lnb1Ty4xk3n6gmCUaQkjsVj4Bq+NOrIH8z1MbcayIFq2xzlUDKtTpU/EZD37Bjmb7VkghY01wrJP&#13;&#10;hPWjco7zXWctUc2VD3//Yo7qfAcyTLTfyHjOmXNmd3KPIQf7TmUw63i99upXGsgTEaS3uS8KCMTq&#13;&#10;RLQigjRS9z6BNNblypxnrzAHi5Yu1zHMeRevaaqZ5G4cVDzBpfc41cw8IDtxMBVZDgQyLC/QFgPV&#13;&#10;njlIuvZYdG5mX3+eFEiX9Gs51Assbh3utPuqr6aTdcaaLoloIZow3C6UeQZNhHpycYYPekpjLoAv&#13;&#10;x9W3K+UOgEjMHJPyR1qBZ65OX/YbvsGXe+5HuMOKToUOzxLZrAkG+Mf7BepQBOw4OMo+4kLfLHq/&#13;&#10;RExLPrKHlIZMiYObdDZ1/YNEVwAWB+nvN+Ao7leJQMi10h3EJ8ZLUGaulk43R8fiDQMxEzqcceQx&#13;&#10;Argobsz7iFv+BeMV+mAvYLAVMHgCwJs7rqCc+aV0yBYWiPw5rIF9YDnd5Og9x1WJHPYwcsuj00nQ&#13;&#10;o94oPMw81A7qPzTCP6X8vbwUOtpgh2LhS3TBfRRTpI1wowj8UttfZjdWSMkivGmW39K3gDGme2cp&#13;&#10;3pPQu2+CfXRXs3gAGWpIcCUVRr94PaNUfxeKuDg1N3n0CPQX8ZvKqMuLcqq6W3JEfVgml53flYaM&#13;&#10;SNc6Sc2i0M8F8Su3z+dtYnoLvX8k8haifyQKRYD4ZMEUjvYO4OJjXIep3InzKzVUuBU45GOQf4Hj&#13;&#10;wFWwFoNzYuBd9XF6q2EMf85lsIrsaDQct1JMOSynNZPFprR1ZcweEOwtV1vmtXp9yK+AoC5zs4nT&#13;&#10;A4gIvVtZZO6EjGpSsNw4NVOdREt0+0RQLzQUijnNu6r7yuIPZU0evGvCmeToLU2vXk0xd/qqzqjc&#13;&#10;skm19bjLnPOFNMuet6jDSvrOiLTdedUV02zf+IWwsdTRfd4biUB8LHaJN28xGmBV0ZYjYdTifo3d&#13;&#10;Q96h1BI/AuUj/RMzqnw4zHbFPiB0v9k0S77BI5J+2zJB+n7wGHYKwTskZeUSnqXhRbFfjn3odMNe&#13;&#10;bFZ47SLozkClUXHR6xtj9L/Y++6oqJfkXxR1BiSICDIMGQEBJcMwZCQpQQQkSpAclCCIZJAgIKCA&#13;&#10;BAkKSM4oQRiykrMMWXLOGUTyr8cr+3a997p79r1z3vvj9Tmf6f52dVdVV1X3zIHub7ckEdpKFJxd&#13;&#10;xg2ybvClHD8vqCzaaBR0EEH1WD61vvdi5qkqJMWiY79QzV5lU7ogybaaAeWtGetLrLMqmvvtlFF2&#13;&#10;6qWDWx5qMx4tsLRRayXTdLfKl51n4z2KRgmMR4b1PNzvdBwd3KdiT9vx3PC/bnJa73T8ngGLFYGI&#13;&#10;FrapQ5FIVbXaoTt0D/d9PXnD/FEHh0fhKrZW7nh3zbGmcVAOouSBxnp3a3lDWcNl7H5rtdjtr8mr&#13;&#10;dmUZAoyFdGZeRUHtmj3mFZyevveUsls/+kNu35FpnVYaI6sfMJiktThT1tfY/4nAEHIWRo1WG3uU&#13;&#10;8PzgqRYZioIFrsw+8EragizgNpzS3ItFOv6e2zwz92tbf7YZLXb0pr8q07rmx+9Ca6SU00UUDaNf&#13;&#10;OMdedYbcI7v+dIanzizxU9Gz19eVQielpL7i6/VdnbvFQny3xgWr/5PlvMgujwK3w/jLsrDFxreX&#13;&#10;TusEiA0rPZX72OBenBaXj9vDlYq+hAqJpBORXHKcVhTz0OVs3CHdfe1uvSI3Zfn84EH1qal3K0Wq&#13;&#10;thDjU8FNnlNnWASEtp5qe212XtypJu+ujpFTpI/LDT8WgrgqVuudOXi6pNDJn0aPbROyE0RYL3B/&#13;&#10;wX7hsMnPy5xuGGJgVft25LLnrkGUA+/cVZoGa8TDfVpq3yX4VwFUT++A5N4lh0zJLnFn954lRMLM&#13;&#10;VhzvK1L+i+aUS8049306fdEvSO8OmbUViRM+LX0R+XjITEFHvAWWdwdhqCYyt0XHhu8O4aC8yUUa&#13;&#10;OvgdZ1d0qsb8PoGbsfb0q3pVLcKKQ7S29GKO9xaKM3jLVAriyVoNCXG5muC62qjugMXtqX/klq5h&#13;&#10;RJJDsIALn+pDjAkPva48zUZG2Im0wx22Dkqm9lRpHMQ/YCRAW41d3Ohdu7ZH6TTbmviYdH70qd3N&#13;&#10;eD5p25K24ORp1zf0IWwmQlKCbYna7emfLYPwtM59pdpNmXJaMDdGU+wySYnXLy7vw7o4os8Pkiiq&#13;&#10;EDlU+ovsb1xbvZz40aGME+1Cbh4cOu6Gy3NufleaxJq+P2Y2B2+fO+rWHh5SN5klkw6fb5KjaiUk&#13;&#10;Ola5LXOkQpoUn5PljkdNiuXz1QKDL5oJYZspDd4vES1KgtPVSPyk1dbhwsYPqh6EXoxJeTobaqOh&#13;&#10;/qkUA5+/4XRttPPTdJnnrbMcyEOc1XJTkBYE+JE6Fxy2E87N0LGlkKLxUOeXJ9Ot7hAt+B1cnjLc&#13;&#10;8rQPjwuj/BAX3d1Efq6SdlojJSPPHovvGlW+bMrXL2WV+UQMEwdskT1fVineZOD1p84shbOGjPqM&#13;&#10;vC9V4jRkfcEFuSEqKqlL3hMmHmUqKluUa5CNW4hjl4u/tO5W5rPlYFj6vdLyYn6DjAThvlm/OTW+&#13;&#10;6GoSg51bYVCNTMsz7xuzdCxPJ16uZEtyTd2iaxf7kIjn4pN41SkosCAsbFeJqkNxnRscyZ5FCgXr&#13;&#10;jU+X+46OO+xKiFR7bEgpSZdI4Ssp8pDqSOaTXUPXQdd9HLXkSblrNyekONVbLwfWKSflhZrjIai4&#13;&#10;GeEqL6LrWetl6Rv6DR7yiiAqeY44yvOjlq66tDxGylbSzDad3bDf9Rxi62gUndZjjGW4EeujAy2b&#13;&#10;MDIN4e7WRGuOzNuKzC0tU8y12pgg/QRlBEcd3El3lafKG6u0U7Rvgz/vQNQR6oR93rl+2pPai9qx&#13;&#10;2oPagtqjJd/KCFDtpe6P3jro2E+XUq64r8jv0K/Mr2iuTK8ghhaH4cKRTI0q3Sr1KiPE0xlLGQu3&#13;&#10;tnjWCrcKd4Zm55edhrhpZSUz0tfSN5RClVSTVp4vEEdcPDSumyOjZ7zCeC3VSH4gyj/K1FAkqzsB&#13;&#10;nVBy6pHEhPRddpVh1N3r+Jparua7KXGBLexOedBV1pG6kRTdvNUHkh/Lhwv9a5Cv9jduuqMjdy7F&#13;&#10;tdk5nWIfRzgKT1VEFK8TuoayP89PfJVOvxBokph107Ocu+7menjU1dQbIwUPndgvydXaJsWHWgbx&#13;&#10;MYqNdL2YDeoLUq0nb9x3M/RbL3uk+wov7FZ+HgWLafOAbaX2FfVGxSn1jexyGrs2jsb9B/dGCBrL&#13;&#10;SgoKu+Yfjrs2Ri9RTLnWRu6Qzn68GfAGjmqUys1nK16kUn+lN1KhM6lz/KRidq9/+9mD4EVIn34f&#13;&#10;sm8193zuAytb8D9WlF9pwTD3cOAQ6/CDIbiQUUtZYdqbhuWMqYzTTn07PN7lgmIjbkKK4iNqdz+4&#13;&#10;bqxYt2COVnEyGDR/n9Yh3Fghfk2OKBdQzXsfHikQSapDXtnt9ohoqs1pw/eVy/EW1Q4VdgXumzp9&#13;&#10;AbEWM5xQ1NhemR/qYtUdK74PVWHf6IXQTsdMfhm7FlJYVz7SF/PtsUy/eP/AlU4kFTGP/74lbyXN&#13;&#10;2ECofu6snCjzaleDLl1N6k6SKncsqxtyYmIosKCDh0lAZVZe6oDtkfPsfJ5ijWH8iIPzqrmjX1eb&#13;&#10;ouTFt1cduDaN9po+MXXdTo2jsOGaNjoOO7zNGL8k8TifaQ3rqa7iiEu+cGfnimRD8elYRd4KkUX6&#13;&#10;Y4EPDHqZnM2BVITCqKP+FPp0+353OQGho/vfxrdqdAiYqIJERZYdc5JWqd1m5wZl+qjdFudiknK+&#13;&#10;HXo9ebsjXLQ671azI1LpIB8f5ta+hfQaHfzMl2Hdev1lMAW1wEhf/gxtpRIZkb+YEXvllhzW4sWG&#13;&#10;ulvrBfzsbPt4MbTL6lmOWHZcMeTYF2jD1oM4WzQMsjku3IMtLpHDnxI+3G2Itd/8lqjv3i7tYOeD&#13;&#10;7NE2m73+Gd9bPsjimRbDZoX1s4EqiU30O8SUX6elu3zrQL4rb7ZNmVUJ9eBSN6S3uFdkMd0effvw&#13;&#10;4aHFoZXOezbPqjfWW6O82ZvFcIa8kUrBnvceUWeOshP7zE4L4zd1+I6ISHSZ415PmC6MYuo0+iqj&#13;&#10;2Hl+S/BQvMuMQFiOGi2+94IUjbtHHOPuCXY+bDG7nV5eljs0Y9xO62B+9rHLdItkOYF9Tm7v+bkv&#13;&#10;iC3eZZ+Xaei8LYpydHFh7Dk0TEAmzOxCSud92TTaNYbAq2FU797x4IV22DSnEm1dfZsayhMj3UlG&#13;&#10;LmNojl1xI7jLkCcuLqFgi9vS6NM5OT4iBGupNGppjIbt86cp44kLbM2G0fMXD+umkV4N64ZLBggX&#13;&#10;/oAkFF2DDUNc3fFEs+tlndTVEtwGW1XJEcXqxNvjZcg4aj9E1ideFGlfapJ/w6KNjmMxztBTuC19&#13;&#10;/yByKCrWRsWqvg11dmKXF3O0qut9w47NPauG5V3dFTH1+/CXXTjOr/ftcAnH7grcSnPMXLD8xhkm&#13;&#10;VX7zKYOO6bcUBjX23QxtBvUWh1qO0JRef0nH5pjMyHQGi0CBDe5dlFaGWrpqItuBKbbGlkyt7gfF&#13;&#10;pcuQWsKJBK2skYt+tfrgiiSSBhvd2/5hCwoR9LefU9cpThTyY3twhnQ5XiBUI8r0IjK4pPrCMb+o&#13;&#10;ZU+6R8lelToiOzPDObPSIoE889ECZ4/6tsqhKm4HuEYn5iDAtJF9uk/oRVqW0meGIYtC51vhEYJt&#13;&#10;eEq3V16NRmE/a5D/QHVpWursrq82c9WdAVu/IcvUACgR8w407aCdwiA1a9zCx5+rq/UUndbdu4bd&#13;&#10;p4mwqVU1jZ+XSZIQZc1EH0qq7qYejFAYEUTu98A3EoSuEGbt9r62zRti8oioahqdpt4oP1ARxj22&#13;&#10;U5In7po2QkpRhclMKTndOmJgb2HdyCyXHu0ictKOC2GaZgZXCuIQfTbvkeT1HRUwfdWEDpx7LEqZ&#13;&#10;QD3HsZwC/j5mHhPJrKBPbuIvqx5tke4saZxOa/H+QPPI4C5HxDyHdyudyXuL3JiM1MxnFhnKPWIR&#13;&#10;qecy1DKLyOvn/YO5nK6Kel01IzN9xCfaUON0JjEpy/VFng1bVYIwt95MVX+gIb+mPGfLeqC/D+Nz&#13;&#10;0/HoATzuwPO0eLTjozLrZvox4xbgioqLBERXAvzvE9F9llQiYgl4buoY5Nh9LUdXLbCVK7EE+jpp&#13;&#10;muznwaoCcLAK3Xt5gWQ7U1OtIpU0kMuEmVNbnjcw5p0JZ0Fyo1peFoNFhlZuZFPOhlutUuw0Ka8a&#13;&#10;j3JFt8SCvjupu3tZj5LJvVu9h2pMi1RZOT3tFtb2xPhOiddqXHYvj3T47TLVwmV2L1jhMO3yxEcY&#13;&#10;7yKOJCIn3Q5YDaroD7ippwwP6OPHVFx9O5o2DgTji7993lguJtDwy67pJVpMt828Oa1stQhZTNgu&#13;&#10;KlJxuhseoEZCWUeh70/N3li0cZ0kNeDe6+yqu/4sFjofczXUcx7Isqg8yzRQy51WTVGFSQVESJxl&#13;&#10;fodHkiub/iozfDycKN8rIOI2jFkHfX2xaQ9NnzTlvGu9+26IMclYCkbPigwQuGFs7PQ6m87QWBXG&#13;&#10;NBoJn5LZMDRmZlhsLM3MDAhD2r5IQiWlJPkmpSaV0A8pfe5s7ax/FJyUk/Q2yU9CQF51pJ9Gplnm&#13;&#10;x5Gqa2kk5qgplY1HyE+ZD4eNVT8YTHfZlrtKizA2NDFNhdlmk9EoExHvkICTVZIWOZIunZ696HsT&#13;&#10;IqGM59BV85YyMg2HhS97Bbdc5sK2TilcopSy6wxSC3CpO0wMmwtK3ztV6zQsedHtWgxdsxX91wDG&#13;&#10;CarO21bJbYV1C2xpAeIG/q7qVvnOUesGHJZcq1xZUSTTPMjhBWatQLxQ8PIbM+76x7ERrc0m4aXq&#13;&#10;9hzCC1Q9akUqy6pw+/gFM+mo6Tbc1K4gHuJu9QUX+5tuMpd7TtlrUKqKpnsvRG2TVKS9THezyPua&#13;&#10;9E2wNGP45WUK85ezOcO9VIvEH6o/9Tr07tjSuY7O9j4pKBh4lopu2dBcVFnPbwwPa801cSCRaGmN&#13;&#10;4+lzvdOaqtdNWqRpySB3aR3JcYyYs94yr6QW9ziefGAeInnTZJzRO5bWiuvTJa85gfAAJTKSNBsW&#13;&#10;cYaMSxGpXHcjm5WcAhJw/Svom559H5RQuqRAwuwLTlOVBmbeuaaawp8p3TNvFZB2RjaZ/G6YhZJl&#13;&#10;poR9BlVP2rnuEHIlcKBKIQP2x1EqpQcWEjt37lnILM/rLojtKMnIJu5nENvXVyyfWpD9eZiKZjvR&#13;&#10;b05/QcHtKmyzT7dYVGgF63uv51qy95icX3WsSXUYwTP2njgeeOVdF3ToWmLSuEzD5zCRc+yZbnNh&#13;&#10;a6trR2v7xOPDRQ3xXsJR0l11m2szHZ2ba0cFc3r++DNjqRyxM2ihdboJ72dbXOXbrGvHeZ0GnK8j&#13;&#10;/Xf9A17Ts2k89zfgnfBEFCG6S7OKVO+ZfF9xAFd8ycXOCef4FUaM+B253xyco98j46x9InkxntZ9&#13;&#10;rQ5fb4Czhq2WQECrX2L008tVKaGJgm7I/IXsbaJ7xEGDZl6P5BT67eFuV7t9jt0VoKwge8r4ZlcP&#13;&#10;7RN/YTFeQt7jm2gCzvizmDU9C2Ib9S4Hzv32rQ7L08NqxLIHhLzvOG6XFDFSdHT5hO3y6GvGMb5p&#13;&#10;7PJROcszTs7zySWJ0cb5lEL/WYXzjn7RX2KLdnloX4vUpQ4lgPucLhfibCZc1yL+KEHsFjPGUohz&#13;&#10;fErhu8cnwbuYovrDG3GM76c8PdJwHtp+Pb5i0M2ucRzq/8F5/PrFQMfnsxtCcR3nHWmrWgO/k7hH&#13;&#10;6E3WHQiwj6eUB73exNVtynLkBYetbAnyxosOSPMmtw+s3WMRZgpjotgx1aLfwdGqcb13OPu7YmLE&#13;&#10;32naxs+7+hNuEok0N3znjx8Lcw3wmIq36j0j0mb6/Vr8ZDw4JiZzAD9u91hzQobubIgcxY2Ovzhg&#13;&#10;s57YceS2Hs85EPGopt7gw5yqUnQU9GiOX58t964aY99lPYpx2GA78q2aHi73q/KWPhx2+Xxsyide&#13;&#10;laaCe08ktho3ztn/KMtnrVRiuW/xQvNMIkVzHf8b6UfPnyqMobXrTYlLjMRjq1Mexo51ry5RGD64&#13;&#10;wZBrMuhj+Kb6+bfzZe6WeQ3bqJe9Z3Jb8DfMb0hY3ba2PW+l/YXRhni/4pBqkLFwunfo3KPnH3GY&#13;&#10;tgYFJ3yuVFIDyR8diiZ9rIbCKqchqMuitYR21o4FBdpvIV+Ubk/jPjbCVtLex78U3u2Gv7lFBe/f&#13;&#10;3zpnMe8KcTHfci/5em6Cv7hMVauFYsXbx19COhvyhmjW6q1hbeFKt3Cpn0u+i+3gUdhwzjB22P5s&#13;&#10;I1lsIo2xbXDZMLIb5ULu7jC/0mT+lZ4uWGG+M0lkL7SU2nyHGwVxJpta1Q8ZxhYo8ZU10XZxeKnE&#13;&#10;nLF/OGxXXxzUaP41X8anYdIqooA3w6W9N5Iojkr4TktzLPNcSWH+EZK1dSDg7OTaNhrlcrvLn2KB&#13;&#10;0ymfnWS5CSbqZFtrlF0TPyJ277wRB0mr2ULH0yuPg6Xls/CFRJrYyKmXn3+BdcaZEc4MJDHUEwQ8&#13;&#10;GEW5sLZ2dyWRfyTSquwUMU9ksa49lR99/b6BDWPzZKuPGDelavGYEcOYdskj59NIUvTuIo22EUUU&#13;&#10;PBaHwluaX0yJ37mSAltmydcE/siAISMzKkhRq/Hls/aqxg/a2F9VqOZZUDtK/g9vd85AyOjWuLdF&#13;&#10;n1oeC1bfOgyWeIwimFTrf8I9VSBp0lIlfvs/31p9tdYD3+foWK9VegZiFJIYjj9V4oJ9q5roo+fc&#13;&#10;A7G0mhHxD05UzDbNM3jhEMoveqnmPW7Y68NEqxdUOuuFD2DJ3P53J6lWQ654ngtKZSz57kNeJ1zH&#13;&#10;im03/QCe667vboNaPzcw3ww3E43z95jRwFMT+VLwhRJHT0byXMzrNbK4664OYUNvKWLLGo4Yh1zp&#13;&#10;nC494MhgGeb3XOR+JSCxJ3Cxds5fOCjXEdHXuh3gZp93YOVuk6KwIhX+ZJMqPL5J95Ls9ly0WDDb&#13;&#10;sGeg16ZzUA/sQ6mMh3Ri+81uGJzzMR0qwK/Pxc+LU4P77AdwQjaB676QzwpNMLqSDhKVX60jlpAu&#13;&#10;1Fsampn0+v6WV9OCdbUmrods381snTTbZYHvKswCuEgqm7harpSId3ItVxVTvtpXS8moou0XyHak&#13;&#10;+OQfHtlol03oX1/Y0YLzpqrIb4Z8uS2sYlEX3ibsoN4RrT2R88HQEAK5jM+i1B66H83Q+lEHYtKh&#13;&#10;NZaxJ71KQlfumJEQ8p4rQrDIks+onh38gsjrSpQ2kA+DVZh8NN9UsrrZ9sR+lYV8MYO6q1ArZ3pT&#13;&#10;ZDn6Du4GfFrYjI2jWJkMOY8aXLiZ3g5tY7ojYUq2e2bhC4xAT/qqjzILTZ5yiDpzY9alqRRjStkU&#13;&#10;GoacotU7kmIjRCEOZ6Yo9dW5Oq99Zmq+2P9d4B0FJcOCj8qLWrT0cnNIsl4hF4+3MGrQrqNEsCK6&#13;&#10;YrqGHB/V43DIyFj/JLPTfMjrpgM6XSkPDveZtO1CNg2jele1fWOftOAPjBTNuKjMZuvN7s/MXDkQ&#13;&#10;0He3is9IfZx0WlcvV68o73wtGhZpjaKTz8pTVJDrD2BRm6XKDMxQ0O/IGJKwhWcNyeQ9/LjtQde+&#13;&#10;pvOlD83jY8U09EogyagS79hd+/UT/3Yois2SJOSjVyFJcs5Dcd9396aJk8eZ9QMJZKG9SQlWF9LK&#13;&#10;+UR3qrsvvjOWEXp96Z6F9sq6ijZdpmXFKeLXeUSQPKnnSJ0sB1jXtemvWgNb02ycbX3fjb4lO8QP&#13;&#10;yKf2p019qmb5vB3+eVNB4JiixrJgKj7JE0kelaQfnxDCcUgiW0V15l0DzZz4hQCO+a99OzHDibct&#13;&#10;N0pqIqTq1+emHk2qSQ1W2el1CG87vZB0j2p5hOq4+GCqklE7sC9bs9xx+evQyEF1ninKdOVVQdVM&#13;&#10;bmHV8xa8XURk2wcHhfP98WNe32ZTl4tznqVUrSyGZVT0MRhBmXRjo/fb6Ky01Pmq8jX5qpyrdw6r&#13;&#10;JNdtRop9wzYqIa0aOq/iL1+4E1y+CmmA3TsoT0bXw0SDu2iwj4OjpFKMQuLVw6/SH7ryR0Qeiayz&#13;&#10;3iRY25TX5+rqOI8bEbzv5C3bbO6uq1ziWtcRa7YfOcJsft8qNDG6rYY1xDurX+jgdAQJ+0A5qRTZ&#13;&#10;ToHT2Uqew5YZypjL8V9dQ3IVmfmo8SrpTAdc/d+Kts8EeuXREAy4pguvkMQSYlNL7VtW8n9/VYie&#13;&#10;qfnkh+aNZdef9TDYZPgE3hzIl2d5T1PXcDPFPn6oeaZlAQWztKykcETE5+9ujC0GjvBRvxskFxkx&#13;&#10;z5MacE3WzbP5Wi4XzJo5UN6Qq9c+k/Q4vj6JjzprEW791VW47KW11QtLEfFNgnsfC+tmLDVxXNoJ&#13;&#10;Rt9YwnznquzuvFreo5VaOhibXvFx3p7IYqhv6HuCgAs8vhlQJmWy92V8gLlmyJJ7T9VhcaMUZ8Wl&#13;&#10;i4urQAZf4RHiweQ3RMbrsZVEOwFTAljc28joUGNECZNxo3/4UqF7Uxu335aDw5LgleXQcebuN1z6&#13;&#10;qXthsQLKejbmW1D8BpOP7/TD5TUbO8ppq3hDXohahW8neabbv1GeJKzVeyFKfGx+EPGdZN1lQpF+&#13;&#10;e6YfSWmoMuOwJK+zTOq5V9OpIq27qnk0wnU+KAw1v1CKPeVOfzSJHy/f/+HlikTF3cJbEsNTrvb7&#13;&#10;76w2+pG3JpVnwJvDMk0ZNJazv0591NLMybHoHVb7jH+de1PNqR0RUBFz9G3oXFI7Tunl7XMGPkTf&#13;&#10;rnqvu/gLvzzK4qiMJtiRG3MGd3j7ag0URxh/QhrNxHtfu77YnJof+pDwrK13fctevudDvPbXl8ms&#13;&#10;/Q+DJ65IOB8yMxRamKG+1H5JfSf+ruhG0g2Soj67Z6eNE0xYnwwcZ9++PxR+WrlrkrFGzPirx6mb&#13;&#10;s/j5+woSby8lK3/hgy9zhaapR5u0GPDbSntTPxq0H2Ecdex17Og3efhplZeff9Vr8GE2F2HsaGxZ&#13;&#10;W8UUn2I0pPptKv+aTNvbmWKNTUUz0Si2+4XxHCvb6x20aYHCDyoQVgtPlXwHBCKcBw9MvmWjHw5o&#13;&#10;970ZbOWzFl2YWZZhXcM3uq6ne0f7zn5CbQKBOJUtJEIsE1tZwVv2kcaUhayM9XBnl3lzo6DVysFs&#13;&#10;jqfgO+nt70c4zDj4Q8/Xcewz6/pyI+9s9tpj827KZs0re4xvM5prrhjtvA/vLrwW5Rt+tLKk33So&#13;&#10;gg7zw39iStBoTWkl3FhhntE0UOOXYvSpJNkUXKCI3sFXXD2v0uVkZltVGNSdrB8twe1nbvhKqHaZ&#13;&#10;tXkhJDoU3A8dNN+BYu8aNrhvK22B23l8ikTSUeXPG4F/7ML9D3ZGcvH/y1vo/7zH+on4mQ9lY1Ie&#13;&#10;6cOQL0aFnuQSQZcr3SZrtcxoPIO5TbmQOM0LKGX0jTUrad2kZ7dZ9G3ITWuItJZSDJTwbtiWEb11&#13;&#10;NeM5/walyxgokVIaagwTWxvvboo5S/CM7J7r/U+xRGbJC+M27A8atrO3EQTp13yudYjfnxWo4Nkr&#13;&#10;gl04nU/JOv7Y/HXS5oGqKxs5LePLAx7XS/zzvknmd4OvnR9upi1DRXDfnYg/mtKxbKgil+gJzhXA&#13;&#10;m+TQYw4Q0nk+AVdSvsiA08m88fhbuCOLsI4/+nznruRdxxyoedzyzJzDS7elbr239ZVd9lnf9vZC&#13;&#10;eNeEGUTgk6cT9d4Z9confz6c3EpX7yv1wDIjCR79s4EdbY1NcDlowLZSsJf1Z6Lh4+Xl5qUxoflH&#13;&#10;HSe4PgKTaKz+UcfJCzYE/2sdgh8JtsT/Uofk+VNfftDk13b8XGBbIabrP8ng50L+SQY/N+LPfXnA&#13;&#10;Vttf+/Lyg7ssMOl/6YzkRIJN3b/U8XD/2pcLXM3wqwwufh7MBvB/6cvFz8v369i4kJy8v8rgQnIj&#13;&#10;f+3Lw4f8k/14EOCShl9k8CB4/mQDHgSC70/tgE1/HS8fBycn2Gj8LzrzgR3Ev+rHx8ELtnL/2o4f&#13;&#10;8avt+QA7sLsdk/5hUwS4/+HXvggeDr5fZSB4uDh/tQGCh5fvV/0QPPycv8rl5+Xm/icZj231zR8a&#13;&#10;2+IKCbGrmDsbY0KXXdna+jENkEmjDDZsW5lY0/zYhS8igmv3WN/28Y8YB87iR+IyMEgpSmNhYREB&#13;&#10;4AFAAXABLgCcJBxQuADQwoqFdUbkj3aY55N0HhQuAIScwcJ6cg4LixSUMbzIAC7+LJ8COcnPMmiG&#13;&#10;hQ9wAeAkyYHChZ8PZ0EuCIDRBQ5wAeAkaYLCtZMHkB//TBiefyQ8kS5WDLCwhEAFhocEAEaf/z2+&#13;&#10;EMATg7/mywT4Y8aLGScmAbV+5AzgEyMbU0/8s3wa5H81vkPQCTM+DoCTdDI+jO5YWIfHbawYHAsD&#13;&#10;CQCHmI8fYzwZK3DPDz0wrTEJ4xN74JMTPUDV05Py/1mdtoEqGPxnOj3+Rae/sgdG//97/j4U7mLF&#13;&#10;4K/9/Z/acAsERR7kj3FcwQzoZzrxKyYWtsjyIL6UeRANUOY5aQDykzbAVFhxgJ5PWQypoWyEdFMO&#13;&#10;QIYplwHOQjH2oQE4SSd9ML4dpozC+R3PYcr3ON2UtTg1lD04+ZQzOHGUKzi+AL/juUW28lueQ4De&#13;&#10;SDaDU0zWg5NKVosTR/YeIOq3POPIzkJ/p2cc2TIklWwAUkzWCGkkK4YMAXthbPZ7PfPAm7r/em6E&#13;&#10;AqO3ARolNhYWDjDUiS9B1VMB8IGZr5j1RA+AHwDjI0yOSSc5Ft0pLJw/qv70ecLvr+b5/4+H/3fi&#13;&#10;QQx4jgwgEDiqAeT0IB4I/ykewLR9ehXUn6zfv67xgPQjnfgbM+d+t8YXkGNh0UL/WAvu/NH1x+fJ&#13;&#10;nMUHTwXktNDaH5CAToF8D6CfXAJ6QG4HBe+RhLaSKwK6BoAdtOAHaKF/F+eNYFwDgOcXkI+D/ERP&#13;&#10;UPyPvwNOw7Gw5H7qTAM6nqQTnTFjPg2X+zF/5U+IID+hY2x3Gi4EPQfnhBLAmaEkcDooJZwaehWA&#13;&#10;F0AMfgUqDb8OlYVzQeXhCACh365pAoCuAXi6/oUsMlCHhPND+eG8UD44N5QbzgFlg7MBWWxQOgBK&#13;&#10;8AwDNFK4APQS/AaAHMBd8HwPSg6/D+hGoJ0paG8K+pmC/saAjz7gpwdFgjYCcPXf6iYP6Bjd/s4O&#13;&#10;skCGNNwMjNkS8LKDcsGfAFlPgNwnUGK4LRQPbgHsZAg9DdcAkPutLAz9xO/ART9+IzGBAtVPX/3d&#13;&#10;dw0TnAqKwUlfIdAXdME6+d2AiRVMzPSDfALk/03MaAA9BP+NHhpwQagG8Mfv7KUD6PoAhnB2qAmA&#13;&#10;OYiTB3BW6EM4C9QSfhVqBWcAuAJAD0D3w14cQOeTdBKDZ0GFK6C7Aps/+AGMbMG/tcHATxsMg/y/&#13;&#10;nTfJ/8G8Sf45b/4ulpPhqtAUuDY0FcRgOtwEmgVi5z1AEUAJeEaB+jJALwPtygCvMhDTZSC2UXA+&#13;&#10;QOcE7dhBe3bQjx305wR8+AA/AWgyaIeR/bvvTwz9JEZO4us9KJysXzQnRgb5iZ0xa8F7OO0Pn/7d&#13;&#10;mEoB/RPwWz38GrQZzgNthYsAyAFogmdDUG8B6LbQUrg90N0e6GsPjQPPMaA+EtDDQbtw0D4c9IsE&#13;&#10;/WMAnzjALwXwxcj+3Zgw9JMx/Rr3Yz99Pg3yCTCO/ybuu8mwsNJ+xv0dwOMkndgHH1R0k6VBR3+g&#13;&#10;AwqBpUFJAbbIGqGXYXtQHIAlsi+APgywB+3+gbS/1TkS6DoLeL4F+SrI/xudmWFYWBX/Zq4ywyqg&#13;&#10;zLDp385VZtgclAW2CGWFLUOvw9ahHLANKC+AEIA4bBUqAZuHSsFmAMYBBn87V6WAvDs/sAeVBjaR&#13;&#10;Bvx+t05IwTYB/20gZwcqDNojYftQbgBWAAbYdygdoNPA1qDUsCWAmR+y/259pP4x1op/2Pwk9hHA&#13;&#10;TuX/xk4IWDkUg7+LsTjgp3ngpySQr/2X/nICemz+1IMG8DhJJzGGmYNOYLwYe/3dHHQDdE9g02fA&#13;&#10;V/7AL//D3plHR1VsjT7QJF0V0qcRROgzYFSwW2WIgoCiiDKqASLIqCCTyCCCzHhRAUFQUQa5oihe&#13;&#10;BQFFBhlEvcp0BcOkyCAIyiDzGATCDPr96tClebnp06zwvrXeH++s9aO6ap9TtWvvXbsqJw28EtoN&#13;&#10;v8AmWC+Gh9YiWyEGhZaLAdATulHvQnvn0AbRKfQzbIdd1Pl/MEKHkP/OfSe5/6TnGlRybR9t2yeY&#13;&#10;06LonCJ6QpR6ThzLEp4ILWI8xXeec+sS+hZdloruocXos1D0xR//gCEwgraRoWViTGilGBdaB1th&#13;&#10;vxiNLV4JnWbO55nzRfEc9IWexE/30Dn6Oyu6Iu8cnVssHTuHisonXBb9NcfceWZKNAamU55gXvlZ&#13;&#10;s5Ow1/yovVLpQ1/aXioGJoXme66ZSaHPxOTQTPFR6FMxNfSx+DQ0VcyNMo9yfpTPKRdAC/pM1QNR&#13;&#10;5hxrQWi251ifI58fZR6lYi7MhlnoMTM0V8wIzYMvYJE7Vq08xlLvpRYgX0AMzHA5Lybhs0l8nuCy&#13;&#10;iM+K+THt/yl2VzlzFmV+c+aSK7D/kjj2X8K8l2L//2D/Zdh/JTb+Mco6yvVRNlBuBC/7b8SOzZlT&#13;&#10;eh42S6FtA/L1UdZRKn6E72E1eqzG/quw/yrsvyqO/Tci34itV7mcF0uw/xI+f+myiM+K2PZXdlf2&#13;&#10;n3MV9j+N/XUuTs1jzir+T7PevWxyAfmf5AefuVj4zaUi2VwmUsxMYZirRND8QRQx14trzI2wBXZ4&#13;&#10;2n9vaIfnWHvZO/eRIw+Sb4+Qa34nj5yGC/An9YJmlihkHhGJ5kGRZO73HKsIcjWvWLm9CH0EzcMi&#13;&#10;QJ8p5nHmdVII8xR9n2Wc8+ISOe0CnCW/nYKjsJ8ctyuULbaFssRW8uHW0DbYQH017cuRLxZZ2EvZ&#13;&#10;1CsOlTx3bk/iZ97NcXJVkrnZ035J+CLRXIuN1ogC+OgiOp2G43A0lCkOhVah4/diL3vX3tBmTx3V&#13;&#10;WLl1PJUjnmKdC04xN4V+Nnden0s8H8QvX1D+TpmfvF4KW+mzWIQ+9KVzrdoHS5kLRdhlhafNIuZ3&#13;&#10;4lbzW1GO2E4zF4lK5jeiag7u4rPibqgGXn6ths291tLdyBV3RalKqbgDKpgrRFn8dgv+i5gb4LJ/&#13;&#10;Ys0vQoyWcvn7DJbb1l9Fbf3NVeSQEdh6Spy4HGFOceddSTuCUvtCvZMdi3yC+bH4wJwppprzxCfm&#13;&#10;V2K6ucTTlv9CrmwZa/2+b34t3jUXiPH0N878TIwyZ4sRMAgGmHNEb/ML0R3/d8O/3cx18Av13aIX&#13;&#10;676/eUy8aJ7g/hNiNLxFfYJ5QEw094r3zd/Q8/K5O5Xx9aXno3LmdORKtw5aSKnlRfn8ibmHeR4W&#13;&#10;H5JXJpBPxpgXxcvwPPQxz4lnyDUdkbc1d8KP8K14Ept0NeeKnuYnYiD2Ujb1ijUl12tMnw9fzuGr&#13;&#10;WOvzZZ5T6Gdzx8wSYkXtO5mUv1PmZ33+iB7x9p0fWUvKhumgL23DFBo2Iv8Z//3KvrOTtbmbfWcv&#13;&#10;62Q/+85B9p2D5LpD7DuH2HcOxdl3FiH3GmsRfl9iHhLfmkfFcny2Ev+shY2whfqv7BHb2Xd2EDs7&#13;&#10;4+w7B+PsOwfp4wC+30+fe+l7D2PsYt/ZQZz8wnrebF5g3AtiHbHyA2TCEmLmazNbLOCZefQ/z9wG&#13;&#10;G6ivpn25WIqNMrGXsqlXzCi59ruOmZ34Kt6+szPOvrMTX+wgb20jf23FR5vQaS2shkzqy/DZEvN7&#13;&#10;sZj7FkfzWqp2OqX2u1pbaqzcOq7NEU+x4notc1PoZ3PHtXrHq/adH64irs+gh35vkUZf+tL6J9Jw&#13;&#10;xpwmCliK8+IM/lT1WDqtja419S4xv2fsa3BkPJ2uQR/L5by4Br1UPZZO66M6bbgKnTLQ6Vdx+f19&#13;&#10;qjYSpbaT8nOG9atnfs+wdotG1gHxqHVENLOOi8etk6IddIQu1LtZR0UP66DoyX096auntZH6D7Sv&#13;&#10;Rp7Jfct5J7qc55bzDjNTNKG9kbVWZFg/wa+e60TJtX30OmnDh3g5rY11OafF2gc7IO9kLeTd6mL0&#13;&#10;XCK6W/8Rz6KfWrNpoC9tJxVPz+Krf7icZ46Ky+94Yu093a1T9H2Wd8DnsMEF3glfFK2hOTSirT72&#13;&#10;q2dl8X59H2yDjdTX8PuE78Qj6NQMHdU8vPKIkmv75F5nm6Pxo94J/47++dk/Jl+BrSejg1dOn4b8&#13;&#10;U2w9G1vPs5aKBdYy3vdm8t53lfiGOFlorYeNsAW8f24Zg9xrrLHWXvGmdYj3rEfF2/hnIjaeBB/D&#13;&#10;DOqzsfcc4ngu8TrP8v65ZSFyNdZA0JeOh5I0fEMfX1uHee+bxXyOiy8Y43N8PhefzyI+puPzafAR&#13;&#10;/v4QJsA4/P6GlS1e4Znh9D8cvw+3NlBfTfty5IvFu9hL2dTL70qu/a7XxTw+xNs/5lneP7fMwxdz&#13;&#10;WZufEYcz8dEn6DQJ3ocJ1Mfjs3HW92Is942lLy8d1Vi5dZyUI55i7R+TmJtCP5s7rrcTzwex/56r&#13;&#10;iOs16DFTXM6LVbVzKbV//XxeY80Um1wWip3E707W5SaXo54xuMk6JjYTDz/DFuuE2Aq/wrYo2ykV&#13;&#10;O2AneNlwJ3GkYjA9Dx1TaNuBfBv8Cr8Qa1vhZ9gAPxJra60z4nticg26rCHm1FhpefSl8tsa5rbM&#13;&#10;ZSH3KmbG9IH6nYM6m+6/Ch/47Ph53Gd75xY/8sL2QhG0F4ti9lJxnb1MhOxMYdmrhG3/IBx7PWyE&#13;&#10;LeCdW47HyS38ZQVxktxymtxyFnteYr0XtHlXASn2cXTIEtfYR0RR+yC6eOcWB7ny68A8fFGSNps+&#13;&#10;LPuwMOkzRN8lGKO4fYq+zwrDPi+S7QvCD4Xsi6IAnCe3ZOPvLHLLQfy8n9yyn9yyn9xykNySxfrN&#13;&#10;JrdcYF0pm3rFnJLrtadzSzF8FS+3FLO9c0sxfFHUXiuK2GtEAB9Jezn2Wy7+QLfz5JYz5JZscssJ&#13;&#10;csuJOLlFjZVbx4I54ilWbinI3BT62XuwtQD9u+QD0dySdRVxfX8OPVLpW186t6gz1/3ooPwf63xS&#13;&#10;D3l94roRMd2UmG5OPLfAfl5+y0DuFVMNWQ8N7NXiYXuFeND+TtTB9vdDNahMW0Xkd9DH7dj2dnsb&#13;&#10;7KZ+QFSyj4oqxGA1YrAG1IZ61B+yj6HjEdGQWM2w93jq1gK50i3WWak5/TSxT4hH7NMinfiuS2zX&#13;&#10;gKpwh31OlGPMCHrcbO+DbcB7GWxSHt0rsvbvwl7Kpl72UXLtdx3XNXL4KlbM1OA5hX42d8wci8ZM&#13;&#10;9lXETEf0iLcfdbRnih4uC8UAYmMAPuzh4r0f9cBPPfBXT+iFjXtD3yj9KBX9YUAULxsOwDfKj+mg&#13;&#10;Lx3XKTT0R94P+kJvfNcLekI36IIfO9lnREfyWEd06UhuU2Ol6Y4odV9qP+rI3Fq5LOReRez96BS2&#13;&#10;V/vRmavwwSv4YL/w/lnplWjejhXHr9qHxGvE6UhsPgp7vkncvgMT4QOYzLynIpvGPdNYN9Pob6q9&#13;&#10;V3zE+pjMevvA3iXetX/zjOM32ce81tIbrI9X7V/FCHurGGr/LAaz/w0m7w62V1JfTvtS9FskxhDT&#13;&#10;b8OH8DFraAZ5ZhZ5eTY5Yjb3e8XBVOReOky1vxdTWJ+TGfNDfDiRccfDOBgDoxjndXLOSO4Zyb0j&#13;&#10;6e91e50Yzboeg75v2j+Jt8BLh4nR/SaWLz5iz/8EG8zAFrOx2RzsO4d8Noe4m41vPiXXTCNOP2T/&#13;&#10;fAdGwyvUX6Z9CPJB+GhQnH1cxYPOCzqnvE0c6Z9PY+UUZXeFfvYeYpfQ+2sfOhvNKZeuIp53oId+&#13;&#10;HxFLjx32NJHoTPNc0ynIizqfiOucmcJy5gjH+QIWw3Lqq0UJ50dRzNkoAs5m+rr8M0FZ5qIvvaYL&#13;&#10;0XAYnx3Gxjtc/n73oW1X1ElIWBxnDRZlbBV7lfQAlHoM9Y67qPOVKOJ8Lgo7c4VE30QoACqWInk8&#13;&#10;o35Hcdieg17fc9/3nn0nIU92OL84qxhjBXZZBos941TJY/m5IIOrvCUp8/ve6VZsFu93MLc6C0Ul&#13;&#10;F+/fwVRyvhOVnW/FXc5Sca+zSNRwvhG1otSm1NThc13wWp91nUzPuFLyOlFqUypqwX1QDdtWxc6V&#13;&#10;nbXovQEux1Us/1VyzotbXWL/DiYZGx/E1oGrsHUnbB3vuyydHO/vsnRH3ss5Lvo6R0R/Z594zvkN&#13;&#10;foGfxADWUj9irDc26M766gTtoBX1x7BHc+RNnU2wDXZTP0D7UeTHue8k93t/l0XJdSzqNafmpPNV&#13;&#10;KvbRl15T6rzaCV+rNTdQCym1vCSfeyDvR7wMZD0Mdthn0HOow/7j7BFDmOfzDmcM55x41rkonoIn&#13;&#10;oDn1xujTwMkS6dghnTml4+uG5JRHmXML1k0b+lVje8WZknvNKVbuU8/lfDZ3DlZxouKlGOXvlPl5&#13;&#10;f/YGtt0oLp8p0uhDX9p26pzzBrlzussO8Yaj2PjXfHLrdC26HOaZEpRHKfOj0zEcVk5663SsZDn+&#13;&#10;/V7FIHnMpZzUNs6t0zvsUafQZQLlpXzqVDiUkFArqlOEPvSl7cR0EwqHasniLunu3+dI1zdR6vtS&#13;&#10;+Fwy9KC0QnVkqVBteUOopiwdekBG4HaoQtvdoYdltVBDeU+oMbRw/55HrDHvCQ2Sd7i0dMfskMeY&#13;&#10;RWm7I9SU/hvLtNAjsnyovrwtlC5vhtJwI9wApWi3GDfEPSW597pQE2jGnFpAK2jjqUtx9CjsUusv&#13;&#10;X+g1fBP2eyBqv1jxfhPzV8Ty43v47wxz+fAq/NgHPQZF9UjLw1Yq3vswh64u5WSfkGLQXzrp+TTP&#13;&#10;0U/VPPrx09ac5xq4pMva2Lc2sdHA5S7P+GgQulM2DN0hG4UqyCaM3zxUVraC1vBElDaUbZG1gxaM&#13;&#10;lZqHDiovtgtV9hyrLfI2UZ6gVLSGx6CFS1XGR9/Q3XCvO1ZaHmMpuzVnbu1ciH/mq+Yfy5eT8KFa&#13;&#10;k9Ouwpcj8UGPqC9T89BJzX9kqIfn/EeGesk3Qn3k6FA/OTY0QI6D8fAuvA+TaJ8W6i2n08/0UGdP&#13;&#10;W08PtXXHinXu+yTUjr7ayykwOdRBfggfgJf/3gk96dnnW6GO8k0YE+rEPDrLkaGnoYdnn0qu/aLj&#13;&#10;eQq2fCyOLaeEHnN1iZVjpiH/JNQSO7WA5tAUmsAjtDdk7vXlR8TFh+S392A8vEl9DLLR3DOKnPMG&#13;&#10;z3jZYxjy5vg1Vm4dRl8jQg9hg7r0W0u+RT55DybDJ9RnkXfnkn/no8t8xvMaa36or+dY84kNxeeh&#13;&#10;/jBALoAv4MsoX1H+O8rXlF5jfc1aUfMal0ccl6Ltq9Bg+h1M/4MZZzDjDWbswfIzmMWzM0IvyE9D&#13;&#10;A+E56C8/Dv2DOHue+H2ROB4sJ4SGyH/CKHiN+4cjG4pOQ4j9IcTDkFBX6h1pb4+8Dfe15v7Wnjqr&#13;&#10;eMgdRxND8fP8RHyh0M/m3q8/juZ59b3GP5h7GVD7Jtcg/Vmt7WKg2rntv/7u73L0iLdfLyce1rpc&#13;&#10;3q8H0o++9H5dkoZ1xMsG4uknYmcL9/+K7r/BXjhI/QjtWciPcd9x4vkk5WnazrGXX2R//5P7fOYD&#13;&#10;sjAUMWvLYubDsrjZQF5nsseazV0bR/TAlHpsdaa4zmRPdfGO+8JmI5lsNpSCfpPMdFkICsAl9DlH&#13;&#10;rJ8JZcjsUCN5gv38BHu5isVYY54gPg64tPCM/wOs7QP0uZ++9zLGLsbaDlthM/WNtP/IGltLLlgb&#13;&#10;5+ywlvGWu/x9dsgdF7OjcfEl5SX017HAxyuOizJ8LyNeXJQxa8kKLt5xcbv5oKxo1pV3mnVkVe6/&#13;&#10;B//WgNrwIPV02hsgb8h9j+CLxpRNaGtODDxm1pRPcF976Ao9aOtFXPTBf32Ji75x4qIvMdHVxTsu&#13;&#10;uhIXXYiLTvTbER06QFtoBS3M+rKpmSEf5Z5GZjPwjotGjFfPxTsu6plNZF36rEPftRnjAcaqDndD&#13;&#10;FeoVaU9jjhWYYwXT+0xZgfHKuMSOC/XdRXUu/M9VxMVI4iLuWcKMc5Ywe8nXzT5ylMlZwuQsAePh&#13;&#10;XXgfPqR9mslZgn6mm3HOEmacs4TJWcLkLAGTTc4S8C/w2mPeMb3PEv80OUvAGJOzBPqNNDlLoKtX&#13;&#10;n0qu8/hfZwlsGfcsYcY5SyD/xGwJnCWIk+kmZwniarrJWYJ4nkocfUQ8fcCaeQ/Gw5vUxyAbxT2j&#13;&#10;iK83eMZL92HI1Z6bDvrSuVftK8Poa7jJWYI1PIb1/Bbr9D2YDJ9Qn8lansuano8u8xnPa6z5Zl/P&#13;&#10;seYTG4rPTc4SxMoC+AK+jPIVpeLf8DV4jfU160XNK+ZZwuQsAV/AAvgc5sNnMItnZ5icJUzOEuZz&#13;&#10;2JuzhMlZwnyeGOMswT3vmJwlYBS8xv3Dkb2ETkOI/SHEwxCzK3XOEsTmq6zvUSZnCfDSeQr+zh1H&#13;&#10;7xFH8X5mVP5Q6Gdz7xnfRnPDSsr8niUy0aOi9P4uRqZZUa5zqSW3EhtbicV1Lr08/b4Om63D7xuw&#13;&#10;80b4CTZH+ZlSsQW2RvGy4dao32PF8xbkP8NmfPgTbIQN8AOspn0lfszE15mMlUmeUmOlgb702kik&#13;&#10;IZO5LXKpxb2KijF9oGx/imfWXIUPLuKDAVEfpGqFKLVO6jx4kRhUcT8wD3lJ2nzWACmsfjLZ6ikD&#13;&#10;VjdpWE9BW3iMejNZ2GqMvIH0WQ/Li+ST03CCtX2MvewI++Nh83FoD52pd6e9F/J+3DeA+73XpJLr&#13;&#10;GNV58lKO+E7NQ2c1p0vEttecEi3OlVZtWcR6SF5nNZQlmUdJ5lTS6kK9p7yGOQesF2WiNUReYL2e&#13;&#10;hKOs4wOs7d34eKfZDdpDC+qP0P4w8toym3HV2F7xpuS556T8FG/NXuQ5hX4295r9Prpm1fdK87tm&#13;&#10;y2DkuOc8q5Ys79LAc41WsNLl7di3klVXVuH+atj8vhzUsGpKxf3wAHjZ7AGrvudY9yNX1IhyH6Xi&#13;&#10;bqiMfytajWSa1URWsFqA93mtgsXZySX22Wlj1Nbqu5iXiLf8nKl75LB16TzimK4TemC3gaBiOdb7&#13;&#10;g+eserKflSF7Wq3lM1Zn2dV6VnZmvba3hssnrNGylTVOtrTGy6bWOzIDGkIDqG+9LdPhYXgIvOz/&#13;&#10;kDXKU4d05PWhATRkTEUGNILGtD0KTaw30OF1GOnSzHpNNrdGyBbWMPR7ST7GWlM6lM3DFoVoq40d&#13;&#10;MqCN1Ucqu+h1oPOC+v5wvDXUhvhT6GdzryHlT3UmVt+tVf9QVn78ugI9bpPe3zdYYd3m2rNSHnNV&#13;&#10;v+vcgPwXq7z8zaoo91t3yUPWfVDH00c7kXvlvO3W/fJX6175s3W33GhVlmutO+VKWAL/tqrKz5F9&#13;&#10;xjqcybqdaTWHttQ7y/lWd/kVNl9s9ZcrYB1spv4L7dusrnIH+8FOq52nboeRe8XwIfLufvLuLuL2&#13;&#10;F/LuemIhExbC59Rnk4+nIp9kdYSm8JCcYtWQM9B7nlVBfoO9lE29YljJtd91zHyXw1ex1uB3PKfQ&#13;&#10;z+aOmd+IFbVPH6TMb9517L/zbiw9HLuWjICXHcN2PVnazpDX262lZXeWJe1n5XV2P1nEHi5T7NFS&#13;&#10;2uOk3x4vffY78hI54AKcd3lbniMHnIUzcXLBGdaylw5nkZ+HCy6j5UVywCX4AxLsUbIAFLTfgNfR&#13;&#10;Y6RLIfs1mWiPkEn2MPR7SQrbOxccZ/1fgoDdRyq7aN9ovwawZ7xcELAf4PnYuUD5U+UC9T2w/OaC&#13;&#10;iugR7wxc0eYM6FJL1mUude106grvM/C9zL06vr3P7i9rwANQE2pFqU2pqAN1wWtt1LUv/+yTzlT1&#13;&#10;pc+IKTTUQV4batqDGWewvB/ug7uhCu2V7edlJfsfsiLjVLS9z8AVmdttLrW4VxH7DKxsr9bWiatY&#13;&#10;W53xQbwzcGfb+wzcA3lvbN3P7ikH2N3kc/ZT0BYeg2ayv91Y9rEbyB72w7IztIfWdn35uN1ItkDe&#13;&#10;zH4c2gPvL+zutPdCzh5Nv2psL98oee74VnPS8Z2qHUapfabOwJ2Jba/94Fnk/e3a8nn7ITnEbiiH&#13;&#10;oecw5jTM7iJfYp4vMO4A+0XZk7XYCdqoNUn9Ufs52RAf18cO9ZlTfbuFzLAfkU2Yc0v6a0u/amzv&#13;&#10;Of297vSazTmnWDlQ9avQ9riHeQqoDiXhZHTNnruKeBmDbfXv0TPoU1/atgEaxtjl5LsureR8Yngp&#13;&#10;TLdbym9ZCwtgst0OeWcYJMe4xP49+/lojP9JeYm+83PmWI3O+tyephWm1Don8nk1Ov7kMkiuRidV&#13;&#10;13bUPlD96LnH7qcc/Sjuog9F7Lkl8DJerd8ClPmd254cc4vQl7703NT7/j3MJcvl8rvndH0Tpb4v&#13;&#10;hc/H7Qdltl1HniFOz9s15R/EUgHnAZkMRRx+x+A8LK91GsriTmNo4cZwrDGLO/yOwcX7OwSFnab0&#13;&#10;31hK5xHpd+rLQk66TIBL5MALcB7OkCuyWYMnWEfHySW/203kMdbjMdZWlt0KvN/3ZuHPPS7/7dOL&#13;&#10;2E/niljr6iJ2UOh4uAdb5VxXPoys9kJxFX681/lbj1T60pf2j8pZ9+KH5pSx/PcA8jpOTfkQvmrg&#13;&#10;1JWPOA/Jxti0iZMhmzqPymZOc+AdqfMEPOmZg8oi9xqrrNNVlnN6yDSnt6zo9JNVHPIwPAB1nP7y&#13;&#10;QdofdnrKdO6p73TzHKsZcjXWQD1pSj3vknxu5nRH/57yUfpszFiPMEZD5x/0/YKsR4zVcthznSHy&#13;&#10;PrgHKkF550V5i/OcvIlnbqD/G5z20IJ6I9ofRl5b3om9lE29crGSa7/rPFAfX7WS3j/D1Hdaedqv&#13;&#10;PrqkO03wVWPm0EDWRKd7oSpUwme347Py+KwsPitLX146qrFy63hPjniKFdf3MDeFfjZ3XKvvZ6q4&#13;&#10;DlLm9+zeBT26xbFVl6j/O+Th/6K0dSWGujq9ZDenj+xObPXGr8/BCzCYWBhKTAx3+soR3DOCe0fQ&#13;&#10;33Dic5jDXu10loOcTnKg85SnDXtH4z2WDt2dDujQTnZ22soOTmvZzmkJTSCD+sOyE+vtaaeW7Ik9&#13;&#10;B8AQGEGMjWQNjsK/o8lvo7nfy4/Dkat1EEuHl4mVl+lnKDl4CDnyBcbtD73hWerdiZtuyJ5Gp6e5&#13;&#10;92n6e4b46UGs9UTf3qz9fs7jnjq8EI3bWDoMI3e8ig1GYovR2Gws9h3L+hzLOhuNL0Y6A5n3IPQb&#13;&#10;gh2GoNcQ2YV6R9rb47u2+Kgt/vGyg4oHHZN6zQ24gnhWdlfoZ3PHc5FoPBfPI54j2D0FVJ4Ng8o7&#13;&#10;6rO6yEVuqc8eqr0YqPs5lvzX9wTUP2DeA4GaYxroS+c0dd5ISOxR8K6I4pqyCYmKHgVj6T2M2++H&#13;&#10;2wslJIwHrQdNg/Tn/009ajCQsseLUA2qoMPEHHr40cPLfvXr1+epv/WOZ7/yGOh01H5V3Scv/6Ht&#13;&#10;x3gJ5RNPF3zIZYZvbqJima+8y+mYdnyV5xrC29ABtO34+Jcd4+m2Gt0qED9evl2dWMG3x2WZbzU6&#13;&#10;qbr2rY5n1Y+eYxoK6EvPEXHCaua3x6UYfShiz+1d7ldzmwj5nVsJXq6Vj85NrR19aZ0EDSWSyvvu&#13;&#10;S/rY15lyKKQnLfPdDucTy/uUTM8z99r7F882gVmQX/22oN9tUf1S6UdfWj/luy1Jt/maU6ZrIaWW&#13;&#10;q/W6B3lWUjnf2aQ7fAX9VXzSX90X9NfxXeuv7yvhb+oL+dv4TP9TPsvfEwb7vPLUzKTBnmPNShrj&#13;&#10;m5M00fdl0lTf4qTZvpVJ832bYQ8co34maZrvQtIk3x9J7/kS/P/0HCuEXM1rYB7zKklbSf+7vuv8&#13;&#10;H/qK+j9mPrN8hf3zfUn+L+l7ie9U0nLfoaRM3+6klb5tSat8P8F/YG7St74pSZ/73safY5P+CQOh&#13;&#10;g++dpAzf1KT7ffOw0TLspWzqZQcl137X8V2ARdotjq8K+Lt52i/B3w79W/rOJzX2nUyq6zuATpth&#13;&#10;Dfwnqbbv30n1mUNT36ykNtDNU0c1Vm4dN+eIp9J52FXl1M3MTaGfzR3Xs7lHxfUieBLKgIozrivO&#13;&#10;KdWwlV53kcvPun/quMWMCdX85X2NXep52qyJv6avpf9eXzt/ZV9n7u/pv803MMrzlC/AIBgMQ/1l&#13;&#10;PW02lHXhtZZeQj4YBsGL8Ly/NmPV9nWHJ/0P+Z7wN/I197f0PepvD8+4Y8Wa36P+Zb5qLrFzyFLs&#13;&#10;oGy9AnLnkLtpU3ZPBu2DvPbE6gG+oxa+nL9j6VI9EAlXD9SLVA/cdov2dw36LQmNSDKJhdjfKVtQ&#13;&#10;6rFwoeceyKPupe9XuaoYKJ1j6dnqlst6VnKfvPyHjgn1e5DqgVa3OAHzFqVnG7dsxedWt8SK1dYM&#13;&#10;Wg+dn6RsmEN3uvorVv+3danBYMqODdHhLnToTdk6hy7Kjldqowr4clXUlxn0qS9tI8QJFQKrwjVc&#13;&#10;joTbUPaDJoEj4f4BJ9IOHgycQ14gUoPPFVxWhWPZrw26lkHXpyjL59CZYa5Y5xdRKjuqc6pWmFLr&#13;&#10;TNcJLwayw80p0/OQq3h5MbAv/FJga/jVwIbwmMCa8ITAivBHMBe+CXwf/jawKfxd4JfwisBO2Bf2&#13;&#10;yt1fIFdjDcxjLOWnBYFd4fmBHeF5gW3hzwJbwp8GNoenwPvwDjq8hWxsYE94dOAwZMMf1BMjbwVk&#13;&#10;ZELAiPwrUCQyBT6F2dTnBZIj8wMisoB7vsDuXrqtQO5lh0z6+jZwTWRhoAT92fR/PWNdH3kHRges&#13;&#10;yCuBayNDAimRF+lH2dRrLCXXftd72Ef4KjPqq9J52EetlY8Cmdg+869n76FNQHVQ9usUjRmVL/Ib&#13;&#10;M4kG/85/VI80+tSXjplEGhKNn8PZAcWqcKKh+PkvnfR8spnPzjj9ZBMziYbCiWSzHlRd2yX33NTa&#13;&#10;Veuh71XM7QbmJiOX81yqnhilnhtdJ9xgSDcOZuQhV365wUiJ3GgYkZuMYKSMcU0kYhSLlIfboaJR&#13;&#10;NHInbVWMIpGqyKsaAShMPTlSmX4rGSJSwUjiuUKRUkbBSMhIiFxn/BG+1rgQLmqcgZNwlPqBcMjY&#13;&#10;E3awzU3G9nBZqAh3GTvC1Y1d4ZrG3nAd4zCc8IyzyshVTMeaS2Xj93Bl41j4TsasSH9pxiHGOhSO&#13;&#10;wM3USxtHGP9o+EYjC36H49RP0p6NPJt7T/Ps2XA1g7xmXESvP8N1mVc95liPOdfDDnWM4pH7jVDk&#13;&#10;Xnxc2bg+UhZuApt6CdqLIS/CfUWwj9eaUX7RsaFjrBz+3B5nzZTDbgr9bO646ofTw8TV81cRV0PR&#13;&#10;w4nGVVoecaPWzFDm29tlVXgoa0bVY+k0BF1UrL90FTqNR6dbojqpuNWXjnWVT8Ybt0TeARUj6foG&#13;&#10;Sn1PCp8nIH8PJhqRyPvwAXxohCOTXMpEJhs3RT4yboBUuN71YaU8+lJniDeI5w9gJuvi35SrYYFh&#13;&#10;e44/l3FmGRUiM4zbI9ONSpEpRmX0qIxOlSPvwgSXOyNvG3dGxoNXDKn5apvrGJpxBTE0g/hR6Gdz&#13;&#10;x9DQaAy9RpmG3/SZgilf8V79G3rEy02/xclNv5GbdpGbdpN79pKHDpCTsuA4nCQ3naLtDGvtLPKz&#13;&#10;+OAsuekM6/Q0/WaTm46xbveSm7azhreQmzaRmzaSm9aTm9az7teTCzaSm7aQm7bhu93Y5AichHPk&#13;&#10;pj/ITb7g3nBS8DB456bTcXLTafLNaXLTKcY8SS76nZx0BA7APup7yE27ke0iN+3i3l3kpt3ouIe8&#13;&#10;tA+OkJtOkZsukJsSghfR68+wP1gwIoJJkAxFIknB4pECwVDkEmvxNLF7BHbDr9Q3k5s2kJt+xF4/&#13;&#10;xslNyi86NnRcHb2CuDqK3RT62dxxpeJJ5aYxV5EHygb5+8zRHJmax7qk64Sy+EvlgFjr9hbkNweP&#13;&#10;hEsHj4VvDB4Ppwaz4azn3nMXcq8+q9JHFfq6M5gVvoO+0xhD6eG1fpVc20rbWc1P7wGx57fd1SVW&#13;&#10;jrs9uD1cObgjfHfwt3D14O7w/cF94VrBQ+E6waPhesTxg8HTcA4ugc8zx1yP3CufpgZl5MZgIFKG&#13;&#10;+AsHr4ncGiwaKQdpUJH6ncFgpHLQiFThnqrBwp5j1UOuxuoA+tK5uygN9einDv3WDF4XqR606fd6&#13;&#10;xrqesa+PlKJeMlgiUhR5kPUQZH0E8UlRfFGC+TvYojR2KQvePvk7frVPyuXwSWmtGKXWTe095ehX&#13;&#10;of2ZO/bHRmP/7auI/a459EjNQw8V+13RwStOn0Hek9jogz36BXeFnwvuCQ8M7ndtkpZHn2qvHxhc&#13;&#10;FR7p4kQGBhXXevrpuWDJSL+gFemNT3oGS0WewT9doB08Tlsz/NeYeMkgdjKCCXAq3JjYbIYej6NX&#13;&#10;e3RU8/Dyk5JrW2s/PYN9rol4n4efISaVfQbmMdeStPVC3hfd+gdTIv9Av4HBQvAnNjqLrU6E+5Iz&#13;&#10;eqPrs8TVM9AFOrLmO7D22zGPtqyrttzflufa8XwH+ulIf13oV43tNScl13PKHT8qbtQZ6l95xA9T&#13;&#10;dt+FKP+TGt2fndRnda1Zs8Yt9R6u2r3enfT28x3VwGUbxor13v5tAX/KtoCyYyW398t/6PWgzkal&#13;&#10;kFdM2ReolXIm0CRFGK1SbKhkeM2/VUpm0KvPVinbg01STgZrpRQqUjGleJFSKU4RP3j12dvvFPHs&#13;&#10;E3k9f/EiVfyFitzsPxks5d8OmUGvPkv5KxlefZby28bNfmFU8Z8J1PPvC7TCXspmXn0qeSzfL8Ke&#13;&#10;PXHcQzALtC9p/j/+L0/drvJRNRCg18b/9+v/O36tgV9KwpfwNP7MgPk5/MoS/L/6PrSl5J0h5zcV&#13;&#10;f1VBX3q9Ml5CS9nQ6OrypjFOKiYZLV0aGrHi8hzPvYDef1K+nEN/qlf8c8IcdGsd1S3Cg/rSuqn3&#13;&#10;93Nka2OOHGcshebU0/VNlPq+FD6vRP6DHG2slyOMDfIlY6N8AfpDd+qdjR9lB+RtjBX0txSUPVJB&#13;&#10;X7ovpuKOqeet19AydNV2TNUPUeZ8bhk2VDp2yEOuzjArkX8vM9DlEWOTbGz8IpsZ2+Xjxm/otRv9&#13;&#10;9qDnXvmMsU/2hH4whLbXjB34ZIucyHOTjGWgdI9lrw+Qf8A4Shc9h9z7SQEmqXwnIL++y8Iek6K+&#13;&#10;S81jvsqOWeii7DEwD3lJV/6ecUyON07IsUa2fN04J4cbBZMHGzJ5oGEk9zeKJPcxiiX3NIonPwNd&#13;&#10;oKNxbXJ7o2hyW2RPcE9rIxkSoWByGyMB2Z/ySeMP7PiH7Obp42PIvXx1THY0fpdtjZP454x8lP4y&#13;&#10;0CuDsTOMUHJjo1RyM+Om5MeNMoxZBt3KJPcwSif3NVKTn0P2gmEyj2uTh3nqYCS/4uoQax9NTh5p&#13;&#10;+JPfMJKSRxuFkscYvuSxzHOcp/9vRn5z8iRD2T6W/9X/Ca38r/4v4Pz6vxOJY1OcvNLJv8noBR38&#13;&#10;1wdfh9f8kWBTUO2xdFtGXIxEr5WU4yj1vkb1ivPKBHSzOQ+qdZIG+tJrNZGGCX47OBUmo894UPVY&#13;&#10;Oq3i/jfRZQ1lfnXKQqcbozql0o++tE50n5Dlv9E9A8VaLyeRn/GnBi+g65/+ksEComjQJ5KDicIX&#13;&#10;LCQuGQXFOSNBnDYu+rONs3ACsvynjUP+88Y+/x/Gbr8vuMtfOLjTfw2U4LMV3EN/B+hXja3slaoV&#13;&#10;o8ytm7aPzokFBTrHyQEFRZYb45E8+lX5vZDgTY04bvhFthvXaXncp/xliE1GSUgSkeAl/PUneqv1&#13;&#10;2yOP+4vTdsFfOnjWf3PwFPce998aPAoHYRdso20L892EHX/yFw9u9qdQ9wV/9V8wdvlPGQf8WcYx&#13;&#10;/2FseBhbHsamR7BtludaVnJtn9z5dh36qJj+mTK/8VMbW8s48VNbSM/4qSMKBeuIP43a4qJRkzi5&#13;&#10;T5w0qsIdUI76LeK8UQb5TSIxeIMoHEwlvlJFieCNwgqWFqnBiLgxyP80HbwT7hbXB6sLM3i/KB6s&#13;&#10;JYoE1dhe8aPk2j46fjKuYE4ZceZUXxQLPoh+NcUNwXtFGN1uC94GN4FDrITQ9TrhBIujZwmRQr0g&#13;&#10;7eeM0sz5VvE/rJ0HlBTF2rCXJNNTTdd0j+IiaQGRHCQpiLDAIqAoki4GDCwLqyIqYZUkQaKigIoi&#13;&#10;CEoSEAFBvQbwcr/viuhVcpQkC5JZMghL/J9qpoR/zk6N//LPOc/prX6rq956U/fM1MAR1n7IqQeN&#13;&#10;oTntloGTTuvAWacNdlBzm9ak5HpN0T5Xvh6Dz3/n+B7H3NSxVOyTFcmv8oyjXzovVf6kEpvd4LnA&#13;&#10;GT/PWupOHHU/m7+7k2M9yLXerLEP/fsHDjuDYBS8ReyOJf/Gse6xxMYYbKTWHWvOEdh1AAyj3yP0&#13;&#10;i/W8MxwbDme8YcTVUOJrMHP0h77wCmSgc0/Ov8S83enTjb7PBi47zwQSZDpjpxOHXSM+iKXLU+jR&#13;&#10;HpQdYvlC+UD5Yg/H3Obfj4H4+fdjnFhdTv4txyY/ss4fWPe/icFv4QuYT/tTbPAJ8hmsexr5N5X8&#13;&#10;m0r+TSe+Z5J/c4jlBfBPWEz+LSX//pe4Xkb+qblNsark2j46/9b8jTWtibOmleTff9HvB/KP/7kP&#13;&#10;3SrJz2AGTMEvE9H1ffLvPfScQP5NxK9TyL+ZrHkusfgFebcY/gM/015B/q0lHtZhBzW3aU1KrtcU&#13;&#10;nX97Iz4/zDG3+af+fW+df2p8/dJ5hZh/AzzLyWJ9ASvLCcMx1rwHtnFeyWLpl8W1KiZPcsxtTJa2&#13;&#10;4j9TlLauPlPEesa8A3lFq5SsYpWUNa3i8i4rUda1PKPd61lBP+9jjVnXEowjZG3LZkxb3mkVktXA&#13;&#10;5MsKluOP2VIbmaO2s83fZZGXtqRMskKyOPrdZt0CibKIVZRjCVkU/YuzjpKsR63ZNJeSa7/oXKiD&#13;&#10;LfPHub/WsfIb611d5PdY+WR9Kw8kyHutK8691iWngXWe41nnHutPp6512qljnXLuhMpQ3jrjlLXO&#13;&#10;OWWsbKe0dcEpxTUm3RORP4I9YtmpCPMUt04y1jGnHPFYxTrs1IR6kEw7hfPNrBMO/yoaxwvGuZKx&#13;&#10;q2muZGyebCVBKZ9G2LVJhBTOKfhXVX3u42haV1Orgj/X+Bz8X4JzTZA3hkaQbFWUDeFeqAd3W+WJ&#13;&#10;tztkHasslIEk4q6MrE67slVOluOaMvQrAUXgZtoeMomuDmuUVhEZssIyTHzdSrwWtSzirKC8w7rJ&#13;&#10;qLOKBx1H9dFR1YMGkAgqr1V+n+OY2/xW/26Trj/lGUe/dF6o+//j+LQLdCaOHqEdKy7S8flz+P4F&#13;&#10;64jTg/4ZxENfGAIjraPOKOLydWLndesif5vv/4Oxdwa8Sj81Z5pWjKPWTX3eMZBYHch4A4n/V4m3&#13;&#10;fsyRAb2gB7yIzs9z/lnmTadPGn07W5edVHKnE2M/bRWQT+ELFTex1v8oerQCZYdYvjjH9coXlznm&#13;&#10;1hcfXueL6oyjX3q96j3Kh+gwCyaiz1hQba2TrjNTGUe/b66uB+F4/ThTrU3OXJhj7XI+AtXW40TH&#13;&#10;2RWuVe8t8kJu1/YLOm1zzJ8R/mJt47M0Bd+S+5zmb0UxY43YQH5tpE5sIic3wxbqwFbYFmE7xx0+&#13;&#10;SfJ35MrXSaBf2i4sL+F3bGqK8R3k9XbYClvgN9gE62AV166kRvxKXfiFeX5BbzVXdT0RRz2X8uUv&#13;&#10;rO0/PlnOL6xXrT+WD/KjnPJBQcitDw7gg3i5fgA9TvqcNeb6KfLqDPeAc+T7BfpfJsfzBg/z+dE1&#13;&#10;8vN3AbgJTDa/Kfinca4CyPNHyMdRkRcukdfZ5PVZ8vo0OX2SfD4ZqaexcvkkPjrgcy1vouNdfWap&#13;&#10;clncgK0Ls9k5Mc69vnAw0RhrhYNF5a3BErJIsKQsGiwlSwRLy1JwO5SnXYnzdwaLy1qMUytofp6q&#13;&#10;FTQ/T9UICsYSslrQllWgUrCQrAAmv5UJXn2eivWMVhJ58aBE95BMRL/CwVsg0Timkusc0PWsGraM&#13;&#10;99xULWh+broTec1gPsiDrRLgilMreAnOOzWDZ53qxFPV4GmnYvAUn22e4jPWU07x4BmnaPAcn8Vm&#13;&#10;O4nBC2B+bpLITbVDMo8bPOkUDh5j3CzmOMxch50qUJP2XZyvHzzhNECXBsxnsn0D4sI0VwNio0Ew&#13;&#10;CUrJhpBMzDSCxj6lZBPOKVIimOZKCcZ5bkLeGBpBcpDnJmgA9eAutkrUCd4hawfLQhnsniRrcKxG&#13;&#10;u1KQ5yauKUO/klAEbqbtIiuEnjZrtINFIExbct5GbtGvIP3Nz00qHqLj6A7iiE/a/M9sb8+hJufl&#13;&#10;nPKHQl8bXRvsSG3wbqA2PIQe8erwQ8TDIz7mZ67HiZcniZtOwSNOGv2fQffnoTf0Cx51XiWmBxF3&#13;&#10;g4IXwfzMNQhfZfiYn7kyiPMMxutN7vQkVl9gjucgHbpAGnnTifNPMe8T9Hmcvo8FLzuPknePKh2C&#13;&#10;BSDOMxd6PORzrU7retD1b/ixK+tXxPJjOOLHxBvw43j0uCVOjR9PzVN5Guv59T3i+33q/ATq+CRy&#13;&#10;4yPifibMgc/IzQWcW0QefBEsBolQmPbN8nPq6fygS5+QnEVumPL3I+q4SYeJ5NV71P538clY8upN&#13;&#10;6uSb+OtNat8Y6uC7wePOBGJrMvacAfPgS+LtG2Tf4efF+Hix8i/rTAL90s86mDhhEXKTDouodwup&#13;&#10;swuImXnEzxzGng4fw2RiahLnPkA2gT4T6DuB8T4gnj4knibDR+g8jZw36TCHtZl0+Jy68hU2+Bpb&#13;&#10;LMZm32Pf74O3QjHapThfFvtXkPOClfBRJeauJMfTfpvzb+Gn0fhxNP426aDiQcekjucZfyOeld0V&#13;&#10;+troulQkEs8lOOb2s6if0SPe+4afg5ucdT7l5c/kp2rH0ikJXdQzaynI7TNrNjrF+04rm1xRfh2g&#13;&#10;A4+jjr1EdU6UlgVESVlQ3CaD4hYpRAgsyE/7ihMQF50C4k8njzjlnCfeTsEx4jqLuD5IrTtAvTpA&#13;&#10;TBwg5w4SD1n4+Rj+PsW8am6Tv5Vc20f7+zxrOhS5DyUp/SIvrTPmSjgfPOTnS6w15RWH0PuIU0ic&#13;&#10;dMLirFOYdRRmTYUFnzGIotIRpVhbOZlXVJLniNPjcAh/7UWfTGrNDuJwB3m/g9zJJKf2suZD5PQJ&#13;&#10;5lVzm9ak5NFrUn6Kd2/NJn4V+troGC7NwtVzd3nIbQzXFfFtWxfbqXiJ9dyajLypyHJaiGPOQ8TE&#13;&#10;w+Kc01pw7+KaJNCv6/3VDLkpBpuJS4x53mmCrxqJM8694rRTF2pAVc5VQl5B5JHlxU1ggycriltl&#13;&#10;ZXxZjditiT/vhvqQLJJkY1FCNkV2n0iUzfC5SbfWyJVuse5BDzPOg4zbQpSVKaK8bCB4boNqUIEY&#13;&#10;KossSRSTxcmd4uhWHD2TRLZTFttUJAbvxF7KpiYdlFz7XefBXfgqXszcJQ47Cn1tdMyoWFExUxVy&#13;&#10;W2M6o0e892qdsbOyYUvtfI7a/zZ/d8aGafikK756Bnt1o+a8AD0gg3Yfzg8UxeVgxhmMb022GizM&#13;&#10;79UGCcFYQg7AF/2gjygkXwbTmC8J83u155E/KyS6h1iHJzvja7Vm05hKrv2ifdofW8Z7r9afumuK&#13;&#10;x4HIB4l82CkPJMgh1LYh5McQ8mcQufIqtbo/efMK8dcTusOz5FQ6edqVuOwiLoD5vdrjyE3+7Mg8&#13;&#10;T1JbO1MD0qkF3YnBXtAPBtMexvlR4oQzGl1GM5/JTqOJC9Nco4mN0eT0aOLkTXiLmBkTYSxtxTh4&#13;&#10;O4JprreF+b3aOORjIrxFfr8Jb8BIGEbuDxV3yNeoA0NEGUjCD2WIs7LEWDnZm+teol836AqdaD+J&#13;&#10;7DF0fUStURSBMG3JeRu5Rb+C9De/V1PxEB1Hvf5GbVD+UOhro2tDtUhtqH0DtWEKesT73HKK2ObM&#13;&#10;9slyFhEbi4jN2T7mzy1nY7M5+H4udlbMw7/zYUGEzzku9OE9AHKT3xfhO1OMLcRXn8N8mAefwafw&#13;&#10;CUzj2qn4/SN8PYV5plDr1VzVQb90rVOfW05hbe/5ZDlTWK9afywfKNurZ8C7b8AHG66LhSStEEet&#13;&#10;E0MnbCAOTOv/DfkOdN0ljjp7xXHnALl9iNzNol4c4fnvKHXmKDXnGPF6jFposvUPkVoa617wg7hZ&#13;&#10;LiMXfsKOv2DPVeTHetgCO2hnch/YzbPoH9TPPdRZ01xHkat1Dchh3YmcO8oYRxjrMGMeYuwDzLFP&#13;&#10;3M7Y5eROfLuNPP0NNsF6+BV+xN//Q7/FXPMt43/LveRbkZf2eed/8OuP2GgF9lI2Nemm5NrvRdEl&#13;&#10;BHvwVYE474n3iALGWN1D3f9DXMZXF5yd+GgrOm2A1fArdf5nfPYjPvsBn/3AWCYd1VzROq6/Lp5i&#13;&#10;fQ60nrUp9LXRtaUuQaeeOxrcQFznseN/fpDHNn9+kMcuIvPaRWV+u7i8yU6Swi4tXbgFEu1Ssijn&#13;&#10;StglZEm7GCRCYdo3y2I232/brrzVDsmwbf78QNjmzw9usm10EDLBtuQFan02eZSN/7K5H1/g3nyF&#13;&#10;fMtnZzmWfdgJQREoaR9xyth81mr/6ZSzz4P584MSyFUexHqGLW5fcIrb2U5R+yzjn3FuYWwJAgL2&#13;&#10;aecmzuVHlo8++eibj/EK2AmyoJ1XWiDsfNKxzZ8f3GKbPz8oZheUpbBBGWxRDptVwL4V7FuhGO1S&#13;&#10;nOeXZHYFWcSuJENQEPLQvsQ99Dy5e45nyLNx6oGKBx2TOudCxFG852hld4W+NjqeG0biOYVjbt97&#13;&#10;zQ2wVyyS+3fjK/3SdVr9DmBuIFV+5dOLvUWK/rQV04014avATPb9zJJfwzeB2fI7WAxLInzP8V8R&#13;&#10;lnI01YSlgc+Nc/0L+fewGL4LLJTfwtfwBSwILJDzA/PYfzRXzkWXuYEZ/lzV9WI56vWqe+Vc1jbd&#13;&#10;pxd9Fal/+S/aB/voPwn7H+Q4nWNZjrhWvf72vuRMfDAnTv3NDMwx3lP2Iz/M2o4GpsnjgQ/licD7&#13;&#10;MA7egOHyWOA1mRXgV32BfjITtsJG2usDQ+Qa5KsCo+Ed+ID2FM5PRz6LfnPoP8foGyXXMarjW62p&#13;&#10;R9w19TCu6UCgB3r3kqcDfWV2YKC8iJ4XA2NhojzPOs8QM8fx7cHAIrkTNsMa2r+iz3J8vAw7LGNN&#13;&#10;ywKj5E+BwXIFa14b6C1/Y9xMMMWbkpvWFOsepK67/troeDlEYEwmTo5znJHLeKloxc/ZilaqrOXT&#13;&#10;SzawFP1pK8w5W8uayf6sWeyVmcXemdns+ZrNXprZ7F+6Sn2O90ZowNFkwwaWOWfvRV4f6kFdayH7&#13;&#10;dRYy70JZA6paC9h7Nk9WsuayD20WmHO2Imsr7dOLvorYOXsa26ucPcsxtznbHB90jMR3ecbRL11H&#13;&#10;1B6c5lZH2canv7F2tbf6yA5WhnzU6i07Wj3Z39JDdoEXoBfnXrH6yT7WQMn/3gWjfJvHmrMvtnzR&#13;&#10;53XjnC9awxh/iOxuDZLdrAHyGeboDE/C47Q7MF875G2skTDWOGcb5mvu0/GvnImO+3PYQ9n8Esfc&#13;&#10;2nwaNo9XU6Zhs0eYoyXol/aJqsufIJ+LjRdg1y+sl+U/rb7yG9b7HXZYbA2VS1jvEut1+b01BsYb&#13;&#10;43scctNc46xJ8m3rY8nv5uQEYvhDa46cCrNgLu35xPTn1jS50PpILrImG+daglzNNUAviqNeVyJ/&#13;&#10;L2GMxdZU+S1jfsPY/2SOL8mdhdZ8OQ/fzCGnPoEZ1iJ0WCQ/gHfIsbesT+VIrhnO+MOtd2AU7cGc&#13;&#10;74e8t5yIvZRNTXmu5NG1Uv2G78049X+R9abRfovwxULidAFxOA8fzUanaTAZPqD9Hj57h5wYR79x&#13;&#10;jGXSUc0VraPac6XjKVY9n8raFPra6LhWe8dUPc8Pua3nB9FD15K7c/CvegY7SB054/MJe0oUn8uD&#13;&#10;+FWdj6VbAJ1UzjmQ25wrz3cEvSJ+rJ6Dbup5qXywF/sDFJ+zx0XR6y+d9POAGkevMfY4HRlD8Qxj&#13;&#10;KGKvTf1GTa0tdANra3bd2pRf9UvnVYATzVhLh+AMmc6xF3Rkfa3hHv5Wsli2d9FLxcWtN6Cf+q5a&#13;&#10;x2eSVo6j1o+hE8YHzfVuIvIpwZ58z9pbfhJ8me+o+8q5wQF8HzqI76KH8l31SHid76bHgLneDUWu&#13;&#10;alDLHHSxOTc0OEkOC34sRwanyzeCs+SY4By+a50jJ8IU2lOx4/TgNDkj+BHfxZrr3QLkaq4BOcyV&#13;&#10;yLkFjDE/OJXv0mewnlmsi7oanMvY85nnc77nXci8C/mefhHfkS/iO95FcnhwgRwc/FT245o+jN8n&#13;&#10;+A6Moj2Y8/2Q9+Y79B7obK53Sq79ruN7Jr6KV+9mBs31bia+mBEcho2GyI/x0SR0Gg9jYTTtUfhs&#13;&#10;ePA1OZR+QxnLVO/UXNE6vntdPMWqd++yNoW+VuWFyoMGoOyu4lnFdXHIbb37/rq8K8+Y+qXjWj07&#13;&#10;fU9u/ejzqjHmlgf78312H/krsb2K/uvQfVMUm2n/BlvAZLMt2PgR5o4V378hV2yOsInjRlgDK4Kv&#13;&#10;yl/w20/4bzkxtTzin1jrW06Mfu8Tu4aUiNhafRcfXb/roafKOUz513tOtRfqHgiAjsvpifzGK/K9&#13;&#10;dXXO65e2tarf0xO7O1PCCkfwj/NBpaD2ezJyhkjYiA4JMJVJxnHU73O5N/3t97nl2Pydzb1O+aAW&#13;&#10;6JfWRf0bIeW8bKuFVz+odCjgH7MtdS5WPO5ClyAcAFVztV4M9ZdeOdnl/6cuyUymbLSO+S9wPMsx&#13;&#10;6Tpd/l9sVMDl//ASV230MGPpl7ZRIU4UcGuKwj7tRR2OD0Ilt714yB0h7oaSbiry52CEKOBTU8Sy&#13;&#10;33L0rASroCbkZD9OG/99mHQ3IaFFROdYdSXdbSHS3RfEI4wVK7/S3R706S2ecTPEc25f8bzbT/SA&#13;&#10;l6Gf20cMcHuJV+kzkHEGsj4VR9VBv7SNVEwPZL4xPiPoq3jVnztNd+ao+xOW9H+VPgMZfxAMZq4h&#13;&#10;oj/0cYcx/3DRmzF6uCPFi9ANUqEjske5rgP6dUDnDuildIplgw6+DVr85Qudoz2xH3sRjHsce7rN&#13;&#10;hCKWH1fjpCqwAXLrx5/QIz2iRxLr0C9tJ4ZO+MlN9+04QAs5arnKgZ/czmK5+6RY5j4u/uN2EP8m&#13;&#10;LhfDV7DQfUQsQDbf7STmuWnwLLzEuQzxBf79Cp9/gy0Xw1L4D+1lyJa7PcVPbndI9+2blMPcWjdt&#13;&#10;H23bpaxJ2zbWdUuxq4rLWLGxHPkK936x1m0lNrKO39yOkA49xCb0XEvMrCBGlruj0HuU+A7+Sbx8&#13;&#10;QXwsdIeyviGseaAxXue7H4kpPi2wiaKNr1OtHNaq6uQCdFnoPsgcDzBXC+ZsxtzNjPZRcm0fXd/1&#13;&#10;fX0TBlTxsx3qQG7qwHk3IaFGnPg579YwrusC8otwCS7DFWpbglfTuK4EL9kfM1ZdueImM1ZDxm0o&#13;&#10;zsM52mfdRtBY/Ok2gRRoCs2ghT9XSg52V/faPF4LkcdrTz/FCLHPp73YQXsH1+7zaWpc4z502O/W&#13;&#10;Ewfdu0WWW0ucYJ3KLqp2JOUwL+5IUPJYvlM+UzU8E3Kb+6UogvF8V8oz+640ckUZuB3K4rdycXxX&#13;&#10;Lo7v7kB+u9eQcRuKJChJu4TXSBT3GkMTSIGm0AzMviuHvBy+K+4zQhTyFO1Ffp8WwkZuM5aqBbHy&#13;&#10;zkaHQl49EfLuFp5XSySyTmUXk++UPJbv1POL8t2eG/Bdc3zXLk7eNffaGdfVFHlj7JDsPSIaeI+J&#13;&#10;+t4T0Mm4rvbITbZqzxhtGas1Y7Zi7JbMofQw2UrJta10DVfri1fDm+N/pUusGvAg8jZec/EP737x&#13;&#10;mNdSPOm1Ek97bUVnr4NI8x4XXbynIRW6wvNGHesjN81V3+uJDV8Wjby+IsXrJ+7z+osW8CC0ot3a&#13;&#10;64Mur2Cbl0U7r7dxri7I1Vyx7k1pjJXKuE95g1jXcMYdxVyjmHuUqEe7ljdYVEVeyesFz8ATtNuL&#13;&#10;mt7Doi62SMYuynZmn1y7b2if3H+dT25HP/3SzwJ5OXE/4yq0P6PvOXuJeXXPOQy1IDf3nHeu0yNJ&#13;&#10;K8FR68GwCe+ggylOlfx63qU9Hkw2GU9Mm2LgXeTvwNswzqeDGEusvQ7DyInXvCfFEGJusJcGz/pz&#13;&#10;Vc9Bf/UsO5g69ZJPCzGIGjWIuDWt5zVie5j3oBjhPcB8LcRbkfWZ1qPWH8tPWRhR+ek45Pb+sgQ/&#13;&#10;PRGnRi0hNk02XcK6/k29X+7VFyu92mITdTUTjsI5r464Qm3OG04R+cP3Qyuj/04xlpprQA42T+Tc&#13;&#10;SWx3nHpxzLtPZHGv2c99ZxdshU3cd9YhW4WNV1CvVqD3Ci+d9guc74n8FbGN3N8F+yGL9jHy77jX&#13;&#10;Q5ykzynv6nuXpBzmVvGaP/yc0Q75wr1Yaz+RTW6fIscPk+u7YCOs8IaJH71XxVIvQyzxusETRjso&#13;&#10;ufa7zu1MfHVnxFexcjvTuxPb3/nXtdG5fZqFqPvaBchtbpcPx7+vlQ+b72tlkZcOtxdJYXY7hh8T&#13;&#10;xcJPgPm+Vhu5Kb9qMUZNxrqTMasxdmXmUHqY8kvJo+2s1hfvvlY+bL6vVUFeI9xc1CHm64VbigbE&#13;&#10;fXK4rWgS7iBSwo+LpuGnIRW6gvm+VhS5Kf+KhXtiw5dFqXBfUSbcT9wR7i8qQBWoRvvOcB90eQXb&#13;&#10;vCxqhc33tabI1Vyx7mspjNWYcRuGB7Gu4Yw7irlGMfcocRvtm8ODhYNckAsi/Aw8Qbu9CIcfFkWw&#13;&#10;RRJ2UbYz++RazdOxX+E6n8SK/QqMq9D+jI79i8S8qpd5uQnmNvY7oceISA5Wz6FOqPtCp/AI0dqn&#13;&#10;pugUVoyIqVM+dFH5WIBjbmv4kL+h0xB06OFTUwxBJ9WOZaeCEZ0CN6CT+j8FVkXslJSDnVhywi5n&#13;&#10;lTGf9yI/AIedNeyiXMfOtw3sNN3sx071HMZUtj/pLPZ3X+aVNrvVFPltUzwfdwraR50gu7ls+4BT&#13;&#10;yN7jOHYmbIH17Hhbxc62/zoJ9k/OOfGTcwz2iv+y+3UVeqx31oot6KfWYYpnJde21vG8F/uoPYum&#13;&#10;6/Y6eXzdY90LDyLPYkfgMeciu+fPYZvTcBT2Y6vd/Jrkd34psh0bbhd7IRN2oPtWdoP+5uwRm52D&#13;&#10;cBRO0z7H+YvIr9Avj63mjqebXlN0nr2Bc9WeznHQGHLz/FiB7za3xYkftSPXdD8oi7y03M5uwN/Z&#13;&#10;Ha52Cu8RxeR+o69qIzeNWZvdtLUYi3+3X1Rj7MrMofQw2UrJta20/9X6VsZd30pfl5Y5xDqhk1BV&#13;&#10;rhQ12RF9l1wj7pHrRAO5UTRiZ3QTdkY3lbtgn7hPHoQjcNKoYzHkat2x5irGjsoS8iL2vMKO6AS7&#13;&#10;HLstK0IVqE67hryMLpewzUVRmx2YJns0RW7KyaaM1YRdsA1lAbseu0lrspu0AvCv/7A712bXJv8A&#13;&#10;JHKbcWx5FPbwK4nt7BTfxE7xNfh7JT5ZadRByaN9UvE6n8S6x1TkOoW+Njr23ybe74EJNxD7918X&#13;&#10;+yk5+F593nU/MXU/a23rs1R0loo1orvPNv5WXDD6tDN27ow/0/BfGn7sCs9F6MZR8XyE7hyVT2PZ&#13;&#10;pbssZHcBU+48qeT47x/sEm6HD9uy07ptnHHb+uu8lj/R9v4AO6ta8yE0gtzUmrHX2TspB3szbMJY&#13;&#10;9DCt7U3krxODI6kLw6kPQ4nJoXFqzeQ4teZDas0kxvqAMd9n7HeZQ+lhyi0l17Gpa41aX7xaM5aY&#13;&#10;NuX/eOQTqTVTiK9p1JqZ1JrZ1Jq51JrPqDXzqDXzqDXzqDXz4tSa1+LUmqHUGnaUilHE5hvE5lvE&#13;&#10;yDh4F96n/QFxO5FaM4k+H8apNfPi1JrPGOtTasksas00as1Easw4GAVDiNX+xGkG8p6M05Na0xO/&#13;&#10;ZuCLftSawdhiJHZRtjP75Fq90D4Zd51PYuXUOMZVaH9Gx/5kAlPVGvUddG7vs9vRY2+c+9B2udeP&#13;&#10;jQE55EYi57YRp9uIgS38SuY3bLORGFwLK+BnYnc58h+Jj2X8qmYZNlwmT9E+y/ls5JfFr/h1LWyA&#13;&#10;zfh3C+e24tttyLfLP422zUKu4jaWblnUwEPE0X5qzW78uxW/roHl8G/aS/ilx9fM+RUx9xW/VvoK&#13;&#10;/37NGpbg3//Bvz8T82vhN9gpV4s/+OXPAWSH6ZOFXUx+V3bTvtN+X/s3/L4Wnyv0tdF+nxHx+6c3&#13;&#10;4PcT6KGfr2LdY07gvxPYINtnqbBCijUi7LONvxXme4wVuiyCoSuQYItQHrsQhMCN4HFUhCOY7jHh&#13;&#10;UCHbBlMdzo/8Cnl7kXvMeXI3G79nE1emcbP9dV6rm9H2VnZW95j5kNt7TMUQeyzi5FnFULYfy/Ny&#13;&#10;yDNVIypi60rYszL2rIq9aoTy2ndBPbiXdkNIxs6N6NModBEuQLZoGDonGoTOirtDf4pqoVOifOik&#13;&#10;KBM6LpJCR0Tx0CFRLLQfdsN2USK0WZQOrRflQqtFldBKURvuhSa0m4fWiZahjaJVaKt4mP6m2E9G&#13;&#10;rvwUay3JoUz0+h29doj6xFHd0Bbm2iJqQDXGr8q5yuhTGXnl0E7YBbs5/wfyPfTdy/X7RdPQQXF/&#13;&#10;6LB4MHQUnU6INqEzcB4S7FahAvYDIcu+L2RjG8euA5WhLO1SoYBdLJTfvg1b3oaNTGtRftG5qPO4&#13;&#10;Dv7U99RY9bsOdlPoa6PjSsWTqt9fQm7r9/voofM4CXvr1/Wfs7+PLU058w7ysdj6LfwxGr+8gX1f&#13;&#10;x7Ymm0xHbhpzOn6aylgfMeZkxp7IHEoP05hKrm2l7azWp+2cpBfH8f9en/nZ5UN88HFolZhB3ZpN&#13;&#10;DH9GDC8gzhYSW4uIqy9C+8SXxNGX5MOX5IZJx9eRq3W3zEEXm3Ovk2ujyb2xxNXbxOC75OQEmART&#13;&#10;aH9Mbk4NXRLT6DOdODXN9QVyNVdaDnN5nFvEWAvJ/XnE+eyQsKcS2+/DGBhFjL8WKmgPQN6XcfqS&#13;&#10;H33xa398MSS0SYzAFm9hl/fBpIOSR/tkQuiaT2LF/gSuU+hro2P/m0js/+sGYn8nesT7jGknfjfF&#13;&#10;6T7kh6ltx4iLU9jlDDF4hthVNikP+qXjLR8nzmDbvT5XcyBWLOzF3nuIrz/Ig93YfSdjb4WNsJbY&#13;&#10;W009W0WfVeTSKmqYmrO6npCjnlN9rrWK+Zb6rBYr0Xdl6DfjulYT42up4+tDa8Um+m9lncoWJl8r&#13;&#10;ufaXzr+tofi+3oqfFfraaF//O+LrZRxzff90ExJWR+6fanz90jYKcKKiu1rcA2Vd274ZLrPuEO3i&#13;&#10;7kWhZLH0+zGi34ob0K8d+v0c0a+6Vo6j1k/5sJ37s0jx+U60cxU//6WTtnfKdeuMNU4Ka2nnY9sp&#13;&#10;rFO1Y61tJWtSzy5qH2FubT8cneLl2XDXnGdKPiKKkbRN8TjS/d1Ya0cgHw7DIgzlqBgAfdxM9gfu&#13;&#10;YX/gPjgEx4z51Rs7pvmsFr2wZy93qzG/MtxNzLFe9HXXMt9qMZi1qDWa1qPksfy0Bv+oZ4ENN+Cn&#13;&#10;efgp3mfK81zzZ8qLkH/lXmG/30X2rmWLJe5pOAoHaP/B+Uz2A24Xi9xt7IXbJmbDTNrTOP8x8in0&#13;&#10;m0L/KVz3MddPY5yZjDebcdXcJvsoubaPzodfWdPRSF4lkUP6pfMKcyX8ynyqxg/QQo5anujLz4r/&#13;&#10;upfZs1jAXuoK+xvXQRfHng6TaL/H+bHI33LPwlHYK8a6O8R77mYxyV0jprsrWetK1r6SvXxrGGcz&#13;&#10;4+0Qv9JPzW1ak5JHr0n5ST/TxLp/qvkU+tromqriRMXLNsjts2M2esTL62xiVtm2Vg62VfsdryDP&#13;&#10;760WAW8de7Q2CcfbBub7p+NRm1V9ds33z8vk72V3F3sOM8UFYuwcsXYajsJh7H/Q3c1+vT2wH8z3&#13;&#10;z/3Mt9lnNXsBFeb750F3ozhEfmeR38fpf5p1KluYfK3k2l86fk9h43i+PoWfFfraaF9vx8fK17sh&#13;&#10;tzU8lQfGeL5O9a76umUOvrY5l4Y8HZ7D3897a8SL+LyHt1H09DaL3t4W2CEyvJ2wG/b5tiqfw1jq&#13;&#10;GSqDGEjzufrZUuw5/2Af2C72g+1kP9UO9lNtE49DB2hHuw2y1sRba28vHDDO2Zr5GvkcMN5XGnl7&#13;&#10;2H+1CzLZL8b7U+a6G2pCddpVOV+VNVahXxXv6vuk6jmsU93zqzBfcZ/VojJ2q+xdjbtYz/RVsWd1&#13;&#10;b72o4a0VtelfF3s3gCbQjPb9nG+J/CH6tWKs1t4G7LAOe6xhn9kq9s+twk7mOFXyWLH2RyTWsm4g&#13;&#10;1iYTa/Hek07Glqa68gHy9zw+8/Z+Z69WJnu19rBPy/yedA5y05hziJPZjDWTMacz9sfMofQw5bSS&#13;&#10;a1vpnFbr0zmdlIPfMV3CZM/8nnQa8k/ww6f4bQH+W4Q/vyKHvia+viX2viV/vvMOwhEwvycdi1yt&#13;&#10;O1YOjfXOYcOL2POKmOAl2JM83ovCVJhB+xPvspjlXcI2F8Ucz/ye9Fvkaq5Y8fstY33t5bW/8ArY&#13;&#10;8z1hz/IcezK8B2PIg1FeQfs15IMYZ5B3FPaw347vTbh3vIkt3sUuynZmn1yrldonU67zSax76hTG&#13;&#10;VWh/1mcdAdB77Y9EYv8Ux9zeU/f9jTq7D7+b4jQL+Qly/QxxkY1dLhCDF+LcUy9g28M+5nvqYex9&#13;&#10;iPg6SB4cwO57GTsTtsFmYm8jdW0DfTaQSxs88z11A/Mt81kt1qPv+khti/WssJEY30zt2kIN207/&#13;&#10;TNapbGHytZJrf2lfq31wOv9i+ToTPyv0tdG+PhPx9XmOub2n5mffja5zKcSRfulnT/U9bf7wNvY8&#13;&#10;rhG2z1L2uCnWsEdLsY2/FebP0IuFL9PniigeTrBLhPPYSVAmwu0cFWUj3MFR2TOWXe4IF2IM82fo&#13;&#10;tyL3wny9HrbsQuGCth3OD+ZxbX+d12pltL0vYGf1PvTKDdi7DfaO916gTfjqe4FYMdg6fEw8HD4u&#13;&#10;WsFD0DJ8QjwAphhsFr5aX9O0gzlqHxOKCSnIG4VPsb/vtLg3fEbUD5+DC3CJ9hX2/vG5fDiv3RhS&#13;&#10;oBk8wLkHkT1MnzZhPq/mWpMOal06lnUeNMce+4V5D1Hz8NV6EEv3B5A/GN6HPfaxZ20vevwBu2An&#13;&#10;7R2c346dtmGjraI5pEAj2snIGtKnQTiTNV593k/KwT64O6EqctP9qSpjVQ9vYX/iJnEXedEgvIq5&#13;&#10;VjH3KtE+vFo8Fl4nngpvEKn0SUU3k51SsaeaKzkHXSzOpWLzVGyfSkynhm+yOxPfncMBO41YV3QJ&#13;&#10;B43504W8aAdqjgE5zJHIuXZhYbdlnLaM15ax2zJP23AB+2HmeohzDyBvRo6lhB27IdSD2rRrIKtK&#13;&#10;38rER+XwRfavnmb/5jFRO5wl7g4fws4H2D969Rk3KYe5la2Vv6PjpAVxEq9etgivFAp9bXT+qrxV&#13;&#10;70HUPsXc3hvVPkXbvhqv1XPQXz0vD8G2PXy+Y4+iwv7rM4FondQ+RVVT1D7F3Nbw3W5CQreITkk5&#13;&#10;6MTwCbvdbkZ/73aftXe56Xam28X+3e1sb3M78V6zk70OVrlp9grkv7rPw0uQAX3hVc4PRj6cfiPp&#13;&#10;P5LrRto73BH2TncYY73GmIPt3e4A42cmJ5GbYvGkO8Q+zphH3DfsA+7bjPuevQlWwo/uO/b/um/a&#13;&#10;3yNf7A6EDOhGO5XzT9g/uR3Qrx26tWNd7ey97j/sQ+6j9lG3o32CdZ6krykXld10POmatRl7t4vY&#13;&#10;O9Y9Ss2n0NdG+30LTmkBO+FhKIuPGFK9Buu/OW38bXRJ75oeSerKyEvXdXV9Sa+db9uWWshRy9V8&#13;&#10;ZZDfARW8f9iVvQ52Ne9R+06vo13Te9Ku5T0NnaGLXdt7Fl70bVU+h7Hyca629459u09345y3e8/R&#13;&#10;L90uw7ilvFS7hNfJvg0KQ5i2y3nHe8Yu5D0PPfw5q+cwp8q1Qsx3iRi45CbTV/GEP3ese2fIe8z2&#13;&#10;WOctrDeRdRcDZSNTDCh5LD9mYuRmsA9agfYdqv1tP3bBjxk4w6RDFy/DuK405J29l+1U6OS9Yj8N&#13;&#10;T4JpzMe8Pv6Yse6rHby+dnto6/WzW3sD7FbeQBgCw+yHvRF2G28kslH0ed3uAI/Dk7Q7IUujTxdv&#13;&#10;MPQ36qDWpW2r86sj9ugexx4dvasxFkv3p5B3In5SIc3rhh7PQjp0gc7YKhV5J/TthN6d0L8T60hl&#13;&#10;PZ1ZVxfWmw7PGnVvhFzVrVi51dhLs5t4T9n3kU/3E3OtiaOOkArPeO3tF7xH7F7EYwZ9MpjP5KsM&#13;&#10;b6g/VzLz6ZfOY4sTGd5wxhgJb9gve2/CGJ9XvLF2H2+c3RfU+LHqVV/yKB1MdTjde5s+4+yujNmV&#13;&#10;8bt6b8Fo7DsGW47Dlm9jy3ex5XjsON5+EJrTboqsEX0bEhsNvdegv90Yvzf3etoPeC8RSy/a//Be&#13;&#10;MK5f+TunOIlXh5W9Ffra+tggAPr98n5yVtVh9b45t/k762/U4VnooGwbqy7NQ76ImPgn9fc74mUJ&#13;&#10;sbgkEn/luU6/tM9VvV2Cvz7zMdfbz6i3c6mnn3pd7TnE9yfE+tT/w96Zh0dRpW0/LAr0qS4kjemu&#13;&#10;Uw1GxgUZF3RAHEfHdUAFAXVgFAhbIiTsEDZJkDVhS1CRLUTHcV4d3PX1HQdQEHRAAgqCCxAWIWyy&#13;&#10;BmTf+X6n6aO5Ml2nfZPvj++Pr6/rplL1VD3nOfdzP8+prnQHUAhmsT8D23TOmU4Opsfpt9MZb3wE&#13;&#10;7awXifdF1gnTvGYkdmSMp6wCtP4S5/+NeSouTFpXdp0v3RP+VoZjLw0r3wr62vK5Lo3m+lglcr2T&#13;&#10;OHLi9Kad1KLiJFsnja3OW4if92DfT38spZcepqceob8eSRwM+rGfwfEe2FOtPWhgJ/gBbKKXbCBH&#13;&#10;66mD9dTMes5fT/9eTy0V42MT/WErftXYJm6VXfOjuVXPInQdJceIGboStsGrKc87sO8Ge8jxAXrd&#13;&#10;IfraEbShYmkYw6fS7xHOrRJQeC7iu1WM86A6oUpglpUQeNk6n/iqdTrxDTh6x9oBNoHvE9+y1iTO&#13;&#10;tb5MfM0qSnwFFBjnX4xdzcNrrOLEQmtj4kv4ftnagr9tYCfYB0o5dihxjvVT4izwIsg3jvUT66Ea&#13;&#10;y2uNOkyfLqV3HqCf7qWmduFzG9gAvqFnrqKXF5GvLxJHgsGgN/upHE+x1sLxBvhWeTHlW9nL53tX&#13;&#10;mXx71dIurlPQ197FPGoC3TfVsyfVN9UzkcdBRe571HcUu5FgU/wNA92MursWe4NAd54npfFMqKcV&#13;&#10;DvQC5rWkKXaVF69e3BQfvwv0sG7F5y34vpExVBzx4tRc6bqKfMc07vzM9+c3Bf7Me+p21u2Bv/Ae&#13;&#10;+0nrj4GOPIfpaj0QSOW9d0+L712C/iATDDfGGMZu0n448CwcjrOuDuTwPG6CdV1gosX3Iq2bwC3s&#13;&#10;38rx2wLj4Was1SQwxjjWn7CbtP8gfu7H7z2BPOY1Db8zGGsGY8+wJPt1A/mWjV0ERoMhoBf73a1A&#13;&#10;oJPlBNqT7z+TE7P2lb18TtR3MHWv89L+DVynoK8tr/1zUe2r72BW9L1bCnGMiqONlMCoCIfvoFX9&#13;&#10;0uuIij2FPHSGxy7kpRv5eRq+eoG+YAAYyLHMQK41mHMGk9fB5CQTn4PAAHLdO5DNdSOsDuiiXWAo&#13;&#10;z3cyeb4zkOc7fUE6SLUeC3TG1sF6Cs67wkk66A+GoskR6HEUehyLHsdxvqk+MrErPXjNZRD1Noh6&#13;&#10;G8iY/am1PvhMB2mgO+jKsS7YOnNO58DToCf76cSfgb0X5/bh2n7WcGohmzmMDgwmpuHW+EAWGA1y&#13;&#10;iXOK9SxrzTOBFxlrhpUBuoAn2X8iMNVqE5hstYLLVvBjmovKi9aGrvWMX6GrDHhT0NeW15X6Hq3q&#13;&#10;qbUMusL0H3+H736CaO2/1Ee9NH2/29rf0v2ylh7zXvyEQBEOT7D9ke2gMn38f/N35VoyfkGtS+N7&#13;&#10;9dSWbkGtvu7mWiqGRpFtAT8XeP7tve/VRIlnM9saZeLi6M/vq9UpfwA1gc7D/81Y7sWv4ugLBvqJ&#13;&#10;7X62SWVi+d9w9CqOlvDLFKWrtkC/dD2TvoRXQ0t8H0aw3fcN2z3gi9B2375QQHwLPg4dwn4SBMSr&#13;&#10;ESzxeWnpBWK9ilgL2F5fJmaG+Zk/DhufL1V1+P8fozF76aqqs85X1TnjexJfrYB+6XlZHKjqXPBV&#13;&#10;c6qIak5VcZlzmajp1BAWqAOuZD/oJIgQ5zjOWXDSpzhqrB2x1b7U8x6H8W6IICAcR8Fn/F2usjuO&#13;&#10;wL8F/IxliyRQ16nD+ImiNj78Tl3hAzXAhVBdcSpURxwL+cTRUA1xJFQFnInE5MXBkZDiYN3PudBa&#13;&#10;9MPfd3H48zvf+RS88qjydzWJeqUSeUwljmPROJJj8Kp0kOoci+QwO4Zd1UCqc8jX3dnv6+Ls8aU4&#13;&#10;O30dnO2+dqANaOns8j3s7PM95Bz0tXB+AifAeY5VFY+S3zbO5eJxct0OPAVSONYFW3fnoi8V7aix&#13;&#10;Vc6TY4ytY9P8aG47lOHW67oO8Kp0mRbDbyLHumHv6az39XE2+wY6Jb5MZy84Ci6wf7nog2Z6opFu&#13;&#10;zpXEfaX4M2iLXh5FOy2dK8Qj6OghtKVibxxjDKXXh5zfijsiWAcnClsjMXn1yYeJpaWz0feos8HX&#13;&#10;lvPbEaOah4kfZdf86P6u79NfjepnLttGkFmR+/QZcL04jn5mOIuN85qJfRaYDQrAHPCSs8Q4r5ec&#13;&#10;VRGfXn2l0PkKX1/h9yvfDPAi57/orPZNc772veCsAWvBN+A7sC4y1oMx8sTUEl7C/hIaeCGCgBhD&#13;&#10;nsfw8zMRrPONwT4GX0pPXrkbQwxjneW+HGeZb4LzmS+fOSpeTLlTdq/cqZypHv4224r28IW/IncL&#13;&#10;icE0r0XYP41iMdsl4PM4ufs8Tu4+g6vFYBH4BHzM+QvI3XxyN5/czSd38+F7PrmbHyd3n2P/nDzN&#13;&#10;jyAg3iB3b/DzKxGs872B/Y04uXuDGN4kd2+Tu3fJ3f8wR8WLKXfK7pU7lTOVu/crkbud5K4kTt3t&#13;&#10;ZI6m3G3DvoUevYkeXez86NtAn17vlBrndRi7yedhfJTi6wDrwD58/8gYKg4TV8quudI9XM1Pr4/J&#13;&#10;MepS9f6d5F/F4tUD9mI/6Hzv+4k+ftwp9p2mf55ztvkuENtF1qoEedBXRR4CR8FpY4zrndPGsdaz&#13;&#10;XhU71cQW1oatrGMlTk2xC+wB+9k/yLpW6lQXhzjnMPc7Jj4SZBXjfctF/FzA7xnWoOOsQaWsPTvB&#13;&#10;ZrCO/TXcy6zEvpx7p+XOcd9ycrKCXHzN/L+Di03worgzxaDs5XOyq0xOromRE+ScsIvrFPS15dec&#13;&#10;DzhJ3bP8i21DthVZc26S8bVxk7ykDa9+rOwKN5fBLfxs4uQWucuogZux3yR3+m4Ev42iEdtrQLLc&#13;&#10;7asn9/vCaM6VP4ETkbEax+BR3Ru4MiD4g1NgHecqbDPWXT252XeVLPZdLTcw3ve+htH5meaj5u+V&#13;&#10;p3nRPH3MtqLrS3vytC9Oj2ov9xk5bc+8Osi1vu5yhS9dfu4bKD/1ZYFJ4EX5b98c+ZXvZeyvwNHf&#13;&#10;ONc036nYVb/IjsF5iGP5cJcHd5Plt74J8mvfWLnKlw2GgoFyja8vtgy5kThKwD5wzNdLnuX4RezV&#13;&#10;xVB5ucgGY8EE9ifLBJEnL/jyOWeqvPTeJTnG2KqXvYLd1Mv+iq85soaYLv1iqkwUufJKxrpSDAA9&#13;&#10;ZR3RVfrEU7KqaI8fxamJB2XXedf9NotcfRrNlVdtK94V9LXla/tTtKLWNfWeuKK1vZQ44q1rS+Ff&#13;&#10;ceVV20uwL5LbfZ9Qjwvkj775zHeeNK9ra7CbfK7Bx2p8fUUtr8T3csZQcZh4VnbNleZZzS/euraU&#13;&#10;ujRpYQX2VWhxrVzv+56aL0bXm+gPPxDbVrnHt40es411rYR1rSTOujYPu2mseWh7gawmFqLpxejv&#13;&#10;M1lTLAVFYCX7X8nLxGq0/jXnfM26ZeJjW5x1bSt+tuB3o7TE92h8NdpeChaCj9j/AO2/hX0utTBX&#13;&#10;HvfNJSdvkov3mf8/4eITeFHcmWJQ9vI5WVYmJ17aX8Z1Cvra8tpfHu2Xqyqh/XPEERCXngM1jtEn&#13;&#10;1LpwjjXhQARLfOekQsDzM22ro/W4hm1Fe3gY4caLKezygb8IlvjCroJ3TGujMX1biZiykxISOkR5&#13;&#10;So7Bk+qn2UkdIvdQXj1iNPZxSR1FblKKmJTURUxJ6ibyk9KM79fzk5qLlyMoEFOTFF4w3qflJU3H&#13;&#10;9yzGKGCsOWJUUqHIAoNBv6TZIiNpmkhLyhfdk3JANhjEfgbHU7GncF4HoeZh0rOya03qHjMafqbG&#13;&#10;4Wd00tRI7F5r4XjsE5PyxOSkiSKP+KYmjQFZYDD7/bH1Zl4ZzCtdjAZZYHhSLzE0qZ/ITBooBiUN&#13;&#10;BVlgDPs5HJ+IPY/zpnL+VOOclF3PqXydtUM3N5Hgjmwr+v8FLIWfnnH4WZrU06ifJdg/Zf4L4WFB&#13;&#10;Ul8xP2kAMP/t0bXYjWsMPr7G1yp8rsR3EWOoOEz5V3bNlc6/ml+8+liKbkx9fwX21dTHN+hwHfVR&#13;&#10;nNRdbE7qIX4gx9vIcUlSJhgKRoBRxhjnYTeNNQ99LEiaJBahj8XUw+fkfxkoAl+yvyppCrFMhptJ&#13;&#10;Yk3SBONY27CrsdJi9IVEjm3D1w/43UTtfU8NrqYWl4FF4F/U6QfU7FtJz4m5SbkgCwxkP128T01+&#13;&#10;BBcL4UVxZ87Jf9bksjI58Vxj8LsM6HyW134nNH8L2u9eCe3vJo70qPYfjMGRj2O7me/upE6iNIKW&#13;&#10;4kKSQidRM6iQzs8KE405vQDPF8jnRfKXEJwqqoLLoricrUINUDMKxacXLzWDc/AxJzJekxgxX86x&#13;&#10;0/TXY+Tvp6SZ4hA5LKU3l5Jnk9/SyDzTPflOhWfVa3qwbcq2Iu9VGwXj95pGQXOvuR77NcEM0SDY&#13;&#10;WyQH+4qrggNE/aC51zTDbuo1zfDRFF+/w+et+L6ZMVQcJl0ru9am7jVqfvF6TaOgudc0xt4k2FHc&#13;&#10;EeT/fgh2EfcGu4v7g/zd6GAv0TzYT7QIZoKh4qHgCGDuNfWxm3pN/WAOHE4SvwnmieuC+aIh+vst&#13;&#10;uAXcyv7vglPgZbK4nXNuD5p7TQvspl7THF8P4ve+4DTmNZs5FjJWIWMXinCwQCQFp4srgs8JO5gL&#13;&#10;ssBA9tM5nipcuGgAL4o7c05+6Rc6JzeWyYlXTd2IXwWdz/K9pme01/StRK8ZRhyDor0mOUbdUlIJ&#13;&#10;w4KDIhx63YcMQ6dD0cCQYB+RiU4HwE8f0BOkot1u2Luij67BYSALjAbjOJ6LfQrnTeX8qVw3VQwi&#13;&#10;v4M5NpTcDsU+jPNM3E7ArvLrFduE4ESRg47GBl8QI8nvEPLaB3QHHdhvT94fY8w2aK5NMBsMZD9D&#13;&#10;/IX8diK/qfDfB2SCEfTWUcGuYjy2XM6ZAC+m2BRvOnc6731+Rd7VeAr62vJ57xfN++BK5D2POOKt&#13;&#10;MXnkL485z4igpXgtqNBJvBdBOj8rmNeY18jl6/D/Ohz/g/y+Ad4G70TxLluF96JQfHrVw3usL3Pj&#13;&#10;rDGvYJ9D3c4KzhQzqd0Z5H0Gvk1+Z0Tm6b3GKJ7VGjOcbUXXmGXwrf9mezJz1C/9u3FVZ8vQu9Ly&#13;&#10;O9rIVtsVJ1/A9Rf0veXwuYI5raIvfQPWgQ3sb4Tjzdi2wPkW6mcLvW8zPjei7eLgePEttbKS2vs3&#13;&#10;/fdTtP4JvXo+NTmPdWhesD/IEAuCaWIRGv+cHBehwTVgA/iB/R30/T30/X2sMfs536T9TdhNc9lE&#13;&#10;r9hIbyhm/diAv+9ZS9aAVWAl+yvIyXLiWY59Oecup78U4XMFveRLanQNtbWRuLex5uwKDieuLGJ6&#13;&#10;VhwMjgUTQD7708Tu4AyxHT1sot7XgiKwhP2FHJ+HNj6Cr4/gyDQXlRddi7qO1/6KOl4Lbwr62vJ1&#13;&#10;rPSk7hWfrUQd3xqKf+9ya8h873IT9kahDNEw1FtcF+orrg0NENeEzPcud2NX+fW617sbH3fh6/f4&#13;&#10;bIbvJoyh4jDxrOyaK82zml+8e5dbQ+Z7l9ux/yHUUdwTShEPhLqI5qHu4uFQD9Ey1Es8GuoHMkXr&#13;&#10;0FAwApjvXa7BrubdCuiXrlGLA9eEcuBwEnzmiRtD+eKW0FRxG2gK7mD/ztAUYpkMN5PE3SHzvcuj&#13;&#10;2NVYaXogtnqsRH5+FF8t8dsiNE3cH5qN30I4LmRs7l9CBaJeaLoIhp4TdUO5IAsMZD9dhEOp4mq4&#13;&#10;aAgvijtzTn7Rr87JbWVy4tWrb8Ovgs5nee2PjWp/YiW0n1UmjuQYHKmemkUMikMvnY7BnhvqJCaj&#13;&#10;i6nw8jz8PI92FScNY/isxrHn4XZ0BJdqwEsLo+F7FPoaFeojRlIDI/A9FAwAfdBer1B/kcE5GdRS&#13;&#10;Rmh4ZMzGMcZUzxQzGO+pCDqJdOJNDz1tnFcvNN4n1FX0C3UWAzl/KPNUXJhyrew6XzrXQ8pw7JXr&#13;&#10;IVynoK8tn+tJ0Vw/x7bC6ydxdBKXnrsq//ql66EmB5Yxz3VgCTy9Dwr4+W0wn1pTNq/4no/GN7MS&#13;&#10;8R0mvnbR+Brr4Njq+FQOD4faia0RNBeHQwrtfo5J8721zDy9/GxlLocjKMCfgvfcZjEnde+iPodW&#13;&#10;Ue6Tnfg9ONkx19nV2MuigdNRKJj02MDpbey1V2NPjuIqtvWjCLINOH35fCDv1ZxMPiM4DGQb66u2&#13;&#10;UyAuwuVFuLQdBfOaWcfpzhhd+fxjZz6X2Em4zE9xYJqPsntpsDCqwb9WIk8tyFO8Z8otHPMz5VbY&#13;&#10;2zp5fN5vEp/3yxHtnTEgCwxmfwDH+2DPEK3gpwV4ANzD/l0cvxP77znv95z/e667k+vvws89+HsA&#13;&#10;v2psEz/KrvnR9dCTOWVF6yqZGtIvXVeqx/dkvCfZZmsjW22nnLCPF2nOFD6zOE10cGYzh0JiKRR3&#13;&#10;g6bsN+b4b7E35LyG+GroDGK/F8fTsKdwXgfO78B1Hbg+BT9p+OvFZwsHgSzjnJS9/JxUnvQ9jVdP&#13;&#10;VeMp6GvL91T1eVJ17/gPthV9xj69TBzJMbhT3E4nBsWt1/o5B/vf0P9rThc+s5Uq3nLSgXn9fIta&#13;&#10;K4jAvH4WUL8FTj8xG23NRGMv4vs5MBnkwv94p78Yxzlj0dxYx7x+jmW8QRF04lwF8/o5nvrOpb4n&#13;&#10;Ut9TOP855qm4MOlX2XW+tH6nluHYK9dTuU5BX1s+13OjuX63Er3hPHF0jFNH5+nHKtetYmjBUsdk&#13;&#10;R1EVXCY7iRoyRfhkF2HJ7sKWaaK27AEyxBWyD+gPMiNcNYzhS91DXSHpteTjIjVkGvMiWrqIBi6g&#13;&#10;gfPk/Ay5PwmOgEPsH8R2gHMO4OeAM8Q45gHG2xzBEOOYm9HUZvxuYg0pZoz1jPUtWA2+ZH8lx1dg&#13;&#10;L+K8IrSnNNE4xjzVml/EePMj4P00OiqK6i4txvmJHFuJ7r6illahuzWc/x05KQY/gO3s7+L4j+hy&#13;&#10;L+ftw9cBpxs8dIGPFD5n1lGcBiqPJp0qu5fW3otqbV4ltNaM35HH+91dM2leX3+HvTF6uln2FjfK&#13;&#10;vuK3coBoJM3vSR/AbupVD+Djfnzdi8+78X0nY6g4TFwpu+ZK17San+7fyTHyqPpmM2l+T3oX9vuo&#13;&#10;pT9RRw9TR62oozbU0GOyl3hC9gOZ4s+S/wNYjgDm96SNsJtqqJHMgcNJ8JknbpP5oqnkvSj4A/gj&#13;&#10;+/fKKcQyGW4miQek+T3pE9jVWF76fQJfj+G3tZwmHpKz8VvIWIWMXShuoOZ/I6eLevI5IWUuyAID&#13;&#10;2U8XDWSquB4uboYXxZ05J7/0Sp2TO8rkxKvP3oFfBZ3P8n12flT7n7Kt6Jo6pkwcXtoYQwwmnU7A&#13;&#10;nkePfR5dTIeXmfAzE+0qThoC/dL3OKqfzoTb3AjMa2oufOegrxz69DhqYDS+s8FQMAjtDaB39+ec&#13;&#10;/tRSf2leU/szXpcIOol+xNtPmtfUAWh8kOwqBsvOYhjnZzNPxYUp18qu86VzrT4Hp+vPK9dZXKeg&#13;&#10;ry2f68XRXC+rRJ97hTjiPUN/BV5fYa5zI2gp5kmFTnxGSyGdnxXMz9DnUVPzqd351OoCausT8GkU&#13;&#10;i9kuieIztgqKTy9ePpNzxMfApL8Psb9LXt+SM8Ub1Otc+QIw+50bmaf3M3T1eUP1PnRlJfg+CN/x&#13;&#10;3gscpKeY5nZAZov9YJ8cKfaCPfJZsRuYNLg92l+9et5W7FvkaLFJjhHFcqxYT79dT07X01M3kLeN&#13;&#10;cLeJnrcFbAU7wG6O7cV2gHMO0lMPcq0pBjUvrWVdBzvgY7C49EwkWTcFtrovqHVoR3RN9Ip9N+vM&#13;&#10;XrBPcv9E3R+kzxykPxxkjTxAP9hPj9hLbnezDu4AW8EW9jdh28g5xaynxdHe5BXDCuwqJ173lSvx&#13;&#10;9SVr32p63TesAcXU7U6wDxymTo7TL87KbuI855xnPBNP5+FTjXUv0C/NRy0OnKeWzsP9eTR9Xr4o&#13;&#10;LqDvC3KGuIjWE9yZooo7y1g/VdwCcYjaUGNk6wHY6jFC/HyIda9UzgIzwQzwIpgGn9PhciZczobL&#13;&#10;OXBZCIeFfI6yUKzB5ypsKzh3OfpYzlq8HE2sRKtr6MPfymFoaYj4AZjmr/JdXic7f0W/VHwr6GvL&#13;&#10;90tVt+r9pvqcYkXXRvU5xYKoXhvH4E7dL4fh14qguQi7CgWeManPKaqeoj6nWNFnWyOdhIRTcWpo&#13;&#10;pHPKmO+RzgmR7RwTWc4R8YxzSAx1SnmvWSr6ggznJ54RnBA9nNPgPKhq9XAuBz6rp2NZGU6i1dep&#13;&#10;aw0CQ8FwJ2CNcOpY2U5tayT2kU4t43fZ87GbtJjv2NYUfE50gtY4pz5+GzBWAysddHOusjo5jvUX&#13;&#10;7O0cAaoC5socUpy9fL9zJ/GXMJcSMQKMdraLHGc377/3inzOyedckxYVb1pPpD7hCjAIvkuifHut&#13;&#10;UWo8BX1teS2+Rr7vJu9vsn2Q7bX4tQCv0fpnDhu/G/1xmTiS1ZXRl65jdf3HxKC4baWNbLVdjfcp&#13;&#10;9s/AMmcH7+t28r5wN+/d9vI+cb/42jkIDvMe7gg4Ac5GuGoYw5e6f1tDLhZHcMY45mLnpFiM1j7F&#13;&#10;70Jy8DEa+wj8N3iP/Xc4/pZzXLyJ3t50LkTGbBxjTFVrbzJeQQSrOFdhX2TsJjHOV5/fetv5kTF2&#13;&#10;MtYO8U/mPQ8ojkwaUHavPKrv2Km/5/kB2wcqmMcq9LaqJMMUQxVZNVIjXvNKwH7RqWadB+ec6tZZ&#13;&#10;cBqYfJ5wLov49FpXj1Djh0GpU8M6QI3up772U4v7qe391NtBap3vhHFOknUUnACn2T+H7SLnJEi/&#13;&#10;VUXWNMag5qW51fV1El2fidPPTjqXNOYV+xns59DPeXCRGq4iT4Bj4IhIkId5FnMIeynPYkrFCXAU&#13;&#10;HOZYKXo/iP4OoM8DaN7E3xbsptraQt/8wTnAd/T28sxjB35LeO5TwtglorrcLmrJXTx3+lHUkQfA&#13;&#10;MeNYdeQVkVzdG0PXtThWRyZadWRdEAQOkFaidEHYCsh6Vl2g5nJNjOuRbkJdeZVVDZj6cFVZ36qK&#13;&#10;n6r4rILvKoxRRYbItUvO65H7+mgg2TriXI0urrb2gJ3sb8O2mR69CW1sYk3Y5NS0fqBP73D4/0RZ&#13;&#10;T/Y7/L/r0d6SHCM+1cdUvsvr5BQ6ideHT8G1gr72LnzVBPq76R8yedWH1fvmivbh+6hfHUcyvvVL&#13;&#10;91kV/33yUh/2qt8W2FuhibZyN89K9vL9qlJwSX9e/bY9+WoegbnfNpcneUZzDBzl2chhnpWUirvA&#13;&#10;7eA29hvL4+IWzrlFngHmfnsL410VAf+HJPHeLPcb+21juYcxdosmcifPRLYzbgnPU8z9Vtl1vnRP&#13;&#10;+EMZjr00/AeuU9DXls/1gmiu1bORivbqUcSRGKdXj6IWTXU0DnuurGNNktzXSGHlyxqA/59ZnuWZ&#13;&#10;yQkxiTxNIC/j5CExCowAQ+VPPHM4ybOH0+A8qGINkpdZmfTXwdJnDaU/jMCvGtvUs5Rd86O5Vc8i&#13;&#10;4uk3C17VnLz0+yz2MWAcOZ5ArifT1/LRhorFS7/5nPtSBOEIX6104bDVtQPVCS/Ja6xC2ciaLW+2&#13;&#10;psumcHaH9SwYCgbIZlZv2cTqIW+1UuWN4Drj/AdjV/PwGmuIbGgNkTfgu5E1HH9ZYBTIAZM4NkVe&#13;&#10;b+URT75MBtI4Vr5MioyVFmNeiRybQp+eRB+dSD8dT28djc8skAn60mfT6eVp5Ksb+e1GvrvJUyIN&#13;&#10;XfCdUNEXjjPhW+XFlG9lL59v9XxP59urllQuFfS1dxFvTaD75pJoLalnIs0reN+jvqMY7/8hWEqP&#13;&#10;MuluCfZF1Mcn1McCetx8amQedWTiZA12k8811OBqavArfK7E93LGUHGYfCq75krXVeQ7pnHuY/ju&#13;&#10;ZiQWLz2uwL6KGlkrd/AeexfPFfbw3OIA76EP8977mNhGPyiR50CCVUI/MMU4D7tJ+/PoRQvoI4vQ&#13;&#10;3GLuJT4DS0ERWAlWcXw1fetrWRv4jWNtw67G8tL+Vvz8IK+0NnL/8D3aXy2vZqyrrYXgI9aXD6it&#13;&#10;t7DPxc9ctD+XvL5JLt5nbfwnXHwCL4o703yVvXxO1Hcw42l/Gdcp6GvLa395VPvqO5gVvWc4RRz6&#13;&#10;b/gnw5N+6b6n7hlOSSvC4TvayFbbVd2eIg+n4fEMeTlHfhLcK63LQE0ggN+ta9luwKrt1gG1gQ0s&#13;&#10;jgvLcn3W5W4trqthnUAXP8lqVika2s/6v4/7gH3cE+yD7wP08MP08uNo8KzcJqq524QAddztIsnd&#13;&#10;JaS7R9RzD4r67nFjLmzsSg9ec7Hdo8Lv/sRzk8PC55aKGvisBhLAeXlQnKO+zhDPaWryNPfwp9H+&#13;&#10;GWI8R62eRxvV3FNcf1YE3HMi5F4QrlvFqu9Wt5LdmsAPAlY9N2Q5btiq6ybDwdVWdXAGvR1Fb4fo&#13;&#10;w/vot3vgcg+8m3Sl8qK1oWu9Oj/E01V1l/t+oK8tr6vVUV2pZ0HlddUQ7iygdHE9CEV/ZqM0oTY/&#13;&#10;P0NQ5wSAOh9X//H36U5zcby/1Xc61No/pV5rv8pZE6BfWn/qvfR/YZ9Xr72/qF5Pf3G94f6Senng&#13;&#10;Nb+Ju5J6zWqbfJbUa1O7uF5q7aJ6g2vPq5dT+7/q5deeAkw+T4fyzT6xrwrl1F4YGlz77VBq7b+H&#13;&#10;2oBmRp9/D71mnPvfQ3n+t0PD/QtDPf2rQu39JfClODPH2drvlXv1t/JSSVw9HqS8wlY/A4Lm0Xfy&#13;&#10;j8pldaCP//+8Um//D+f1XnKlanQKiUohn78hr6+XyWsN8toQu1dNY4q8dL651FjT37KeLPZfeobU&#13;&#10;9tKlkX91vWJK+FYu9u+MoMRf3V3sl+CULPGH3UT7cnBAlmI/ARLtbyNY7KnXL5lXf4JSvWpYmXkx&#13;&#10;zK9+ftmAnrk3GnNyJNpL/+iY1ZwbuHsjddgqhl1x18Dd5L/OXeO/2S3yN3U/89/tfup/CLQHXd3P&#13;&#10;/T3cr/y93LX+Pu46sMlYnx2xq96UHWMslcun3PX+J93v8P2N/wl3tb+1u4qxVvnvB3e7X/t/j+12&#13;&#10;t9jfxN0G9oGj7J/x3+le9P/RrWbf715uPwRagyfc6nZ7N8F+0j3vf4pzOronjLH1wa5i8+KhF2P0&#13;&#10;wG9X17I7kMvH3br2w+Bu8Du3jn2jW8u+zq1iN3BP+hWnpj6l7LpP6fWtBT8siuZK3Xvol86V6kct&#13;&#10;3EV+BX3tXRyrCfR7hu84qR9J3cR2eAU1M5w4NsaJY7i70T+cfJj4Gol9DBhHHnPJ3yR0MsVd6c9D&#13;&#10;R/nuF/6p7lLwb/BZBIqvxkC/9LzVM+iXOOclOJ8SgRp7oycHW5i7qpttbCtaN3Ud3nPZ5lqv6zS3&#13;&#10;r4qgn92CbXvQxOlp/8WZbT8MbnT6Y88Gs+26ETS3vfL2MrGOJGb1O4ucCuYtg5g7RWP20k+G08nO&#13;&#10;cMbbprxlOBPsXs5ku7eTZ/d1nrMHOC/YQ0A2GONMtcc5E+0cfOQ4o8EI25S3HMZ7LoLZdi4c5DrP&#13;&#10;G8fOcabhfzrjzLBHOgX2M84cOxP0Ak87s+zu2LsSQxfi6+LkRMb2mmuXyFw7/cy5rrNh8NQxDk/D&#13;&#10;nI62gle+XidPo8jTW5XI1wLimBaNI1mLnq3WPe4TFjBflSuvfrkI+2dwupRcLScvK5yxYAQYYvO5&#13;&#10;Q471w9bTXuKk2QvAh+Bd9t/i+JvOIPsNZxgYCcawn8Pxidif47xpnD8twm8y4+tX+dg0P5rbvzKn&#13;&#10;lOicGuqL2Orr1O+w/uqkMJ7C08a5veV0t99xutrvO52Jp5P9L/LxCfgcLOf6r5xUe62Tbn9LnX3r&#13;&#10;PANy7TVwsQLtLEM7S9DMx+Aj8CH776O/d52Z9tvo683o3LxifNP5wP5rBCmeGlC/l1Ia+G+2EytY&#13;&#10;s9vh64k4GtjuPGGsme1OG3uH08re6Txi73Za2PudP9lHojjK9lgUx9meAE+Rg2SgXzo3Sm8nnNbG&#13;&#10;sY5jPxbFUbYKR8AhcJA4Djpt7QPO46A9SImM9aAeiK0eyxcZK4V4nuY8hdn29gietovZL+ba7RE8&#13;&#10;4cm/4l31zH9WogYTuKeLx3+CNPOfINvYVWQru6p8xK4uW9i15J/sK6KowzYxigDbusDEf11p5j+A&#13;&#10;PTGKOmwVrgB+IIhDyLa2Tz4O2gMz/3Wx15VPc57CbDshgqftk/B/Eu4TsKu56xovf6/xUZR/9Xud&#13;&#10;iq5Zt8O/7sXJMXSiNHm77GjU5J3Y75Gd7AdkZ7uF7Go/IlPtVrKH3Vpm2G1kH7utHAAy7cfkcPCs&#13;&#10;kf9rsZvWxmvlePs6Ocm+QebZN8rn7cZymt0U/AHcw/79Mt9+UE6x/yQn2s1lrnGstthNvb0tPtrI&#13;&#10;yfaj+GyF70cY4yE5Hd+z7PtkgX23nGPfCfjcLDEU2jeB68lhA84Lc42UOSAbDGK/F8fTsHe2b4Yv&#13;&#10;xalJh8qu8657e3NyNTROr2ouhxr5ay4HEn8/ctWbOfSw7yKm28Gt4CZ02IicXU/OriVn1+LLFKMa&#13;&#10;q3yMTcvoyeu+oClzU9DXlte10rPq6+p3WLls9ftDpPir33elEIe+F/NaY1LQbM8Ieho5S4eXXrK7&#13;&#10;3Vd2sQdwfiaxDwPDy+AZfh4BsoCJsyw4N+l7BHaFZ6IYznYYGAT6yZ52H/KWQf7S0VR6ND9e80tH&#13;&#10;iykR/HIPVp5r9flaxfXnleghRXD9YBxdFskHI/NuEqPHqOds32DfSO/eRh/fTf/cK5+098G3icut&#13;&#10;2E31u0U+ZW+S7ez1+PuO3rxaPmoXgSVgAX36n/To98nnu2j/XfT+rhzB/lj7f6j7+XKqvVi+YC8H&#13;&#10;a8A69jfKCfYW+s8PcrS9lXNNse3DrmJLizHfRI7tleOY52S7hL6ykX6ylt7xBVgEPiJn79FDXsf+&#13;&#10;Kv3wVfL9Kvp7DU7eJu4P5UP2J/ClODXFoOy6xnQPUb8b0Lnyqs9lXKegry2vGfX7MLXuq2e5Fa3P&#13;&#10;Kwgo3rpzhWted+piD7md7LDb2U52u9q/cVPta90e9vVuhn2D2wcMsBu5mWA4MK87F+KsOxfIe4I7&#13;&#10;ya7q5tmXuc/btdxpdm1QF4TYD7v5dj13in2VOxGY150bsJt0ewM+GrqTmUc+83nevoYxGrjT8TvL&#13;&#10;dt0CO8mdw7hz7DpuoW2DGiDBnW2fRTMnWHeOsu4cZd05So84wbpzFn0nwFEN+FKcmjSj7DrvWjPJ&#13;&#10;/BBv3Ul2zevOVe5Au77bD45625IcJblp8Jdm+0AN92m7GjlLIGcXqcMLcdYdNVb5GGuX0ZOXrmsz&#13;&#10;NwV9bXldf42eVS/8vhK6bkYc+rlF4xi1r56lNHOb2/dFMNtuRt7UvldM66K1tp5tRe/x2v6KmNoS&#13;&#10;Q8cIZtttiUnte8W0IRrTxkrENJmY4q3Pk6nt6RGY1+fp6Gem290ucLvYL3P+38jxa1G8zlbjH/w8&#13;&#10;F5j0PxdtqtpsFSN3FseU/R9RvM5W4TXwCih0e9qz0fdMdD7dHQQu3T81jOFLvQ+fDs+TI/Ben7fC&#13;&#10;sdLk9kpwvaJMbSTHiAX3CSvgxTTvVdi/gdt19JGN9Not9NqtzLmEut1O3e6g1+6g1+6k1+6M02vn&#13;&#10;YzeNNd8dby+g1y6k1y6m//2b/lcEVoNv2P+evrieXruBPlkcp9fuiNNrd+BjO712Gz634nsLY2yi&#13;&#10;126g135Hr11Dn10FvqTHFoEl4GNy9hHnvc8177o5IBsMYr8Xx9Owd7Y/gy/FqUlryq5rjBRFPndd&#13;&#10;zA/xem1xnF5bTK/dgAbXocXvyNHXxLQCLAVLqJVF5OxjcjafnM2PatRLF2qs8jEWldGTV68tYm4K&#13;&#10;+tryvVbpWel6D9uK3kOcII7cOPedJ6L597oPO4HOTqKz0+TyrPuCnRCeZl8OfMAffsG+Ivy8HQhP&#13;&#10;teuG88BEkMv+eLtOeKxdG1jhMXbN8ChjnhPCIyN694rhLPo56WbZx91n7MPwXUodlZK/Ujed/TT7&#13;&#10;GPV2yk2xL8DnZeGOtg3qhlPsUDjVdsM97HC4F+hnjCERu6o5rxgSw72ZUwbz7Yl/nkfguzpIAOeJ&#13;&#10;4Sw6Ok1/O4V2TqGrU8R3Bv2cQ/cXiDchnGlXCw82xuALX7pH8IqhTni4nRR+hnllMZ+Rdn34rR+e&#13;&#10;APLYf4HjM5h3AfEVwkMhYxfaJ6jRI+4M+xC5O0geD8TpB0oPWpO65i4L/3Iveg0c6Zd+VoZEExTv&#13;&#10;Cvra8nreG9VzaSX03Ig49LPbxjoItjoOde/QiLw3iWC23Sis8MvzUT0f5SfePUijML8rieAxfCh4&#13;&#10;r/eHmJO63z/MtqL3II8QU1acWn2EvCuNZseYe4hjj6CHluihdXiK3Za6bEeNdgRdQSr7PdBJBjXa&#13;&#10;m/N6h0eATPb7crwX9h52l3Aa56fZ7cHj7LfmeEvq4hF0q8Y29Wpl17nXPD/FnOK9h3kKzag5NYkx&#13;&#10;J/W+NwV7t3AnOy3cmTi72OnhbsSdFomlcYxrlAZ6k6vBEczmXIVLv9PxqquM8HR8z4SD2XA1x+70&#13;&#10;f9g77ygpijXsL0gWqrsJws7MstPdIxJUFuTCFVFJogiCCUyAcAFBsspV0BVQRCSusio5KTkjOYkI&#13;&#10;SEaCAhK8EiSuLCBKcuX7Ve8U7Fl3aji75zvn++Obcx56qt/qqjc871s1PT0LufM8eAo04Fw9/Fcr&#13;&#10;MEQ8HOgHEsEbtDtyvi1+aUE/1jEJ5g5moZPcP0i58k8N2gXAQ0DG7XyYP5dykBtjbsHXY9BB+roh&#13;&#10;UC+VO4U5MRH5ZHw9HZtmB1qKedS2r+DBQureokAnsTjQTSzB9iXUoSUB/efFQch1cw1ijRgcGCCS&#13;&#10;4OQw4vM5Ph4DJoLJtKfh7xnweCZ8ncWaovPtYuRyrkRlFEdll/TvYsZYFBgoFjDmV4w9jznmEPOZ&#13;&#10;geHMM1J8ScwngnHEezRIBkOI+0f0e59r+hD3PsS9T+B10Zec+Aj+DcFHn+Iv6VOdblKu4q7yYhax&#13;&#10;iraHmRVeCyLFalbgNfTvgo86iqnE6At0GgOGg2R4+TExG0LMBhGzQYyl01HOlVnH0eiocjdSzR+N&#13;&#10;bRLq2hr4ugBQvL4Mn+Ue5u8c8HoTekTbw2wKxz9Sfm+GZ5vh2VZiuZ11cjdx/QkcAr/QPgonjrOH&#13;&#10;OUGfE3DlBOMdh5/HqJNHwP/YwxyIsofZHWUPsx3+bKZGbmT9Xou/15BHa4jfmkB72m3EBvJtC2vV&#13;&#10;Tvy5DxwGJ2mnkINniW8qvEulvy6Ox5HLPIjkh1/hyq/w4ih7mMNw5BBj7wW7wQ502M4825Btpc9W&#13;&#10;+m5lvG3w53t4vxN9d4M9UfYwh8K8jaTDMWrHKXxwBl+k4rPz+Pc8a9Z5fJ9KLM6whzlBTh4mB38C&#13;&#10;O8Am2t9x/lvk39Dvmyj1QPJBcVLl3L5b4LP0u4S6NjOfr4f5nIcPp9ndk8fFRd/DxMU1F3d5GCHi&#13;&#10;4iT+uYeR40Tbw8TF1WMciacYQyLyHqYgNsk9TCGO2d3DVEWnaPcsqsY1EzU9pH+33hC+qpeq2YU5&#13;&#10;USeulagX97Koj+0N6f9k3EviWdAM/CeuhWgb10a0i2sHOoHXvbwoqwbiqMaS9xHa4cPmHt7Q5kfz&#13;&#10;uK7068QcHcSLca+IpszxNGgMngAN49qizyviUeZ9hD516Fs7rouoFdcNvI5d/wU9tbrURI+qHm7e&#13;&#10;01AcbYT/otXcRtgv8SB2yVqbmaO3Y7CsuWYO4jgtNiZma3gvGsmn/D+VPLMgcUa7zi+MPclzEcfF&#13;&#10;0thjYmXsEZ55OMzzHofFNrCbc3tiT4t9sWf5Pv0CuKz13U+x8cZ2D1e0c26PvSi2x55njlSxJTaF&#13;&#10;ZzFO80zGafE1WE57CecXIv8q9hK4rp3zK+ab5mFrRJ/Poi4Mwufy+/5kjtn5Pi4X3zscjrL/z+U7&#13;&#10;rLU7L/KCviN8136M792P8935KXGHL0WU8qXyHevv4JLw+66Av0Ee7bPPqbF5vOepI+Vnamwh43ys&#13;&#10;YVyMLWbwm1/jamwpI8ZXysgLCvnuMIr4ihnCZxmmzwCFtXPxMw9vrkT4rF4qf0txwucTRixjlWLM&#13;&#10;Oxi7BHMU8/kYN84o7Is38vuCzGsbucH1WNu4DM7HljZSYmONE+h3LLYwyA0uixOx53iW47Q4D/f4&#13;&#10;TSjPRRz24h9UE3NUcxPKGClXuaby1CJWf0WJleX7Sxsr03eZ5yIuCuE7zzMRv4n8vtM8y3BaXEO3&#13;&#10;y3D0Ihw9T06cg6OpsX9pdZRzZdZRPjei+BRp/xaDbRLq2sy1ZAF8HoIT5PfNn2aT17XQA2Zof9de&#13;&#10;i3g+j68jxb8e8seJ+xO+osaTcOFpXwEQA/7ieYlLPDtxkWcQfuPZg9N8Z3+aZw5O8/35WXGf7w++&#13;&#10;t78M0sBtRiVffnC7cR+c/JevhFGdceXcuj2VlCv/qPjfhU1Ho9THu3xHmVMivT5Gsu0+30l0PS6q&#13;&#10;+X7lGY0jPKNxmGcPDvMsxWHsOiaakMMvYksz35/gOiBX8MXTPj/+iDceg/O1wUOgOnlQzVca2+Kw&#13;&#10;0Y+t6bZFquGVfNWMuzwcjciB5WEOrOb4eTY50A1/GVE40I2YSA40BOql8rAwJ7oR+9d8xY03sP2/&#13;&#10;vpLGW9j2NugF3qPdj/MDqQ9DGGcI/NDFlN/ZenNVURNxVHPJew6DfbkYK7fxEfgQ3nwA+gLdmInU&#13;&#10;U6l/pDF7+vIab4LuvnzYUcDoBg+lzboxpTwz9z7Cl1ej1J6PfFe92hNpDz4Q+WDWgSHkTjr+4HgR&#13;&#10;nOP8WTGQNaM/OfQB6A3eBm/C4+7I3qDP674L4jVyS6d7e+S6eLZnrI5wvyvc706e9ITvvcGHYDDt&#13;&#10;T8iHz5APR5fhzKebazi80M01nFwfDj9GwJMR8GUkGJ0BY3g/NoxxHHVzjSPn5FyfAvVS3CnNiTHI&#13;&#10;R5OHo8BIMAIMB8ngE2RJvoAxlNwc6osFJQ1+/2sM4Fw/8vY9+rxLHvcAr4Mu9O+ArB06tcXGtvCh&#13;&#10;ra8g7bycz438OrFI4zkb/fog+ZCZR33gUbT1oQ+xkFDX1sC+AuAhUArI3//K9UE+75Dd9WEGeuwK&#13;&#10;8/nfjKleyqf8RiZmhm8Xz6JIHBVfezjDe4mi2rgvxGeLiPtisARfLwXLwYowVnKUWAW+Brq4fx2O&#13;&#10;e6T6tBL5CrAcLCOOS8BiMB/M4dws4jiTPcsM5plBnZJzJShjOSp75f3LGdj2hYejYgb2SvsjxUD6&#13;&#10;Xu49N3HM7t5TPp+k1rNIOm1Ej10e4o2N2CPbSie1Lspx1OeGyONsZRyJfTyfIxF5Xy3/Vpe0Tf7O&#13;&#10;KLu2XcnA8yC+VS/lb4aPuQLHZU5Hqt3Xkef1H+WZluOiiP8Uz4ik8mzJJW1Nyo9cjpmoJuSo5pS5&#13;&#10;k8//O2Oe47mOsyKX/4xIo8ZeARfAb+xlzrBfP0V9PklunyTXT5L3p9j7pMD5s/D5AjXhMvgLXIdT&#13;&#10;uf3FjTx+y8jnF0Z+f0Etly3kUrdI64PJOEX8JY0Cfj9jxht/U4sugVRwijp1jDl/QY9DrGGH0O0Q&#13;&#10;e6xfWBd+RffT7FnO4y/pU10+SXlm/lzKEKtQFn6DBjGXuE5CXZu5JsnfY8uatItjdmtSLQhdOMp+&#13;&#10;pZY//TNLJB/W8htGbX9Row5xqYcvH/fHGk+BZ8Hz/lLGS/47jObIXqbPy/R9mfFa+AtxvqDxor+A&#13;&#10;8Zw/v/GMP582jg386XuOSDrU8+dGh1zGw/7r4gF/mrjffwVcBGdpnxYPw+c68Lq+n70meAG87D8m&#13;&#10;WsPxV/wpoh38bEd/XRybI9dxqbn/gmjGOC8x5/Pw/FnmbQwagMdAPeap6/8NPVLBBXCR9p/iUf9l&#13;&#10;5Ffod5Xfyl3V6vCsP/2zViQ/NPP/zW/iYozW+KIdPnsV/77qLwKK0S7JeT/+Z13328aT4FFQi/aD&#13;&#10;nL8feTViVI346Pwg+aA4qeqhfK4o2hor/S6hrs3MZ/l8k+Sz/L1cdvncHT2i1ffu8KC3h3ijO7bL&#13;&#10;ttJJ2SPHiVbfu/u3Mo7EPtHdQ+T6fhCbZH2Xv4fLbn0fmsG2slnUDHn/byi2jPCgv1c1yn+S56N+&#13;&#10;FRPJgUn+IzwLdVjMBAvBcs6tgq9fw9XV8HQ1/JR8iDTnany4yEP6vapI3Fzk/4PxL4gF5Mh8cmEO&#13;&#10;c0wHU8Fk8uVLMJHz48ifMfQZRd+R5MhIcmQEOozwXwP6e1gj0GOoh3/GdAr+i8bRKdgvofiQmaPy&#13;&#10;GSzJ0WM5iOO+DHEMZRFHho7ZRwz3+W/X7vn2sf795DeN/eTsAWrs/8jfY+AMSKXeXkD+O2NcpLZe&#13;&#10;pCbIGCZkMZ/ch11kvr89xBt/4L8/GE/WuoZZ9C/Mud+p6xf8PuOcP2Ck0P+EP2gcAT+B3f7Sxg7k&#13;&#10;3/tLGNtZX7eH60kkW7d7tv4zXsdvIV7HiZVEpHgdD8frTA7iVTwQfY0sHtCvkcUDhlEiUNQoGShu&#13;&#10;xAZKGqUDsUYIlAUVAqWMewN3GJWQVaZPZfpWZrxKgUJGxUBB455AAaN8IL9RJqBfI0sH9GtkbCA3&#13;&#10;OuQyigWu89xMGs8rXQEXwVnap0XRwHGeuTnK8zWHhQvuBpUDx0TVwClxfyBFVA+cA/o1MgG5bo1M&#13;&#10;CFwQFRnnXua8O3BGlGVeB5QGfhDLPCUDv6FHKrgALvKsz5/CF7iMXlfod1XYQLc+3RXQr5EVA3/z&#13;&#10;vEuMURVfVMdnNfBvjUARUIx2Sc778X+8cXfANlzgA8Vpm5wvgvx2YlSI+Oh0kHxQnITG3vN8LjyK&#13;&#10;Vn+k3yXUtTW4tgBQn0NTwnyWz1Fkd418GT2i3ad8GU7KOCYC9cq4p38FeUc42zlgGd2w9TW4+Ro+&#13;&#10;fY3YdCNeXYhdR2LZjpi2BC+AJrSfDpwXjZE3ClwDuY1G+L5xgPuc+LQJ473AuHJunW+lXPlH+bZl&#13;&#10;Bt8GlcIclc6U7JiW+FVnU3vkXeD/G/C9J/xMDPwBroOCRk/s7E7suwVKG+3hQwvQFDxJuwE5XA/u&#13;&#10;1AncDnKDyzwvc47naU7zbNIx8Rzjyrl1Nkl5ZptknKLx5WWuk1DX1sDOjHy5EOaLfD4hu3z5CD2i&#13;&#10;7ak+wm/DPMQbH5Ersq10UjGS40TbU30U2Mo4Evt49kQi8p7qCjbJPdVVjtndU01Dp1xRPv9Mo07o&#13;&#10;eDMNDk+nfsyCw3Pg8AL4uQysAmtor+P8Bji+iX6bGGsTdWwDdW0dHFlDTqyCJ8vAQjCX9izOT0c+&#13;&#10;jVySc+t4I+WZ/bwEm46E7zMF4YN6ZcyFJYEjXi5UUUKOSi7vC69AvpoYfgt/17EufBc4yfMc5DGy&#13;&#10;BKBe6hq5h9hIrHZ5iMdGifQ9RKT94IaAD9/E4aPSxteBoLGcfFoM5oLpnJuE/8aTV2PJq7Hk1Vj8&#13;&#10;Np66Mol1Y1rgV55rOsKzWUe0eSXlyj810DFjblwL8ycXG+fMuVGdvoVBIaC+46T7P/62lI9NzZAw&#13;&#10;fxKQq1dGv/hCQwxf6AlzTrxEmihdOk0oXWpyQSlQHB3eg8u7OH7LUc0p/26Oei9rWDEg9cpKl5Q4&#13;&#10;/lZ+OO6R4poSlyYqlj7o6VCxdLwh2xKRfFQafQZLfThGyrH/27rUxF7pIwMd3kWXKhy/yKaPTsfH&#13;&#10;xPQ19d/RnY7va8p8j+TD0/G9zFPx75gn4t82j8X3MA/Hv2UeAjI3ygL1UhxA3ZhtyLfFJ9EvSTv2&#13;&#10;YeTH4ocy9mDmGGieju8P+npjB9XAHNXYkhNSruKnau21W7DzWhQ7r6HDlfhk82L8cDM1frR5Mn6s&#13;&#10;+TPQ1YBtyLfFrzBXemhv/hLfXmvvSeSp8R2ZoytzvWFew6dSL13Nk3Jlr8ojtT9qhLMX45QmHL/O&#13;&#10;wBHcdMt5VDYIz0w9R8oG39XaJeXlMqE8bZ1d5YNDvDEboqx6qTjLnC+HvCy4K4wyHCXigT+YZMYG&#13;&#10;k82Swc/ASDBOG6eSwRVmfg+9zDuCEgO09pQK9mOO981AsA/z9TJdbJE26uyR8khxakp8lhKfF3MQ&#13;&#10;p8ZB/g69qY9T4+A8z65E5VCOyqeypjyL/LngHPPF4EyzWXCa2SL4JRgLhtMexvkk5IPMZ4MDzcbg&#13;&#10;cfAo7bqcr428Jv1q0r8m19Xm+rqM8yjjPc64cm6df6Rc+UflbZdgTMxYU29TF+aT9SmSTV2CU8xO&#13;&#10;wdlmu+BCs1VwOTasQpdV5iPgQdr/5nxl5An0S2CshOCntAdz/kPkvemXSP9Erkvk+t6M8yHjDTa7&#13;&#10;0E/OrbNJyjPbJOOUGLaJ5fLGS8VBrh9yPgl1bQ3OFQAqr18K86VVDvgyMMi+xkz3bQJjq5fSQ+5h&#13;&#10;BpITb3tobw4MSqyIqNN/0EXWmjY50GlGkL+LZep1mhF8yxzlob05A51kW/lJ8WYU4/SKMs4o8naG&#13;&#10;hxWMJ9HrxjiZ/f1K2LZ2ObBtBzq1D+vE2xsv5W9cF7MDeySXI621O5HvArvBD+BHsBfoOLg3+F9v&#13;&#10;zIY3ZryZ84U5twf5D2AX2AG2e3jT3IZftwZ7gJ7gHZAIentz1c1iLLk33It8LzVhqwfWPfy6kvcL&#13;&#10;PfTmvcQ7WhtXBrubq4LdzG+Cnc1vg6+aG7FP+kVno5QrDmSOXftw7DrlIHaXg+SCqa9Dl7FRF7s/&#13;&#10;kF+gVp5jfTpLvUxhfUqhXursymsP146Zxx5m3mYnmbnsIeZ1xv6LOaQeujGlXPlK5Yu0T9Uk3t54&#13;&#10;ZeTmZeIv7YvEozTkue13zXx2b7OQ/Z4p7A9M0/7ILGYPNovbH5sl7M/ACDAGTNTqeCY4UTtXSnAq&#13;&#10;Ppxlnmdt+Z11409wBaSB68G5+GM2uszCNzPNPPZ07VwlkEu72tyw+mZ+FOVcccYqas83DXshdi1n&#13;&#10;3FXMtYq5V5mn4fex4GLz5+B880BwOhgLkmkPMo+yRzgF38/hF+k7fUxu1noVkyvBmzGJtE5cYVwJ&#13;&#10;Fc/M3Jecl/uK13PA/Vp29P1fLeKu435t5BlRh3ZdoPNJXTit41sd5LVBLVATPBzG/RyrkBOV7WSz&#13;&#10;EpxLsEcC/f4vwV5hBj30MivaEvr9X2W7H3O8b1a1+5j30/9BbJE+0Nkj5ZHi1D0cp7dyEKeuxCna&#13;&#10;Xqmrnb5XirS+dMFPne3xZifQEbxqTzDbAZ1dbchlXf60RN7C/sJsbn9pvmhPMl+wp4IZYDbtOeZL&#13;&#10;9jxk882X7a/MVqANaEe7A7LO5HBX8rMr1+p0kHYp36r8aYs/Pjf1Nbut/blW9/bIO8ChjqCL/Sl6&#13;&#10;DAMfg6G0B+OnQcgHmu3hS1vQCrSg3QzZS/R5CR6+yDU63Rsg1/G8AWM9QR1tDOeepba+BI/agk7g&#13;&#10;dbj3FrU20e5r9qZPb3TTzdUbf8q5agL1UjW+ICd64/PexKO3vQAsAovNPvYSsNR8D7xvL/PGj1SP&#13;&#10;3ieHXgNyjkQ1AUc1Ryned6OGdmOcbozXjbG7Mk9Xamtn5urIufbI29grzZbU2WagKXiadiNkDehb&#13;&#10;H27Up67XhxMN4evT9mizCTn+AmtlS6CzX8Y7M09egSdq7Ytk1yt2oimhrs1cZ3uE87dXDvK3P3qo&#13;&#10;PUbdLHwn91f94VZ/OJDkoYs53pbobU73MJD3EjO0fBpP3o0nzhPsueZEYv0lmBLGVI4S08KYzlH6&#13;&#10;M5JfphOXiUDGu0oWOst7p6OQfwYnhhG/j4lxEtxKijJukmfnzX1KZn9LP8vPGu/nwN/r8He0zxrr&#13;&#10;7LfMhR7am+tsiX9+1ljIONE+aywkT9d5WMF4EpE/a/QN29YvB7alolO0ewGpxECXp78jvwRPrpJr&#13;&#10;f9nTzDTyLY06m0aO/UXNukptu0T9+51YpYLT4DjtY5w/jPwX+v1C/1+47jDXH2Oc44x3mnHl3Lo8&#13;&#10;lXKVa6qeCyf6+iYc/b0A4UwxCzuzzXzOQjOXs9y8Qm1JBcfAQerOXurQLvJjhz0FjAWf0h7M+Q+R&#13;&#10;96ZfIv3Zc4FcTm/G+ZDxBpvC+RTo7wVIeWabZJyi1R45n4S6NnMufAhP5B5vcA74UgPfRrvHV8OJ&#13;&#10;ssdD/qjTy2zgvG82dvqZTzkDQfraVzaL2oC6MU85K8xaHtLX4YZZ9CvMuVpOslnT+dh82EkyH3IG&#13;&#10;mQ8wdlVQCdyD/ys4n5jl6VPe+RyM8riVkMVY8p5GeebzeehllkPfck5/bf2q4HzAHO+bFZ0+ZmX6&#13;&#10;V8VO6Qsdf6VcxUvxtyo+jhbrqk4i40eO9dBwrJNzEOvR6BGtNox29LVhAvJJzhxzijPTnO5MM2c4&#13;&#10;X4KxYDjtYZxPQj7InEB8RoPhIJn2J5wfinwI/YbQfwjXDeX6TxgnmfGGM66cW+dbKc/s2xW3UBtW&#13;&#10;MJ+u3q2gNiylNiygNsyhNkxxVqHLKnRbZQ6g/QHneyNPpF8iYyWS873h3gfUgAHUgk+I22gwBcyh&#13;&#10;vYDzS5GvoJ+cW2eTlGe2ScYpGl/kfBLq2sy1YUSYL+NywJcz6PGpqd9Hn8FGnW9PE/PT5O9Jh+9y&#13;&#10;4MEx+PALOAD2OkPMH5H/4Hxm7nZGgrHgC9pTOD8N+Wz6zaP/PK6bZx535jLObPMUnDmN/IwzWevb&#13;&#10;a8h1ul1zZphXGPNPZ4F5njifIt7/A3vAdtqbnUXmeuRrnalgHEimPYjz/cwdxHkvuf4LOAHOUh9+&#13;&#10;p1ZcQnaVPtfwiy7u0m8qdqpO/HILcf+FmEuoazPHfXw47pNzEPcKbvS4V3D1ca/gDjPLux+b5dyh&#13;&#10;5l3uIDPkDjSDwA9KukPMEsiLu5+BkWAs+AJM4fw05LPpN4/+87hunlnGnWuW5Vw5dyZjTjMruPq4&#13;&#10;P4BcF/cH3Bnm/YxZ1V1gVnKXM+4qMx7cAQTtQu4iMy/y29ypYBxIpj2I8/1M0+2Nfu+i27vY9a55&#13;&#10;r9vLvM9936yGrDp9HsAvurhLv6nYqbgH8Xe0fA+6icwZOe5TwnGflYO4N0UPtZ+NtO9vir1N3S89&#13;&#10;/0Zas5sSx+fc6WCm+YI7x2yGL1uCV8CrxLEjsk706cw4nd3xnr8irdmdme9dDyvMLq7EAm/uNlms&#13;&#10;8UU51xm5RCd3IVjEXIvNDu4Ss727zGzL9a1BK3el2YJYvwSeBg2RPcY1j6JfPbhRD71kDCP5oJ7n&#13;&#10;g5v7eBXHVrcQx1bEUEJxIHP+zg7HcUEO4jgHPaLt6ebAXZkjkT67SbnE3AyYx3sdt+eR13LMSLyY&#13;&#10;i3wOmA1mhTGT42Qw0U0yx5FnY6kJY6kJY8k7OVcCUC91L0Hu5cYSx8EeepljiMcYV3/fbhz5OYE8&#13;&#10;/cLtw3y9zOlh+3T2SPsjxWlhOE5LcxCn74jTNFO/vn5HvZM+naWcwFH5QfLzO3JsAzm1kTzbTK3c&#13;&#10;7s43d4M94CfaB8BBeH2IPofoewh+H2LMA9S2/eTgD9TKzdTete5EczW5uNIdYy7D/0vcz8EnYJC5&#13;&#10;3P3Q/BrfrcVvm+DuTrAP/I/2Mfc986T7gXkG/6fQX+fPg8h1thyEAwfgwn53MOMPNH9kzJ1gO9gC&#13;&#10;NnNuI/psoM8G1pUNrC8bGXMza8kWuLOT2rofvQ+7I8zj7ijzFOtKijvB/M2dBKaDuei50DzhLjWP&#13;&#10;wJ0D5P4usBGsob2SOrGUOrAYXy7GRzpbZFwUN1T+7yKe0er4Lvwmoa7NnP+ST/Iz3dc54NW6IM8/&#13;&#10;mem8SoAj6qV4I/NnXTCN7+YkzprrPKTd0EnZszDI/z1n6cdZGMxjrfNQ21oYlMhjRbKtPTatw7YO&#13;&#10;HLdyvBM9Cqcrd8vPpPyJTreFdeLtjZeyjWFj/gzeZulq21/Ic9l5rbx2Aaugfbt1u22BUpaMd9kb&#13;&#10;I97MM9SNud2ubV3DvmvBgDd2pBp3LRhrXQ2WtK4ES1iXg0WtP4KmdQ6cASdo/4rsWNAH4kDQmzMh&#13;&#10;izlljI4x3w8e8lhH8evRYBGtXb8GCzFHAetUML+VQv9z2Cl9oeOxlKt4qbifC970caQ1UI4toa7N&#13;&#10;zGP5/dN3BOO1HMT6MZt4WPr6+Jhd1vNJmyx8KPcDj9l3W/XtilYDO8FqZFexnrarWi+A5qCV/S+r&#13;&#10;Nefa25WtDvTpYFcAZa1X7TJWOztktbFd+jhWMzs9Trjlxisj356xS2t1eNwOWHVtn1ULjj1gF7fu&#13;&#10;twXIB66bD9hX+P7oolnPTuU+d4r5PGgFXqXd1f7d/K992exBvx52fm0c2yOXnI/kh3Z2bqst47Sy&#13;&#10;0/i+5RrfJVwznwPPgMb2X3zPkGY+jrw+/eqTG/XJjcftQlZDuzB+K4LfhPWcbWh1eMUuqtWhE7Z3&#13;&#10;s++wuuOHnvjkHXz7jl0OVLJ62NWs1+0aVme7Fn6va70IGoNHadfkfHXk1ehXjfjo+Cz5oDip+Pw8&#13;&#10;PEox03kUic/S7xLq2sx8fhMer4XP73LcxjE7tWs4ekSry8OJQ38PZ83htsQ/67L8viBaXe5v57GG&#13;&#10;e6ht9ad2yXYk2+Q9dVmX++QgVzehU7S6vMnW1+Xvkf8A9/bBvYPU5Z+pyz9Hqcs/Y9t2D/q6vN2O&#13;&#10;tbbZJa2tdglrCzzdaJvWWvA1WE57KbIl5OgSOw7o6/IS5pvqIY+1GL8uJj90681S8mg5Nq0kR1fT&#13;&#10;fy12Sl/oeCzlKl6Kx2sz+DgSj+XYEurazDyW35vIutw/B7FOQw/Fv0h6pGFnGrkt/RJprUyz76FP&#13;&#10;Retv8jrGqWLldqpa+UFhYNIu6lS0ijn3WMWd8qCM568ExlMvVYPlWlncyWOFPNSmr8T92lok5cWd&#13;&#10;6oz/APPU8GA5D1rCeZj5a1mFGCM/yOvUsXKBy3Yd64Jd00q177d+Y+1IYT1JwT4Zw0g+SPF8cDPv&#13;&#10;VBwLcJ9H5Uqkaws4t1kSkeI4IBzHpBzEsSZ63Gvp19eazr2eH2cpp3NUfpe613QqWbWc+6zaxKsu&#13;&#10;cXvMqWY9AZ4Ez4BnOdfU+Zf1HPLnnMoggfa9VhPwDLFt5FTgunLWg85d1r+dO62qjmPd5wStSk4A&#13;&#10;lARFrSpOEWQFrRpOXqsOPmkAngYvEO/mTn7rP04hq61jWK/QX5dTTZFLPkaypYlTAr2KoXNRxjet&#13;&#10;xozZADwKHgF1OVcbWS361HKKgztol+R8KeSx9PVzbZz1klPaehkbWjsuOt1ltYO/7eByO/zQFs61&#13;&#10;ch6ymsGtJk5dqyGoDR6gXZXzleFlRXxVEf/obJFxUdxQvGp4C7xqiN8k1LWZ68PHYV59zjG761wS&#13;&#10;elSNwqskeCFjkQjUS/GqFCeSkQ/HX6Pg1xhsHQtHxuLPsfh3DP4eRayGE4tkYpIEBoIPaX/A+feQ&#13;&#10;96FfH/r34br3uP4DxvmQ8QYyrpxb51spV/5Rvp2DTW4Um+Ywn86mOc7d1kxiOwUOTHRqWiOJexL4&#13;&#10;ACTSfovzryPvRr9ujNXN8dEuxvnCyPPRLzf9c3Ndbq7PxziFGa+YNYd+cm6dTVKe2SYZp2h1KAmu&#13;&#10;SKhrM/NleJgvY3PAl83oEW1ftNlJM5d7OMv9d4l/7ouWM45alxIUqTgqXsl1Yjk1Y7OH2tZyck62&#13;&#10;I9kmvzuR+6IJHLP7efVcBh8Hs9CJ4WPO4V/JmypZyOVzFBeRX0LPq9S/NOrddWphLrewF++ELK6R&#13;&#10;duZyU03LQ20rtyuhXw+vs/alsfZdZe27xHr3O0gFJ8ERzh1indxH/uwhl/Y4IeCjXZTzhZHnox+f&#13;&#10;B4GOg1KufK3y6iL+iVYrLpKPury6jPwv8uZvcjzGvRfflAMhEKBdEllx6wq6XnIs6yJIBSnkzSnq&#13;&#10;9wnsOE69Pk5+HKdWnGBNOsU4KYyXyrhybp1NUq5sypwbE8P8mZoFf8oSo8IyTuAuUCr8noPkqzzc&#13;&#10;+Iwh+xQDsn9u8AAoAJQPd9gxMY2K6D/f7LAbFWldppH3f2NH4tk7yJPKNC0yoUy7IvPL9CiyrMxg&#13;&#10;MEn7f4YvK1PN+01opDGXlWlszC/T2phQpruRVKaf8U6ZIUZroPPpDnuIfkzkk+x+RrLd3ehrtzbe&#13;&#10;thuDatox37YnaW1/2x5cpK/do0iy3a7IJLtpkWX4S/pMr2ejiP/ft/yc2JrAFcwTEzOeY8bPi+o3&#13;&#10;lYhunP//ceX/lf5/OK41iZXM0beIa3PiaRC8yRniKn+fqstpLvVeigdcqs3pmS5rs0jP6SfTL/X+&#13;&#10;VWsZ6R4z071NrPRwpzjI8QLY4d4pLrpNxM9gnVsJeXXQRMz0cFvE37cuwa43UWo1x14Z7GKaPreq&#13;&#10;81V0viesc9DTNv0fpbO0+ap7j/d764ZZyGV9u+qWFn+7xUS+0O2icCiPKBHKJeLBPaBaKJ94KGSI&#13;&#10;WqHiok4oVtQNldb+5rky8ucZMzGLuWQsK4V8IiFUUtwbKiEqhIqKMiFTBIEPlKBtIROhAHqEwD2g&#13;&#10;Ku0HOV8beT361ad/fa6rz/WPMk4dxqslKtGncuh+rW51kEvdIvmhNnM8FHpc/DvUmLGaiPKh55nr&#13;&#10;eVEc3B56VuQJNRRp7iPiKvGVPtXVKSlXa5RaM+JDTB6OlXyrXipWsh7RB9/H3Li2BucKAPVbtG/g&#13;&#10;yn8J6gaO8u+PK57Q5ZY505DJm0ThTEPs18WxIT56Al81Dj0ing7VFM+FqouWoSqiXaii6BSqILqE&#13;&#10;yonXQneKN0I2iAM+8Tqx7QaPuhDnjiFLtAetQctQMdECWXP41YzYNwsFtb5tiFzq1gaol/JhUU48&#13;&#10;wVyNmOdJOPVsqADj5UGvPMydR7wJnxPh+Xtwum/oDlAahGiXE71C94p3QpVED+x4PfRvrQ6d4JvU&#13;&#10;oYpSgKPSQe4f24ceFm3hUxv4+Z9QXdEK7raEr5IzZbO4hnDG9EXeF79L3yvuZI7/RjrKmrGdY3Zr&#13;&#10;xno7JmZAOP5PZqGLrHPr7QFih4f54jLHAs4A8as9QxR0Doqr9kFxyP4K+WpwUKz3MCCizvLZ2g/Q&#13;&#10;WT4z6f2en/ELp897y5z1O6zpUXLH74wXfmeDNsf9zmb6bBMB53tR2tktbOcHUQbcAyo7O8W/nC2i&#13;&#10;qrNRVHPWglVevBLSdfX+VTHOS6sa89XycJC+Eru1c1d1fhRVnL3M85OoSP/yziERAgFwh7NfFENu&#13;&#10;ObuEiX4mOkiuRKoTpmfr+Bs+VzWmHH4aF8VP5ZxxQiISx4YQpw+J17AcxKsDevwYpcZ0wF5djemK&#13;&#10;/A18+iax6klc3nbWg1VgKVgoejjzkc0QrzlTRQfQGrSg3YzzLzqLwHLwDVgHNnJ+K/Jd9PuR/j9q&#13;&#10;81vKlX+Ub5/EpglhmyLl8JPOBOaSmKa1rZkzGV2+FC2diaINsWxPPDqBN0BPzvVypoj3nZmin7MA&#13;&#10;rASbxHv44h1nHzYfxOafRUfQDrSGPy2dA4y3Hxv3MXe6bZF0fNG5KJ70MOGGjZnrjHzmVXJgJMck&#13;&#10;jtlZZ5Lx1+dROJDsfK7NmWRnmPjUSRKfOUPECGegGON8JL4Ek8KYzHFKGFM56tbkqc4n2rmmIJ+c&#13;&#10;AZN4LzERjEePcc6n4DMx1hkJJnhz1c2iNsjfjkxFPhUOjPVwUCQTs2TeD/IwgfcSn0f0v/S7rJlj&#13;&#10;cpCD82/B//Oj+H8+dn+F/xfg/8X4fzk+XgO+DWMtx3VhrOeo8/96/CjzvWEWPpPrwTrka8P4lqPC&#13;&#10;at6vQo+V+H8l/l+B/1dE8f965Ovx9QoPB8V8/D+f9zw/DSbwXiKy/6Xfpf/ls53ZXbNO4n9Vi4NZ&#13;&#10;2MzwMSfJd51PUpCfoz5cpCZcpl5coy6kOdPFdWeWyOXOBQtFbncxWAHWaP2/x1mjnWsPa+c+auR+&#13;&#10;6u0has1h6sgJkALO0b7o7BB/ONvFJWrxJeqRLta53E3eXIlZ2F2Kc7ncLSLG3YYdO7Bnt/iLOa6y&#13;&#10;Nl6ihv1OrM5S01LAKerbcfA/sI8at9vZI7ZzzRbm3+KsBotoz+b8VOQT6TdOSJ/qdJPyzLX9MrFa&#13;&#10;FqVWXXaWaf13iTXpT9aeP5w54gIx+g2dToAj4GfaB4jZPmeu2Eu/PYyl01HOlVnHExn4FGlfcALb&#13;&#10;JNS1meu6vK8q67p8dnUIx+zUdcO9uReLtMYY7nhRysMMrc9i3WnC704Wpd0vhO1OEHe67E0yoDzv&#13;&#10;JSqAu4HOZ3e707VzSXkFUD6MchwlQiDozhBx7hzhc+eLWHcRSI9PJPti3YPC8HBzD5bZ1/IepPT1&#13;&#10;DI7ZrSE98XX/KLzs6fb37I70WaQv8sHuQPGJmySGu5+JUS7//yL+1vnyY+SyLkXK3yR3LGOOEAMY&#13;&#10;r587TPRxPxE9wWugg5ss2rojRUvi34L4tnAXgFW013N+i3jV3Sm6uT/Q/wfxHuhPe7C7WQx1N4iP&#13;&#10;3bXomb7vDmZRO2TNHINc6tYmC3lRzo12vxMjqC3D3N1ikLtf9HV/Fj1AF/CKe0C87P4onkP+jPst&#13;&#10;+ApMFk3xSTP3U9HaHSQ64y/pU51/pFzlmNofvpUhVpHy8y2uk1DXZubMHLjSFyMXc8xufq5Bj2jr&#13;&#10;zhpySfqwYRY+LMy59cg3Eb9t7kSx0/1S/OhOEXvJk5/cWWI/684B1p0DrDsHWXcORll35iLXzTWP&#13;&#10;uM93t4qF7vdiCTFbQXy+Ad+BzbS3uTvE9+527rNtQRf9unMgyrqznzH2E/t9jLmXsX9kjt3uXsbe&#13;&#10;L7aSzxvdQ2I9WAtXvgFLwVdwZpa7R0zlmsmMP9ldDRbRni1mu1ORTxTL8Jf0qY4zUq7irjizk1hF&#13;&#10;W3d2Uot0/ttJLHZQt7ZTv7YSow3o9A1YCZbSXkTMviJm8+g3L1zXglnEXeaWnCuzjt9k4FMkXn+D&#13;&#10;bRLq2sy8lvc6ZS1cyTG7vD6JHuq+RUIW+svP5CfdAdyTlTgoTnqIfF/ia3SRezx5/zW79Tk3Domm&#13;&#10;U+7QAO5jShwUuT1E1kne35M6rcmBTk3QKdpn7yYh/WfvF5A3D+3mntX33KPbwr0sandoFVjKPa2F&#13;&#10;nJuPjM/aoamiCWgE6tOux/lHQou4T7wcfAPW0d7I+a3Id9HvR/rrP3tLueKRypPq2BTts3f10ATm&#13;&#10;k9B/9q4XmiweC30pGoQmos947l+O4/7lOO5BjsOuidyXnCI6h2aKrqEFYCXYxD3N3di+j/t4B7H5&#13;&#10;Z9EUPAUahQ6Jx0MHsG2/eBR53bBtZbPgJyGNqRu6KKr/H9rOA0qKavv6I3GArltdt0FQoKvB6WaQ&#13;&#10;jIj6VAT16V/F+EyIIAoIIhIFA0MWREwDSI7DAEOYRBZQ4YkoImIgKAgqiKAEAYEZony/W3TBrHld&#13;&#10;t33M+3qtvWqqTtW95+yzz7nV1d3gwPu996ecqGplPdtLfe/dB77c52VevvQh9iEO9PdoQ+FzGJy9&#13;&#10;mTRdvAO/I+BpNBhTAGP5exwYD3Q9cHyS/h5tHHaFsVGMYTsapIK30NfwpGzxOhobisaGJunv0YaS&#13;&#10;qz4OvO/Rvoxy/TXbS+0By/5GvS1DF6qHp8TQRSWOrcK+Bo19lvSlWEe9fJG0GnwIlrK/QKxNysE+&#13;&#10;R6yizpaDhSCH/Uz4mIN9NnU5O2klWMP+Oo5/hX0j520Wam5dTpS9cL0tJ6Z49xDLybUupo+xr0Uv&#13;&#10;X6KdjdTTZvzcTD1tTvqU/Q1iQ9ImYvtBfEwdvQ9ywVz2Z+LPtKSvxWR4mExMk8n1tKQsjmdgTxPz&#13;&#10;GVfNrYtJ2QvHpPLkxsSfF17uM91iHFnGdQrutYXXsW+ietnC9lLXsV1MHm/N2MV6ccDBdrELDat9&#13;&#10;L5++xxe1ZmwtgoZP45PbX+tfYObiZxpqbT1NLkuGFbaL0/ik9l2f3D6txokX22liKRlWGM0YCt6x&#13;&#10;bYvG9kMRYqvIm9x4zyErhvXPISuGR4pK4XfFFeG3RZXwcBEKDxM1QHIUNdleHUUttjpt1grrn4Nd&#13;&#10;jV2hZhTJbBXC4Cr8qB5+D4wW1cLjgf45ZC3stcKzOU9hu6joYLYw2TexVXTg/Rxse5T/n4rA/33w&#13;&#10;79ZdKIa2kG7CfWH9+5GHsD8aniqeCKeJ1uF08XR4lmgbniPahzNFh3AOWCQ6hpeAFUD/HOwm7Kpv&#13;&#10;NY/hi49jN4U/E03C60XT8FfitvBGcWd4s7gXPAQeZf+J8NeiZXiDaBX+Aujfj3TAruuRHRjj2fCX&#13;&#10;xPE18WwUzzBHm/B3jLtNtCBXD4d3MO8OcX/4R9Ec/BM0Cf8gbghvEY24pgHjNwivBIvZz+J4BvY0&#13;&#10;zpsiFKc6HSp74fptTa6WxXne0Dqsfz/Silw8GZ4PR9nicXL0MD7dC/4P/JP9ZuSsCTm7mfNuYiyd&#13;&#10;j2quwj7eW0BPtJsLr4J9/F5iU3CvLdzHf0bP6h5rD9tL7eO98CPePVYvNNvfgf4eqz/1ODA8U7wW&#13;&#10;ni5epybfxPd3CyCVvxVGgJFAx9lIONbpW9lHRJHKVuFdMBwMDc8Vg8nbAPLXH031j+Yn+QLLF9cE&#13;&#10;qEvoj0Z7OfC+x9ob5Xof20u9x0qHa/f/bwjF8EX1kHRqVhd3OvU8I/yNmEWdzQ5vEvOotWwwHyxm&#13;&#10;/32Of0hNraImV4XXaDleFT7/DKpRDF/U5/8rwx8x1kfiA2pzeXgVY68SS4Aub7nRvuQ1Zib2OeGP&#13;&#10;RUZ4NXGsEenhtWC9dkxld2vAXaNXwOXSODW+IrzU4bJdjPjUM7aPsK+k366ihleFF4p/hxeAXJDF&#13;&#10;8bnEPoe4M8RSsABkgTloPCM8D/4zxUzqfybX6PiYiF2Xz4nMM4WaSadmMqixTOpiIVgOVrL/CcfX&#13;&#10;Yl+HL+uYTzfXOnShm2td+FvxBfr4Ap0orEczG6L4iq3C11F8g1031zfUi5rrvRjcBjn2NfYN9Pwv&#13;&#10;o1jPdh34DHyCbXV4q/g4/D1cbwGbiHULOtuKxn4QizgnlzViHpgF0jh/CrYJ+DaOGMehh3HhT9n/&#13;&#10;WExGm2nhD8jDcs7X92Glh8I6Wvg3+rDKh4J7beE+vD/aG46wvdQ+vAM/3o3q+foYnPI9wYQd3Lvt&#13;&#10;dTBVHEEbR9DiXgdfafO+F85+I/e/k/t9cL0fHAR/RHGIrcJhcATo8n4kmnev+47D2P8AB8EBsJ9c&#13;&#10;/g52g53k9mfy+CP3BjvwZQd9Ss1VP0a8JZ14Z4vNxLeZWHc4eNczB4p79f7hWBH6c/lI/Hu88hH9&#13;&#10;PV4l7FUiU0UokiaSIukiOTJLXB2ZI2pHMkWdSI6oG1kEloh6kRVAf49XDLuunotHPhMlIutF6chX&#13;&#10;okxkoxCRzSIArgBV2Q9FvhbVIxvEVZEv8EV/j1cXu5orJUYuKnGsDmPUiXwpajHm1YydzByRyHeM&#13;&#10;vU3Yke2icmSHqAQuj/woJCgHSkZ+EOeo61Pk+QT3eCeo1RPhxexniYRIBvY04YMvxalOc8ru1p7b&#13;&#10;/5PIVbx7vKSI/h4viVxcFZkvqkWyiWGOuBKfAsAE5dhPJGclyVlxzivOWDof1VyFfQwU0FNSDF7V&#13;&#10;e/UAsSm41xbuLcejveVUEXpLM/z4PM5a2Syaf6+1shk6uxWd3U7+74hsEveQ/wfBI+Bx0BJNtI58&#13;&#10;I57inKfQylOM1xp9PhlZI54Aj0U+Ef+KrNZyeE9U714+3BFZiQ8fiaaRD8SNkeXiBuroBvJ3Q2Qe&#13;&#10;+xniFurttsg0cRd8PgBagKfQWFtq8Fny2SGSBeZrfWiFXdWBlw+t0MqT6KIlc7aIzCb+DHE/uAf8&#13;&#10;H7iDeW6PzMWPTJADeJYcWSjujCzGryWct1TcB3RaejiqWy8fnqR3PA0HbeGiA5w9B7/PRdaBr9nf&#13;&#10;xPHviXs7/v0IDz8y94+iGfs3c/wf2K8nR9fF6QdKD64m3Zp74G/oWfGu4F5bWM+no3pOKPGfa6X7&#13;&#10;+wb13SOWQ8/freysyr/XFNVzEue5r4LvnXZWfUHcXO2F//h/ogTz92CdGMo2la07j/oevvu3ug8P&#13;&#10;AB9QNXojSAQuD12rXZy/Ecfdlzt/KQ50Ze7a1VivnG1zofYVvHjphT99mTiFrVrHXF8Y6oJf/799&#13;&#10;acpkqtc/iw9d8OFNtgX/z6r/hqOb+f+TWhr63yHcbLc07nPQ1+jCdghoa/c1htpZRjfwmP0G9pEg&#13;&#10;y7jZQUvP3800w9d2+HwX2xc8+OOwNq9v4/OQqM8hznVfbl7V9W/bQ5zfAzV3jWxdu9LL23ZvI9V+&#13;&#10;3hhntzWm2q2MDLuFsQCsAuvs1sbXdgdjk93Z2GJ3B721vxNag131opQYc6k8fWL3MD62uxr/tl8w&#13;&#10;PrQ7GcvsjsZCkAky2J+BbZrdy5hip4Ah4B32R3N8gjHbnmpk2Wmcn8Z1aVw/FR8nMt544xN7jLHG&#13;&#10;HqH1bQt25ZsXD5uY4xt7OjFnMF6W8YGdy1y5+JWLH5nGWHsGPE023ia/ilNdP1R2t27cGpxPrh6P&#13;&#10;5sqrB8y3HzcU3Gtvwt9E0AQo/u6OaubBImhmUJBnynE0Myh4WvsbskHBfGNg8JjRP/inkRI8bLwS&#13;&#10;PGT0AoqTZOC+XJ3hbkJ77O2DiaIXUHnw6kOvYE8Jlhb9gyXFwGBxgb/gtJZvZXc5c/ke9TfiHBUn&#13;&#10;zlH4MCLoE28F/eL1YHkxIHi5eAmoOOsD9+XGWZID7bG3DzYSDzvYabwc3KnlcgD214O/GG8F9xoj&#13;&#10;ggeMUXCq/NLpS9ndeAtrpCZkq/WiHts+l9hXVsHd8TgaWRU8ro1L2f9dAB/zt4Iuro+DpbTvH/5N&#13;&#10;PlZFsZLtR1EsZbsQzcwnVzlBASSoqM1TDvmZ6iDfyEbP2cHLtLqcHzxrLAyeMhYFTxpLg3nGCmJR&#13;&#10;MeriUXavPDUgPy+Sn0ZFyNNe8pQs9P+uxd5gshOXV08+gP1QsIb4M3iVOBYMibxgZVABmOyX5Xhp&#13;&#10;7CXEgWAxsRfsAj+xv53j27Bv5bytnL+V67Zx/XbG+YnxdjGumlvHj7K7/Lh1W5o+WSFOTKXtCtqY&#13;&#10;SttBUcKOiHPB2uJU8BpiaIwvjcUOsJn9rzn+RTAi1gaDoALwsV+S438Zm4MnjB3kbS/4E5xi/xzH&#13;&#10;S9glRWnbBypoY1L2wjGpPLn15NX71XwK7rWF6/raqF5uKoJeqsNtoyi39d3mxbZg/6puNxLSwU6j&#13;&#10;uq3Q6EI8hX26GV9Ur2lSBJ9uxadDxnkNe/l0q33IaOjgZ+NWW+HQBZ5c3TRknPw44zS087lWoZFo&#13;&#10;6CD/wjiFY2saje3WIsT2HD79HPUpFINvqEt4jnh062En7M9H0ZntC6Ar0NVVV/sPZ8zmMeb0cayL&#13;&#10;fdDoDDqBjqAD5z8Lp+3tw+AI+BMcBcdBvjPX7THGUu97umLvahcT7R00Eo/A6yP83dxBvvEw9ocZ&#13;&#10;Sxfjw/jwqP2b8bi9x3jC3mW0IT7Fiy5GZfeqlduiubujCLlLJXfF4vShVGLUxfU29uF2cTHMLiWG&#13;&#10;2oliiF1OvGab2v4xGbtuzMmMMZGxxtOPxjL2e8yh/NBxpewuV269qPjcnhSKkVulzVTyr3zx0tEY&#13;&#10;7BPsPO6PTxjT7VPGLPss9+mXiXl2CZFplxFZtgH8ItsuD67U+vgadt1cr9khOEwSb9g1xFt2snjH&#13;&#10;rilGgNFgLPvj6fcT7bCYxDmT7OraubKwq7naxYhbfc6SyThzGTfDriOm29eICXZj5mrM3I3FIPZT&#13;&#10;7LqiN/YX7WrgclCO/eIcP2sMhIth8KK40+fkYq93czKyQE681omRjKvg5rNw37oTzav7inuLoP1t&#13;&#10;BfwIxeBIaWMbPuh0quwufuBvhe1Ax8l26kSngR/Q/DawFXwfxXdsvwHr7dJiHevz57YQa20J9Pd/&#13;&#10;a+lT7zvINz6jR32GbnXxrCO369H4Bvsk7xPzjM3R+HTxqPi98nRfNE8PFSFPpUnO5XF6VOnQ5dq4&#13;&#10;SoUqipKgRKiSKA4uAwmhK7T1c8a+Qls/J6nlPLuyOA7+tKuKI7YNqoMw+zXEUer1OPWTb18tToIz&#13;&#10;4Bz7xUI18CUsSoeqgSpaH1RcLrdu/ZxFt2YcPs5G+6tX7SeEBH4I+DBEqRD3e6FyoAwoxX4JjheH&#13;&#10;J1YGcJa+ehLkUfvH0eAx9HuU3vynXVbr+y/YdTr/hbF+RY970dwB+slRdHQWlAgdN8qG8gwzdNIo&#13;&#10;HzpjVAxdJiqGErVzVQwlOXM1jVHHZThWMRRhjJqgFqgD6olKofoOrgg1EFcCpXGvfnRlqJEoA1Q8&#13;&#10;KTHmqMSxxNA1IpFxEhk3kfETQ3Xhsw65rgeXDeDyGjRwrThBfz0GDoF91OYeu4H4hV67E23stK8C&#13;&#10;VcRu6nqfHRAHbQue/VyjX09Vvgvr5K8C/c0rrr/gW8G9tnCfVXWr+uzjRahfO3Tx3z65PQZ36v7K&#13;&#10;Rm92KN+o4WCPcV1IId9o5qC4uA77daGrtHq6jpq6ntq6PpQsbgA3gibgliiaslVoFoUu383I9T9C&#13;&#10;1zrzNYrhs3qW3BB7Hc67mtwmk+Maodrg/HtBL75rOHF6/7stLeC5J3w/WQS+24Xi39O1o65160Ab&#13;&#10;7K3wtSX9oAW19zj94bGQXoPdsOvG7MYYXRirc6ik6MTYHZhD+aFbW5Td1abb/1R88e7p2tFDlC/N&#13;&#10;gfty3//5OPAc9hfoMd1DJ4xeoVPGK6GzRgp9ph+9rz99cAB9cWDID8oD/T3dY9h1cz0WCsFhEnzW&#13;&#10;EE+hj6fpQ+1BR/A8+y/Qm7qg3a6c0y2kv6cbgF3N1c4Niq0bl7qn6884/Rj3VfpOL/pNl1BjOG4s&#13;&#10;ngSPsv8APelu7Hey9tzJ2nInObmLXNxP/A/DRUt4Udzpc3KxX7g5aR+6mBMv7bdnXAU3n4V7Tato&#13;&#10;r2lbBO2Pw49QnLVxHPlQHGYC9+VyqHwfR58ZD48TyMsk8jMNvmaC2WAeyOJYDrnMwZ5DznLISQ58&#13;&#10;ZjFuZsgWs0JVxeRQZTGG+4sR3HO8g4beDEkxnPV2ONoajsbeCp0zUkOnjdH0t4lwkg7mgflocgnr&#13;&#10;3nLWvQ/R/kecr8tFNnZdLNmh0vhVCr9KiLmMl4HG08E0MJn9SeR+ArYJ1OQEzptAfU4IleV4Wezl&#13;&#10;OJf3NtT1Qmrh/VBArEAzHxHXKmJcRcyr4OFD+t4y1rxF9MIsdDYDTACj2H+X48OxD+O8YaoO4Dfk&#13;&#10;ks7W5V3da6u8uNpwdTWDk91a99LVDHhTcK8trKt2UV110ugq1md4z9Aozka15DX3M76zYpX/7H98&#13;&#10;nnkjAQ0EG8BUECY+hkv4bz6rO+q/OH8jrnVfLmdqDTrK3Ll+21Q+8D+DCLWv4MXFh/iivif5CSj4&#13;&#10;GSJDaT/P/F/60pTJKoFsfFCfrW4E00EsjmLlZToXx8vL9EpnxXL5n3nZzTwqL9MY+FLzMoxG687v&#13;&#10;lZdhzP2F3O748IW0TbWv4JWXP/BJ5eU4+G/y8r/0xc3LT/ig8lICjv6bvHTxo/Hy559xJpNf9+Xq&#13;&#10;lfJL6OL3le/ibx6Y4GsecOu0KceVHpox5zGwBkSYO5YeMGk/K+5IkTUPnPfBKzcdmXuer5bjwzxf&#13;&#10;l4DaV/DKzT1Meg48BEoV8AtXtDXzv/SlKZMpjm7Ch8PgaVChgC//TV9ZaPAbTus8Rw8wpvty84Q5&#13;&#10;YaGx2frEQb61m+0p8L2Rb50xkuUesN4oIT8xfCBZLnSw2fPfTVWf+28H6t+WU/Xn5pVpLvDHYW1e&#13;&#10;y9OH91vnfU5yHWbr+gwVCeXFfqu8MOXj/N08xjmq/5YXAVlBXA4qyoriSnmlqCKDIAnUYL+mqCCv&#13;&#10;5pxawg98Uq1X9WOMVZJjtZjvRgfJsrZQsJ2528U4Xzrn24wZYvxqoDpzXSWTQUSE5VWihqzGGLao&#13;&#10;KauAK4AflBURWYpxS+JfCfwuQXzKJy8OSjgc7L+QC3cdteHv9zj82eJ3S8GrDnqTpB9BCrjUPPbC&#13;&#10;jzKQobsP6CXKODymxOBR1UAvUUK+KBJkD3HW6ipOWp1FvtUBPA1aiVNWS3HOekIUky1EKVAOSNmS&#13;&#10;fD9Ffp8WlWU7uOwAOoOuHOuO7UVy3gtu1dzxfHP5cbntXIDbUAyfoSuhM7wqXXppoyf2V8QBq584&#13;&#10;Yg0WedYQ8RdIlEPwazA+90Mzr6CRnmjiefAseAa9PIU+Wokk+SQ6egJt6fT6hGgq73aw32qBTlqI&#13;&#10;Y9p/p7olvrQSh6ynxEGrLed3wEcVh44fZXf5uYl4E0EToPKm1hSln8FgL7iUPpAB15ssvX4yxCZt&#13;&#10;XLOxzwFzwTyQCbKBLq5ssdMZ06uvZGGfB+aADDBT7AK/WDPEbitd/Ar2gL3gdwD38HE7cF9uH1PP&#13;&#10;QrKxZ6OBdAfJ8j3y/B5/v+lgvzUK+yjGUnpq5A7A1h1D3ReOwof3xHZrrNhmjRdbrKnEp3jRxajs&#13;&#10;Xrl7jXypHj4MXGrtb/gbuduAD7q4vsL+Nfgmim/ZbgK6uDbBhRrTK3f8a1TWt+Ar8CVYT+6+IHfr&#13;&#10;yN06creO3K2D73Xkbl2c3PEtfvzJ4zyFZLncQZ41n/352JY70OduOT7wL59YH5K7leRuDfEpXnQx&#13;&#10;KrtX7lTOVO7eKkLu8shdnqWvuzxi1OXuT+yH6NEH6dH7xRlrH336d1Fc22+LmcWdtcBL58XMc9Zl&#13;&#10;5hnrL9aBM4x9kjmUHzqulN3lyu3hKj53fQyhFffl1hTUJeSRf52OTmM/J/ZZxc0DVqL5h1XOPGIJ&#13;&#10;87jlN09Y0jwLLpMBswRIBEIb9+9COHF7afZ3UV7uF5XkIdavI6xjR0VVmQ9OgbPsn+N4gnmFvMys&#13;&#10;JIuZl2vnkthVXF5rk2Qcv1lV+sxqsrRZg3GvlnniavkH+I01aRf3MtuZdyv3TltFWXDO+oFc7GT9&#13;&#10;2MOadhBeFHf6nFxcN9yc5BfISZKbELZuTtQ9Xz7jKrj5LLzmKM2rNWckuNS+dYsZXxu3mOe14aVT&#13;&#10;ZVdoWgDN+FvHSTPzlFZvTc2TjHnSagJujuImto1BQ/O0Vc9MkHXNYqAUKKu9N6hrJsuqDvZbdUyF&#13;&#10;49paroe2G6Dxa8yDzLfP+kc0Pl08Kn6vPKn3vCpPY4uQp47k6Zyl71Ed6Re6Gu5IXJ3NX60XzR+t&#13;&#10;V83vrMHmRuttMBHMNL+3Ms2dVo65x5oPRws4VxfvNOxqrpQY2q3EsalwNwXuJpm/WePN3dZ75i7r&#13;&#10;HTAMDMaH/thSzEP4kQfOgTIyxfTL/mZ5OZiaHGZWlu+A98B49ieZFeQUMyCncs408/x7l1CMuaE4&#13;&#10;YT52HQ+5jJVpVpGzzOqMVUOOo+bfAYPAK2ZE9jBt+bxZUXZkHMWpjgdld/Pu1vbb5OrbaK68avtt&#13;&#10;81u4//bCtYVreyKB/ADSwaXW9hb8iLeubYF/xZVXbX+L/Ssz3/qSev2CtWgd8X7OuqXjZFecdW0X&#13;&#10;Y/zMWD9Sy9sZeytzKD90Yyp7YZ5VfPHWtS3UpU4LP2D/CS3+wrq2l5rfj64P0h8Os64dYV37k3Xt&#13;&#10;KOvaUda1o3HWtc+x6+b6HG1/wZr1lXml/Ab9bWTd+Q5sA9vZ/4njP6P1nZyzK8669mecde0I4xxm&#13;&#10;3AOsa3vR+M9oewvYANay/zHa/wD7MmphGf1zGTlZQS7+TfyfwsWX8KK40+fkYs9ztf9dgZx4af87&#13;&#10;xlVw81lY+0rzql/OKYL2hZ/v1Ubfi9dH3+7LXV/VMw7hT5Z/sS78ZW62hF8hWXr5NA9f1H1mZhF8&#13;&#10;quuP71NdfAg62GzVxSe17+VTdtSn3CL4NM/H9//iPLOY5+vq6NqrR+RgX+DrJhf7esj3fT3lcl9v&#13;&#10;+YHvFe2a/IGvpVzvIFt+6FOYpb1PW+6bw9iZzJHFXDky25cr54J0MJlj43wZcpQvTab6JoAR4HX2&#13;&#10;+3H8ZTkJv9LxUcWh07Oyu1y7es6Gn+lx+Mn2TXd8T3FFxtbVWSX+Xoh9Cb4t802WK/DvA98YkAre&#13;&#10;gKvBcqlvgFyErwt8fWUOmAtm+frLGdim+4bKNN+bIBWMZn8CxyfLDMaby7hqbl1Myu7GVLjO7kc3&#13;&#10;+8Aj4E9wKc8sjsJPShx+jvpStPo5hP0A8e+Dh998g+Re3xC5B250cZ3Drlu3zjHGX4x1mjFPwmce&#13;&#10;cyg/dGMqu8uVm38VX7z6OIpudH3/BPYz1MdlRg9Z0nhRJhovyXJGH2kY/aVpDAbDpN94E7wL3tP6&#13;&#10;uMf3nnauPejjN98U+EyTf5D7I750eQzkg1Psn/FNk2d9U+Fmijznm6SdyzQmOXO1i6FrUp5gGtOI&#13;&#10;IV2WMTJkCSOLcXPhOJe5c+Wv1PRP1OxW3wy5xTcRpIIh7PeVP1KTv1CT++BFcafPyX/W5LECOfFa&#13;&#10;Y44xroKbz8LafxS9HwBPFkH75Q2e+0W1f3sMjtTzrvJGX1ne6C6rOmgj6xgK3eV1Dvryt8JkbU7r&#13;&#10;wHMdI03WNaY7qA/njaK4lq1C4yiuY6v49OLlOiNH1gO62knGXt3IliFjngwac/B9FjjfZ7zGrerE&#13;&#10;2deT71bwrHpNmyLw3QK+4/WaFoa+1zyC/V9GP/mgMUDebwyS9xpDgL7XPItdx1d7xmjHWM8w5lPw&#13;&#10;0Io5lB86XSu7q02316j44vWaFoa+17TG3tboJjvQa56n13Sh13Sn1/Sk1/Si1/Sm1/Sm1/Sm1/SO&#13;&#10;02uaY9f1tXuNCfI+Y4p8CG0+jD4eQ3tPgFagDfvPoFt+kQo3U2R7eomOj15xek0vxurJuN3oNZ3o&#13;&#10;NW2NXObKZe5ceQ9a/Sc6vcWYIW8yJoJUMIT9vvJ242V5N1w8CC+KO50Pyl44J08UyImX9p/gOgX3&#13;&#10;2sK9Rn2eqXpNhyJofxZ+vB5nnZ1lvO7kKyVGL6rEsZnGa3ImOk03Bsrp1MBU+JkIxoCRaDcVzt5F&#13;&#10;H+8Yb4FUMJr9cRyfiH2aHA3/E8EUkEZ+0zk2g9zOxD6T83TcLsGutOTl22J64CJ0NJ9ek0l+Z5DX&#13;&#10;CSAVvMH+EPI+gDn7obl+xggwlP1+HH9ZDie/I+B/ApgOZtNbs4xecgG2xZyzBF50vine3Ny5tTjx&#13;&#10;b+R9InMpuNcWznvHaN67FCHvK/Aj3hqzgvytIObVDtrIjawxG/l7h4O+/K2gX2M2ksuN8L8JjjeD&#13;&#10;78jxtih+YKuwHeyIQvHpVQ87WD+2xFljNmD/nLr9lDXmE2p3NXlfzby6cVc7cXqvMYpntcb0KALf&#13;&#10;x+B7Qpw6O4YGlZYzgfty7/cVJ8fg+jh9Lw8+T8DXGfrSZWIGn2/PkKUF90tiOp99p8lyYhqYAiaB&#13;&#10;iRyfIPlVkCwmxnLdaHnEGCUPovV99Oq91OSvrEO/UsO/ounfjFfkATR+hBzz6y15DpQSXaUhuksp&#13;&#10;XpT8ypnP2VP4DsBgrfbLYtfFUlYMxK8B+NWf8VNkcdGHufoQUx95kjXsBDnJw5/jrC/H6SvHWWPy&#13;&#10;8PEEveQkNXqO2koUb0hTvCnLi7f5XkIqPo3iewBjwUQwHT8z+M7CXL4TkM1cuTIB5FH3h9DHfmMu&#13;&#10;38mYJXfD5W5419Wxyotbi24dJ/Cc3V1TvfSaAG8K7rWF67gnelL9++Ui6KoNfsS7d2kDvyoXjVxR&#13;&#10;sXV1pT73fBJ7C9FPPkY+HhGD5MNiiPwX3Oo46YxdN2ZnxujEWB0Z81nRV7ZlDuWHbkxld7lyeVbx&#13;&#10;uTyHYvgPdQlt4Fj50jyG3cex9tifE93kC6IH31t4ke8rvCRfQm+vor0+6DSFb5mloKO+4l2gf5/0&#13;&#10;L+y6uf5FrT1C7T1OHbZEg62oyzagHXiW/Y7UZicxle8jTAH6e5cU7GqudjHiUu+T+jDWK4zbG513&#13;&#10;F1mMm8tcucydKx9E8/eIOfIOesNt1MNt1Mdt5OSf5OIe8bJ8AC4egxfFnT4nF/Xr5uTpAjnx0v7T&#13;&#10;jKvg5rOw9lOi2h9UBO3PKeBHKAZHShtz8EGn01zsi+lty9DFh/CyEn5WwpPiJDnGmOr7eCvhNtvB&#13;&#10;+Rrw0l22GMp5g2UWvS6T+prD2DPAVDAR7Y0Xr8lxnDOWWhpLD1Nz1o8xp3qmOJb5hjnozrkKr2rj&#13;&#10;Go/GJxLTZNFTTuP8GcSpuNDlWtndfLm5Ti/AsVeu07lOwb22cK7V9yBUn3ujCLk+ih/do+unGt99&#13;&#10;uX0skQNHibOk2Z3Pd7Plj2At+9vAHmpN2bz8Gx71b0QR/AvyfLpT1L/6rnNsXf9UDoNmJykctJRB&#13;&#10;U6HTBZ9cvgXjuHF6jSOIMeggm/EUvGNTn+Gqexf1WeGlPou7H5/i9eD7TX2dKfsDhfAg+zo9PmgO&#13;&#10;0PbaB7DfD+6L4l62zcEd4FZzkGxqDpVN+BZxE/MtMEJbX03gsa4DuFR8mn209XWL+ZJsZvaSt5k9&#13;&#10;ma+7vJtYVIy6eJTdS4OjyY+qkfFFyFNv8pQe5x6zt5nuxJUSQ6OVONYHez8zTQ40p/B56QQ5xBwD&#13;&#10;UsEb7A/h+EDs/WQfM0X2Bt1BF/af5/hz2DtwXgfO78B1z3H984zThfG6M66aW8ePsrv8uPUwmphS&#13;&#10;48Q0mvlUj/eKabQ5Xo4yp/FZbAaf/2YRQy6+5OJbrmzHfmuOt8D+GOc9xliPmbyvM/tz/BXsPO8g&#13;&#10;b73BQDCM/Xc4Pgr7aM5Tc+tiUvbCMak8ufXk1VPVfArutYV7qtKJ0su0IuhldQE/QjH0wNAJq/FB&#13;&#10;cdsohl3dO36OfQP6/9Z8kc8BX5bfm32Bfv38njpb60C/fq6lfj8zB4OBcg0a+5ixPwLvg0Xwv8B8&#13;&#10;Tc7nnPlobr6pXz/nM1+ag+4yF39zTf36uYD6XkRMS6jvZZz/EXEqLnS5VnY3X65+PyzAsVeuP+Q6&#13;&#10;BffawrlOi+Y6owi5ru2/qLlQjFyqXNf26++j62Jv4O8mr/F3l439PeT1/hfljf6X5E3+V2QTfx/Q&#13;&#10;DwyQt/gHg/PPRpJjzKXuoW7x028dnH+21DzGeT6O1fUP4bzBso5/oKzN+DX9fWUYVANBf39ZBVtl&#13;&#10;zqnMfJX9w538eM1ZmfnKORjuaNprznL+obIs45bxD5KJzFGKuYqBs+juFLo7wdpyAl3mo718tKc0&#13;&#10;UT+G/2rNz0dzex10l3noKC+qu3YxzqfNJZxAd6fQ3Rl0d47zi8N5IjCABe8Bf095ObxXgvcr/K8S&#13;&#10;c29Zlf1q5COJ3NTgPJVHnU6V3Utrs6Nam18ErT3rj/+e9Fm//j3pM9ifIt+t0FNL8vAEOW7h178n&#13;&#10;7YFd16t6MEY3xurCmJ3J53PMofzQcaXsLlduTav43P4dImfuy73XU7X0LBwrX7w09jz2ruSrJ3l7&#13;&#10;ifz1IZ/9qKEB6G0g2hvkHyYH+98E7wL9e9IW2HVztfBPgMMp8Jkmn/ZPl2396bID6AReYL+rfxq8&#13;&#10;TJXdOaeHX/+edBB2NZeXfgcy1gDGTfFnEFcW4+bCca5sDR6n9h7yz5HN/TPkXf6JIBUMkfeQiwf9&#13;&#10;L8tH4aIVvCju9Dm5qF83Jx38F3Pi1Wc7MK6Cm8+biCMRNAGVwIKo9t8vgvZz/Bf9CDGm+yqojRx8&#13;&#10;UBw2co1sXbtaU5dgX0Gtr0QXq+FlDfysUfrHlhzjGtVP18DtYgf6NXUxvW0R+lpIP11AfeUw9lww&#13;&#10;E6Shvan+1+QUzplCLU3x69fUKcz3joPucjL+TqYf6eKaisbTiCmdHjaL8+cSp+JCl2tld/Pl5nqu&#13;&#10;/yLHXrlWYyu41xbO9fJorlcWIdcb8CPeM/QN8LqBWLc4aCP3+BW6y8MO+vK3gv4Z+h5qag+1u5da&#13;&#10;Vfid+joYxR9sFQ5FcZit4tOLl8P+HPkb0OVpJ/bt5HWrf578jnrd4p8F9M/Qtzhxej9DXwXP6n3o&#13;&#10;J0Xgu4oV/71AFev8ewGv2qpsjZBXgiuskbISuNwaJSsAnQYt63x/bQev7sutV7VmC+zlrNGyrDVG&#13;&#10;lrbGylLWeDAZTGU/TSZaPJe3ZkgfEMAC5a10WRHblZxTxZoExmh9UHG5WnbrQMLHG3HeG0nrfD/w&#13;&#10;8r2CNQw/hsEH90/WUPwYAgaDAez353g/eOoLRylSAgHKsV8WWxnOSbQGEeP53hRyyWHr8kO6E07Q&#13;&#10;u5TevNbCE/SdU6x9Z+gPl1k9GLMrc3Vl7q7StrrLJKunrGn1lrWtPmCQlqfaFs9emaspcF+uL2U4&#13;&#10;UNuaxhjpYBaYDebIOtZcME/WBfWsTG391LOyZRCoOVLcCdi6c1Ti76pWlqzKOFUZryrjV2WeKlYG&#13;&#10;uZ4Dl/PgMgsN5EjDyoXDXFkCnKPeTlNvJ/yzZR7rYx5rcZ5/jDzpH4HtbVnMegueh3ON/h5I5buw&#13;&#10;TgLoxL1f8eoLAbhWcK8t3C9V3ar3m+vApT5Hugc/sqN6rR+DO3W/fA/c3uigpbzHUsj29Gk9vqie&#13;&#10;8mURfGrIc0Uj+tvnUAyfGDqhoTACunw3FOUCDUSZQH1ROlBXlAjUEsUDyaA6sEWpQFXsVYQIVBYS&#13;&#10;VASV2bc5Xi0QFBHOqxmoAWqBuiI5UI9jDURSoCH2hiIY0PWm27DrfLtVXBVoypg3i9qB68U1jNuY&#13;&#10;uRozd+PA5aJRwBJ1Awb2siIEKgIf+yUCUvzFZ2on+Z1vHr/xzZP1wLUiX/5DnJa3YLuVc26DF51v&#13;&#10;ijdXT27PqgHfx6Ma8NJiDXGcOY975l39pvYUSFHJKXZp3y/shh95UT+88t6NmBW3Xn2rJ/aXwKvi&#13;&#10;BJ8bnZT94WYg3AwWCYHXRLHAEFESlAblgN/hKpnx3JfbM9T92xBy0cuB6eTTa85e5OdFtNaTcXuQ&#13;&#10;g65o7HnQAbRl/2mOPyXKBlqjt9Yi4MxZ352QrTunqrXWzHefg12ytVA458TbKMb56r60jTjD53gn&#13;&#10;+RzrBJ+n5fFb4DypONJpQNldDRTuKf3I3wkwuAh5XEIeK8ap3yXoWuXRK67F2BeJSoGFYIG4IpAL&#13;&#10;coAurnniSmfMdjG4QlYJs7HPpM5niCqBNGp0GvU1jVqcRm2nUW/TqfUZ4urALFErMBvMA9nsz8e2&#13;&#10;iHOWiOqgqtYHFZfLrVtfmfBhxuEjU5zXmJfvOdjno58FYDE1vAT9LkFzS9DWYjS9EJ0tQG/8bzKB&#13;&#10;TDAbzAQzsE3nnOmcm8Y1Ov5GYtfV1kj65nvissAY6mkiepuOjjLBQrCMPvSROCVXo8dPOedT5tPN&#13;&#10;9akIO3M1jZGrMhz7VNRgjJqgNqgL6gU+E/VBg8Ba8Llo6IyfFON62g//H02jwPtAxZMS45xKHFtK&#13;&#10;713KOEsZbyljL2WOJaIOua4Plw3h8ho0cG0gg76cDqaA8eyP5vyR+JSKNlJZE1LRxCjyPl6UD0xi&#13;&#10;PUkTFtec7y2hGHOr0lL5LqyTrL/Rh7PowQrutYXrV32up/rw8CLUr/Mb2Th9mN+eavvSGezFzHxZ&#13;&#10;yjwty5p/8ZvL4gGfeV5/yTE4Uf3WZzYKnCZnp6O14NVvT9NvT6OvUyIxcAJ9H0fnR8B+8Bv7e+i1&#13;&#10;v3LObsbZHaff7ma+TQ7y5W40vJt1QmnGqy/tEWf5rehpuY+ee5DzjxCn4kKndWV38+X2hMN/I9eH&#13;&#10;ybOCe23hXL8VzbX6jPRS19xreRZeI05vutasoa2j67HfZEYCTcyrAs3MUOBWswqoAPzsl+N4IvaS&#13;&#10;gRvMEoFrQT1QyywVqGn6AsmmCNQwJbgcXMl+VY7b2MOcV4Pza2j7iLK7/LjcNiCmePcRDUy9fhth&#13;&#10;bwxuQMP8JpXPLc/w+WWC44uXfm/l3IccNHD48tLvQ+YNgQfMWwL3mbcF7jLvDjQ17w1cA2qDsNk8&#13;&#10;EDLvClQ27whcYTYLVDJv1MZ/NXal1//H2pmAV1FkfT+AQBLorr4kkHR1B8ImW4AIYQ1LQESUOM44&#13;&#10;Lq/KiAqMGzqiCDKAShBlUXBDR9BBAQEXFAQUFARBWVxBBUERlM2NfV+CfL/TpDVvvnvr+iXffZ4/&#13;&#10;ne5TferUOf9zqu7tupdYfTVWHfFlJ3R3TmmKvmyQA9qDTlzL4/4u2NNVtQLNjX11VU2CvmLNUXmq&#13;&#10;WUpnlZ3SUZ2H/pYprdF5HmgE6qgWKTVVFmNqkJJGfNOId5qyOK+YkqHOVKuDjxvib4mLKZdEXjLe&#13;&#10;rYl3vPVra3WEeMbOJXkmL3VTnuFVYAKpL/UI8PrTv+0zBDsqxMmlIdRBU325B/ld5Med5Mcd5M3t&#13;&#10;5Eh/8sjkk1HITTpHkYMPomsEOu9H9zD6EDtMOkVe0s8yvtDPmYFrzv4Trl+lDA3BxyY+3od8JDF8&#13;&#10;WB2vNk6d5Lnt6WqPq3IpT8KDiSoJ2ClPqwioDrTRxv7ITX31pxbdQR25C84NVI1SBoN/g+HgAdUw&#13;&#10;pYDrI6lbD6p6KaNUHWNfE5FLX7G4PxE9T6rGKRNU05SxcH+kao2PW9N365TbmNf6kVu9kfdCTy+4&#13;&#10;34u49iYWfZkbb8EXd+IX8Z05Jn/wN6x1/y4Wk1hroX+jVxDGs+Q8MqmI+/LcurTzyGzsqB2H+7NV&#13;&#10;7cCHr52lTfBvyB2x/XXi8Dp+fIO4zCVGC/DXO+A9sAws59oHxO1D2nxI2w+Zbz5A53Li/D415V1V&#13;&#10;M+VN5p5X4cUMlZ4yDQ69oFJSpigFksE5KS9Sw2ewJnmFOj0HnywEy8BKzj+Gj2vh4xeqfMqXtDfF&#13;&#10;YgVy4UOssawg35aTb+/D62Xk0hJ0LgQLwJtgLtfmYM8btHlDVQZJnCdzvUrKPLixkNq4HLtXkwuf&#13;&#10;Moa1cOZL5aasZ35cD4fW44cv4dpn1NqP4NcKeLYIzAGzOJ9OHZ5CvX0eXz6Pj0xjkbiE3Ah5tehP&#13;&#10;8GoRfhOE95bklfBJauoMA69krZ4LEkHYt/z+Xn6Ns79/kM318BVyRd4n89t7NfoGeNXtZAleqxf2&#13;&#10;n4c8HVxGv93oQH6H7wcWmGFN/3/5jblOFt9PhpzivxwQvkJb5D14J2tLvQxrcj2x4frguIW/t9SL&#13;&#10;5ZfrsGct9vTj+HUxu1D1+1wTzS//P23JozPxkXwv9H1sGMhR/p/30vjoRnyUos2/V3GjlaIlX/qC&#13;&#10;8BX6sBoX+lhpuq+ldT/L0zdbtfTtVm09ENwLhlqZejjXCqwMPYo2o6waIEU/aEX0CEvp+y2bNlX1&#13;&#10;IKuKNvH8divJaENfq7LubVXU11oV9JXWGffv1glwAPziXmntcK+1trrXW9+4N1tfu3eDoWAk52Os&#13;&#10;Le4Ea7v7BO2etA66JhsKkJv8UGDtcR9AzzDrJ3eItcsdBO4Ct4NbrR/dm7jeF3kf2vWx9oNDnB/h&#13;&#10;+jHsOub2x+a7rJNGGx6wThtteIixj7PK6fH44Ul8MtGyQCrwOa+jH7Ua6IetLPzenBg117eAGzi/&#13;&#10;lutXIL+MdpcRH5MfhA9hfoR5fzc8+to9yyOZD8JXyBPJCfG7ILw3zPlOyITPfeDxXBreyvEdjiGf&#13;&#10;Ef2eW4iMv9E4Fzv2xbFjrrXPnYtPJJb5IHyFtlblwlwrXc+Fr2/ij/nw9y24/C5YBj6wauqVyFbR&#13;&#10;ZrVVHUQCf2WHijiGuqTeraa/jQGyaCuoZ+SyyFdb9dF/boCVxOZDq6FebjWm/yz9ntUUW5rqRVYz&#13;&#10;vQC8BmZYTfQ07nuRfHuRPHyR8UkMY8XixcAH+36PRRjHxfhvbxz/Lbb2uoJYcexPkOYTvwFliGNV&#13;&#10;3mNXjFOXqtoVAz8Oi+J34VNVu4KuYpfTyfYZN9E+7Va0T7nlQKF1yj1u/eYeJUeOWJVAMlAgBaTp&#13;&#10;o8T2ODEvJNbl7Nq6IqhsZ+okuya6fHRqXdWuYcwRH7nwK5Ztvu1pjc40u56uZjdBb3P6aq6PkY/7&#13;&#10;iPGvxH4XsdwBx3Zg2w5q2y6r0N1NnThAXTuO/8vZexnXXlfZ+91U+5Cbbh91Pcbp4xeJfSYIXyEf&#13;&#10;JX/Eb2HswriXw9/x4i79CcJ7O6ArEYT5K9+/kbjL929Km7/5fyLu+XHink/cexL3i4l7D/xxATHv&#13;&#10;AjqAtvZvbmvkrexKIBkokALSdGvi2taupTsQ7y7gAnAhMbqIuF9M3Hsiz48T915x4t6LuPMbmfoq&#13;&#10;4n4Zcb+YmHcBbUBzO0s3sc/V5yKvZ6cDBSpyXuhm2cfc8+wD2L+XsexlXHvdS4n75cT9f4j7tYyz&#13;&#10;V5y4i9/C2IVx7/In4i79CcJ7S8Z9SFHc7y9D3O/HjlNFdScTToWv4rzleVAw98Vayw1DPgRfDSbG&#13;&#10;9xD/gfY5+m470ZgLjyCXPI2l8xF0jLUT9Gh0PoTukfQhdpjyS+Shr0I/y/jC/MoMB8fxf49vbzC+&#13;&#10;/CjyqlwbRQzG2PvcR+HB4/ZBd6J9xH3GPulOIvaTGe9zcPo5O0k/b1ugmnHcdyOXccfq6274d4+d&#13;&#10;oe8lH4aSB8PtOvoB8CB4iPPRXB9LXowjL8bBaZM/nkMuffWNMq5qXJuMnmfR+zTcf5wcGGM3o69m&#13;&#10;9N1MD+D8NruB7oe8D/nXx7bBOZwXurfB+zvJgcH45X5gskHkJWMyolhMYs2TI7hPEN5bkvsPFHH/&#13;&#10;oTJwfz52uHHmuvm2G/jwtSg+FNvnE4cF+PEt4rKQ+CzGX++DD8AqsIZrH1FXPqbNx8T1Y2LyMTrX&#13;&#10;EOfVYDl1a6GdqufCi9m2o1+BQzPtKvoluzIoD067s+zj7mv2YXcuPn8bnywFK8GncHIdfNwAHzfB&#13;&#10;x29ob4rFR8iFD7HG8hH5toZ8W02fK8mlFehcChaDRWAh194i/gtos4AavwDuv4XOhdT1RXBjKXmw&#13;&#10;mrz+nFz4ijF8DWe+YVzf2tWBBpl6k11fr7cb6bV2U/pqrpeBt8AbnL9iN9QzqM/T8eV0fGQai8Ql&#13;&#10;5EaY68v+BK+W4TdBeG9JXj1cxCt5TlDaufTwn+DV4Ti8OgyvjsCZo/jiOBwqhEvlVB19DqgMklRt&#13;&#10;nawydRVVE2QAD7hcT9eJgN/95L5UfQD/74FXv8CrH4nJTni1k5jtJMY/wavd8OoAvDqGT86ASmqv&#13;&#10;a6l9bjV10K2hjriuOulqZeZVMnITr5JVAnb95iaq0+g/5VZA5xn4VAhOgOPw6ii8OgKvjsCrI/Dq&#13;&#10;KDYeh1cn4NUZeJWoErVSSTpVVdFpCjKpatpT1YEGmdpV9XV11Ug7qil9NdcJ4Ci82gevfoFXu+DV&#13;&#10;Dny5Iw6vJC4hN0JeJfC5TjiHxKpXCfhNEN5bklePFvFKvr9WWl51wo5Nrvkzg05qk3Gu7ow8D3QB&#13;&#10;XcH5oBsw5Vo3tcs4P56PvCvIAx1BB5CrfnTbq5/Az+BXsBvsBfuDvrpFqafye0DdkHeDI+0DZOnG&#13;&#10;SnDKrR1gv9sYeWN0Cd9youiQz5Yaq51uE/WD21RtcZurb91WjE/8YhqjyGPF7iliJu+P5fdJSxu7&#13;&#10;64hdvPfH15F31ynz++PryO3r4Hxv5evrVS3dhzpwM7gdDKAW3I1sIG0GkhsDlfn98UD6GxUgS9+D&#13;&#10;n+9R5vfHIh9Ing1U59KPoIG+SzXU/1KN6T9L30ru3Qz6qWb6RnA1+Ltqov/KfX8hRy+hRl3C+CQO&#13;&#10;sfLoksAH//f741v+RA7eAr8EseL4n6Ic/G8Z4jgdO7KK1gzZUfgnnztMxxdPBfjGna4EWb/XlJJ1&#13;&#10;QT7vfRNuyXejSsutE9gU7z37CWV+z35cVdDHFHVXnXEPU6cPkm97wU9gJ7V7O/JtqpL+QSUDBVI4&#13;&#10;T9Pb4dtOePgT/NsLDoDDxPooXDwGR48jP85cZMq9JMf8nj3R8XRlJ1NXcOrp3+DTMWr7HrAdbMa3&#13;&#10;X8PFL+lzHbxfh23rGOuXqtDdqI6536kD7g44sQccAaeoHwnOIbeic9RNdE67SY75Pbv4LeRTOB/s&#13;&#10;/RNc3EtfgvDeknGXz/flPftrZYh7c4fnR3HWr82d2sHcPCwKV9O5loO8Lb5t7/i6o+PqTk4qsEEi&#13;&#10;5xW4noC80M1xTrnNQRPQgPP6XK+DvDbtatO+NvfV4f766GmAvibolb5NcRd56J/Qt5cyJjvOmC6l&#13;&#10;P6n/scZ0qZOm851a+kKnvu7qNGEMzXU2qA8yOE/negpyh3YOuhw4kAIX0p1jboZzgLHtcbNBe9CV&#13;&#10;8wu5no/8UtpJ36YxibzkmLIZU7z1Q7azlz5j80V4Mg++zCsDX4YVsyMT/4Wv4u+Fh2GDaW4diXy0&#13;&#10;s899hBx6jBx6Ai48AQ/EJw1DhRxDnTweSXjCydIjAlQO4pYfpV1Vro1wzqFdef0A3Loffw+Da4PB&#13;&#10;XeAOzvsju402t8K5W52zzy2yo+iSGnwr/V0TYJ97K/be6hw3jqu/c4Q+Drl3Ogfdu2k/mHGKL0yx&#13;&#10;FnnJWA9y4sd6EPcJwns7YG8i6ATSwfyi2vBOGWI9yfnjc51Ya61J+HWSs9+dFmCrO88R7HeXBDjF&#13;&#10;3wLfGLN5Tk09j3yfH6C2foucfqcI73IULC7CEo7iz1hz/xKnqV4ATPx73WmmZxHXGU4jPd1pqKeR&#13;&#10;y9Pi6J0WjPOPz4ZK+vtd/Cxz8Htl8PfP+FvFqVs/O8o4tp+Q/+g4ehfY6UT0dvADMHFwi3P286S+&#13;&#10;+DV8hblXjQvfOCl6I/ia+vwV8+yXTjrwQE3OM/V6fPe1U4c2dfW3YAv4gfMdyH6kzc+OBtWNNsi4&#13;&#10;Qi6HdXyrw/93GMcfW52z9SCW7duQ73Aq4YtK+idq78/UmZ+dcuCM+xP1YBe1Zwex3Qa2gG/BRq5t&#13;&#10;QLaeNutp+1VRbcoMncMx9A/h5vuGFYz8/tD5zV3lnHDXUOs+ZS5YT95uBbvAburEAerFUeewe4I2&#13;&#10;J+jPFKsTTkbQV14UW5K4doI56QTxOME654RzLmioTwZopE85jXUhMOVPIXnxK5D8GRalD6ktvzD/&#13;&#10;/YKeX8ifX9D9s9MA1CfWDfFzY70N+RZy8BvybANYCz7hfDWyD7FpBdxYQU1YASdWEvdPnKr6cycZ&#13;&#10;PiVxj/kzX4l3SZ5878Svl9/ja0F4b8n8le8+ylpK9iyUdg2dFYm/hs6KmNfQTSIVdONIOd0ocsZt&#13;&#10;EDnt1o/wvhV4ID3ym1sDefVIJZ0aSQYKpHCepmtEtE6P1NJepLauDeqBBpFM9NREn6+bIG8SMa+h&#13;&#10;OyA3xT034un26GwdqafPizRBb3OdCWoAFcnSyZFzdSXkFSLpQIGKnBe6VSLHXCdywE2L7HUzQUPQ&#13;&#10;LLLfbRk55LaNHHVzGWcH2pp4L34LYxfWh9r4O96aqDZ9CcJ7S8Z9ZVHcPylD3Ltgxyn37GcqsebJ&#13;&#10;LsSvC2O+KMBW9+qIgH0EAXgmgfxq4iT+z4+Sd1W5djWxvBr/XgOuJb7/ANcX4QaOghuL0IejKc/7&#13;&#10;RJqiwzxPXh5ppi8lrvmRRvriSEN9UaQ+MOu9KBhn7HlS/Czz5Noy+Hupxb6ZOPPCUmtg4MtY88Iq&#13;&#10;5J9ag/UX1nC9wRqpN1ljwZPgec5f4vqryOfyDH++XgreAW9Z8/Q8rs215ug3rNf1bNqIj7OjxEvW&#13;&#10;j7Np/3yA62kruC+wKSdKe/nM6Q1rKLqHsGdhsH7buoc+B9L3QGNeiDzkdpgX8numM+P4511rpjHX&#13;&#10;lyJfbs1gv8RUfDCFPQ2TwUTwOOePsodiLLJR7GkowM4C9jIUYPso/TrXZyOfTbvZtJ9tTeLaFD0H&#13;&#10;PfPw61volb5NuS7ycEwl8/U2eLMU/sj+hNUc6+M3yQ1ef3qfSSH+GRHHP4XWCGOsTiA/ypgPM+aD&#13;&#10;1sN6P+Peb403jivJHm/UmWiPZa/Cw+xZeFBXsAt0gj2CfQwjjDpFHvoqjL+ML15+FMIbU60pZw/U&#13;&#10;lex72NswWNv2EPY5DNOp9gPseRip0+3R2rUfARPAk+BZo437rGeNfe2HHwetaezfmMEeipn6pDVL&#13;&#10;nwbl7Fn4YSb+eAlbpuObaTrRftHYl4tcxhUr79PRUwO9KfZrjOtN9C6grwX0vUDvtd7UP1mz9Tb6&#13;&#10;3mq9ACaCsZwX6B+tYXoPeXkYv4nvTPwVecmYnC4Wk3oBXc/+E64joXLCae4ThPeW5P5dcH45DWWP&#13;&#10;Rmm5X5PnSjAr2FfZLYodyVyrCfdq2oPYuyDox94KwSCdF6CAvwVTjTHlf3FnX8QMMJN9GTN1e9AR&#13;&#10;dCpCZ46CvCKY5qo8e55uZ88P+otVO89DnkW7RvYc3cB+HbtfBWfrTCx/nxuMsyCmv2VvxDL8PawM&#13;&#10;/r4Jfw8q8vflUfyNOOEm/HovGIFPx3KcDMYwliHgX/ZD+p8crwDduH4F6A3H5Z5YPJH/J1V4Is+1&#13;&#10;S8uTxRgWr0Yupj5JrsWKyULkb+Hj+fYo/SZ1bQ71bQ410JQ7a+LUyNXoWIWuD6mRy9G9jD7EDpNO&#13;&#10;kYe+CmukjC9ejVxMDTTVyPeRr6RGfkSN/IwauY4a+RU1cgM1ciM1chM1chM1chM1clOcGvkGclNf&#13;&#10;c+wpPN+fxj6BGfpteP0ONWwJWAZWcP4hNXIlObeKNqvj1MiNcWrkRvRsQO+X1MjPqJErqZFLwALw&#13;&#10;Ouez7Nl6KvIp9gtgIhjLeQF7Doax/2Aw8R5ITMw1UuQlY7KkWExi5ewS7hOE95askcJ54f4jZeB+&#13;&#10;4Z/gfiGcMnH/BPKj+OQw3D8IX/fjo/1xuJ+k4qwPFOsDxfpAPcizeaq4Yn0Qh/siD30Vcl/GF4/7&#13;&#10;hfjYxMdyivWBYn2gWB+oITqiWB+oB3QNxfpAsT5QrA8U6wPF+kDFWR/E4f5+uH8QXh+B+8fg+km4&#13;&#10;dxokKNYHivWBYn2gWB8o1gfKvD5IRy7j6hulFlfjWjp6aqA3RbE+UKwPFOsDeH8E7IX7P8H9bfS9&#13;&#10;Fe5vhftbies24vwj3N8D9w/jN/GdqR6JvGRMTheLSSzun+Y+QXhvSe7L/gDhvuwPKG3d785zqXjc&#13;&#10;6E7sTdzPR/43NUhfCS+ugRe94GovuCs+aRjF7/L5fi81T/cMcDYH8qO0q8q1nujpCb8uVg/pHnDt&#13;&#10;AnKgC8gFbcmL1shaqXE6h1zKUU8EfWZH0SXvz3Lor16AQbQV3G8cV2s1lD6G6HbqXt0R7ndhnOIL&#13;&#10;U6xFHsYrzL+8Yj6OFes87hOE95aMtewnkFjLd8hKG+vJ2HFH0doklo8mqzv0uAC99WQluON3m8Lx&#13;&#10;jENPuMaJpWcc/p0cYB76BLHXL1MYk7zHk+fapR3bJ8V8nEmsw1e43kZ1wif418TjL5FvxM7NxPx7&#13;&#10;eLwNHm+Lw+NtjG1dADOP16FnHVxdC48/h8efwF9+21UvB+/B48XI3oXH78Djd+Lw+B36eyXAINoK&#13;&#10;zDxeDI/fY0zL4PEKeLyKcYovTDwWecjFMO4ri/k4Fo9Xcp8gvLckj6cSCOHxrDLEurKTkNC7iMeZ&#13;&#10;YaA5Fo91Zae3MdaJyJNAMqgCqgILmHxiObcHOmPVqqpOf3T1R29/9h701xVpf45zB/gX+xDuBAPA&#13;&#10;XWAgGBT01S2K/fKezEZuOyNoJ5inDxHvQ3DllwCD+Ftwl3GMh1R/9lXcxL6KfvqEuoF9EL2xyzxG&#13;&#10;kceKncRM8vS1MsRO9h/Ee5/RnDGb8rQJ8kZOAXsGRul6zsO6rjMWmN9ndEBu0pmLjvboaus8qFuh&#13;&#10;uyV9iB0mPog89FWYIzK+ePNpc+IvtsTiUQ7yds497KUYrLs4Q3Q3Zxj7Eh7QFzkjdU9nNPsUHgET&#13;&#10;wJPAvNaqg9zUV11nCj6cphs6M3RjZ6Zu6sxi38Msxj9Lt+a8rfMStkzHN9N0rmNea/VELn31BeEr&#13;&#10;zMlqXOiJnovQ2915Tec5b6J3AX0toO8F7AV5U3vObF0deTXnBTARjOW8QGvGn4kvGuAX8Z05Jn/U&#13;&#10;njAmspcijEmsupWNXkEYz5J1a3ZR3ZK9FKWdo2QvxSNx6tYwYis+HAbCV+jDdC4MdcboofB0CNwf&#13;&#10;DB/uwT8DQH9wM9z9Jz7r5zyq+zqPgYlgEufPc/0F5C+xF2Im7WfqgWAwMR9CTP7tTEXnC+B5o28f&#13;&#10;QW6ybRzxH4vOh51XdIEzF70L9J3gn6A38b2GuF+J/HI4dzm2Xe6M43ykvtYZrq8nvjfh/zvBveA+&#13;&#10;6t9IuD8a2TjaPIJfTHEXv4WxC+M+wIkf9wH0JQjvLRl32Vch89WiMsT9ceyI9xnc48Tvccb8bIB+&#13;&#10;+mVHMIh9EoIC/haYP4N7mVi+jH9fIbavgtlgThHmchS8CeYVQfwZKx/mMee86swP4p1Du/AVclGe&#13;&#10;X0xHPoV2zzlz9CTndWx/FZg/g3s2GGfsz+Bk/4p8BrekDP7e4MSfYzZQu4XLscb2BfLPsfVT8uxj&#13;&#10;8u0j8mpNnDlmW5w5Zhs6vkfXFvJ0M7o30YfYYeK1yENuhryW8YX1LJMxhK8wNrguYQOclvHFmmO+&#13;&#10;Rb6VOWY7efcjefYrNXYPc8x+cu0Ac8xB8ukgc8wh5phDceaYNXHmmDXk+8fMH5/BzXXw40tq/Abw&#13;&#10;DdjM+Rbq0vdw9wfa/BBnjjkYZ445gJ596N1NrfmRmvM9tWcD+Ays4vx95pjFyBdR7xZRgxYRk3eJ&#13;&#10;xfuMfyW++BS/iO/MMfmjXoQx+dr5Iyaxcupr9ArCeJasNbKXSGrNB2XgfmrkDzsyiX/4Ks6N1Ij5&#13;&#10;fVA6ci9yj64ZGczegnt13ci/df3I8MAn2aFCjqFOeW9dP3K9bhVgnj43Ingl4F/fKO1lLVA38jq6&#13;&#10;59IH835kvk6LLNApoCqoxLVykdfYuzKD/SxTwNNgHOcjuT5cV8Suqtgo4zDFSeShr8M4peGfeM9K&#13;&#10;0yLmZ6X8nq2uFZmh60Smsu9iCr6ZBCaC8fhqNHskRumMyEjGVcAejQLGVcB+iQe1FXlYV4mMY9/E&#13;&#10;BDARTOJ8Ctenagd9KeiVvk1jEnk4ppL8kb0ssj7/uAz88flcalfRGuWvUWJncc23d+mmARK9Szj2&#13;&#10;BV3tRK+f3c67FLSyq3tN7QzQzvMD7Ippszzb+hSb5bt5GziW5vnufdhcWGRzrNy7zy7U99m1PVNN&#13;&#10;vM+u591nN/Dutxt5D9hZ3ki7qTcaPAoet5t4TyJ7ijZPoecpxidxyo7iI8mHp+jvpQDtvIn4YKKd&#13;&#10;HfQdKx/4rUPanIfeFvTTEuR4T9itvAl2G/pv641Dx2i7vTcKFIAh4G5kd3LPHdh3u90Q1A5siuWD&#13;&#10;2wMfFP4eizAnxuC/k3H8N8Y+yTOqk7/fW5J7I4jfWuIn34UrbRy3YIfGKBP/t9g68OOwKH5P59oW&#13;&#10;u4b3nV3N+9a2vU12srceXq4DH4NVdhXvQzvirbBTQRrwQV2uNfTWEN+P8eOnYB1YDzbCgW+RfWfX&#13;&#10;97bYmUAH/s2M0jfDpm/thbkZ+nY9YzoVZ82/3j5lrJWbkW+zT/OZc3lvN+PYZyugQT3Om3o/wpnt&#13;&#10;cGSznYvdud5a8An8WAM/VtmtGV8O4zzPyNcV9t+8+QEKeb4kqBj4OSfKWGXt9yG2rLITvNX2Gf0J&#13;&#10;7ddio4zDFDuRh/4pyZ/RRfwZz3FTKetAhM+ndsbxdUTtNK77qiFPAalqF98N3MWzgV18d3CXcVxp&#13;&#10;6pBxrVUDeXWQAhyggK0Oa0sdAUfBMXAcnASFQV/dovg9mWtpyNNUomcFaOedpi6chhOHAxTyvEBw&#13;&#10;3DjG0/ZB/Zu9h+cpv/Jc6Ueeoezkec5O4xhFHit2E4iZ1HD5bb/S5n6bPxG7NthgWrO3Rd4OtCde&#13;&#10;uYDvFPK5vTl2HYmFaU4QeS5oB9qAVgEO8+zgiG5J7FoSu5bEriWxaxkndp2Q8xudXssA7by6SpDo&#13;&#10;6QCFui7yuugyjbGuOsgzjD26AbFrROyaMV7xiynvRB4rdvLsSGIn31Msbex6E7vKcep2b1XZWE96&#13;&#10;Ib9aJXlXqSreFcry/q4ckGqst/2Rm3x1GzpuRdfN6OyH7j70IXaYfCXy0FdhDZfxhfNjZpS8xHUJ&#13;&#10;vYm/iUd9kd+iTvGdx9N85/IM34cs7w1WlbwhKtkbqmxvmEoBNYAGtYw2Xobc1NffVX182Mj7H5Xl&#13;&#10;XaOaev9QzbzrQR/wT85vVk28W1RjfNPIu001MPY1FLn0FWvdMhRdQ9A7SLXwBqi26M2lr1z6zvX+&#13;&#10;Br97qhzvAtXc66rOBR5wOE/0LlYVvL/ii6vwi/jOHJM/1h1hTK4vFpNY653r0SsI41lyzhHOy5rl&#13;&#10;+TJwf1YxO2JxYxY2mHj6MvLieIXzV+CKySevwGkTB15GLpgFZoIZRZjCcTI58ayKeP+Bc8+oNOAH&#13;&#10;HMgmzuGr+Hu7Z4jjwwEK9dPUqKfJEdN4noXbPGv0nle/6RdoP53xiA9M4xF5rDjJd28lTvLsqLQ1&#13;&#10;6gvi5MSpUV/ATZNP+b1Kbz31/ju1T+9QP+nd1NVjoKKzUyvnZz6rPqhd5zifY58G5Y15lYxc+oq1&#13;&#10;jk1yfuNZzSldyTmhyztHeHZziO/EHuK7sofo96j+GX7sxMfbicV2Ysl3ar2dqrb3M7m/h9w+SO4f&#13;&#10;B7+B8k5jr5JzrlfZqeclObW9ZOfse5fMMNgcw3jj4gQPuckPGl01nKae47REXzuvnJNLX7nebrCd&#13;&#10;GrBZZeOnht4XqiZwjH4QeRj3MLePEqsdcd6PHFU7eK61IyZn5LuyMq+9XgbOdHbiz2udHXMu5CJv&#13;&#10;5yR5bZwqXo5jeS0dB5jntXzkpvzqiY6L0dUDnReg+3z6EDtM+SXykn6W8cWb1zo75nmtG/KL4Okl&#13;&#10;cP5vzhk+0y/vXeVU8q52kr1rHdvr5aSAGkAD87zWArmJdy2c+viwkdfWyfLaw7+OTjMvD5wPunPe&#13;&#10;w2niXQTXL6ZNT8c8r12LXPqKNa9di66r0Xul08L7q9MWvbn0lUvfud55cL6Jk+Px3WCvDrlQx/GA&#13;&#10;w3mi19ip4GXjizb4RXxnjskfNS/kfl6xmMSa1/LQKwjjWXJeE85LvZRnF6Wtl4Oxo11RvczGT+Er&#13;&#10;rBPyGcdg/HBTgF08SxK0+51jJW1aUJSPb5fBpmec+DY9gw0PB9iln8EmOY/lJ3mmIzVCnjmU1k8+&#13;&#10;tWpqnHnFV1ON+ewh12qa5wL2o3lpoDowcSeiXjLy11YzvCogWc30EtXLXiX1KngdzPUqq3lekpqP&#13;&#10;bIFXVb3l2aAaqM55OjKPNr6aDWYZbZBxhb4N+VsNf0yK449qapLR9urI09Wz+ONZbPkPdjwNngJP&#13;&#10;cP4YvpqAfDz2jsfu8dg/nrGOZzyPMa4nGO9T4Gmj7cftpwMb8kNicwy5XZW/T9iPeyftR3hvPcYr&#13;&#10;p0aib4SXAlxQSxV49dQor7F62MtSj4CnjH1lqTlBX3lR+kriWpZ6Ex3zwdtgkddUvQPe9ZqpxV5z&#13;&#10;tcTLBsKFWPUgWy31agKpZ8Oi9JHOtZrqPS8DPRnozEB3Bn1kqIX48118uQRfvocvl+HL9/Hh+945&#13;&#10;4Iy9zCu0l3jH7UXeUXsBeAPM8k7YU5FN8cqr5+HSc3wWMdk4fol3SZ6kwJMRRTyJNS7xtyC8t2RN&#13;&#10;kc8dtpC/Eznu4Fiaz457FbMjM4rvUM1exRGBb3OiyOWzsD7Ib4YT/dVD3p1qjHcXXLyriH8No9wj&#13;&#10;+x/vIl43BjibC7F4eKN6xrsBfl2vnuS962NeL3RfBS4Df+E8X03kPdYzYBL4bxCH7Ch9Sr3uSX+5&#13;&#10;AQp4/yUYZxxXvhpNHw/xPu1B3osX0O8I+h9hjLXIw3iFNeHKYj6OFesruU8Q3lsy1k8Xxfq5MsT6&#13;&#10;mWJ2ZEbxkcT6GWyQPIoV68nI/4svXqQmTKcGzKAGzFJjjX6fpW73FgZYynsywdtBH32j2FCNazPJ&#13;&#10;yenk5Iu0/S85OZlcfBpMAGPI0wepEfdTp4dT04dTg4dTI++HCw9ixxhiNQEbZRym+UPkoa/DOMn+&#13;&#10;0Plxavdk6pSpzkxBPo169pJ6g/edrzLWmWAqmMT5RGRPMK7HGNcExjWBcU3wnuT8cTg+nnE8Sj15&#13;&#10;VL0IZnL+KtffQP4m7ebTfr5xTCIPx1SSP/Ie/1tqxLQy8GezxX5m3/x8YrPV0Dfx51urkf8N2AQ2&#13;&#10;Wo39r8F6q4lvitU65KIzFl8+s7L8T6ym/kdgtdXcX2mdB3JAG3+V1c5fY7VHlkubDv5n4AuwnvON&#13;&#10;yL6lzWarJWhmtEHGFfo25MuX+CMzjj++tDKNtm9AvhFssmphS03syAAapIMa+Ko68lTsTcXuVOxP&#13;&#10;ZRzVGU8a40pnvBr4RtsXIhf/5UfJt6pcW4Sud6wUf4ml/PetZPRV9r8Em8BWK9HfaVXxf7Fsfzdt&#13;&#10;dtOfKVa7rdZBX3lR+kri2m6rLTrag47+Hqsz6BJgr9XV32ed7+8Hoj9Wndxvdfe3AFMObrG60eZ8&#13;&#10;/zt0fof+76w80An/dsGX5+PLC/DlhfiyB37s4X8AlqJzMbKFtH0LbrxltQLN/EXEfalV319u1YVL&#13;&#10;dfxPrdrG8Uu8o/GkchFPYo1L/C0I7+2ADxJBJ5AO7iBvd5O/AzkeLOVcX4tncTWL7MhEZ/gK132o&#13;&#10;Tqhl1zT6tpbt+zVt7WfY6b5n1/DT7ep+KlCgip3mJ9kZfqJdC9QFDUEWyOZ6S+Rtadee9u25rz33&#13;&#10;t/N9uw36Wvm1kNeymxt92xy5Ke7N7RyfZ+5+Y7ujX9/uht4e9NXDTwYV7Av83+DbCXL+mNUCNAQ1&#13;&#10;/ZPk2BnL8c+xk7GvMu0rY1Nlv46d5Dewq/pZtuM3Z5zZ+MXEe/FbGLuwPqTi73hxl/4E4b0l4y7x&#13;&#10;lrj/uwxxz8GO1KK4dwuDzjGMuzxXy7FT/RzG3DHAcfY1CJL8qwKk+pcgv4Q4if/zo+ioyrVLiOUl&#13;&#10;+P8vAdr7fyXGfweXF+EKjlcW4SqOpjy/yu7uXwqkv5wo/cm680L7Qr8rcc2zz/c72V2wvRMw6+0Y&#13;&#10;jDM1pr+H4udf8Pd9ZfD3APxdrsjf2VFsl7XoALucf0OAg94AW1Dud5tC/tyAnsQ4em6wE/0BAbqj&#13;&#10;T5D4u54O9JMIOoF0IHtMfmZsslehtDVkZjGbRH/4Crkk/c3EhoVgKvY8Doby96Ngkt3aF1ksrhdg&#13;&#10;l3B9TBns24598dYo26lLJl5tsxv5P4DvwVa7sf8d+NY2r1E2IhedfUOHcAx9Uo2/v6IOfmE39dlb&#13;&#10;4X9GHfvUPg/kgDact/M/h7fr7FzasDYBG8G3nG9B9gNttlMft9vmNYqMK/RtyKFN+CPeGmWTbV6j&#13;&#10;bEbO/g98UcvfRp3bTo3fzhywnTlgG7Xxe2r/FvJqM9gI1oMvuLaW+eBz2nxO28+YN0z1cyly8V9+&#13;&#10;FP9V5dpSdL1vp/grbOWvolZ/Ts3cBL4Hu+DUr3YVf79t+4doc4j+TH0dgofSV16UvpK4doh56hDx&#13;&#10;OMQ8csjuDLr4hwN09Y9Qa44CU+06Cud3AuljWJQ+0rm2g/lpB3p22F1BF3yZBzoR6y748nx8eQG+&#13;&#10;vND/irlrLfgIrETncmRLabsEbiyhHi+BE8uI+4d2fX8Nc+6ndh3uMa9RJN4lefINPIk3V32DrwXh&#13;&#10;vZL/iaATkDFJ3kr+yucSpa0vp7Aj3lx1Cn7x/7L6FZTgOJ+RCJL8jACpfooSmOeqFNWGNu38VFBd&#13;&#10;tffTgC6Cx1HgFyGDoyneGao7Osxzla0u9JPUBX4ldb5/juqC3Z2AWW8FxiFjjeXvx/CzzFWyh6G0&#13;&#10;/u7Me97Q35nEMHyFtQvVCZ2xQ7gcax7ugLydqu63UWl+K6X9lioDmDmYj9ykMx8dFyvX74HO7ug+&#13;&#10;nz7EDlNeizz0VVj/ZHwhrzPDwXH83+OrHNgSq/ZcoCr7F6lE/xKV7P9NVfWvUMq/SqX416ga/rXK&#13;&#10;83upWqCO/w91LkfzPNESuYw7Vl8tVQt82Npvq9r6ufCjo8r1+b9T/W6gO+c9uH4R3L0YfrO3wOiP&#13;&#10;Xsilr1hz0rXouRq9V6rOjOsC9Pagrx703cM/j/MmKs+vj7yOagkaggzOq3Nd+dn4og1+6QzMMfmj&#13;&#10;XoQx6VIsJvWixARKJ3RBryCMZ8la8xTElFoj3wcuLffvK2ZHZhQ7hPv3YYOJpwXIR8GN0dSecaqK&#13;&#10;/6iy/AnKCXySHUWnrP0mqEPelADdaSvoaIzTo9SLcdSN0cRkFHVkBPEZDgaBO7l2G/H7J3WsD9zp&#13;&#10;oxqBmpzX4Lrj/4s4DcJGGYcpTiIPfR3GaQT+ae+bP+8ZASfFP8OijDWdaw8hHwNnH4Gv47GP/7cU&#13;&#10;NASZ+Mrzx6p0/2FsHQWvRoDhYAg5P5g6cg/jGEheDVQNQFPOW3C9FfK2tGtP+7P1MzNK3xI7kYdj&#13;&#10;Kskf4Y2sheU3xEvLnyoOawWcJX7NA+ErrC1JXKjiHPKqOOX9g0rQ3f8hQHl/Neer4YDIY9n4UpGN&#13;&#10;8n3T0trYwklIyIgTwxZORhDD/HAAHMMxVOXvFo7tt3Iq+B2dQq+bc8S7xDnAM+4DXj/wL+eod49z&#13;&#10;xhvinOMPdZKAbeTZrchNfPk/7J13mBRV1v9HZaa7FZiq6j4FwwwIQxRBhyAgoIJkJAcBM4iKgLqu&#13;&#10;osvCIsoiIiI5CCwMQSTKEIYsOUnOOS8MJiRJUtH3c2v6sjy9U9W8w/vH749fP8/X2/eeW+ee8z3n&#13;&#10;nlvd1YyvG/cmvWb4kl41YpPawdsLRkxSa9AUNMCGeoY/qZaRK6mGEQL5QXH6pRkvm9TQqJjUzHiU&#13;&#10;+Y9y3aNcXxE95dBXJul146GkjsYDnrZ1Q65sc+Ph76zxnlE56S/GE+irhf66rFUXu+piR82kqkZV&#13;&#10;eHokqaxREuT3XEvJddz1fnvaiIk5H84nt7r4tHGeZ/LnXXMmLZwzC+8gZ8ZhR7R7gnHwr7hyuycY&#13;&#10;jfwLQ5JGGHmShhn5kobg7xDD+55gBnIvndPRMc1ISJqCzi/RPZE1lB1edU3JI3lW/kW7JxhHDnrl&#13;&#10;wiTkU8nFmeTrbCNn0jwjPmmBEUxaZNhJS4zEpKXG/SAZFAPe9wSDkXutNYS8G2pUSBppVEoaRf79&#13;&#10;y6iSlAomgsn0pzA+lVyfRu5NN7zvCZYgV2u53RMsQc8i9M4nx9PI8ankdioYCQbR72dUS+qN/CP2&#13;&#10;1UdGCZCfviR9iv8D4WIEvCjuvGPy32dN6i0xccv9VPQq6HhWxQ8/0J8/VM6re4Jld5D76t+x1U7K&#13;&#10;rOkp6NYvXQ/V+b3PqJ203sGlxH3Ub9V3s2l5eD+uvAObrhrRbbqKDWccXEq8ik2q72bT6rBNazxs&#13;&#10;gsb/+v8l5wpSG+1MbkpoYmg1N+q5bq5gAztX8Me8K4COTzXG84KzrFcTxQXAFFCUsZzgf/P/Sb6I&#13;&#10;DT+iTOWXW+25yNqzgrkSlA2zghvzqr6CGx+5sGUYCIExt9jFEjf/xibD/8XH/6Ut1dCvOPoDjj5m&#13;&#10;scJg+i22KI4U54ovpsQUB2q+eq9exMBpNadqHKqc+VnZ/i73djlDmTy67bd343OGfKGcodboceO6&#13;&#10;APJyIQnVDBUNtQhVCD0fegq0C3nt/+dDl8VL5/OhXHaLULJdM1TWLheqYRcINbB9wEvnu/ENbC+d&#13;&#10;zyGvG1/Drhhf1i4Wn2wXiM8FLouXzgLx7bx9j38qVCy+QqhifNFQ3XgJPQdfijMvnUrulofqc3we&#13;&#10;gnU/aH5L7KG/Z+VwLHPQ6hj//7iq36b8vxvXasRK7dH+xNVU8QRtbolrtD3Npc5Lxzvanm5s8nk1&#13;&#10;vKebhK9Vja7PuXjf2OwReslBaqgn7XDwrpkaGmnuCH0IOpgzkaeDHaHGDnq45utWDFJ1ag/tg7f4&#13;&#10;xTI362Y0m8di85SwzQW5UL+0zer6seYUZx820EJaLVf1cKw5KjTB/Dw01ewTSjN7hhaZ3UOrwQ5w&#13;&#10;yPwwdNL8NHTaHBA6Yw4Fozz3517kqo50z2ItFcs95vDQbnNIaKc5KLTN7B/aaPYLrQHLwCJsSEc2&#13;&#10;2xyJHePAFDCH/iLGv0G+inlrmL+G69Zw/Sr0LEPf0tAe5uyFd6/acQa5ss2Nhwx0nTTXhg6bm9C1&#13;&#10;PbTV3MVau0ILwSxzW2iKuSE03lwRGosexanXWkqu65T+fLKaWHULx6pIFvyQAjGrzW5w3+3mtVUZ&#13;&#10;8wN9j7aXgCYz8ShtdnPmT+xYGCVn/jQXOly1z8JOi7E/zSWhP+ErxloRuttaE4qz1oXuA7mBaa0N&#13;&#10;Ba3VIUFmW9+ARWBeKGSlhQxrViiX9XXoXmtmKAfw4jCHNcHThoA1Hl3jQ/FWKuuNRf9oMAIMAYNC&#13;&#10;ljWA9foz5zPW+wwbP2PN/tg7ELsHY/8w8IWnDeeRq5xZkwUPJRk7j44L5PJFcvcXcviK+Unoutk7&#13;&#10;9JvZK3TD/Ih1eobusT5g7Q/g5wNs+iCUYH0Yym/1DiVbfUNFrc/BMDAqVBgfCuLP/dZE5F+GEq3J&#13;&#10;oSRQwPoqVMiaypyZoeLWHLAIrKC/jvmbmLcdf3ehfxf+7ApdJVcvkavn2SPniNE5YunFs4q1ztXI&#13;&#10;fFN5pmrUqTvIt17cK8VK5r1Skyx4VHW1V3ysfO6gtMynXQsmxheTdfGtZCEYHf8Q8sqglfRyECtu&#13;&#10;No/F1jLYrL7/eZRW13+Wue26uh+bE8M2u+3V/fGJsj++hnMv5lZT9sfXlgPxdeVgfH05FN9IjsU3&#13;&#10;kVPgR3AuvqHwnZZcQscv8Y+DSs79VEoWHMUy9gvr/eGglVyGg8vo86pnl1jjYnwzOR/fQn5i/pn4&#13;&#10;NnISHAC74p+W7ci3YcPW+HqgprO2m69bHV8Tb3Kua1oGPCVE4SkjPkEU3OKl/q1NOeI0/Q7iVdyI&#13;&#10;iWkStqNgFvyhOqa40cThq3sW8ryMlUKeYjSSckZ9qWDUlkpGdfAoKC8VjRTGSiErJg8ZyVIcFARJ&#13;&#10;9BOM0pLXKCN5jEdAFVCNfk3G6yBvyLwmzG/iea+s5JofzW0u4z85WCILm53Pi0Yi6ykU9vQtwSgo&#13;&#10;iUYBKWDkl0LML2okSElQBlQwkqSKUUiqGcXlSeMhUAnUkifgopLRQsobreRho408AIqAgkZryW88&#13;&#10;jW8tJZ/RnLUzfXOzMY/xluRy8J/8iawz6jtalQNzaKtmc8/yHWeMFSUHmhqW555pauSWpsZ90twI&#13;&#10;SEsjVp4x7pGXQFvQLoyXjRzSHrwCvOrqK0Yuz7XaI38ZtLsFbXn/AnjOQbw8a5hAQKKzVs0s8kD9&#13;&#10;/ugV5K+QA886aIUPCoWlroNE3itYN3Mskn/Fewq8p9Nmt2a+dRv8vxWF/7fg/y34fxv+34H/v8F5&#13;&#10;D/AB6BkG/88++Qj0isJ/Lzj0qo8fIf8Q9AzjA1qF7uDvDuKlK/x3hf+uUfjvhbwXXHd10AofFArL&#13;&#10;qw4Sea/gzr/iXfGvvoPLLv9fwn++KPn/pZHPk5OpyGdi62zqRLpxvyyiLiwxisg31IZlxoOy3HgY&#13;&#10;lJUVRgVQ1TP/hyD34n+o8aQMo0aONJ6SUUZjGUcdmQSmga/pz2Z8rlFP5jEnnXrqtdeWI1drudX2&#13;&#10;ZdTzZehaajTAn0b41VQWGM3Q3VLSiNUMatpUattXYCIYA4YzPpB5/bimL/r7GpVBGfoPMF4YeX75&#13;&#10;F3wpTr1sU/LI2p5OrMpHiVU6544Xf+mcSfM4k+YYJfGhqEznPJoEUsEYYvYFMRtOzIYSs6Ho8rJR&#13;&#10;rRVp4yRsjHa2T+L8UNDXRtYV9W/kVF1X3+NmN683Y4e+FytBjPVLf4ZV5+Bmcnavg6KenO0jbgfI&#13;&#10;6cOchceYf5LYZIRxhlbhuzB+oPXi7Ac494rP98TguzDO0CpkgBPgCPcNh8ij/cRvL3HcG46Pm397&#13;&#10;ycXNDtzP0BVhrtX309nluoIZE3N3lLysYN7t+F1eB4JWx0L9rrQ68npmrDQ275OWpiGtTRvk9+Sy&#13;&#10;IXLFpdv+bWDmlfpmSGqbpjxp5pbHzJxSETwESpjxUtgUKWDmk0SzMHgYPEq/miSbtaW42UBKm42l&#13;&#10;AngC1KJfj/GnzBrS0HxcGjHXK85tkCvb2gP90v5aDLQ2q+NnPfxtjN6npZrZRh4BD4LC9PObTSWE&#13;&#10;3DAfA6VBIQmaeYQ/miOFTJ+UhC/FqZcNSq73mL4/LH9LrNzu28tznYK+NnJ/ridX1Lmz7Q5y5gPs&#13;&#10;iHbufEBsvPZKL+R9zETpRx4MMO+XwXA01Cwiw83iMsJ8UEYS0y/MsqAC8D533kDutdYb5pPylllH&#13;&#10;3jafkneJ2d/MJtID9AJ96H/K+GfEqz9zPje9z52RyL3ydiR5NgJdw8m5oWYj/Goqg8xm6G3JOq2k&#13;&#10;t9maddtIT/AP0AW8xXhH5r3CNe3Q386sDMrQf4Dxwsjzy3vwpTj1yhkl13HXOTOAWEU7dwaY3ufO&#13;&#10;52YK3JSCo5LS1ywq/zST4S9ZuoIuxOyvxOwtYvYGMXsDXV42qrUibeyBjdHOnR5mAmu6nzvbyWd1&#13;&#10;7qjvVrNbCydjh/7eIkVvfFq992N5P5k6l+aglUwmbqqv/Ynca/uwRX0vsf8ObFp+GzYtx4ZvHbSS&#13;&#10;5dik+m42HQjbdPAObLqOTfp8duPpOnv7HkuhlVzHJtXXNuncVHqi8X0dX+6xFAx0KLj7dizs2/E7&#13;&#10;8C0vBb5mlPMwr5VZA9zOh7xWXUmw6kui1UDyW40l2WoqJUAp8LDVRMpajeQRq6FUYE4Fqw6oSf9J&#13;&#10;KWdVlzJWNXnIekJKWo977qNkK7PmudmQ36qCDY9KHquSWNYjYlhlQClQnH6y2Nb9ko/4FLQSpDhI&#13;&#10;ARWsJKlsFZLHrKLyuFUClPK04RHkXudkeauklEdPWasY+gvjf7IUA8ngfvr5rSJwVAw7SoCSoLQk&#13;&#10;WQ9LASsFu8owr6wUtcp52lDKyqxdbjyUsypIJTioDBePw1k1+K1m1QZP0W/CeAv8boV9beChDXa1&#13;&#10;kbz0Q1ZzMYldPDHKTXy8aprKh8jcLk4eRatpincFfW1k/ThJHquaduYO8rkzdkTbq53Jg/cctJLO&#13;&#10;+K762ia9V5WeaHu1M/v0PQcGOhTc9+qP4b360x341vsW30pkUa/V54Te+DLAQeb3ZQ2ymJeTscFW&#13;&#10;QRlm5ZeR7IHRVj4ZByaC6WA24/PI13RydT55Op/cVPngtuZ8OJzhoIzn/phhPYT+B2Ua+T+VPfcl&#13;&#10;a4wHY8EYMBqMZI8MZ90hzBnM2oPYcwPZIwOxYQC5P4Dc9rJlAHb0dvDfMf0X/EXL0X+Rnwo6HyJz&#13;&#10;9Odwjl66gzhuwI5o3+NtsLy/x9tg5ZZvrftkoxWQzeTdDuse2R/GAdqDDnLIISuHHAZe+/mw5f09&#13;&#10;0iHkB8M4QKuwH+wBuxzEy07LBAK8v8c7jPwwcd7poJVsIFYbeL/cQSLvFdy/R/oF3tX9/NU74P8P&#13;&#10;+I92P/8H+0DVerf9cw//m3FfMFHuC+aX+OD9YgULSShYROxgcckTfFDyBh+WhGBZUAF438+fDZ9t&#13;&#10;bmud5az8mXPzAjX8F2r0Ner4H+CeYBNsaCz3Bp+SnMF6kitYR3IHo9Ru5Mqv7kC/9P1eXgbyBmtj&#13;&#10;fz2RYAP8aYRfTcUINkN3S9ZpJbHB1qzbRmLADc6Oy+AcMfyBs/405/9JzoaTVmVQhv4DjBdGnl+u&#13;&#10;wKfi1CsPlVzvO12Hc/MjpWj387mD3vfzuYMp2F8KjkpKIFhUcgSTsSVZroPL1JuL3COcoy6dpc6c&#13;&#10;pcZ42ajWirTxxm3UlRvUFAV9bWRduRauKzfuIK+rwpWubwV1cGl1fFEdUzWY4MS/fBZy9d1GDeT1&#13;&#10;yOuGwQLSlJxuQT63JJe9OHkKuVdO1Wc/1AuWkDrBYlIrWFiqw39VUAGUIR4PE5vSxKhU8BFQBVSn&#13;&#10;X1tSgvWlLDlYgTyvCqqBGuR7bXKzLrL6zHkq+KSnbS2RK9vc7pdaoKcpehsEm6OzlTxJXlcB5UDp&#13;&#10;4NNSAlkR5hQK1gBVQAr9EvIAtj8UTJJH4Etx6sWPkuu467yuckusimQRC0pcTBWuU9DXRubMH+Gc&#13;&#10;ycHk7H4GbIsd94bv/ytlYQe/QYppG7xXOjlIlC7kRhdi2MlBfYdbt7rVKdhQOhO/N4jZm+At8Db4&#13;&#10;axjv0Cq8C7oALw67EBsVR7e13kX+V2rT2+Av4E3wBugAXkH2crCFtKOOtWWdttRLtVYK0C+9R9Rn&#13;&#10;3rb41sZBInMV7nWNgeJefeb13UEMRhKDaOfRSM4bL//HIE/F1kmcR1M4j6azd2dyHs1i/85m/81m&#13;&#10;j87hPJrDeTQnynn0MXKvtT5mT33CWdMPHvvD5yD2yAgwBoynP4nxyZwhXzFnSpTzaE6U82g2ezwN&#13;&#10;XbPY8zPJpRmcR9OI41ecRxOJ6zjiO4a9+gUYDgaATxjvxbweXNMN/d2ClUEZ+g8wXlj6wtEA+FKc&#13;&#10;euWckuu9p/ftFGIV7TyaEuU8mkIN+Yqa9yXn0QTq31hqyQgwBAwgZp8Rs0+IWR9i1gddXjaqtSJt&#13;&#10;HHEbtWUEdUVBXxtZW/zks/ospn77nN3ashY7Kkf5bmEtsVG51l1vRFq9F/Pyfm2wmqwnB76lBm8m&#13;&#10;/tvJsb3gEDhG/yTjp5Gf4cw4E3wUcN8Btyep0cfg9hDx3gt2gC30N5ID65GvZS+otb24VXLNj47/&#13;&#10;7tvYq7vJG+WT2xl7APkR9upx8vAk5+ypYEHJwD6vmpQRzCHnHfA7F/L7DPtMreF2rp1ij5xkjxxl&#13;&#10;7iH2yD72xS6wBaznXFvF/viGfbqE/bEEP5fAxzfk40rybx12bcZG5YcXP0qu+YnMn9zkjaqL6jfz&#13;&#10;2c2fogb//i6cPy3wVb90fvBPwWOKGuP5TcsOqUpbBzQ3tvN7hvHSEbQ2jkgjUN2YxW9AjsiDIB/j&#13;&#10;6ho3u2dyplbH5vm0dWiLskbOzIVv+7dV7xj8zcuw3SmZ1zr/1XbH0nvHmMBzf4Uj/A5AYcJNm3Su&#13;&#10;KT39ourphw6F4ehQ6HdTT2RMFuDTE/iknsFn17cB2DQwbFMlx6vM/2jf1P3CAGMgz2YVxvOsWWEq&#13;&#10;7xV2eJ4rXxi7eE6+W0Ybe3i+u4dnz3t5Zr6X572ZGE+rMAHZROCVmxPhVO2PBlnYqOI5wTiK3qPo&#13;&#10;PypjwRgwGgwHQ7h2kHGIZ+D7ZQDrDMBur705AN/6OBjPXIWBrjFQz4tVDJbeQQxmGv/JixJZ+HcP&#13;&#10;YzPJgwUOpnrysMiYzO8FJvH7h4myEtvXGqmyEewE+xk7hF9HjBly1JgNFjg8uK15FN52OVjgueYu&#13;&#10;Yy7z0ljja9luTOO571RZD1aD5fSXGjP5/UIa9qeDbzzXXMB6Mx245/03Yc5X3QHnBc3/cO6W9wXN&#13;&#10;fjwT7cez2d08g90tNcwjkhuocbd6sz5s25Y7sK0Ztu2IUieamTvkBfAs9jQGqu9m01ZsqU2Oqmem&#13;&#10;2a0T6tnSvrBNBbPIUVTzbGmfkyfds5DnZWwa8lnmHpmLrfPNLbLIXC9LzOWy1FwI5shi82tZYE6X&#13;&#10;eeZU5k2VaWAy/QnmLBlrzpXRzPvCXMGz1XVgs4wyt8sY9KWiV63tVT+UXPOj6/FifJoYxafF5kTH&#13;&#10;J7c9stScJMvMyTyzmupZU9aRM9vAMmKVDuZjd2s4+UsWXGFSzFzzAM/pDskM5k41j8mX5nEZD0aB&#13;&#10;YYwNwp/+8Njf3Mjz55UyEG6GmmnIp8HHRPnKTIXDVLhMlYXmeLid6MmPkmt+Is+Z3QRX1bhDtNnN&#13;&#10;nxtwvSwK1zfMZZ7584e5SP4w58kNc7b8Rl5cNafIefADOE3/BHlyBPkhc7EcIE/2k1/7yZOD5Mlh&#13;&#10;+D4OZxngLLjIfr5sbuN53EZ0rUXnMk9+lFzzo/PHZ0X3yWd5+xRrbZC7rO3YsBd7DmPbcfk3OAT2&#13;&#10;EOcd2LrV3ClbsHMbcd5hLmD8a/yZIifNCfg+Dl/Gya8gxpogOayvxG/NkIA1T9TaXntCybVPkTFX&#13;&#10;sVb3TSfuIOb54Eff77ntn3zWeCkMClnTnNg3yGI/5GSsqDWZZ5CTeAY3gWeQ43nWmCoVQTVQy5oo&#13;&#10;ta2pUge/61izee99rj1uHeG53hGpyjy1B93uuavCYVX0VbVmSRVrOs/hprLuVJ5xTsWGqVIam0sy&#13;&#10;Xpx1izKnMHMLWXN59pfOc7gFPAdcDDJj4OZ/HuzIBRQPbrFQMVCx+O4OYvGP28jVf0TJ1R7WIukB&#13;&#10;J//Az274/b41Rf4COoJX6LeFg+eRP4vfbawV0tpaDzbLM+T3c9YeecnaJ6+CN8Bfrd3SxdomXa2N&#13;&#10;6FqLTu9cVXLNj95/fW7Dpz5RfOrN/vsQ+7pZe7HnMLYdl5fBs6AlcWmKrY2sndIQOxtbK+kvYPxr&#13;&#10;/Jki7cjFjtY4fBknfwc96f+T/fcJ+fApPKi1vfafkmufIvefirWKuXo+ld2aOw5+9P5T+vVL39v7&#13;&#10;GRhH3k3Cv+W0G8FX+DwGDOG9krnZdy5s3+U7sO8g9kW7pzgI/2qPun32Por8BLE7TT79iB/nrC1y&#13;&#10;nrzz4v2itdxT5wVy9xw4S7x/BN9bq+QM8NJ5wlrtWb+OID9oreE521rZjX07yaed2LqD3Nth7eK5&#13;&#10;226ev+2VffijfPZaS8l1XPRe+BkuF0U5X39m/3rVuwvIL1oLeSY1H6TzLGUemMOznlm0M+QSe/wC&#13;&#10;de9ncv97cAocpwYesWbyXPJr7E7jWeI8T9u3I1c2uNX5Hayzhz10kFp/jPw7TX3/EVwE1+j/xvif&#13;&#10;yO8KTqdN81zrGrx6rXUNzq9Rl67Bu8J1eP0tjN9pf2fsRhh/0HrF5HfrqLPWUL3JaPU+K8D735Bf&#13;&#10;D+OadUyugsvgIjjHfvvZOgQOgv1gDz7vl+/o/5uadIzrDjFvL9gBNtPfiGw9Nq7Dx/XWVp6xbpBN&#13;&#10;5Nc28nUXdWW/tVSOWks8bVb5oPMosv6ofa3qz293sL+DfLem60+JLHhRn2uDwfGSHyQGvc//+4OT&#13;&#10;JTk4SYoFJ/CsZjzPclJ51pQqj4LHgxN5ljSV51AzwGzee5//FYNHuP4Iz3q8z/8KwXk8q5rNvFlS&#13;&#10;nnwryxqlQUlQAhTH5iKMF2LdAsxJYm5icK7kC6bzjHgBz4wX8+w18wxw89/EjjigeHCLhYqBisXd&#13;&#10;ILtnQXNiEe07rOZw+zxoij21geprm3SdaY2eaN9htQ7249lMP3kpOJxnjcNF9bWeyDxTPqnPFrFZ&#13;&#10;+Kb/BoL690JFQU7AtP/6uxyrAjExnUOZ/17TjedVgc6hVYFOeVYF3kzQNlRDV15wGVgoDsJzOq1e&#13;&#10;S/17ff0ekeff11A2pCZk2uB2Vq0KpCaMDzyfoGw45bSpvE9NcOPmLhadhD1+2lv/Ngim3LTLjY//&#13;&#10;K1uqsZji6CJQfzMlD7YsptW8/G84asVk/b1GKfTpl66TORho5dshnUE732xR7zU3N/MPHWMlk+dq&#13;&#10;WgGt1kEYYlr7xqJjrPT1XZD3wNu+49IcNOR9FaDkkXrb3aK3SBZ6Fc/tuE5BX6vzSP9b95XMUfv0&#13;&#10;W9p6t3BE92a8oM8zjyZhx4WwfynM1S/tXywDk/BhsIOxMgl7VF/bpHkajZ4xYT1u/oz2jREFfW2k&#13;&#10;PxtZqxp+bKbNrj9p2LEhbEdB9OiX9kfxkebb4HlOp/kWyTzf17LUN1lW+VJlEzbvAf8GP/vGyy++&#13;&#10;aXLNN0uu++bJr8xtg86CeiHaW9f6DnlrxrpnIVd5fsaXLhm+OXLKlyYnfDPlsG+67AXbwSZsWO+b&#13;&#10;K2t8C7FjOdgAdtDfLxt8R5CfZN4p5p/iulNcfxI9R9F3WM74Dsh3vt2etv2KXNnWIAvbcjJ2jTV+&#13;&#10;8Z3G5x/QdV6O+y6x1iXZCFb6zsli3xmZS56n+faADZ5rKbmOu86ZPcRqdJSc2eMbDfejb15bFbv8&#13;&#10;QO+BLbxXObOHNrs50wSFO6PkTBP/Ts84NvFvkcb+b6WBf63U96+SOv4V8iSoCir5V0sF/wZ5xL9J&#13;&#10;yvu3gV3gIGPHpLL/JHNOyRP+08w/LbVBff+/0XNcGvkPSxP/frDTk1slj+S2Dj7NieJTHf8cx6f2&#13;&#10;cKdfOnctBhohb+FPlzb+xfKCf7m85F8PdoDD9E8x/gPyc9h5EbsvSnXwmP8CPp3D57NS0f8jPn/v&#13;&#10;2J6iF6DVa8Ty/hF/wC7qYC6cKCx1bCqfxXz1+6IK2FLJv5A15rPWXDibA9dzPPlRcs1PZP4cQGcN&#13;&#10;8ucYbQPaorQq93nddg3tDtdzw1y71b7u2NqdWLZGcQNHfeZ/NBdqze7w2t1/VP5B7HuQAx+SCx+D&#13;&#10;fmAA/UHIBjNnsP8AyHx+lZKFLsXrYNab6OCCDCEmQ/zfecZayYcQq8HEdBBxUxjo/0n6+39m/fPS&#13;&#10;Fx0fg17EuCd4H7xNnN/kus7Y14lc7oR/qha6cdDJ4WDuzVjoOtDnllx1u7YPMVRwi+MJ1lVxzKDN&#13;&#10;bh1Yjh1HwnEsiB790jFSZ8dyf+ZzwRlaSKvlyvblxG4Fe3ol8VoNL+v8GbIZbAM7wC7G9rB39iLf&#13;&#10;6z8BjtE/KrvRu5PYbqEurIbHpf69ssC/W+ax3+ZQM9KoHWn+dWAl/aXIFsoS/zxZBScbwQ6wD34P&#13;&#10;sy9O+BfJKfbraeZ7nU17kKt8dPNlt38Ndq3CZr4HRt9W/zLWWoZPy2QNWMXYSmQrmLOCGreC2rcS&#13;&#10;naupE2uodxv9G7mW78OpjUfx4SR17zR+ZZC/GficAQ+nyLlj1IpD5NZu/yXZBFaCxfTTGZ9Nfn0N&#13;&#10;V1/Dj5cvKi46N3RebbqNvNoEbwr62qrwwWU3z5fveK/y6ixtdvMqFIhei0OBzFrcgHX0S+dVTgby&#13;&#10;Ik8EBQLzpFAgXYoEFkixwGIpHlgqDwSWgZVgNVgPtjhcldCKaLWue3j/QOCCJDjY5FmPEgIbmLdW&#13;&#10;8qDXRn8wsFziwX3ATz+W8XsC6+TuwEawzVkzJYs1VT26m/UuEtOL/rHMVVjirF0+i/mqzscGFooP&#13;&#10;P+/F31z4bQLFkVcOKLlbHM+hU90r/0Kb3Tg2JY7Lo9SHpnDTmjXc/GqIvH5ghdQNrJLacFsLjmsG&#13;&#10;Nnv69TxyL53Po+PZwBppg85W6G7BGsoOL66UXHOl94vyL9o9Q1M4Vra45enTyJ8JzJUXiF27wHx5&#13;&#10;lRztQH52Il864+8b5Mqb5OebgR3A+zuumsi91qoZ4HuDwAn45H4pcFoaBTLwO0Naglb0n2H82cBJ&#13;&#10;eS5wHBzz5OMN5Gqt9kC/9J6xGOiMnk7ofS3wA36dR+8l1rok9cCT9B8L/CgVkZcPHAXc3xGTCsSi&#13;&#10;Kv5Xh4u68KK4847Jf/JXx6TZLTEpog2j1baR0jHN0Kug4xlZwy4zR9Ww32mzm/u9sSPa2dibeCgO&#13;&#10;ZwD90nYq23sTh4/hsQ9x6Ut8+sPXYDAMjASjGBsdOCVjkI8hrmOIyRj4HIXeLwKHZUjgINftl17k&#13;&#10;RY/AbulGDv2NuvN+YBNYB1ZKV+rhP6gdH1E3PoGTgWAkGEtOTiQfvwoskmnk/nTme8ViNHIvX0az&#13;&#10;30ax375gzRHoG0qODwT9waegL2N9kH3MnI+pkx+T+33Q2Zf6/Cm5MZB9MIp9ncpe+BIfppAz0/Fr&#13;&#10;ZuAAOApOYef3MjlwVsZTO0eRZ4NAH9CTfnfG3w98J13gqgv8ePmi4qJzQ+fVoNvIq0HwpqCvjcwr&#13;&#10;lU8qr+7mxii7eXWXn/tFO/P7lSY6aWh13uTi/V3+IrbloLZdlrYuKOavbdf3v2+XB/n8zZE/C963&#13;&#10;73JQxHazeS/6GmPzEdpWtEVpcwJet32/rz4vNgrbXNC5NPM/2mZ1n9jE38j5e7ENspCr9Zr4q9kt&#13;&#10;/I/Yz/lL2+38xexO/sJ2F9ALfO4vbg/1p9gjkX/hr2yPYq5XfD9BrnK1exZr5WWsj7+q/bH/Ufuf&#13;&#10;/or2h/5ydnd/Gfs98BfQyV/efg1Ze//j2FELNAKt6b9od/C/jLwD8zoyvyPXdeT6Duhpj752dh/m&#13;&#10;fALvXraNQq5sc+NhJLqG+jvh89voes/u6e/KWl3tjqCtv4v9jP9NeHrVbuJ/DjTyXEvJddx1nnch&#13;&#10;VsnhWLnVzy7+ZLhPvnltVezlspv3gEd534hcOU2b3Zy5gsKyYTtS0KNfOmdiGbjiL2tnOChiXyHH&#13;&#10;VT/Snwz0VI6iJ4OcueLgffQpVL6pJ9K3s6yr9oO6P8qub8WpJZWi7IfigUqefz/5IeTlApXtioHH&#13;&#10;7CqBavZjgdogM94lNFm0mi91H/tY4H27tINmnjlWGj2lAg3sBwP17ZKBOnbxQC07GeQHCYG6dh5k&#13;&#10;dqAxaAaednIsJYs1VYxs1otzUNkW7JVADU+/8uBLAj4lBqraBQKPsm4l1q/kmcdKHhn3Qrdw7JbH&#13;&#10;hbhOQV8bGesL2N+UWF+hzW6sa2FH7XCsa2bBkXp2UovY1YKbRg4esF8IKFS2OziozXuFVz1j9kKg&#13;&#10;A3M62i8GOjloG+hsvxLGq7QKrznohN5ODp9uvHQgXi8F/uYZpzbImzOvaeBdu3Hgr9j+FvDW28jx&#13;&#10;kzzFZ1UvIvm+ypjaW7/RZpfvz+G7c5S99Tk8tGaN7kC/9D7Jy8Bg5MPhcmTgNXt04GV7TOBF0Bo0&#13;&#10;o9+Q8frI69iD2Q+fg76gN/1ejPdE/gHzPmD+B1zXk+t7oac3+vqiV63dhjUK6oVp9drqHFRyzY+u&#13;&#10;yTPxqXUUn2aynpdPMwNt7WmB1+0viVNq4D186IotXbGtq92N/nuMv438Tea9ia43A03o12W8OvIq&#13;&#10;zKvE/EpcV4nrq6CnOvrq2jOZp9b28knJI31ScdI10C0P1XoK+trIfPkdvtT+VPdT2c2XUBzfZUbh&#13;&#10;NhR3zHMvBOOO21bcCdsEBoiPO2nnAl6c3Bv3b0dn+yzywGIsDnmOuFP23XGn7Zi4DPvP2O/BT+Bn&#13;&#10;cN6+K+4iskvMuWTHgXtBLsaMuPN2MO5nOxT3IzjtaYPyS3Orc+0++NgfhY/74vZ72p4buRG3Dz72&#13;&#10;Yste7NgNdoJtYCtcbUG+2c4dtwm7N2H/JvzYjD9b8Ws7/u4Auz1tvxC727GhQRb85WTsQuxW+2Ls&#13;&#10;Rvty7Hr7euxK9C2z7wMmyBO3ws4ft8pOjltrF4nbCHZ6rlUEPtXeqpbFWqRxTBE4LwL3ReMug6vg&#13;&#10;ml0s7jr41S4OSsT95uh3y/MScTdsG3jtXzvud+b8Zgv6BN3COhJ3BX6vweWvxP53uPwDLv+Exz/t&#13;&#10;32P/tK/F3rB/if3VPh971T4XewmcBaftC7HH7auxR+xfYw+RSwfs2LgDnv6reEfmSU7yZFk4T9z8&#13;&#10;ygnXCvrayP07Fu5eZP9Oon2FNjufLVreYkdB9OjXrTW1JTYobstrIa2Wc3nMs8hfIifax622O8St&#13;&#10;tzuSix3D+Vcii2vUvVRH4vWMg8y94JaHz8Ttsduo/CKvW5H3LdDdBNQHtcn3mnG77BrMqQHHNeIO&#13;&#10;O3FIyWJNdS9Vg/XKOVhhP4m9T8Z96+lXzbh1rLHGrkuuP8X8JvipuPCqS0qu46VrQuNbOHaLdWOu&#13;&#10;U9DXRsb6S+xXsZ5Om91Yv4Mdm+3Mz741s+BI3Uu9A6/v4Gs3B7PsfnEKK+xhDjbzXuEnhze3mPWL&#13;&#10;O8ec8/ZncRfs/uzrAWBwGENoFYaCYWEoPt14Gcae7A+88u9j5B8S1x7s4+7s527UkW7o9tLbzfFz&#13;&#10;syvfM7DpefhOo80u32nwvSjMdwp69EvvHZWTaXGL7FQH0+y0OIVFN23S+ZOKnhVR9KQSnzQHN9Cn&#13;&#10;sOKmnshcms26z+HbHNrs+rYEm/ZEsWkJ+/KQg9P2Es5S1XfL73nY0habFtC+TFuUNifgddvfk1zB&#13;&#10;pmh8X4HfDAfT7CvwrfraJs13Bnqi8Z0Bv1cc3ECfgjvfC3FC8b2YNrt8l+C3C/q8KIge/dK5pO59&#13;&#10;S/i86/RDyMv5VtgVfavtKr719mM+8t+XeZ/gVqcf892wSzvwrtOlfXvsUr6d9oO+7XZJ3xa7OLqT&#13;&#10;QX6Q4Ntq5/Htsm3m2L79wLtO26wX52CFLdgrPu86nce3jjXW2Im+VXYB5hfGT8WFV51W8si4J9/C&#13;&#10;sVs9SuY6BX1t5N5aQhxUnV5Jm91Yv4Md0+zMOp2CHv3SsVZ14x3fNLuXgxv2O3Cl+tomnccv36Kn&#13;&#10;oFZCq/WonHmZ67xqa3vkr4BXwWugA3gdeHH7um+B5/nQAbnCa+BV8ApoD9qBlxwssl/0LQZLwXJn&#13;&#10;rbpZ2H8fYy8S79cdbGauwg27sQPuD+jXRtbYwTeefjb2zbeb+GbbzX1f20/7ptvP4qPixstPJdec&#13;&#10;R+bBKmxTe34DbXbzYB7xi/bZap7P+7PVXN9xe47vhD0bpIFZvpP2TODl11Sf92erycgn+k7ZE3yn&#13;&#10;7XG+DHus73vwE/iZ/nk71XcR2SV7EpgMpoKZjM1CNoc583w/Au/PVsovza3O52nwEe2z1TTqi8rn&#13;&#10;9kC/dL5bDMxEPsu3Dz722nPBPOrfPOrWPN82+lsZ3wJPm7F3kz0NTAYT6U9ANp7alurbAbw/Ww1E&#13;&#10;rmxooA2g1TaoM20gugb7NtrDqMFf+FaibxlrLWPtZfYCcnUpdWylb629hjlrsM0rVmvgU61VDeiX&#13;&#10;XivAwBo4XwP3a3yXwVV7re8auG6v8/3qYL3P+7PVevbSfKDW6K4XoNVr5OX9fN/vdjp60tGZju50&#13;&#10;1kn3XSHW1+DyV7j8nRz4Ay7/hMM/7TFgBDqHIhvI3M/Jj899Z8FpexD5OsJ3xB7lO0QuHbC/BF7+&#13;&#10;q3hH5sl08kSflW51fDpcK+hrI/ev+m2oquPbaLO7f/P4eX4fruMF0aNfmjtVf/P4l3vmSgLyJHC/&#13;&#10;f4VdyL/SLuJfzbOodXYJ/wb7Af9GsPV/2DvPMCmKLlAvcbq6l9S1TmOCRYLkuCCfAdEPVBQDIiJh&#13;&#10;RXEFhAUUUEDZQFqCRAVREFSCoEQRySBBlKAiYkJAAUVgyUhYVpD7VjOFe+fbqfFZ/twfd57ntafq&#13;&#10;VFedOufU6ZqZcglWtnjmWtvhR99WFfVAXPVY6jNXZeti8FqfH6KM+R3tvg2WpF+P/uOsL4PFIRYE&#13;&#10;5QCywtZ38ANc9k+kMQsz3ll8fRY/PoEOkdbEWfYGZ4j1M6yvP1kfJ1lzR+Eg7Kf8O/W/Id9Hu334&#13;&#10;XMVETdAvPU/1bNzHeN/6rKGt4vL+IVJO+J39w372DwdYd5m0P8Yz50/IgguUL1Gfz/osWAC7F7Q2&#13;&#10;MecN2GE99lgbLIZvJCg/muJUySPF2jZ0VrH2M9e8xlrKv4i1FHQw+SAd+QAYTKwNZW7DmeMI5jyK&#13;&#10;WBtNrI3B92OIiTHE2pgosTYGv6f7mGMtnThKI57S6DeF/l8mxnpDD+hOuRuyrrRJJtaSo8RaMuO1&#13;&#10;9THHWlvre9p9G2xjbeP3vq+DLRmrOTwMD1C+n/omyJvQrolljrUmjFffZw2/EyvMsXY/9mxKLD1k&#13;&#10;rQs2o30L7N0aOO/K76Brgs9S3xH5c7TrTF/JxFp3/NADf7xIm76g/GiKNSWPFGs7Q7H2+1XE2lpi&#13;&#10;Ldq+ZK1l3pessfYEP7X2BlfDKlhh7QsuA9O8FlvmfclC5Aus34Pzrf3BOdYfwdnWITgCxyifCM61&#13;&#10;2INYfwY/go9hMSyjbiWyT2mz1joM5n2Jmpe2rd6XLMEe0fYlS4gjtfYi5aDlyFeyplYR52tgLTG/&#13;&#10;lhhca22l/DV2+gr5l8Hl1pbgEvgYFlCeh2wua2cuMTuHe0z2m4zctP4n09c7rPP3rC+CM4i3uRb7&#13;&#10;EVgNnxGbm4jNr4nHbbTZhm6msbZhTzVWQ9AvnaMFFduw+TZsv806A+cgK/itdR6yg9vhO8u8L/mO&#13;&#10;Nbce1BiR9iXrrAvBdfSzjv7W0fdaxllrncXXWdg5G1teIAb+Di60LmHHS8FZMJ0+30U2mbaTiI9J&#13;&#10;1lHYH5xCvE63dgdnWjuJpx3cY96XKH+Hx8lSK/q+ZCm2Vuh7w/clfzBf9aw4zDWvz4od6BHte8Ad&#13;&#10;xNYOfL7XZ37wpKVYE/zL50veK8zfA560jtPmRJBzmME/8fUZyApxnqsiO8RfXFU8Rdqv/YWf/gTl&#13;&#10;7wTQLx1Thak4gvwA/vsd/+3Dx3uJrb1R+t3rzzPy94BH6Fd9D3iCa17trX5LPxVlH1hGnDLGcnnk&#13;&#10;lcQJzhUcDVYXmcEaYj/8Cjsof0f9N8i/CpYXW/hNfkvwBriWcpB6idylnUt7l/sk9wfp51r6u4F+&#13;&#10;1dimtazkOh51zmvInKI9Axoynml9NhQHgw3E8WB9cZazGBc4L3EJXS6h26VgUcqC+oLI89MuP33l&#13;&#10;Fz9Q/pr6jcjX0m417VdzH99rUa5PfQPkDWmnxjbNScnD56T8FO1zgxpPoe8NX58qTtT6PHcV8dI1&#13;&#10;hx7x9KNfOtbV54au6GBaC0qu6ObzKddPg93BZJPuYqvfZ1M9IFc9ZizvuyHvCskhunDtDEnwlNgW&#13;&#10;TBTsq8SPsBP2+GPVzKUvtUdvKy4GH/BZE2wjFFuM80kUX3Au47Pg02Id463hDMbl+Znmo+YfyU9Z&#13;&#10;6KD8dIFrXtf1K/hJeJe/p4uUt14RwksB5atIdk1Fng79YSAMEpY3GDJEwBsiCntDRUHI7w0TMT5q&#13;&#10;zpFyYA9sMwjGsr6ncJ0PE1lLpvHfYKzXRTFvjHC9USKOMYLeAOgP6ZAGqZACr4DJ5mq+2uY6V6iz&#13;&#10;n9HW1Vh8pdD33s4cLdD/353yk/KXOqvQiWtefh9Qz9/nQ/6Kpz/90jGu1tVS63nfV3O0kKuWKx8v&#13;&#10;s3p6y6wXveXWS95Kq4+3xurrbYBNsAW+om6r1dv7hjbfWL2gB+Xnqe/ufQmfW129VVYXb7H1nPeR&#13;&#10;1dGbZyV5s6323ofWk9AKmntzrIeRPeB9Yt3rrbAaeethC2yz7vF+sJp4O62m3m6rmfcL7U2++Bq5&#13;&#10;8nukuXxttUSvFuj1GP0/6m2kz/WwBlbBSupWoM9y2iy3HocnKLeivrW32mpD27bc387bbj3l/cQc&#13;&#10;dlrPolMnb4+VDC9Ab8r9vB1Wuve9Ncj72srwPoMV8LE10JtvpTHfV7xZ2HIWNjLNRflFx4aOq8/w&#13;&#10;Z+Mo6+8zqzFjNr5yb3hcHcA+XYmno1x75jGu9qPHoyE9GtGPfum4Ub+r7seW+/HnMZ963t+W4l7P&#13;&#10;EopHea/oacwTfxNTf2PTSz59vHyij1coRGGuikAIi6uyZ6S8ZIlBXgyo+IiUS85bg70/8dNJ/Hcc&#13;&#10;Xx3Dl8eIb1O/x/x5PhrR3srOXbDzSa55tXeCiInpEGUdJ4gOxrnVQV5bdPRqQU3RyasO1cAUg5XE&#13;&#10;c36fSeiuX9rHLhUVRGevLNzE32EoLbp6pUR36AEvUu7txeOTm0Rfr5x42asAlaAq5RrIatMmQbwA&#13;&#10;yUYd1LzC10Fl7PFkFHtUFk8ada+GvIZIxB6JXh3RFj1awxPwOOXHqG+OnR7FRo96laEClKXuJmRl&#13;&#10;aBNP29LcY7JfceQq3ppq43HV9ovlfXHRwnPFI16ceNC7lnURLxozVmPGbuzdIu7xbhdNvLvEA14j&#13;&#10;2jRiPNNYjUQvf6yGuYyFuWIaiZfoow+8AimQ6jUWaZDu3SP6e/eC6j/S+rlXDPTqgZpPv1zGKEld&#13;&#10;XTHAq0s/demzLn3XZYwE0Q9fp2HL/thyADEwyCsvBmPDwd4N4FGWyIqjU1Fio6joCcleCfzuiWe8&#13;&#10;68TT2Pkp7mlnnL/yd3icVGHi0fJlFWyt0PeG58tTzEvly3Nc87p+m6JHtHzZlPhqSgw85lPPSxKK&#13;&#10;e71uPo/yXmHOl0msqWdZW4oO+LoTdIHkEF25KrqFMPm7G37pGCVftsN/rYmJlvi7BT5+DF8/Rt+m&#13;&#10;fh/z5xk5X2ZhZ5UvL1yFvdX+S9s7nn70S689te8Zix4qliM9C0YiH856H8oazWDtDRZt2KeaY3Ay&#13;&#10;clOfk8kHk0RL7y36nEDf4xhD6aHsFQ/6Fa6njk29D1Dz03Edr2/i+n/f19jXpWku8ljq3iDmJ5Jj&#13;&#10;phBfU8kz74um3izyzGzy2xzmO5e8OI91N08kwXNGHQeFnhORxhrEcyGD/DScHDSC+BgFr8F4mAAT&#13;&#10;qZ9E7L5NfE/mmWCyx1zkysaRnklz6Gc2eWQm+WQq+WYSMToWhsFAYjWFnNQbeS/66SWehTbeS/ii&#13;&#10;Hzm4P7YYil3GgkkHJQ/3yWs5fBIph3L+m3n/c+/tzMOCnHt+lWvUnj8811SknfKbit2boWToPRfl&#13;&#10;d3W58hlBtZGg2tPd//x9pV6BmJhqrvlzXK9ANTcQW81Vto60RkohrxNb120Ue4/bIralmxjbBQa6&#13;&#10;JtslxgbjTH0mxlaPaxF7d1yj2OZxdWKT4krFJscFwNRnr0CyuU/k9wWS4m4JNI+rELg7rlSgOgSN&#13;&#10;fZYKDDTPPdDFrRBo6d4SuMe9L1DXTcReymZmPau5Om7Cfb8aO+/HcfdDGZyW8/PerciULwuCrv//&#13;&#10;fuV7yv+H/doQX6k1uhR+xaePwM05/MoSTK+ILNKaRuS/tL+53bimm5N/2oTW9COXb/X/q58JRSg1&#13;&#10;F23cJJ8UdxDXSdBXpLhvi3luBnQVw5G/BvPc5j5tIsbrefrLVErBKdB6UpOu30fTeRo6q38z0bRm&#13;&#10;ponB/jpsSsf6peekbDdN9HZnimSX55T7iUh0V4vW7kb4AfaIJ90DoqObKbq6R0QP6G1cnzuRq9zU&#13;&#10;Tw/EVY+lfPmz6On+JJ53fxTd3O9EZ3er6ORugnWwSnRxlyNbLF50F4l+kAGjKb9B/UT0esddL96j&#13;&#10;/Xvc9567nfKPYhL9veX+TJud2N1khyPIlW6R7HCYvg6Iqe5eMYv+5tH/AsZagF4L0GOuO1fMcN8X&#13;&#10;k91p4nUYbBxLyXWe0nuOjfiqVchXkZ5vG0UrbN/qyr23o68F+vmm/v7dIRCQ15g5jR59o8TMadHX&#13;&#10;6MfT4gX3nHjOvUDM5LPbuQG7rVsMboBy9tNuJTvZrWL3dKvZr8BgGE15AvVTkH/oXm8voP0C14IC&#13;&#10;9nz3bzHbPS9mumex/1n8YPJjYXuSUbfCjBGw33GF/Z5r21PdWHsaY01zr4GS9rvudfZE9JwAr7s3&#13;&#10;2iPQZRR1Y5CNpc1rbgnqi0BhyEfdBTGSuQ51T4sB0Neom5KH+704X+ZkRLF3cTvDOCeJ/Brw7EHo&#13;&#10;OgDdU6EP9EL/591r7a7Iurhx9nNucSgCjt0ZGyQzj25uQbsH9IEUt5Cdjn0GIhuMbTJon2Gck5Lr&#13;&#10;OYXHo4pDlcOKXUU8NiOR7wvZ5xFiXb903lB5t1lgn9vWx5aDuI6DFwIF5PhAgsyA5wKObBsoCQmy&#13;&#10;mc++iDqvp78s9N2sBsqft7w7E52zQjpHWsszA1nuzEC8NOWcmYGycmaggpwVqCg/DFSRcwPV5EJY&#13;&#10;BqsDleWaQDm5jj7WB26AoFTroqbSO/TSNipEeT3jfeWTQFtFFePY6wLV6b8m49SSy2m/OFBPLoBZ&#13;&#10;MDVQR76DDpPR4W30eztQxh870lzf9ueadcXmOuep86jnothpUeCcq4gUY1uYWzb++kbNOY/+Oose&#13;&#10;1dnQm/LKWeyhfBXp2fUX8kuBqjK/VVEWssrJwlYp4H8Hs0pAEVnQspEVkBcDMZLx5HHIJEYPBmz5&#13;&#10;R6Co3B+QUBJupFyG+nLIK9OuOu2r+/aNV3MMvbRvmXqMkmv7aNvuyhGDFfVNXPV96vzeLvzyh0+M&#13;&#10;cW4HA3+7mYEL7pFAtnuC9qfxRxZcgkLWede2LrlFrYKyhOXANXCTLGJVYd61mHNd5lxPnoM/4Xig&#13;&#10;rjxC/GQGajPHmsz18twi6fhHoKnc5fNP/ITnmW+Zi4qBH7kWyGMMlLb4GwKhWIynH/3S9lJ2Lm0d&#13;&#10;N+4RSluH3XjroFvG+sMtZ+1zK1p73RpQM0QtrrVD1OFqirc6VqZxrNrIa4WoyVVTlfdV0KOydcSt&#13;&#10;ZB2DU5Dlj9VIT4qrnpf6LaEO8jpWjKzkkyBLW4oYyXlTyHJL+xyPuAZ/og+VM3eq/vNo/zv+hf3v&#13;&#10;iGL/O5h3A+x/J/a/G/vfg40fDPEQ14dDPMK1GZjs3ww7PsF0mqo5hV7aZrGUH0H+cIiHuGru530T&#13;&#10;9LgP+9+L/e/F/vdGsX8z5M2w9b0+CfIO7I89ZF0f4h65mrte4+Hxr+yu7P+L0jOP9u+J/XUujlf9&#13;&#10;hF56zir+e1rnjDbpg7wfuqZb2e4g64I7xPrbHWbll69aheQIy5IjrVg5yioGEq415rT2yE32b2/F&#13;&#10;yyTybAfy7XNWVdnVqi57Qh/oRzmN+v5WBTmANgOty8+neD0prjnnNRK5GqtfLvKS1I2kjxH09apV&#13;&#10;SQ6j7yGMkWHVoN/ajJMgX7bqMW49+SL0gM6QRH072rXmnpb039LyoCjlwtTHIM92u2AvZVNTHCq5&#13;&#10;9rvO7YPwVYkoz6tBPHdM9hvIM2kAz6T+VkCm4qO+6EQMyG7Q2conO+KzJHzWHp+1py+TjmqscB1z&#13;&#10;xlOkfYGaW875hce1imeV139XfsljXE/CVnovVlH1E3pp/6vn4CRidrpPAaPNZmCXmcT0h9Zf7lza&#13;&#10;f4T+n+RgMe8VS2ApmGy2FJub/LMEuWJxiE+4KhbAHPYRHxBH7+O/GfhxhuX6/ok0vxnE4iSfyM9Q&#13;&#10;dQ5Q2fqQsk8ebV1IxMTscc37qEJij59DEtQ4oZf2hTpzVwy5J/a5N4qDbllx1K0gTrs3i7+MtrwB&#13;&#10;ubJlpPV7vTjjlhQn3WvEMbeEOOzGikNuIbhoHXLPkqdPkqOP4M9MYj+TeM9k33aE/dtJ1v0Zq7K8&#13;&#10;YFWThUQ1WQSkqCRLirLyOhEvbxDXyxvF5X13fGgu6qLno3JmReRKtyQlCL20HFPF3CxKy7Kigiwl&#13;&#10;qkpP1JHFRD1ZALLJIafw2WFyyG/knl+s68CGv9191mn3IHoft353z1t7mMseo32UPHx9Fsjhq0jr&#13;&#10;swD3KfS94evzKPqfY5Kn1bzyGDMPoke0586DwvzcaYa8hWCPI7LdRHHBfUr87T4j8stnRSHZQViy&#13;&#10;o4iFYiDB/Ny5DblpXd6O3+8Q5WRDUVHejc/uFdVlU2gGj1NuRX0b/NmWNonC/NzpiNwUtx3o41n6&#13;&#10;SiLmnqHvpxmjnahB37XlEyJBPkacNIOH4AFoBA2or0+7OtxTi/5rCQ+KUi5MfQzybLcR9lI2bYXb&#13;&#10;4pXvQi8dlypulVz7XT93EvFVtOdOojA/dxJFEfS3ZWsRkC3xEd+rYr8YeR80EvnkXfjsDnx2Oz67&#13;&#10;nb5MOqqxwnVUvwXreIoU102Zm0LfGx7XZ5i/yoV/KbvkMa57oYf+3qKm6if00jZWn8l7kedSfRJk&#13;&#10;L/ymypF0ukB7tce7qPrJo07qb/xE02kUOrzpkyBHoZMqR9JJ/SqmdPJ/NMujTl+hkxdlL/MVMWxa&#13;&#10;J1+JG+VWcvK34mb5nagidxD/v8JvcIB1k8maPMpaOi5KQRCKURbUF0Ken3YxtI/hvhj5PeVvWStb&#13;&#10;idGvaKfGbsUU40G/tA/V1JVc20evk93MScdgvL6Ja877dhN/ak4JucjVc3Av8v3ktIOs10yeb0fE&#13;&#10;RfcY+ildauZyj4qnY/gqyyeBOSqqGp89R0VNbFAbGyRgg3pyD+yC72ErdZux3wZst548sl6UhGKU&#13;&#10;A3IT6/Rr9PoOHdU8TPZRcm2f8HVWEAOq+LGVIfMYP/F8gI1m63jb/Pwoh7ySncX30NluLfuCm2D/&#13;&#10;7daz88v6diH5H9uSt9qxUEzeZkswPz+KITc9P4rZ8bK4XU5Ku6IM2lXldXZ1WRrKQyXKVamvbleQ&#13;&#10;NWhT0zY/P25FbloX/6GP/9DXLXYlWY++Exijtl2DvmvLKnaCvNmuJ8vBTVAaPChBvUO7wtxTkP4L&#13;&#10;2h4UpVxYxtoxyLP5Lvycq2xq8ruSa7/rdVETX0V7ftS0zc+PmnYR9LdlNTvAHPLLCuhUGq4Hz84n&#13;&#10;4/BZCXxWDJ8Voy+TjmqscB3p60o8RXp+lGZuCn1veFw7xLN6fpS4irhugh4H3Mt76fq5rHe+3otp&#13;&#10;Yh9wm/tkuYnEbyI2aO5T0RiDze3K8jG7imxBTDwOT9jVZCtoHaINdW1DJHI12TCReDHFe1u7rmwD&#13;&#10;reAJaAktoBk8yL1NicX7ickmjNOE2Fdj1cxlviq/YRN5l0+W24T5qvlH8oGL7VVuibsKH6TniIX4&#13;&#10;XHRSXacTB6b5D0I+DF1Hsm7GklvGkVveIG7fJE7fIk4nEqcTyS2TyC2TouSW7lFyS3dyy/Os+Z7Y&#13;&#10;8SXs+TLrOA0GwzDKI6gfRT4YTZsxUXLLxCi55S36eIu+JpAn3qDvcYzxGn4cjT9fxa9DyCWDYACk&#13;&#10;QW94gfoutOvAPUn0n0RuSSK3dCC3JOPXF7BRH+ylbGqKOSXXfte5Zcy/yC1jouSWMeSW0eSWkeSW&#13;&#10;V/FRBjqlwSvQm9zSC5+9gM+647PuUXKLGitcR/qKmlvSmJtC3xueW64h6FRuuf4q4no1epwN5ZZI&#13;&#10;cb3aPmvcn2xAvoW43mr/5W63L7k/2AXlD9jF5LevkJueV1/aQm4hFjbZBeTn2Hs9/a6GpfAxdQuQ&#13;&#10;z8dH82wXSgL/iqBdVi60b5aLyGdLyV+rYR1sICY3kuc2I/uSWP3KLm3U7QfkSrekXNY5por5nn62&#13;&#10;0+/Xdi36TJCfEc+r4BOYb9eRHyKbwfqaRlxPQ7dp6Pk+8TIb3RfY593F2EvZ1GQfJdd+13G96l/E&#13;&#10;zCriRaHvDY+ZG0IxU+YqYuY39Ij2PPqNfHzUJ8s9S2ycZd0c9TE/j47ip2P47zg+OwEnseWfIU5z&#13;&#10;PUOd4mwIkw3P4htTPj7Dc+c0/Amn4AQch0w4wL37yV+/kcd+Y6zfojyPsInc6ZPl/sZ81fwj+eAm&#13;&#10;bK+eR+WuwgcBh7NrUT4rBZzLe8JIcRxwykvLuVkKp5KMdarK4k51GYTr4EanmoynrqxTWZanTXmn&#13;&#10;HNxEOV6WcUohu5E2N8iSzvXGtVTcubwHjqSD45REB08Wcq6R+RxXXuL5d4m8e4kcks+55BZyLrjC&#13;&#10;yXKLOufca6AUlHfOu5WQVXHyy2pOYRBGHcoiN63nsk5A3uQUYl4FZCknH/O/5MZBCSjqxGCbfNJG&#13;&#10;JmgjaCscm3KsLOIUlUWhuFNMSqe4UYfrmJtJhzKOlBWwQSVsUQ2b1cC+NZyyUJFyNVnRqSXLOXXR&#13;&#10;7xZ8dAtj3yIDlAtQf4n4vEhOuki+Ma0HFQ86JnVOCRJH+jNTpD1uEJsr9L3hOaU8cayeQ5UhXx4/&#13;&#10;u7VHj3JR4rk9MWhaz+2J02eI12edKrIjNutMHHeF56EX5d7UpxDrafSTRgybbJXmXP6uNiGXZ4D6&#13;&#10;TJ6Kn1LgFeK3L/TGZy+Cqc/uznW+/pH67IK8E+upI+vqGfRrz1pTczb1qeTaL9qnL2PL4lFs+TLx&#13;&#10;aorHFOSpxHWaUwRiZbrjgIDC1BeQ/Vh7jCNfYo30gGToxDrp4BTE/vxexDpJ4h6T7q2Rm/zZhnES&#13;&#10;nb/d9s5fbgdyQDIx2AP6QhrlgdQPcS66w9FlOOOZxhpOXJjGGk5sDCffDSdOXoURMDLEKK6K0TAm&#13;&#10;hGmsMaxLNda4XGKnFHWjkY8MMcKpx3j15DDIgIFOghzg1Jb9WdfpTg2oir1rEGe1iLE6sif3dadd&#13;&#10;Z3gWnqKciKwVMd6SObYkp7d02N8QR4nE5VPklGfJLZ3JPyadVTyEx1GPf5EblD8U+t7w3FA9lBsS&#13;&#10;uOb1e52J6BHtd7uJxMN0n3xGP88kXj4kbubyDFlA+0XovgTWwOdOtruJmN5M3G1xLCjq26xiLn4s&#13;&#10;QN0WfLXWp6g/ZlIu7dR+cS1xvob+PmXtrCJWlzPGYvgYPoIFrJu58CHjzqLNTNq+zzNmButuBjpM&#13;&#10;d0rANUZdpqPHRJ9/ftfT+WDhv/DjQuaviOTHuiE/3nYVftyFHtH2jbucA+4fPlnuCfxzAvv84WPe&#13;&#10;N/5B7B9gDR9ivSgOs06PwNEQx6g7HuIEV9NaOIEdTbniOGvuGByBw5AJB+F32MO9v7J+d7NmdzHO&#13;&#10;Lp7faqyaucSG+h4Dm8jvfLLcXcxXzT+SD5Tt1b6xwVX4IDvHWoqkUzZ6FIxVJMhs5qPKWicdU6qf&#13;&#10;aL8fZDv76ENx1M12FJF/P7gzNLeGVzG3ErH8Zhx67kWaW4nYYrKaz7WyRKyi2JW8F5677kaXC9AY&#13;&#10;LkJ5/MUQ6vWvz93348u5tCg69QukcTZVsUL280m7opO2t+qnU9R+OtGHohf9KDpd6Sd8bhuZRGH2&#13;&#10;apu4Fs3jnm08OqWGdIqUI8cHUjkfqhhiXFNTA4PkjEB/zpSmydm0nx9I4XxrilwBawPp8rNAhtwQ&#13;&#10;GCY/D4yCccZc+Dk2XOkz3piXVwbG0v8ozrSOkEsDQ+UnjPERzIM5MBudZ1E/g3Gn0WYqbd8LjJHv&#13;&#10;Bl6DccxpAkwy6vIOeoz3Sb3iC+3TudgvJWS/ciqqQi/92xBu4W+KpnDWN+XKveF+3Ewbi4bqb0nm&#13;&#10;1Y+X0GNFlNi6xBzO+HTibKtixRWd9Hz25einfmgu6qLng5i/n7hC/uQzRG7Fvlvx908+vYzx8VPg&#13;&#10;ebkjkMz5z87yV8bfF+goD8BBOBQik+thOAKm/H6Evkz5/TDyzBCHuCoOwn74PfCC/C3Qk/F7wYvQ&#13;&#10;25jf9zG3Iz5DaKv4x27hvvwG+6g1+T3XvPpS/V3Q2SFfxtOPfmkfkMb4u6CzjfP3rHmypLVAXmct&#13;&#10;lDdYH8tS1iJZBspDRcpVqa9lzZcJ1ocw3WjrBOttf6xIn3nqWJPpa7KsYU2R1ax3ZBWoDCb/lbXe&#13;&#10;NfYZj/xG6z15vTWVeUzn3OpMmG3sU8nDn3E1sOUbUWxZw3rD1yXS3q8W8jrWeOz0OrwGY2E0jKB+&#13;&#10;GHMfKqtbGcw7Q1aAMnCjNQTdh2P/V+W11ijmMNaoezHkpnguxjiuNUgGrf70myrjrRTGSsHeKeiQ&#13;&#10;KutTfzvyBujSgPFMtm9AXJjGamB9RB8L5Z3EiaIhMXN3Dv7L+0YhGiM3jdXYWuGPNU4HMVcdx+pz&#13;&#10;1H+R322tlHdBQ7gTGsCtUB9ZPWsp52aXwCfwsazNtSZ1Va3lxPFKWc5axdnmVdh4lbyG9iWQFUW3&#13;&#10;WOYYSzzEWjMov0f9FOSTaPcW7d806qziITyObiaOouX5m/GFQt8bnht+ZL4qz+/mmtfc8DB6RHte&#13;&#10;P0w8tPK5/Lzux3j6pW1fkoo2xEuiNYDzq/3lM7TvgO5doDv0pPwS9X2Q96XdK8RzijVQplM30GKf&#13;&#10;g3wY7UbCeJhopcvJxP07xOm71kh43bdxRT0wVz12Ad6/i6/G+5jjfjx9jWMdvUa/Y9BhFGO8CkNg&#13;&#10;ILHeH1kqbfqxfvqF/BppzH6M18PndWP892Bt92Btv0Df3RkjmbE6QRI8TflJ1nRrtcbUHIkpFf+R&#13;&#10;xmzFeA/7/LN3CI8LdS5WxYU6s5nXuJhvRY+L+fhsmY85Llbg71X4/VN8vZ72n+PfLbAVtlP+gfqf&#13;&#10;kO+g3U58spu4+JW6fcTFH8gP0e4onIFs4uIidruE/2LESDDHRYxgj4K9zkTJh2fw+Wn8c4p+T6DD&#13;&#10;McY4DAfgN3y0F9kvtNlFP7uixMUuxvvWxxwX3xIX24iLb+h7K2N8yVgbgb9ZJddSXkVcLCculhEX&#13;&#10;y6LExTLGm+8TOS4OhuLixFXERVBE30sEhXkvERTzOMu6QF4r2EsI9hKCvQSUh4qUq1BfS7CXEOwl&#13;&#10;RJS9hIiylxDsJaCGYC8h2EtAJTA9Y8qKKHsJ5DcK9hKCvQT6BcVMMO8llFzncb03roEto+4lRJS9&#13;&#10;BPI6YjywlxDsJQR7CcFeQrCXEMNkTcFeQmTIylABysCNgr2EGI792UsI9hLcY7JHMeRPEDNNQb90&#13;&#10;7o2lohjjlBDsJQR7CcFeQrCXgGpQh/It1N+OvAG6NGA801gNiAvTWA0Eewni407iRNGQmLkL7g7x&#13;&#10;X66KRtAYuWmsxuQGNVbEvQTyuwV7CWgId0IDuBXqI6sn2EsI9hLiE+zNXoJrDeqqCPYStCkr2EvA&#13;&#10;tXAN7UsgK4pescwxlniIFTM4M85egtiME+wlBHsJEWUvgb/D46gCcRRtL6H8odD3hj8zTmIH9cw4&#13;&#10;xzWvz4xm6NEttDeuTz/6pWNFfdZrJrpx/lmRyrllxRDeK+YZ/d4Gm7XF94n4/kls3Q6eDtGeq+IZ&#13;&#10;SAph8ntSyO+R4vkZ5O3haXgKnsSXifAEtMC3zfFjM7EYFsJ8P8Zq6sly1fNV3+U1Y273+aTSVtEt&#13;&#10;og+yaK8+62VzzasPMvDBoiifTzKIQRX3/UC/tM4lqRiJ/DXmNk7MkRPIbW+S594kz75J7E0gF4xn&#13;&#10;Db/GWh5JLhkC6dCPcl+exy8hf1FMgCkwnfIH1M9DvpB2i6Qa2+QbJdcxqvPkEOak4zteK8xV66w+&#13;&#10;vw4htk1zGo18vEiTE8lD75L7pqLnVNbcVNbgu2KunETcTMC3o1mrgyEFelPugT5d8XFn7NCZOXUW&#13;&#10;4yiPoD4DebpMpV81tmlOSh4+J+UnPadyucyJMIjJ4D6Fvjd8zf5FG7Vm1d91yGu8zEePaPv/+cTt&#13;&#10;Up9hxjW6jDhfgX1Xk+/XYusN6L4pB5t5r9gCX4LJZl8ST8qfkdboFuSKzSE2cVV8Bmt4Hq0iFpeL&#13;&#10;MXIZ/loWyqkVc7Gz+uywjDU+3yfy3ik/Nla2LnQVts7OYetIPs/GzoXtVH/uSbno61JX0B4g89mv&#13;&#10;ygs8L7LENHmGdfon6+uoWCsPiS2c1/5a/i6+5bz2dvkz7ICf4Ef4Ab6H75Cb7P+d2GTU4Qexmf42&#13;&#10;0+9m+r/Mz1x3wW74hft/hT1iI3wh9/pskPvEenRbA6vlfvKp0qFqLvMsSN1WbPEzZLL+lF30OtB5&#13;&#10;IRN7RltDmcSZQt8bvoYKh/yqzuSWwL95+T7/Hs4+aT3ic5kLXcfcY1/OTwm5yNXZgabIH8Xvj+Pb&#13;&#10;1vZgmYh/n7Qvf7aJz+Ue1edjyE05r7k9mj5HyEfsYfIhewjnaDPkPXAn3EZdfeT16KOu/SZMgemU&#13;&#10;P+BM+Dzk7LFs9lDQBJpSfthewLncuZwh/pDzwTOM8fMkcqVbpBhOpJ/W9sec9V1CnyvkA/ZK2Qhu&#13;&#10;h3r2MlmLMauhR2V7JkyBcZRf5Xx6BufV02UD7KVsaophJdd+1zHTKIevyuViV0IgphH3KfS94TGj&#13;&#10;/l6JygXXcM1r3h2FHjrvRtJjFPHwVpRcMIF4GYddRttvcX53mhxqz+FcKs9ae63sZ2/hjO/XnE39&#13;&#10;ljO/22VXSIYu0Bmeg07QEbnJjh1tcy54zt5Mf5vpdzP9X6Yr1+7wPLzA/T2gp70RvuCcrGKDfNFe&#13;&#10;j25rYLXsg99NuaA9dugKKfZ8zij/by5I+Rd+TcGnikh+Vf5UflVnZ/OaC6ajR7Q98HS7G2dTFaly&#13;&#10;ic8Q3ivMe+B5rL959kecc10oP2LtLIRFIT7hqlgMS0KYfLqENWd6vi5G/gksgoXwEf5ZALNhlr2c&#13;&#10;s6tL5XR7MSwE8x54OnOb5JNKW0XkPbCyvdoDl7qKtbUDH0TbA+8gv5hy5x7k+5nbAdZTJjnosD0V&#13;&#10;3oY3KI+VB+1RyIfKPeSjHbAdtlL+0h7J+eSxnC2eAFNgOuUPqJ+HfCHtFtHevAdWch2jOm/9nCO+&#13;&#10;43PJW5gr5mdi2zSnfcgP2mmcuR3E+dbhnJkdC5NgBuW5nLH9mLktl/vsVfIn+AY2U96APmvw8Srs&#13;&#10;sIo5rSIXr+G5soE5byYXb6NfNbYp3pQ8fE7KT/q5GSkH7uA+hb43PBerOFFrVp2bzWsuzuf88zv6&#13;&#10;I7nYtgh1+ZxO0vF5kzOvqbI2XO/wvYuzgjOaKzjr+Tby6bCCM6qKyL+zV0BXFeNVrkLn29A52hmC&#13;&#10;25w02dhnhbwNnVRZ21HHleon2hmC25hLY59e9KGIPLeqoblVu4q5tUAn/WysmIs/1J69BfZ/0sd8&#13;&#10;huBpZxBnDvtzfjKN826pspuTInvAy5DupHO2LkMOdoZxzm4UjPNjONKYGdjwFR/zGYJXnLG0G8UY&#13;&#10;I2QfZyhnQDM4b5rB2BkyGTo7Q9BnKGfwhnGmc4R8mrZPOWPgNdkOHdo5E8D8O0A79Gjh87/PwmTs&#13;&#10;F21dJTN/hY6H8HWlzuipdVXnKvw4L4ce8bn4ka5j5qGDyllNc5HHUrcQ+WL8thxfrXYGcLZusFyP&#13;&#10;7TY4r8ovsNsXzutyI+twozMR3jXmoLeRm8Z623lfTnFmy3edeXKas5Azd4s4g7dILoTFlJc78+UK&#13;&#10;Zy7n9T6EWcaxvkCuxuqXy7xKUvcFfXzuzGEe85nPQrmOMdY4i+l3mVyGXxc5Kxl3pZzvrJJzYAZM&#13;&#10;cZbLt5xP5DjuGUv/Y50pMI7yCOozkKfTLkUqm5pysZJrv1+PLsVhNb56M8r3RqudN432W4UvVhLH&#13;&#10;K5yRcik+WoROc2EWzKD8Hj6bgs8m0+5t+jLpqMYK13FujniK9LyYy9wU+t7wuK4biutbryKud6LH&#13;&#10;rCi22hnyfxK21S/9fZVLxU7ibBdxthtf7nE+5pzgIs4MLuIM4SJ5Ck4TE+ecBfI8bc4TK+fp7xzx&#13;&#10;eYZnzGk46UzjHONUow33h+I9kg6/Ej+7nMlyB7nme+ctuZ11tB3/bXeGU2Zfw3rbTd7chz0PwSk4&#13;&#10;T4xdZA1ewp/5YkfAGKMO5+hPrYNIOpwjVs4SF2cY8xR58RjjHoL9sA/2MM4v5MndtNlN7Oymv1/I&#13;&#10;k3uJ+33ou995gzOebxh1OBaK20g6nCF3ZGODi9giX+y7skDsdPgA5lP+mPolMos1eYo1mAl7YSfl&#13;&#10;H6nfju+24aNt+McUzyoedEzqNZf5L+I5E5sr9L3h8XxbKJ7VGcm87n9aCf49mijx3EocNa795iJL&#13;&#10;PiLyxT0kCsc9IIrG3S9KQlmoTvkW6hvGPSLuiXtMPBTXSjxh/NvfzZGbYuZB8Qj93h93n7gv7l76&#13;&#10;vEfw98pFg7i7xX/i7hJ14hqKanF3ikpQAcpCSeqL0qYw7WPQJ0s+ynxM/lLzjWRz9RuJ5Nl4nmtp&#13;&#10;rnn5zkj9GwKl4y7//9tV6Ue/dI4oSMVYUTpukPiL75lLx6n3Wh8dP6n0cSzkt4a6A666D8QxqeKY&#13;&#10;fBU+EHfFTYZxomJcL+jC+3ag5OH9DsrRb7lc+mXKMYO4T6HvDY/LbNrE0VB9b3pDHm20OIceNXPR&#13;&#10;Q/2+shgd1vrcFbeY+ahyJJ0K/B/2zjw8qiJr3KhEIYBym67bfTeEsO8BIjuy7wmbsmQYBTdGQAQB&#13;&#10;QRQRFwQEBcRlxFHZIYAgJBA2WRQM+5awypJRGFZlQARE1N9bl76YJ3ZX+zPfH98fXz/P6+26p27V&#13;&#10;qXNOnaruLgO6SJ3y50GnK+h0PspcuVLwvDtXEsLoLL/ryxd7vliB2AvF7o69zN8juM7fJcjnD8be&#13;&#10;pZwTRZCr9hOFY2/3F4z9tVhM7M/Fbo+9WuyXgleKXYHv4VTBn/je9Ve+l83v/7pgETAgzn+0YEX/&#13;&#10;vwvG+/9TsJb/O+bOFfgV8sfW8heIjfcXiq3sLxxb3n93bCmlbkHkqvkajK3k98fW9N8TW4d2G/t/&#13;&#10;K9jMfxnOwbfkhSMF6/mzmLe7CpaDABTyZ5JLDqF3dsH/8v3tecZyXjlfpdzzuzc/5N+q9nwVKY4v&#13;&#10;85zEezZ3HMvvh+VcL5KHmCnJ59zufvXfPSsZezPnJYaJmcLcKxeb5K8U29xfJbaRPz62tr96bFUo&#13;&#10;BUF/tdi7/ZVjY/wVY3/jb3ZcLVYyVp3byiNX+atq7BW+f73Bd62/8jdB8vnvi73DX4v4qxNb2F8v&#13;&#10;tigIP3/nBIpDHFThXm3qNPYnxLZAn/b+8ownGb1LhBkPpswnxxvJ5neHbC7/Pkbu/FqeZ6U9ZBvl&#13;&#10;IBh6z0XmPXm5lY9lHaaqWx8X/uHf4bjMw4VDfokYH8HC/tedwsp/3+Jj5Esd4f/SKePPcmr5jzrt&#13;&#10;4FHl+I86PwrpgwTwXl7eljniqFNEz3Li9C+dGvpSp5n+sZOovw4qm14OJir/TcsjyDcHm+npwRr6&#13;&#10;nGCc/nGwCPwoVG1+HHxUPfZgO/+cYC1/erCMf3NQ+I9gr8ugalPKI/l+Mo4KgHMH/14C13Br6//5&#13;&#10;kv9H6H+xLxsTv3JejsdR8nv0UvgyOYcvOQfyP/pvb2Sa7HNC87gj/Xovbz4V4UamOdJ/wmWaP781&#13;&#10;0m/CNXOa37b2+O+E8+anyJfBHn+my8iIMbpNjgkyoVKOcdHNKC9eo+WeOBapeSGdS3gKc/V0ls/H&#13;&#10;WfPcuRdpTYizpvrLWm/5q1pj/PdZo/wNrRH+1tAVelkv+3tbb/j7WhP9T1nvwFTlnOyBXOajEWF0&#13;&#10;kb5Mtt7zd7em0PZk/wPWm/721nj6Gu9vCg3RoS6yWtY//QnWJzAPllJe6a9nfe6/3/qCehupv5Hn&#13;&#10;NvL8F7SzlvbW+JOp08NaptTtKeRSt0h26Etbva1NjHmb/2/Wbn9nK9PfBhpCTWuXv7K1GTut98fR&#13;&#10;jrSpKjdJuZebvH1EK968EPJV6TD2IQTytbJe8Eu8ZxtwrwDcD9J+WVSKg6/hr8bMQvRYF9Ijki0W&#13;&#10;Wuv8M132+KcQ11N4P9hliX8yMTLTJdW/0JKsu6WvN9YpvEkN9VEZvb2XF5f5uTGFZ6dYk/wvudfU&#13;&#10;W23kHvMRxirnyTd5GHMWxosRN/dOHT1luHr6yLmdFYwRx12qiLuMGKHD5WBZETC6iYJwPlgVeT3o&#13;&#10;JrJcYkQkP72HrtXhI6gL3nymmz89tysY/IYY0jlSvFQwLFHBaObuASL5soLRUlQ0WotKRltRxWgv&#13;&#10;4o2O4j5oAE2MJNEMeQvaaGHcD3XcdTweRb2XZ6MYbrSgv44u3URLbNKS9lRzqgV9NDM608+DoiH1&#13;&#10;6xrJoiZUgjJGVxGHvAQ63Gu0geZu35HGeq87VuuWzb1Yq42djCh2qm0YQhLJXx/jo5owMw/+Go4e&#13;&#10;HUN6lPCMx9Wzn8zFwxmvtNeIMHI5v19E/jI2HY2vxuKXcUYTqAsJEC/GGJWRlRWjjDgxHAZBf8p9&#13;&#10;jSqij1FdPGncB/WhMeXm3G+FPIl6HanfUblHk3LPPp5te+aIwfJhdGZJztcTvzzpUko5tr5GCXQp&#13;&#10;LgYYDvpYYij+eAFegbGGLSYYJcVko5x4x6gKdaCFmIQtxhE7o4mdUcTM8zAUBhndaacr7XUR/YwH&#13;&#10;GOvNsUXSsY8xQPR0+T1+cueZ2aEYmM+1AZRhbIVvjvlPz9kZ2MsXJQZmGD7lnJlh3C1mGoXELKOg&#13;&#10;mEMOWmDcIZaGSOWa5pJfLDPyi+WQjI4lburp/jdnvC03iij7WoY8LUQqV8lSWAyL4FPjHrHQ0ECA&#13;&#10;5fbVPExffDTNtxz5cqMU9STdxAyXUmIq5anIZrj4bsVYbvsvwObxsAj+as5c/yfsvz6K/ddj/w3Y&#13;&#10;/wvsvxH7b8Heu0Ps4brXJb/IxPZZUeyfhQ3lfE8MYzMZW5nI94bYw1WyG3bANpd7xFbsvxX7b41i&#13;&#10;/yzkWdh6q0s3sR77r+f9CheL95LI9pd2l/Zfkgf7X8H+ZpT4v2KYSpv8jPw3dL3DdMRd5r0i1iwp&#13;&#10;Cpulxd1mOXGPWUkUNasJzawBtaCBMv5PGg2UfZ00mor/kCPPGO3EeaOD+C955Ar8DL9Rvt1sJ/Kb&#13;&#10;bUSM2Urcad5cn0qE8aXM7UWRS1+PCCMPuvKW6N9GFDETGU97xtVJFDA703YX+ukmfiGn/UxuuwY/&#13;&#10;wndwCh9+Y3QSR41EcZh8ftioB9UpV+B+KeSO+B57SZuq8oCU587td/J5JyGKr+40E5T2u9OMR//K&#13;&#10;2KiiuM0sI26wHl2Bi/CdUVqcJZ+fMiqJk0Y1SFDqKPvKreOPxFO0tf1H1g+J92zuvLKUeJZre3oe&#13;&#10;4ro4tvL2YpHWmOKmJcq5lFHarLxZSlQkpquYxUU89RNMU9TJQV3eS+pBfVD5tT42V+WXeswbSd0Q&#13;&#10;dbhKakA1s6yobFYQFfBfefxYHvvLviKNrzwxWtwl8hq6MmTrNXmw9VhsfXuUuBxr3u6OOyHMXJPf&#13;&#10;e72NfKoZI6aZhcQcs6hIMXUxn3yisuUnyKUtI83fj82g+ND0i/dNTbxj3i0mmoXFWBgFw817xBBT&#13;&#10;iAH4qz/+7U+O6m/WpdxYDDZbiueY8y+ZHajfQUyC9yhP5f5HZjPxsXk/etZV6jYfudTt8TDj9XEv&#13;&#10;xWzCONuI6bQ91ewqJpvJ4nV4EZ6l/DS5pjfyR8yGUAVKiifMgOiH3oPMu8QI7CVtqrKPlHtzzNsf&#13;&#10;vp7DV5H27a/znMR7Nvf8XE+syHUnIw8xsxs9oq07u/GNaq5kIT/IfDxCHGSz7nyLjU4yT06x7pxh&#13;&#10;3TmDT8+y7pxl3TkbZd1Zi1zV11qzqVjPmvIl68smfLbF7Ch2QRYconyE+8fw13HqZEdZd85EWXfO&#13;&#10;EGenaesUMXeSdecEsfAN685x1p2vmc8HzO70myz2wE7IgPXcX0295TyTSvupZj2oTrkC90uJDdgo&#13;&#10;A3tJm6piRso9v3sxk42voq072VHWnWzy1XHy1lHWncPkwP1mHPaLE9sgA59txGfr8dk6fLYulNdK&#13;&#10;hJk7ct2WfeXWcRc6Rlt3dpkGfUZedzYTz3Ld2ZmHuL6KHt73FvFh9I/h3lXy3G2WpJu4it9k2RtP&#13;&#10;7rm2C13k9xK786CThiOj6aShj+XSTWjoJcuRdNob0ikzDzp1RKd6UdaMjlY9ZX7vaDUWna2W4kGr&#13;&#10;rehmtRd/tzqKR6E39KXcn/sDkQ+ymkBdqE65MvfLIy9DvVLiEfg7dKfcxapAe5VFR6sG1FPOEyn3&#13;&#10;7OPNk168iZbTelk3c1qkdfBx5E9aluhnOejJZ2+rhHgG/eScjRRPz1j5xQsu3RijpINy7Rlgdabt&#13;&#10;LqIPdXtb3cVjVrJ4GLpDZ6urSLI6idZWO9HSag71oAbliiLRKi06oVc3dJTjUOURKffskzumD4Ti&#13;&#10;52ge4mfmn7D1THRQ5fS5yBdg68WMKdW6Vyy3SoqVjHG1VU6ssSqJz61qUANqgfpzy2Tkqr7etpqK&#13;&#10;KVYr8R52/Sf++YgYnQHzYCHlxdxfYrURS6mTit1Vtv0cuewr0r5nDTG/mrZWWYmMp71Ix5/L8PlS&#13;&#10;fL4In8/H53Px9SyYDlPhHe6/Rb1xPDOG9sfg9zHMl3HMibeIv3ew0YfYS9pUpZuUe3735kUqb6Kt&#13;&#10;H6mW+nNLqhWP/pXFZ8Thp8zVFCsO+8WJj2EqPnsfn72Dz97GZ2/TlkpH2VduHWegY7T1Y4Zl0Gfk&#13;&#10;9eMY8SzXjxN5iOvt6BEbyot18LH38r4jkv8v9XYrVux3sUQ28ZuNf/a7tFXG4H4rSRwgHg4Sb4fg&#13;&#10;MByBoyGOcZUch2xQ2TCbeFHF+3HkR4mzI/A1HIaDkAm7ke2yHhQ7iMnt9LOd2Jd9xXuD5eqNV66X&#13;&#10;2xnbRheLupLYW/7LnVtOYnu5Xp7Kgw/usKPn8TtsdW65C3kh2xL32I4oZt8rdLukMOzSwrLLCduu&#13;&#10;JBy7GtSAWqDOLRej5JZL5JYfyBtXsOM17PkLOeV2u6MoAIXtDujQTmh2G+GzW6GLOrc4yFW5xbZb&#13;&#10;MoY2wrQTGU97EbA7CWF3pu0u4m67m4i1u4u77GSRH26D6+SWy/j7e3LLGXLLKXLLKXLLKXLLGXLL&#13;&#10;9/j1MrnlZ/KGtKkq5qQ897wthq+i5ZZitjq3FLPj0b+yKGpXFEXsMqKgHYf94sSv5Jbr5Jar5JbL&#13;&#10;5JZL5JZLUXKL7Cu3jrejY7Tccrtt0Gfk3HKaeJa55fs8xHWTHHqUCDPX5N66CTpI/0fan7RGnkRc&#13;&#10;d7aLi67EdHfiOZlYVvmtI3JVTHVgPrS3y4t2dlnRxi4lWmL7JlAfauGPmvimBj6qbt8H9aEJ5ZYi&#13;&#10;wW4rahOD9YnzxtACWhPvbYnNJGQdqNPRbqrULRm51C3S5/TutNOFdjvZD4hE4rsVMd0Y6kANu6uo&#13;&#10;gqw8dcrazaA+8L0MY6mK7jVtW9TFXtKmKvtIee6YaZzDV5E+pzfmOYn3bAPGUQC8354vhGLmch5i&#13;&#10;pjd6RFuPetuxYqCLJYYTG8Px4UAX9Xo00E6iXnsxCJ8NhiEwNMQwrpLnYHgIlQ2H4xvpx0TwXt4a&#13;&#10;UpgbzyEfRm4aCkNgMAyC/tAX2ZP2g6I3eaw3ffUmX8q+4r2GuHptyfWoN2N7yMWiriTyevQjtpfr&#13;&#10;0dU8+GAcPmge5bPSuFDejhTHb9itxXjidAJzYyJjnELe/gA+gmnE8Ez8MAd/zKXOXNaJubQ3h7kx&#13;&#10;i7k2025MnUbiQ/t+ZRxPYR1TzaW3mB9v2HXFWLuOeI25/LJdHSpDOcpx3L8X/SwxmZj+J0yHecyh&#13;&#10;heSZReSBxcyrxdRXxcEc5Cod5pDjZ9POTHLNdHz4Ef2+D+/AZMoTWaPfRDaBOhOoO8GuQrmamMS8&#13;&#10;noy+U1iz37NrKnX4KLTeRPLFLNb8FGywEFssxmZLsO8SctUS4m4xvlhALM4lJqeTYz6ASTCO8uvk&#13;&#10;oFfw3Sh8NCrKOi7jwcsL3j78n8RRtHVI2l3iPduAeM+ZU64Rx3Id+iUP8XwcPbzvIyLltuN2jIhx&#13;&#10;YpRzujByn3OX0J1CwnLuEY4jwIZSlMuLgFNFFHNqiCJOAm3d/ExQOcyczs+9c/jsHDY+7vL7dx+e&#13;&#10;7XwO59mjzEEffcvYSwjTh/yO2+fooqjDP13iFBUF0TfGuVvcBjKey4d5Rv5Wf86+G70qUa+Ssu07&#13;&#10;kcc67F8Yd1GnDHaJA1sZp1Ieyc+307nMWwW5/tXfditis2i/wVR0+D3FRf27SAI+reWUFHWd4qIh&#13;&#10;9Rs7pmgeogVXj5a8bwWqHNEK+0g/JYaxeWHutXJKi5YhWnCVNIdGUN8pK+o4FdClMnrHw824iuS/&#13;&#10;BKebqOgS+TeYWGws51SRPNj6SWzdKUp8Pul0csc9Isy4g9wbgHyw014MddqI55zm4nnnfqgDNcRw&#13;&#10;p6oYRnwNwXYDiK0n4VF4CJv0wB7dkXfFFl2detCEckvut0XennqdqN9J6RMp92LRm3NyTF6+KhFG&#13;&#10;Z7lffdK5uV+NNKaByIcR5yOInZfx3Wvo+Rpjeg0dX2GcLzodGWtX8YyTLP4BPaE75QfQp73TTiRi&#13;&#10;h0TGlIivOzC3HmTMybTXi3Zl36o4k3LVmCLlPvlczmcbMM4C4O3rZJzIeCmWh3h5C9vWCMVLPG17&#13;&#10;r5z7nLfw+3yXBuItR1Lj1nhy6+RHl/vQKcC1FtcyNFj4ZqN/+izOBYJwfBSdLgTHi+suR8WFoGR8&#13;&#10;RJ0+QI9GMBVa/UWdChn58k0P6RRpjhcypgvhMl+ZV4LGHGEZs0RxY4YoSf3SxjRRHqpDbWOmqGek&#13;&#10;iPrGQs75LYF0N7Yi9dnAOCpquKS7fT7uOZCr50Mf72sYabS/hDOEi0VVYwHn+FJEWSgNcVDSmI8+&#13;&#10;C9BroTCoE6SubqTCMsaUDqtgrVIXgR6FXKbf8oU3h0thv2kh+0WK91KMX+LNldyx9S981wSmw1/1&#13;&#10;47PocTRKbD3LGPq5jBfPGpKjt3TyxtM9Rzt1wthcfj/Xnefau6RwPlMyg7LkfWV8tDfeFh2MiaKz&#13;&#10;8aboQv/djTfEQ/Aw9AzRi+sj8Cgk01eJMDrIvPioMUXZ1yPIe4XoyVXyMPSAZOMdeJf+34N/wlS3&#13;&#10;r/gwfcVwrztje9QlhbqS3+2W25cz8OH9MDcPvpyAD3aEfFkijE5y/BOMHcrxTzB2i7eMTM4rZom3&#13;&#10;jf2cXTwg3ocP4WPKM7g/19gr5tPOfCNDaev5xjq3r0j7vhRjPW2tF7ONDZwT3CCmG1+IaaDy3wfG&#13;&#10;l8o230M+xdjI+ctNjCODs5hbYYeyTSn35pgXz7Ox5cootpxtrHR1iZRj5iJPMVZgp+WwDNJgKSzm&#13;&#10;/kLGvoCzkSmMe574F7wPU8g7k41Psf8iMdH4jDGkKXUfjbw7fk0M42+5zoymn7HGXGwwi3ani/fI&#13;&#10;J/+CmZBCeRH3lyJPQ5c0+lPZPo24UPWVRmykGfs4z7nfZTkxkw4rQqzk/qoQq7mq+lptHHP7eifM&#13;&#10;uIpzbyXyFZAOy43j9Hecvo+Lz2AR82yh8TXnTQ/DQdgn5nGdTXmGcYQ4PsY5zuPiXZgI4ymPQfYa&#13;&#10;er7CGF8xdsJmyhu5vwH5Wuqtof5qpc4yHnLH0UfEUbQ8/xG+kHjP5s4N88gJMs8vykNu2IQe0dbr&#13;&#10;TcTDLpeb6/WIMLYPcm8P8ZJpzBb7WJsPUf8Iuv8bTsIZyue5/z3yC9S7SHz/wPp+hTj7iVx4A/lv&#13;&#10;1LvDnCYKQVFzpihmpghhLhS6+Rksc21cPkzfbKHy6SZrqos67gvRVqz5KecSF3DecT7n+lI415fC&#13;&#10;2cQU9JgvrjLHLhPvl5g/l1jLZSxG6vMS8XTaZbky/k8zt08zt0/R9kn6+Ia+jsFhOEA5i/u76XMX&#13;&#10;+WCX8bmyz130t8nl971D7rhYHIqLFXmIizKcy4gWF2XM6Zyxk6jjoro5V9Q0Z4v78Gkd6jfAv42h&#13;&#10;BbShnMj99sg7UK8TvnjAnCO6mLNEd3OG6IG8J/Ueg34wkLqDqfMscTEUXw6NEhdDiYl+Luq46Edb&#13;&#10;fYmLJ4mL3ozncfp4BB6CZMpdkT1Inc5mGqjjojP9tXZRx0Vrc6loZS4WLWm7BX00pa/7oR7UplyT&#13;&#10;+/H0Wc1cDuq4qEZ/ZVwix4U8uyjzxRd5iIsJxEXUvYQZZS9h7hZvmpmcL2QvYbKXMNlLwIfwMeXp&#13;&#10;3J9rspegnflmlL2EGWUvYbKXgNkmewmYbn4hPgHVGvOBqd5LvIt8islewmQvgX4TTPYS6KpqU8q9&#13;&#10;PH5rL4Eto+4lzCh7CeQp5gpgL8FcmE98zieu5hNXKcyROcTzLOJpmsleAt6HKcTWZGJroslegvh6&#13;&#10;i2dUuo9GrlrfR9PPGObuBObsZObre8zTf8FMSKH8KfeXIk9DlzT6U/WVRlyo+kojNtJM9hLEiWQ5&#13;&#10;MZMOK0Ks5J5kFawGVV+rzSh7CeQrIB2Wm8fpj70EfAaLmGsLTfYSJnsJ8yD2Zi/BdTbl6SZ7CZ75&#13;&#10;gHrvwkQYT3kMslfR8xXG+IrJXsLcTJm9BHH5hslewmQvYUbZS+Dv3HH0L+Io2l5C+kPiPZt7zfgy&#13;&#10;lBu25CE3ZKDHpNDeuE6YdVp+1sswJ3EOUzKdc42SFN5L9ij9vgeb7cH3mdg5C/bh2wMhDnKVHILD&#13;&#10;yCQqvx/Gd6oYO4SvDsIB2AdZkAk7YRvPbsHvGfg6g34y0Fv2FR9mvPKzXgZjW+synbqSSRF9IG0v&#13;&#10;v3/Zngcf3MAHB6J8PrlBDMrxR9rH3WEdEAWsLBFr7RJFrK3ibmsTrIWVlNNEIWsJ8gXiDmueuEE+&#13;&#10;uQKXmNsXyDnnyRXnWB/PkXPPkRvPm9u5vxv5PuodoP4BpW+k3ItRL0/+wpg+iTKmX8xPlGOKsT5B&#13;&#10;7xmiqDVX6NZCEWQcQcYUtDZT3s35zf2M7YiIsbLFz2a2+AG+w9en0edb1qJscnw28zTbTKe8iPvz&#13;&#10;kM8Ql+lX9q2KNynPPSbpp2hz9gbzVeI9m3vO7iBO5HqemYd4KYORo+7zrOmiqstC5bypZs0X1bFv&#13;&#10;gjVL1KZ+fWuaaJSDxryXNIGmoLJZU+JLNUebIJc0DtGIq6Qe1MK/Na3FIt5KFdWsdLiZU8uHmaPy&#13;&#10;s0M1i72TS+S9k/z/0qWtD+TB1gNz2DrSd3sDsdsIkGOP9P3B89ZsMcxaxLnVNeJp6yvOvu7kbOo+&#13;&#10;zqWeED2t78VD1kXxN+uy6Gpd4VzuFdEB2kMSJEI7aGup/55JW+u8UodE6zva+452v6P9m3Tk2hke&#13;&#10;gAd5vgt0tc7BWZdu1mnOzJ4Uyda36JcteljH3RioHMYv+bnXAjt0hF7WXs4h/+4bLy/I88PR5lAv&#13;&#10;4kwSaQ5Jf0q/yrO1baEM/Ra+qc+f/h5+M3qMi5KfNlvjXHsmhBmr/K0zE/nX1njxb2syZ73eE2et&#13;&#10;j2CWco5kI1fl8WPWx5wnnMo5wvdFlvUOZwjfFltgPayy3uWM64ecD2V/ZqXAMlhHOUOkWTs4B5sp&#13;&#10;1pETN8MeOED5a2s7ZxS3cN5xI+cd1yl1O4dcFcNnybunWF++IW6/Ju/uJR4y4HNYxlxczBo0B/kM&#13;&#10;60tIhbliNjZZiN6p1pucNx6HbuOUOki553cvZr7K4atIc/ArnpN4z+bOu/8mTuR3smfgr36/7ti/&#13;&#10;591Iejj2dM5GqXNBOXu2KG0vEvfaazhn+JUI2js5O7mPs3knOMv4PWfzLnK+8DJnBa9wzvEK5wav&#13;&#10;cEbvJj9xvQZXo+SCq1FywTXm+3X4OcQNrr/Ar5DP/o5zjec5qyc5hx5nXfLbp0WMfVLcaX+Lftmc&#13;&#10;vVTngovE6S9QxN7L+c8/5oIi2DNaLihiT+P5yLlA+lPmAnkO7K/mgproEW0PXNNmD+gynfNxkhTK&#13;&#10;EvUeuKGdKe63s0Qj/NsYmtr7RTNoHqIFV0lLZK1Atb62stV74Jb2Mdo6RvvH6OcYZ/KO0e8xUQ9q&#13;&#10;82wt+2vOEx7kzN4+UO+BazK2Si7TqSth/OS8ApB7bknbyz3wJfirc6sPPoi2B+5jq/fAA5EPwdbD&#13;&#10;7F2cp9sqnrc3wVpYCWmcs1sinrUXcB5vnugDj8HDlP9uL+Z8Z5roZq+C9cD3F/Z27u9GzhpNu7Jv&#13;&#10;lW+k3LOPl7fkmKLtgfvY6j3wM8ifs2eIF+25nItaKEaj52jGNNrmcyj6jSR2httHOOeXzfm+bNEL&#13;&#10;kvH1g+jTgXmXhB2S7A2QzjnRRZzznCf+RnuP0K7sWz2mP+6B5Ziizdk+zFeJZ4/c8fIDcSLn7E95&#13;&#10;iJfJ6OH9jt6RmPRe3u/CRbgx2R7PeT7JapFGDG+A+fYK8SX2WQ4z7XXIMuAo594kkX9nv46uMsZ/&#13;&#10;y4PO29B5RmjPEe8pzNXTOYb32/DNPpejYhs6ybJnRy+uZDve2CO3M552JO/RhiTy2PKxoZZju43r&#13;&#10;X52/J9Ap2meSE9j/exf1GYKL9hxx2Z4lrjL269T/lVi6zZnG2S9+Y3D4jcFJEX5nIQfhlkC6G8Pl&#13;&#10;w9hTfk4QDr8xuKjPEBRy0mh/CWfWFou7nAUiP33kg1/IgT/DdZvfGcgVl5mDl8gXF8kl/7VTxQV7&#13;&#10;GaQzrlWgPkPwPf484fLHtfAG9os2r25gB4kXDw0Yn8zH3pmZOxiwnFcF8uDHhs7vepSgbe/lxaj8&#13;&#10;3bkhfpD7xERPyNWTF+Z9U+QtnemiLb5q78wWnZy5nDVaILo4izg3tUR0c5bBCs4grYEvlTmoMnJV&#13;&#10;X5WdLaKKs1PEO3tETWefqO2Qh6EptKTcxtkr2jm7Odu0QyQ5W5V9dUMu+xoRZlxB7nWjja7OLs5H&#13;&#10;7WU8+xgXOdY5RNtHRGvnGOfnjosm0MjJFg0gAaoSexWoV4pnStJ+SWc9pFNezP0U5DPFfdhL2lSV&#13;&#10;i6Xc87uXB5Lw1aoon2GSnFVK+yU5y9E/FV99xhgWiGbo1BDqQILDdwP4rCo+q4zPKtOWSkfZV24d&#13;&#10;G+SIp0h75gaMTeI9mzuu5flMGdf35CGu+6LH1ii26hvy/+Nh/O/jXj/irB+x1B9fDnD2c07wAOcG&#13;&#10;D4iR8DLl14iJMU6mGEssjiVWxjrbKG8Ro50M8arzlRjlbOKM3kalDYc4X7j+iqTDAGcDOqwXfZy1&#13;&#10;4nFnNecOV0AqfEp5HmfqZounmHuDsOdweAXGOjPEBGQT8e8k4m4S9VV+HINczoNIOrxOrLxOXLxG&#13;&#10;Dn6FGBlJ28/BEHiGuBnAvf7InqLOU9R9ivaeJn4GEveD0HcIDHNWKnUYydhUOowmd7yBDSZgi0nY&#13;&#10;7G3s+7azHfZQ3s/9w4z7GPplY4ds9MoWfSn35v5jyB/Bj49EyQcyHryY9Obc8D8Rz9LuEu/Z3PFc&#13;&#10;NBTPIkw818PuMofGQpnQe0L/D3/ft0gx6vnz5ZN+rAzey8vD+blRpFhhf5FiC4tdMiS7inl6NEYm&#13;&#10;89l3JPNfQf6OUBa8/uTfMPXey3xPV65O4fS4ZLBvCOmRQD3v5ekhvye5ZNzm32OsdXXwm/J6m18S&#13;&#10;yT5L6OgekL+F6+DpQlO39OL2H2zyP6lLY9qXNpJnufJBhtRDQlH65//HRr+KfPlmazd91ZFnvZdn&#13;&#10;oyLc+FXM1u7RJRlaNa4toBTvW+nXtOoQ0LOQHYFr2q9CMluLZL926HkAx3XmepyrpzPd3LJfNL/2&#13;&#10;1PPlWx3SubSnMFdPZ5rO11NfrfXUj2tyniaGqSPt1FP/Vuul/wdOaY/qZ7Un9PNaHxgAgygP0U9q&#13;&#10;z1JnqJ4NRzQZz/Fh2orh3lD6e93lmjYMOwzTL7h9Px6mvs+tf4E2/0v7F+ESff2gDYZn9Cva0/pV&#13;&#10;7Sna6Kv/pP0DHoce0AVZJ9rtiH4d0LsD45M6RbJBB9cGq2/5wssTfbHfyij266uvpP+Vt5715qe3&#13;&#10;n3sAIx/CUcl58ON69DgU0qNEGDvRfL71+iHXjiPCyOUcWE/srdN3a5/rO7RV+hYtnbhcCgthnr5V&#13;&#10;m6Pv0mbre7VZ+n74Gr7h3iltPv5dqJ/TFmPLpZAOq7i3Btk6fL4e28q+pX1LhOnb082Lc8+26Tls&#13;&#10;G+m5dOwq4zJSbKxFvlFfo23RN2g79a+03fpOOAjfUj7H/YvIr2pr9evaclgCnxIv84mPefqP2lzi&#13;&#10;aDaxpYrX2XpR37suq7GJZKOrU0KYsd7JvTnoMk9fRx+fa4uovxQd5ThU9pFyzz654+dvofjpxfUb&#13;&#10;jPlX8sAP2HqWdjN3RbL1D/os5bguI5f8CFfgKvwEqnH9pC9120wMY6vC3LumL6GtJbS7RLsEF6n/&#13;&#10;Xz1Vu6CnwTJYDumwEla7fTUP05ZcZ39C/hMxcMHlmnYcPx/n/X6X1dox5MdoS8ZTJN8dQ4fj+kLt&#13;&#10;G32+dkKfo51lfNIuqjFKeSTfPYLPZA5/Ig9z3whE950RUPvORG6BHaI413tBNa57A2rfFQ8s0Rww&#13;&#10;IQgB6uuBVE0E0mAZLId0WAlq392L/N7AV9STXNNiXL7SbuC7G/gtBnkMbal8F4MOdwYWagUC87XY&#13;&#10;wBytKOOTdlGNUcoj+U76TPquTx581wTffRVl3jVhzKpxNUReL5Ch1Qls1WoFtmv3BXZpCYFM5biS&#13;&#10;kKvaTKKNRNpqE9iitaLt5vQh9VDZSso9W3k5XI7PWx9LhJmXmC9fE/wvdYmUA1oibxtYpbUPrNEe&#13;&#10;CKzVugY2aMmBTVqPwGbtocAO2KM9HMiCg3BMqWMCclVfCYET2PA09jynNQic1xoFvtOaQgtoTblt&#13;&#10;4KzWLnAG25zWkgL/Ufb1EHLZV6S16SHa6UG73QIXtc6Bq7R7HRtfp+/rWk3KVQKXtHLISwdOwmHY&#13;&#10;pZXFF5UZf3VsUQe7SNupffL7uuH5pGkOn5QO4xPCOV9T2pV4/sy95siYl3uWAXmI/Tdy6FEijB4y&#13;&#10;Nt5AB1WcSrlkfA4m8F5lkwnME1UMjEf+BnE/DsaGGMP1ZXgxsE17PrBbGx7YC/vha7ev+DD6y73s&#13;&#10;cPLUky6rtefIUc8Rt6rxPI9vRxDjIwOf098qbXRofKrxyPFH8tPAkJ+G5MFPqfhpV5QclUpsqmya&#13;&#10;yrjSyfnrAou0TYG52s7ATO0g/AcuBuZpV8nNP7Me3MBGv8j5je1KhLGpjIlzyGVfI8LIg9w7i+3O&#13;&#10;YLtTgRXaCdaa46w7hyATdqLDVmQZgXXo8RXsgkOUs7VtzP2dzMlM5v4hOA4nKJ9i/p0JfKudpc65&#13;&#10;wM3PLiXC9C11+wW5yg4/09ZV8shF5vY55vi3zPVDsAM2Bq5onwcuaMsDp7RU2pE2VdlByj2/e3P7&#13;&#10;IL6aEfJVpLl9MDAD28+49Wzuuf0csbKfwYzKQ8yUxBHR1rWSQfW65iA3gxlaMLhV04PbNRHcpfmD&#13;&#10;6nWtCnJp/0j7tyq0UZm2KgS3aOVouzR9SD1Udpby3HaW44u2rpUMqte1ssgrBldpVYNrtBrBtVqt&#13;&#10;4AatbnCTVj+4WWsQ3KE1DO7R7g9mwUFQr2t+5Kq48wdPYMPT2POcZgfPa8WD32lxUAbKU64YPKtV&#13;&#10;Cp7BNqe1KkH1utYQuewr0rrWgHbq027t4EXGdZV2r2Pj65oBxSgXCV7S7kKeP3gSDsMu7U58UZjx&#13;&#10;a9giiF2k7dQ++T3nebEfl8MnkWI/jnYlnj9zx/7LoXw5Jg+xn4we10JzMB47eS/vOxW5LiQHr2lt&#13;&#10;XGZryUHJtYg6jUUXuc8clwedhv8JnYajQx+X2dpwdJLlSHYaH9LpzTzo9BKfORv51J85X9Ib+WSs&#13;&#10;RZrPryJ/XW/sG6c39U3Qm/km6i19k/Q2Phk78eC9ctp+kl7JN91lpG+yLhnq9hEpnifqw2l7BH2M&#13;&#10;pK+XfK/qo3wjYRg8o7/oe0of5vuHPsj3hN4XHoFulNtzvzXyptRr5JPjUMWzlHu29uL5VewzOIp9&#13;&#10;XtUHu7pHWgvHIB+vP+N7U++PXfoy1t7QC5Kx1YPIOjKu9owriXElMa4k3wt6B99w/QH07up7Vu8B&#13;&#10;vaA35b7c74/8GeoNpv5g5Zik3BtT7nnWhbg5SUz/nav8fvqvfGeRgX0So9gnQ09Uxs9G5BsY/zrs&#13;&#10;8Lne2bda7wLJynFlIVfFZCZt7KWt3bS5k7a30YfUQ+V/Kfds5flfji/a/MggbqQuiV6gc/VivTDv&#13;&#10;tyPfw/zYRxwe0pv7juitfMf1dr5v8PG3+PiE3h16QE94XKnjKuSqvlYTH5/rT/vWEx9fMB824f/N&#13;&#10;sA12Ut6tD0SXAdjmaV+m/pSyrxPIZV+R5uS3tPVv2j3G3DvEHNzDXNwM62El8zSVOfupPsQ3X+8H&#13;&#10;vaAL5STfUubkCmyxDrtI26l98sc5uTmHTyKtMZtpV+L5M3fsP0TMnyLmH8tD7J9Bj6RQ7DcP43v5&#13;&#10;fdcZxntGb+K76BLvuy0gaeIr5JLEe0l/pU9vCwz03R54Bgb57oCYwGBfASgYIparpFAIac9IdikU&#13;&#10;eMmXH1Rz5wb59Sr+u6y/4LuEDy+Smy/iZ1W7F91xJkW0t7SzzDX/yIO9q7KvjpZrqgbUuaYi8nKB&#13;&#10;9r4ygY6+UoHOvrhAF1/JgDrX1EOuslc92qhDW7VoM4G2q9OH1EMV11LuxaaXa+T4ouWaqgF1rqmJ&#13;&#10;vHagsa9+oKmvUaC5r1mgla9loJ2vdaCDr03gAV/bQHdfu0AP6AnqXFMSuSrXlAz0xYZPY89nfBWI&#13;&#10;y0rEXzWoAfdRrk3c1gkM8NWlTr2AOte0Ra7KNW1oqzXtNg8MY1wv0u4obDzKVxZKBEb6zMBwnz8w&#13;&#10;xKcF+kEv6OIrxtwyAq19xbFFGewibaf2ye/5wvNJtRw+iTSnqtGuxPNn7lwjY17mmv55iP3n0aOb&#13;&#10;T71Pez7QzbXhiDC5KMi957HJcOL0uUAn31DidDD2GQB9oTex+zjyx4iPxwJ/h17wBDzJ/X7IB1Jv&#13;&#10;MPUH89xgnh/kG8a94fj2eeTPU09l2zeQS/9G0u0NcuBY4mh0YKhvFP4djl8HwBPwMOVk/P4gfXb+&#13;&#10;f+ydeXgVRdr2w74p6a4i5xyX0So+RcaZURh5BfdtcBwBERWFALKFfRWQLQlhXxN2JEERcXRwZ3Bl&#13;&#10;EARl39ewhQAKAsqmLLLD+6vOaciXSVe8kn++P75zXbed6qe66qn7uZ+n+jSdiOaeC7cEL4qGrCGe&#13;&#10;+DYnvm3hvxvoA5KprYPDtcUIbKPpMxpebL4Z3vzY+XHv9jvibuYz8K/NG/eu0bib5z6Fvb8ahx8F&#13;&#10;7THjiN841pzuoZp4jz3mPX7+1EM9fjaw7zHvEcv34P99ODb4kBh/AmZH8W+OBnPAp8DwGZQPn7K/&#13;&#10;fFDAHvM29unk7bRwosggd9OJe3oB46Z76wzeYwzPZo8xz04Ky/cK+O4k7Hm2Ar0bLX8E/I9/v2c4&#13;&#10;WQnXK6l7q+FzDWvaQF3aCnaALNrZ8LsH214430v+7KX27WHM3Wh7V7gDfduLteTeMurvt2j9G2r1&#13;&#10;1+TkPPaheeEXwDNifvgf2GqLpcR4NRrcDLLA97QPUPcPU/ePsccco79N+7ux29aym1qRTW3IZv/I&#13;&#10;Yrzt7CVbwAawjvYaYrIaf1ZhX0XfVewxqxlzDbVkHTm6mdzKxu997DmHws3wqwU+tRa/hNuBzqAH&#13;&#10;7T7ip3B/8SN62E2+bwGrwRLaCzk/D23Mha+5cGRbi4mLn4t+Hmf+jjzOhDcD/9q8edwPPZn6PaAI&#13;&#10;utoYx+8wFaCrjXGbvVjU8EXF0ddVaX5ei31V3BaxIm6rWBa3QyyN2wX2WjnJxm7iGzRmdlyW2BW3&#13;&#10;XexkzG2MzW8QC+OHjWdj97nyeTbrW1bg+pZ5vtTNZ33XcW5r3DKRBfbErRD74laJA3FrxU9xG8Xh&#13;&#10;uExxlPUei9sNvgc/gp+tPi7BbtYdNNeSuF/g8DR8nhFr4s6J9WATyATb487Cxxl8+Q1uTonsuBPW&#13;&#10;uY5iN3Ml5LMuKIk5yjiH486LQ3GXxA9xJWRWXGm5CawCi+NKygVxV8RX2D9nnM/jDoBdtLeI+XHr&#13;&#10;xLdwsQJONgJ7TJb9V0w25YqJqUv+x9cUco7ZxLgGfjzzav8JOp1G+//geIFjYZ4R3MT3pIK0cVMo&#13;&#10;RxtBOtXYq4SWiztDq8VdoXWiWmgzyPI4qeovjKO/Nl73i6kWKimVhz1WLajQLqFCO8Stoe38SdVM&#13;&#10;cSNjh4ADrqddIbRTlKNPudAesM+bs1o+c5biXDnmO0dMz8UtF2Xxt2xogzd30LoqhNaK61hTxdBK&#13;&#10;IegfYp2GC1usjd2Pl59/cbk4Dop1HNcZ+NfmjbX5nS4T62eLEOs2+LFc5OyfZnz/48elLCfasM7e&#13;&#10;oAVc1Qf38XMd0Ch0iud2ywP9axD176Ui+Dce/xZF/avmO8fR98/EcHxoEc8KDebwvM5g0VWffL7N&#13;&#10;c1N/nUHjpLCW8R5KyhTWadpB3DdiTSfh3rxHVNg8M++fFZRni4i/qVVBevwWe258R3sxsOlxcWir&#13;&#10;Nb++w/4tWAQWgm+imMvxM3JuDrn1b3JrdugHcNCaX7PhcYaH5eIT+PwktMm6njnUis/Iry/Ir7n0&#13;&#10;n89aDAe29Rh7UJyaEB+TI82LEKeDxOmcsN9jHgyd89aVRKz8j6/RCCeOYP8ldIbnM6fE6dCv4rfQ&#13;&#10;EXAA7KWdxfnt2LeII9Swg2Af2EM7m/M7se+g3w767+C6nVyfzTh7GG8f45q5bfwYu8+Pnw9luM86&#13;&#10;UMCayoQPWNdUJnycZ1NnxJXQJXE+VEKeCJWRh0A2yKS9gfOr8XFF6Dg4ALJpZ/JMcz3PVlewhqXi&#13;&#10;EDgBztO+wvmS4UxRJpwNDljXZOx513QoVz4F1dRDaMXAvzZvTTXvAxq9tOV4kWNh9s8acFtQXtcI&#13;&#10;2/P6AeyPhpfz/GQ1z1HW8RxoM7Dvn0+Hqc0e7PvnfeFdPOPZwTOZ7TzzyeQZ2Gaeh2wWd4IqtHlv&#13;&#10;hudEu3jWtgfY98/KzCc8LKevgX3/vC28ljlWi6rhlTx/Ws68y5jfnt/G7sfL16959uZzHBTru7jO&#13;&#10;wL82b6zNcx4Ta/Ocp7A1fHouP5Sf+Bz93Gf4mOn4YGp43Xzs13HuLexvg3fh473wCr6LrxIfwdMn&#13;&#10;4fV8n9/E9/hMsA3sBLu9vKiaz1jmHurfxOItD9kFzJklZqCBGWhgOuNPI/ZTwUQwjvZYbGnoLZVc&#13;&#10;TA3nfGcJmjOV+ZI85Hx3CVpnEppKYg2JzNmfOfqEt/BsaovoCjrR7sj5Dtg70K9DdM5q+azT7Pkd&#13;&#10;mK+Rh+WiPby1j+ouIZ/+gnMd4bMzuuuK7l6h/6vw3R8MAINpD+P8COyj6DeasVI5jiMOE4nHFOwZ&#13;&#10;9DNxtNVZYw/Smnnny2jNPOsorNa2obWCvpNuI35Ga0H3C5uxb4Tv9eGtfOffwff2XcD+nXQ/dtuY&#13;&#10;+9DJD8RuL2NmM3YWcxg/bFwZu8+Vn9NmfX5Oq3ziaHJpGxwbX4I0tgv79+BH4vYT8TtCHI+HN4pf&#13;&#10;0ddJ1nuK/DkV/h78COzfSVdht821KvwLHJ7m2coZsSnMd1GwHWSB3eGz8HEGX36Dm1M8T7F/Jz2J&#13;&#10;3cwVpN+TjPNr+DzPXi7xXKaE/D5cWm4HG8BK8mBx+IpYgH0e48xjb5xHXBcQi+/YO1bAxXo4MdzZ&#13;&#10;Y3JNv35MzLtRfkyC6ux2xjXw4/kg6ygL/N/VMM9jjPZTiqB9790oYb8H450jq07vwP7nyHJRLbJa&#13;&#10;1IisE/dGNgP7nnpvpKSs4sG+p1aJ7BJVIjvE7ZHt4v9EMoVi7JtBCEjabmSncOgTG9kD7HtqLPNd&#13;&#10;IaZXqDux+Bsbse+pbmQtc6wWlSIrRYT+N7NOw4Ut1sbux8uP9U2RgmN9E9cZ+NfmjbV5/83EengR&#13;&#10;Yv0Ifvh17m/oyP/4e6r5d9pH4PWRyArxlIevxEsRgxWipYfN/Gxw0pq/L0V+E40iZz00jpwTTcDL&#13;&#10;oHkULTgatIzC8BmUAy0jpWQ8MDlcw3eYo+9zaX5+Dns9Yvt0pJh8KnIF3y+BnHv3oHGf8tZ5rVbm&#13;&#10;5XsEPJvvoaOLwHcafB8U9txKixy05lYq9jGRQ2I0GBX5SYwEw4FNg4MjOfU1IR++cCcmJXJYJIPE&#13;&#10;yBHRL3JM9I38Ak6C38BZ0R/uEiPn6XNBpIAhYDjtUdhS6ZMWOQGOWn0w6/K17OfBUPjYUwAfQ8lj&#13;&#10;E+sg30dgHxXZDR+78SUbP7IA91SRbSATrrZg3yxGgCEgBSSDRGz96dOPvv2itUnlw4/ZCztgNz4E&#13;&#10;7YUdI1tFp8hG0ZVa14O86EfeDgWjwXjqxGuRVeL1yBoxnT7Tmc8Wq+mR095cj+bjSznOTY+cYYxz&#13;&#10;4KJ4M3IZXAExcgZafytSXM4EtvyZSV6MA2Y9SfnMQUhixkVK0Ke4HMuYYxl7LHOMJYdS+XkU54dj&#13;&#10;H0KOpURKy0TwKniFdhdsHfCpHdpoFzkFjoqOxL17ZL/oGfkBLX0vBkTs90Am3nl1MgynCtobh8G1&#13;&#10;gX9t3vw17wSaejmBY2HvC+fjR0l+EdnwWy0f7sz98ny4/cjDp2J+xKCkDPJpIr6YmjK5CD4l8128&#13;&#10;ddQnlY9PRr/JodbWeCeHWsqkUHOZGGom+4WayN6heNkTdAEdQ01l+1Ar2S6UINuG2oMu4BXar3K+&#13;&#10;L/Zk+qXIHqA36BcaIPuHkhivv0zGnhzq5ekxyLex2G1aTAv1k2MYc2RosBwSGsW4acyVxtxpsmVo&#13;&#10;tGwaGiobYW8Y6gO6ANbKGpqFGspWofqyQ6gu/eviU105MPSMHBZqIEdjS6PPWPractHw5sfOr1k9&#13;&#10;4btulO+gvaQncxn41+bV4gvEuwQwzzTLgcI8+/g6lx9B3H6ND4bboLr1DfbvQvXkUnhZAVer4GZN&#13;&#10;6AW5LvSiXB9qxHOlJqAZaAnaeVxVZTz/4++55vvwhtAYuchDG+uci9DSQrT2DeMuYPx5ocbyS/Ap&#13;&#10;+IT2R5znnTj5Pnp7P9TRm7OaPyFHf06Ta+8zX4aHWvQ1aOjNXSOf/ua+4MPQc8xRX85hvZ+z7q9Y&#13;&#10;v+HIpgFjD4qjeeZZDJhnWYWNYzHu+7sUkL+8B2ddV0y4q7wS6iovg0uhbvICOB/qbl3Xb9iNNoL2&#13;&#10;1ZPk+C+hHvI4OEKOHg71Bv1AEu0B8ii5fjw0UP4aGiRPgt/AOdoXsV2hT7FwX9DT6oNZl8+tn19n&#13;&#10;0HWbAvg4E8rRWJDv57FfBJfRUEy4NX60As1BM9pNOB8PT43hqLE8A06CXzh3nFp3DP0dRZ9H0LxN&#13;&#10;F9nYbbmVzVh7yKHvyacDaO4oOjoDLoOS4XqyXPhZWTH8vHTDjUBz61xuONGb69F8dF2Oc244mTFS&#13;&#10;wGAwFAznWaHBCCnDI2UlYNYSVK8qhcfIEsCsJ+ieoHh4lCzOOMUZszhjFw8Pg88hxHo4XI6Ey9Fo&#13;&#10;IJVn02lwmCZ/AvvJzb3YskPDZBbayGJPyAr1lLup0/vJ7YPsJ0eoKydCba3rN/HOq5Ozuepf0LrO&#13;&#10;wrWBf23eOtyKvDV1uH0R8tf8Dqm/Hyj48z9+nTL772PhnDpcwzdy9O2mLv0de73wM7JBuIFsGH5B&#13;&#10;vhSOBzn6C6q3LxGvJz3Y6+2TaP/JcAtZO/yyfALtPxpuLB8ENcE94aayOrZq5Mjd4bbAXm/vZr5b&#13;&#10;PTxDX4MXPc0Eras6+r6HNf0PWq+F5h9knYYLW14Zux8vvyY8kIvjoFg/wHUG/rV5Y90hGmvzfLCw&#13;&#10;tXogfgwooDYNDA+w5tEQ7CPCSXJUuJ9MDfeWaeEeoDNoS7sV55tjbyKHooGBoD/oTd3qha1nuI3s&#13;&#10;EW4POoPutHtyvjf2RPoNoP8AK7fG7vPjc5uUi1uVjz6NfpPg1dSGoDinYB8EhhLjkeH6ckz4Odbz&#13;&#10;oudLkH7T6Dvdw0hv7KB7lOnhcfL18BSZEc6Qk8NvMfY7MgX0Ad3Db8tO4RmybfgNmRCeKluHJ1jX&#13;&#10;/yp2s46guV4NT4LLKYw9RfZlvMRwOnOly2FgVPg15p5IjMaxtjFgmHWutPAgb66EfDgVnBtDnR5N&#13;&#10;HR1JPR0WHg1/Y3i2P4Z4jpFdqLMdqK0J1PVWxLcV8W5Fjiagi/bhhtjrE/u69LfnkrHnjfegXPEO&#13;&#10;yiUTSwP/2ry51D2aS705XgcKc/+6BD8aF5BLS6hRNt0twr6A/OAdQPkf8mYuOfIVeWSrLxuw28bc&#13;&#10;wBjrqZVrGHMVYy9nDuOHbUxj97ny88qsr6B9YQkc2/S4Evs6cmQT8d5KHd3B3rCL+4Xd6GAvdXtv&#13;&#10;OIHn0+1AJ2C/3/sKu22ur8J94DARPpPlQu4lvgsPlEvBCrCa9lrOr6NurQ/351l4Pysfe7GbuYK0&#13;&#10;v5dxeJ9R7iQHMtH+unAaHKcxd5r8kva/ya0PsM/iHnIW94iziMkHxGI26/8cLr6GF8OdPSbX9OvH&#13;&#10;ZGmumARpfynjGvjxzKv9PlHtJ3Ms7D5yFj/6FKD9s8TDcPhRPvXD+H6OOJyDx/PE5SLxiYkMlKVA&#13;&#10;OVABXB9JkbGRAdKJJINE0I92X873kddFesvSkV7yEnvPb+jiV74/HENDh8Md5M/sMT+jrZ/R2BFq&#13;&#10;+K/U8tPs9RfgpESkLmPXlW6kngxFnpU3RZ6Xf4g0lrdEWlhjURG7bS0VIy/jV1P8asL4jWXZSCPm&#13;&#10;asSaGsnL6P0isb+AP+fJyfPshefJ9QvcH10El9FGiUgC17eVMtJORiId8asLPnWXijUq1qzg4ZbI&#13;&#10;EHlDZISMi4yRFSNpsiS4gN5OUm+PU4N/pt4egstD8G7TlYmLrw1fVyUj13I9SFcl4c3Avzavrsw7&#13;&#10;tOZedEg+uqpKvK8DZi++AzCd9zMHcx9pDldrsOmDtAL/Vt6IWP6un8p5hhXk64jY8uqULK9MzGoA&#13;&#10;/5P7ntWtVF7dWamSerhSVfV8pYdUs0ovgp7Kxl2zSs0q28ZsVql/5ecrTar8cKVZle+sNL+yW2lZ&#13;&#10;5VNyWWXbmCNil1nH7Ii9Qez8yg/FzqpcNXZS5Vti+4Nm1jFvie1pXfstsS+qqrEPqYdiq6oGsZVU&#13;&#10;R/gynNn9LK+CYj+JoL1UIibmVmI/g2Pu/fR+yDexLwn883T7r787+P/j+v9OXB8lPiZH04hrAxNP&#13;&#10;AvZurriW4c9XVMUelNOYvI8f74Jyur4bE1NL5eT0szmXev/18/V6WvXdWqqFh3g1kONroJcbr9Ld&#13;&#10;MWoQaO+2w94NjFH1PdQK1Os6HGrCejI5JuRaF9MM/L0+v4nPrVSOzxyufnyfGTrmTbeVl4d1r1qv&#13;&#10;fW823L3pvqDedv+h3ncfU/9271f/cWuqxWAjyHIfUD+4tdWP7tPqoFsfvGDNz63YTW1KymcuE8tM&#13;&#10;91m1xa2nNrl11Hr372qV+6RaAr4B/3GfUl9gm+M+hx+NQWvQmXZPzvfFnkS/FPqncF0K1yczTj/G&#13;&#10;660y6bMV3m214yB241sQDweY4wfG3eUOY6wxap2bxlxpai6Y7Y5W77mD1Uy3v3rT7Q5aWecydr9O&#13;&#10;+fvbYmJ1r7LvGYvde+H+3qvXPoi/ZYH/boL5my1GM7s5FlYzV/Dj1agfHK5+cmvmivuqNY5X4L2Y&#13;&#10;SFLFRbIqKVJUGTFQlQcVgUtbYosT/VRI9AY9QBfaHVUl0U4JkaBiRWv6t1ZlQRlQCpTgfDHRVsWI&#13;&#10;9h63QXvmr257dQZd3iYMnuK6p7gm3upvcdEYPxsxz0vM+aKqACqCOHAT55Vopm4XLdUdzH2H6A76&#13;&#10;0k7h/FDso/E7DX/TWG+auog2zrgj1Al3iDqOBo/DlU13hktfC3njaeLYlHjuL0I8M7gXWUggjQ/P&#13;&#10;Xo3mtRw3dSsjdqF6x8NBtYZjFvhP7F61K9bV68Cc2EPYTwNXZ3hYGOjzW/jaAZ9ncezB0a9VTPO7&#13;&#10;69YxfM5U9lw4FpupjsVesuYs4+jjsSX0L7Gl9InYsvp0bHl9HhRzyuvSThld1immyzuXVHnnHDjp&#13;&#10;xakajvofX/OlOFHeyVRxHlxdwTEop231orxTgfGvZ56Kujj9L8dKfRb8An6OdfRB/Pgxtozej3/7&#13;&#10;Yy97c9/mT8zRn9vch+z31pp5lXO/ZlyEpy3KztPF2C3KIEhj7xGnzsTp4yLE62EnJqaCzvEDd65+&#13;&#10;/DUwdMzD8GH4Cqr9j2N/Ek6fdkrpesTlGeeCeoaYPOMcAz+rus5B9bSzV9V2stXDoCb4K+27OX+X&#13;&#10;c1j9xfkFnAbnaV/mfDH9V6esrsm4Zm5bDhq7z4/P7W0OvxOmctZUFb/9j78mKIu5zdnKfAa7rfXl&#13;&#10;bicLX3eoGs42/M5UDzhb1KPg76Ae1zdwdqkXne9VY+cQOAGuqIZw8QzaedoRurYj9SPgAVCTdg3H&#13;&#10;YW2xuhr6uiu6tiAf73L+qG/zsDVQA7OjGvicY69C5mw7h781ouwaaOesseZrO2eFau8sVR2cxaqT&#13;&#10;s0h1d75RfaLoy7FfFP05JgJbTBOd5da5+mPvF0VfjgZ9QC/QEz96OCvVK85qsB5s9eb6my8Cjr4O&#13;&#10;zPtbidgT0cArHlzdjnxvx8/NPWxV7bCbtfsay1vnv4B3UzPncixszRzmFMz/sAL4H8a6h8P/CPgf&#13;&#10;Bf9j4XhKFK9xnBpFOscMYOM/Ax5t9TEd+9QoXuNoMAVMBOPxYzz8j4P/cfA/rgD+M7BnwPU4D64e&#13;&#10;Bv/D+DnZw1Y1DLtZexD/hnfD/9dF4P9r+PdrsUIT/sfXCUPHfE2+2zhZhH0J9WEFdWIN9WI9dWGj&#13;&#10;s0dtdn5QW5wfVabzk9rqHAG/gjNW/j/AbpvrA/a9D53i+hPq7RxqzRfUka/BIrCE9nKntF7plNSr&#13;&#10;qKOrqUe2WGdiN3MF1fZMxtjilNCbGHMjY69njrXUrlXUseXUs++oa4vAAqeSngc+BR8Rw1n0e5tr&#13;&#10;ZlDPZ1DbZ1Dn33b2qVnU/o/g6DP4MpzafDN2P+5+bV/j8P+RU/ZatcY5buVvNXvSKvaelc5+tYwY&#13;&#10;fYtPX4MvwafobjYx+4iYfUDMPmAsm49mrrw+zsNHX09B9wXzWJuBf23eumL0bPb2b4ug63344d+L&#13;&#10;VY259vF1zfAx+9DsEQ97rZwdhZfj7IUnnO3qNP3P4fulXLjMzwZXQIxrj2uMu8c61xViYnA5iksc&#13;&#10;Dc6AU9w3/ErcjhG/o2jqaDQ+Qes7ihb3ebh2D5aX6++iXC8tAtf13JiYBcquy3ruAm/dNa6F4upe&#13;&#10;ZP6d+yXszd2Fqo27VHVyV6mu7kbVzd1u1V8Cdlv+tnY38cxinWrqrlaN3RXqBXeZqgdqg4fdleo+&#13;&#10;d72q4Waqv7rck7k/gZO0L6habjH9kFtG/80tr+uBhqAJ7eZujG7lXlKt3XP4mXPfzbKvfnxtQWVM&#13;&#10;N+zGt4Sr1mt7r/DsF1lnCd3WLce4jn7RraTrgMfB/a6r73Er6D9hr+KeUVXcgyBL3Qkn1fC7pvut&#13;&#10;egy+DKe2/DR2P8f8GlInV6yC8rMO1xn41+bVzEoWaPadjRwLu+9PwQ+/Tqh8OGLomCnkkuGwbj72&#13;&#10;6ziXgX068ZvpblPvujt4lrFLfUB+8Vfu1Sfuj+AnnnEcAb8C+74zBLttriHEfZhbXI90S+nRxGws&#13;&#10;8ZkMMsCbtGe6pfU/3ZL6HbTzrmvfd2Zjt+n2E8b4mNh/xJgfMPb7zDHLvZ6xHf2WK/QbrmReqV9D&#13;&#10;K5NAKhiGZgbSL5Fr+rqXVV/3NDisEt19PNPLVsPhKBW+DKc2zRi7H3dfM+b/DVPQvvOua9933nV/&#13;&#10;Vu+g47fd/WoGMXodnyaD8SDV3a1GEbNhxGwoMRvKWDYfzVx5fZycS09Bup7M2gz8a/PqehOiM/vO&#13;&#10;do6F1fV8/PCfW1TLR7elODefOrfMg6vnEzfTDvLJ/K1yk2s7i+DT1t/h01Z82OvB1VvxybSDfNoV&#13;&#10;9Sm7CD5VpQgW9N27qrB/9/4L9uqinK4hSumaopi+T1xQ94mT4JiqJX5WNcVBVUPwXVtkq6pAgz/Q&#13;&#10;vpHzN4jDKiJ+AafBedqXOV9M/0GU1Zpxzdw2DRq7z4+fJxVZU0HfvSuKrcxnYP/ufaPIUjeLHepW&#13;&#10;sU1VFpmqitii/gSqg5pc/6DYpR4T36snxCFwAlxRj8LFfaIifAh9t5D6TnA70LRvEY6+WcTqG8X1&#13;&#10;OhJdW9V89GnuiyLij7qih+Dv3ub/12Jy5SDHwn73rg9fmSrnviHIl/qsvbEH+z1aPHw2hbPmYrtq&#13;&#10;Rf828NQhio4cDTpF0ZmjLbadhf0ezdg7RdGRo0EHkABaoK9mYr9qgsYao7HGIqeWBa2vsXB1fQ/B&#13;&#10;92iHolwfLkK+pf2OfEtDF7Z9aTL2dPLjdVFCTydfZohz4AQ4qt5Eh2+IH1UGHExGm2lgBBhCe6DY&#13;&#10;p5KxJ5GXSeRbEnmaLGL0QPJ2CJodwbhmbltMjD1vvo1lTQXdQ4wl1rY1TcH+Bvk0E+3MInbv4+f7&#13;&#10;rOl9cZF2Sf22KM9aHf2aYJ8FQ0Ey8eqLP71Eaf0KPLzCml4h1r1YZz9qzABydhjjmrltazL2vGsy&#13;&#10;cfLXFLSPpXGdgX9t3n3sSFQvJ4qgl/n4cSqamxyufnLf484Xp6zczifOC4jzInhcTJyXw9lasAlk&#13;&#10;0t5O/LOoudn0y6ZuZ4sjKkscUNvhMRPdbITLtYC/UqGW0F7E+QXk1Xz0Zua2cWvsPj9+fV6di9ug&#13;&#10;Na2GV6OXGldXfO2+3XxP2YB9M/WFv/yFn9vVTrETv7M9X6rlc00pzmWLheqAB5e1GuQ8g0/Ipz8u&#13;&#10;xmRRo7dTq/mNVbiSeh2aWwUWgwWcmwt/n6G9OWhvDtqbA2+fUXPmUgPn49difDTrsPFj7D4/efVj&#13;&#10;fu/I3HOcLYJ+rrAQv7YH6fgKPF4R9n8LYRwdI0voYrKULiHL6tKyvK4ABAjLMvoGWUzfJC+pm+Q5&#13;&#10;YP+3kJtkprrdg6tvlgb2fwu5SVZg/OuZp6KW9I+VUpcDxcAFasJZasNvoow+TT08TSwM30FrPe2t&#13;&#10;9VqN9zVp/j+ZBeX79XKLMgiK1/lovl8pQrzq5fJD5aNLho6phw+23Hgee2P4bSZ3qJZyl+INRMUb&#13;&#10;Y1YdNsFuq8/x8gBj7lMvyb2qodytGshsVQ88CR7j3CPYH2KMB+VxcBpcoB2jH5Ul9ePo5UliyJtp&#13;&#10;+lnwPPF+Ec00whaPbprIi1bf+E0Rz7eEfPgweZrAOC3RYVP0wW9q6OfQRR3wBHhIOroWc9ZAt9Xl&#13;&#10;ZVUd36rjZw35g7oPbh6W21Rt+DKc2vLU2P24+5qpkytWQXqrw3UG/rV5czymeM79WymOhf2uMzKX&#13;&#10;HyofjoxmRuKDiW/dfOzXcS4V+3g0Mxk+0tHN63AzXe5Rb8HTTPmjelv+BI6AX4H9O3xv7La5+lAn&#13;&#10;+sriOpGYJKOFwcRnBEgFE2hPlqX1a8R0KtpIl/bv8G9jt+l2JmO8Rd2awZjTGfsN5phGLZmKLiZJ&#13;&#10;ocehkVQwSlbSw0EK6IeGetKvK9d0RjOd0UxneVh1Rf890Xs/OEqBL8OpTTPG7sfd10w6sSroO3w6&#13;&#10;OWTjLx39TpUH1RS5X00kRmPxaQQYAlLIzSRi1peY9SFmfRjL5qOZK6+PI3LpKUjXI1ibgX9tXl2X&#13;&#10;juravHteWF1/gR9XlP155hfR+AfVhi/Q2Zfo7CtiOY8a8Q1xXQpWgDW016OJjdSizfTZjFY2M94m&#13;&#10;9Lme+rUOrJbn1XJ51srhQvmbF68gH+ahny/lKfWZPKFmw/fH5NHHxO9j+T3tbM7vUF+RewvgcwlY&#13;&#10;CzbLrWobObiT+Gahuyz62+K4EbvRTJAPG9HKBnSxnlq9Fo2sZOzFYCGYjw/zmGcutq/o8xV9v2K8&#13;&#10;uejna3S/AH8Xgu/kUasPK6K6DfJhA7VjCxxsg4ssOMuG32z2iGy4zyIW26jfm8nJNeTgEvA1+IL2&#13;&#10;HM5/jP1D+n1YQD0wevA16efckt+hZ8O7gX9tXj1fH9WzKIKeaznUYW3Xcy1npPW9kFrOGH2fk8a/&#13;&#10;5Y/TDznj9aPOBP0EeBI8Tbse5593UnVDZwQYZP0u19Dp581VA934H/97hbnHfsHpz1iJugGo7yQx&#13;&#10;dpKuA2w6rO0kW8d8zBnA+xQD8D2FdQzStZyhYKR1TGP34+LH9FmH/7dNAVw+6/T0fAnS4/PYX3B6&#13;&#10;wFN3/aLTDXQFXUAHzrXTzzlt9LNOa10XPAUeB484CfpBbA/Q536nE+hq9b0adlstr85Y9zgt4aA5&#13;&#10;4zZljnjmiofveHxoohs7L+tm2FvgSwvms3HfAl3Y5mrhjGWMcWC8boleWoHWUSRwNGgD2kZhm6ut&#13;&#10;k+7NNdkXDkdfO7fwcxvsrZ0MD604tgTNQVPQ2FzrTNEvOZPheiIYTxwmorMpaGyq/gd9ajvT0PY0&#13;&#10;eJ6m76X/Pdjuxq+/sMa/oIe/OINpD+B8Iva+9OtN/1et/Bg95NXRU+goPqqj2/JZC+keY+Jh4F+b&#13;&#10;tzaY91/6l4iJ+YLjQI63c425p+Lzu99Z6+7wrl7Uj6repTn/8Tll2Jju6KO/hwRrnJPRy0B0M8Rp&#13;&#10;poejodH4ngZeA29wbgY6fstpq2eip5nOKx5nQXPOhPupHnp4cwbl0lR0/hrjTSEvJqHV8cyRCkaB&#13;&#10;EeTMcDCE8wPR+wD6JNM3iVxLJO8S8aG/0wv0tfrSHz+6e2h6NRZ+PRgJfwXFcSTrNwiK45fROM4v&#13;&#10;Qhw/xY860TjWygmh918/jmVoferU0fM9NNXLiOcyuJnvYYw1rvPR/gLyd6GH8fpb8mZxFEs4GiyN&#13;&#10;YhlHW/4ug0dbrViKfQn4DnxLPi4C34B54Ety9Avy8TNnEu9ajAep3lzV8lmvee7yKWv7wENT+hrU&#13;&#10;CYyB4b4vYl9YhBhscK7lUpBPG/Bjp4d0vYE1mravC19TZpza0VgGj1ObcQwaMIZB7avj5K0Ti1hT&#13;&#10;H9Zm3qcobJ04iE/+vhfk00HqXAnXIFkfZD82bX9teX1ajC9J+LSMYzLHwtQuxy2YJ8etrW/0kK4d&#13;&#10;1yCYp+X4YnhawbGwPD2BT349UDHXPn4eMnTME268NQf+jr2O20TXd5vp593mvBvQSjdy2+h4t71u&#13;&#10;6nYG3XUztwfoA5Kt+VYduy3fqrtDeNdgpP4fN1XXcsfpB90JvIMwQf8d1KFdn/PPuqP1c/R5zh1m&#13;&#10;naspdjNX0rVlX92bI5xr6o7gPYrRrCOV9YzTLzFHQ3cS476mnyE2/3AzmHca711M04+B+8E97lR9&#13;&#10;lztR/5FrqjB+FTcRvEK7A+dbY29Gv3htOLXVHWP3tejn2fPE6lVtvy9+3n3Vyt9zxKKB2wWOOvKu&#13;&#10;SFvWwP0aeAjcT8zuJWb3uJ30X+lXnbFsPpq58vr4eC49Bd0nPM7aDPxr8+aaeV/D3Ces51hYXXfE&#13;&#10;D/8+oVo+8TX1tqPbVPfykK47Ek/T9n3yOTfjFFTbOpKjvTw0YAyD4JzdwJpMzm4qwtpG4dMwbdfB&#13;&#10;qKi2g+5DRpMfo90xvIuRxrsh43kvYyLvaEzU08Fb6Pyf6P1f2GbRZxZ9ZzHev8i9d9zB+m13kJ7h&#13;&#10;DtSvuylWfUyK5nKQD2PJjdFuf95R6auHuL31IGrEILQ5yG1Hm/shaskYYjIBraSDmeA98ucj6ssn&#13;&#10;aHU2OTWb/jaN/gu7yfEgH95F6+8yzj+Zc6abwPpb66lgEhgPxjJPKnmSSl6k0jeV8dLcbnocOT0B&#13;&#10;fyexf7wGbD5Mj+ZkkA/vUBffd/vpD+FiNpzNgd857nCQSns85yfDfzr+TSNG0/Brmh5FezjnB2Mf&#13;&#10;SIwGEh+bD0YPebWdjo782n9bPjli7ukN7wb+tXlzdTM6Nrlq3kEpbK4uwA8/x6rm4wfDxywgp5Z7&#13;&#10;sN/Tr3Rb6tXoZi062cielInvO8EP4BDnDhPTo8T6GLE8RgwNZ0FzHoPjfR5y7unr5uPbdZzbhyb2&#13;&#10;UU9/QCN70csu5tgGNoP1tNdwfiX25dTU5WjdNudy5lvgIbiGmHdsTA0xv7dUWM4vwblfH4PWf4nc&#13;&#10;KyMMcjhPymf9Ec6VEy11BdFcXy9e1q5ooiuJeH0D+APQtG/jfBXsd9Dvj4z1J453ca66aMa7H014&#13;&#10;FyZePwCeAE9xro5orfm/1elnREfQ3crXMyKd6wzszw+eYKzHRTv9KOM+jA8PMsd94H/AX0Ub3j9p&#13;&#10;p/9MnztFN5Cz7wXxcifzKQ/drXutEp3p10HfKtrDRRveZWmtQ0CAWNrXcb6s6AS/3YFdF2WY7xK6&#13;&#10;MDEJysW96MHkonn/orC6SBAFP3tLEPZnbwlijG4r0nR7MU53FON1ZzFBdwM9QW/a/TmfIlL1YDEC&#13;&#10;2J+9DRb2Z2+DRH/GSuQdh0SdKJJ0P9AH2GrhK8L+7K2rGKA7gQ4ihXUM0gliKLA/ezN2Py7+vQPv&#13;&#10;jFz9DqLyyR3CFJMs7M/eUrAPEj3gqTvoBrqCLqAD59ux9jY6CT31A71AN9AJfXfA1p4+7dBXW66x&#13;&#10;8dGsgNxpxlgtyNkEcrgD9aAredoLJIJB5O9wcnk09lR8SWU+21yp6KIR6w6qpaliLGOM4/2a8WCC&#13;&#10;HgvGgfFRTOA4MYpJHG1zTSJnzFyT8+HePHubgH28yGD8DObJYL4M5s7QI8FwbEPFFN73mQwmwjf7&#13;&#10;LMdkzvUXU9Fxhu4hpukuoB1oTf/m2JriUzxrjEcP8WIw7QGcT8Tel3696W+/pzZ6yKujV9FRQfv0&#13;&#10;q8TCwL/2QdZXFjwMIuCnaG04XoTaMB0/CtozpqOPf3mw79Pvo5eP0M1s6v1naOhLfJ8HFoMVnFuN&#13;&#10;jtdSq9ehp3XCvk+vg/vFHuzP3haj88WM9x15sQitLmCOueBL8Dk58ymYzfmP0fuH9Hmfvu+Ra++R&#13;&#10;d7PwYZboBex1ehZ+TPdwrU779eDz3xHHz1m/QVAcf4nG8bcixDE7VxyroQ3/43/nN9+NsonhQQ/p&#13;&#10;vP9j8N/rMeP4923V/EE4/t/j1GYcgwaMYRB8X3OGNZn7GvMeT2H3r8v4VNC/HV0uYP+6zP51hRwu&#13;&#10;JsfxDs943uGZwHs0E/R1wKEtOX+DTOV9nBHAvn/dLO37142yP2Ml8s5Ooo6TSYydpF1gq2sVpH3/&#13;&#10;KiMH6FKghEzhXaRB+jL7l1mzbUxj9zXn6zUsC96/wtK+f92A/UbZg3eeusNVN9AVdAEdONdOR2Qb&#13;&#10;HZLcE4GKoCwoJRN0cWzF6BMjOwH7/nWmgP3rDPnMX+SHg+aM25Q54pkrHr7j8aGJvlW+rG+TLXUV&#13;&#10;fKnCfDaeqkj7/lVFjmWMcWC8vgO9VAV/BHdG8SeOBn+OwjbXn6V9//oT9jtlBuNnME8G82Xo20Fl&#13;&#10;cCu2W+QU/Qc5Ga4ngvHEYSI6m4LGpvJuWAbvpU1D29PgeZq+SI6fY/86zf51Cu2fQg+n2L9Os3/x&#13;&#10;F/Ox96Vfb/rb9y+jh7w6qoiOCtq/TDwM/Gvz7l/mnTFzb3ulCLWhJn4UVK9qytr6MQ/puiYcmnaQ&#13;&#10;T8WK59Sr4hwLW6828rcF9mr7s5yNsXu9+5ga+dRY8+/P27Fn/y975x0lRdH9/QVRQdDpmSbs7LDb&#13;&#10;PSUKtRhAASOI6QEEfRATAmYUJIjk4AKSFRRB8gJLXiSsCChBQAUVJPgILiBIkJyXDEuU91O907C/&#13;&#10;eWZqPLu/95z3j3fO+Z7erlt969a933u7OsysZ1dwp2dvcJ/nQPCA52jwoOeslsd/IVdro2jXdH95&#13;&#10;TqLzWHCLJyu42XMouNFzMLgOrAbLPUeCP3pOBZd6soM/eC6BguIHT2GxzHOz+MnjFSs8JcRqTymx&#13;&#10;FqwHmzwlxZ8eU2xDtp0+f3mKCB3vDyJXtkW7X3IAPXvRu9OTILZ6ksRGjy1+A7+ApZ5EsQTZAvrM&#13;&#10;89wECoLs4ALmsgTbl3l2B1fiL+VTnQ1K7sbdrYe/5YpVtPslv3GcgntsOI8nwd+P4PEXbAeyzctz&#13;&#10;hKIGazqh50xRI97xYbT48o9lREmjhPAbhggYRUWicT24Ekw0zgdLG2eCCcaJYCnjSNBnHOQ3OA4G&#13;&#10;rwcFjMP8vsbx4EXPGX7f4wIoIC4Q94vE9G/8XQB916NXja3zrZK7/nF9W4w5xcqDYkZOHkSbk4k8&#13;&#10;wdgdtIwDwduMrGBZ5lGWOZU1CovbmKdtlGKuiaK4YYubQEFwEb5ke+LFSY9PHPMUBQVANr9jciyY&#13;&#10;DV8uwZfr0KvG1s1JycPnpOLkzikaX4pynIJ7bDhfpoX4MisffLkXO3YFc/hSLu7ax12nQcO4e41d&#13;&#10;vGuicEhbF6ob+3n3Ym/wCWNPsAb9axs7eQdjJ+8l7ORdhV3BhrQ3Qv4q/V5D1xtsG9PWhLg0o897&#13;&#10;oDXoDLrT1hNe9YJnveFbbyOnZkWzsbeRJLo4OO3YWOfaVK6uOYvR1sU4jv6jwY7obQ9n22BHK9Ac&#13;&#10;NGX/bWRv0ucN+PGGcdGJa7Qx32C8lxxka8d8yTjF+xnHeRflKL44zDsah3hH4xDvaBziHY3D+Owo&#13;&#10;78ScwL9nwd/aMasy3r0OiAfzKQzCefFViBcL88GLDCMurlSMOpJBztRn/BTgflzexNMwG/k35P0C&#13;&#10;wysWGTeLJcaNIA5c5Fl9Nr91cCq4gFz8mjhngHQwgf0043RwrHGO9ywugYJiDMeNpQ6lGbeICUZx&#13;&#10;kY5eNbYu55Tc9Y9bRz43YnP9c3g6xoGe62lwdzxcngR/0+k/nTydBeaBRXD3B+rMz8xlBTxaQZ1Z&#13;&#10;YRQTP+GLJUZALCR+X1NfvgTTQLphiUnUnglGaTHOSGCuOXOLxruxRhXxuYPoHPg2xIHv2Q7K47nk&#13;&#10;MP6KdS45TL3WceAk8rPM+zw19iIxvMy55DL+uMy55BK+uQDvs8nFk8T+MNgLdpIT28mXLcj/NC6A&#13;&#10;AuJP6vQWOLQdLu1E3170qrF1HFDycA6oObl114679nF5i7viDhND3ZxOIb9AjK8Q40LerOCN3jPg&#13;&#10;Cigsrvcagn9UwFwTxWliewjsAlvY34g9vxs+wW9vgAIgm9/jOBb8gzlvRd9u9Kqx9XO6dj5weZ17&#13;&#10;TtHOJUqvguuP8JrxQ4gv6h2GvK49Er3X8iuaHYneXcFE700OZ+pcc///qNGJ3ptFktcjLK9XBL0l&#13;&#10;RBn8KUEFUNlbXNyH/AF0POC9Hlxx/FUhgi51r+IBxnvcQZJ40KtQQjv2A4xxn9fPOAFRkf53em1R&#13;&#10;FiQBvzdRlEReHBtM4mx6izr8izZX05nrtRx141UeP7kcjHZsee8OfjMherzU+x1qrbgmH/FS7wzE&#13;&#10;Ovc/xxxecZBTD6PF7HXv/uBb3j38BsTu4LvencGWoDXoDLrT3tPLuZxc6e3lXO7N1p7jeuP3Lg7O&#13;&#10;OXnYOEJsfbR18Z5G/0l+I+BYsKP3SLCtl3M5aAGagXfBO97DwcaM+wZ9Xmfs17yngq+Sr696zzGv&#13;&#10;iyCHP9Fq7SvY8ZyD/45j838Qx+bEUCFa3v0nFEf1rDSveZeKHQVinKtTvQW0dTrVe6MYTV6lkXMT&#13;&#10;yJEp8HwG+ArMZX8e7QuRL6LGLfLGgXPBhfhyHn6di49n4esZIB1MJBZptI9Gnuo9Dwpo67SSu/5x&#13;&#10;c2Qac9oZ1F/HTINbqk5XisAPde2bgXw23P0a/s3z7g0ugKOLsE/V1woRjlH1YpF3dfAnB0nMUaGk&#13;&#10;47doHFxIrZjnLY2PkvCVJWZSJ74AE8Bo6sVwb7wY7PWJz6gVnzHPz/DbYHg4HDtSsWsCNqp56Gq+&#13;&#10;krv+Ca/b6+FNH+rAn2zzyp/N+LpoDP5sxn7l62h++JN6/Scc2eo1xXZ8tpt5HwRZ4DgcOgWHzlI3&#13;&#10;s+mT7b0FFGW/iDgNn07CvWPeG8Rh6rnOD7u912lt2O4tiA1xYhM5nem9xDP+c+AUOMr+QZ677+P5&#13;&#10;O/dCyMcD4AQ4R7265D0Q/BvOXoGzV+ivs+Escp0fzhDbM+g5Rc05QYyzGHc/2A12sP8XubIN2Vb6&#13;&#10;bKXvVmrYNu9Z2rOx6xz9zgf3eS9obciibulsOO29HDyPDy7iiyv4rIDvRnAz8LHP2oRzWzZ8PQFH&#13;&#10;D4IdYDP7G70J4ndit5YYrQ2d2+wIeQLV4hQfXE66OXsAHsU6rym/K7jHhvN5C8rVeW0H27zyuQYn&#13;&#10;h1VBfe2o4Vvl+DDa+ewx30beBdjOuwC7eRfgSPB+3xkQJ+73FRUP+kqIqr4kUc13q3jMV17U9FXR&#13;&#10;8vZR5Lp4PeS7E73lxH2+20RldFby2eIeX2lRwVdS3O0zxF2+m8CN4k7fdaAAOMM7CUeC92JbZd82&#13;&#10;7NvAuwurtJxR843m8734WtUQ9W5AXq8VuuPzSyGf3xGBM4Vo6+67xHPRTcG32aq/XXtc/rRAx5qQ&#13;&#10;juoRdBShrYVvDc+z1wRH4P8BoKfvevEmeJm/nwZKHq63TS69ZSLoLUhbG45TcI8N56XyjfLRcbZ5&#13;&#10;5eWEXHbcH8EO9V77BGyY6aC42OhTSBITHES37UTINvXcL6+2FTLj4lYG9TlTyFypPd96kJcy1/A8&#13;&#10;4XeeM/zB84ZtPOvYo+VlALnKjZQI/oinLcH8C51bgsXNTTxf28BzicxgIXDJl8n31TcGT/i2Bo/4&#13;&#10;dgYP+g6Bs+BK8DC5cpx6d9pniovkUCGzpCgGfKYpSpk3C795kwiY14vSZpw2b8si1+Xt7WZhcatp&#13;&#10;iER0lzITxS2mLa4D58nfE75EcchXSuwif7f7CoHTwe2+A8Gd1JT92H3U9x++c7+SuazU+kfJXU66&#13;&#10;eVIwV6yi8bkgxym4x4bzWT1PVXxWz0zyypkK2FFF6DlTwcypfXUixLcYbVXMZPGAGRQPmaVFNbO4&#13;&#10;eMQsCuLAmWA183DwIXNX8AF4VJnY323qa1wV5Lp4PQxvqpubeYazhe/Tb+O77TuCT8K/GubBYE0z&#13;&#10;K1jLPAmyg0+ZF8EVcJOoiU1PENvHTIF95cV9zEe3PlDzjeZz9T115XP1TCivdXYIPj8SI0+HmEe0&#13;&#10;OTWc+Y4y9/Md7r18l3t3MA0/pOGPNPwyljwbTe6Owt8jzPXBYWAQGMj+J8gGmH+CLWAb+AvsDH6K&#13;&#10;joHmPvod4PvgR7R8VnLXPy6fBzGnWPcaB5k59xorReCRWusPRT6SPBxNvNJMnxhPXk40b9HG6jNi&#13;&#10;rfgSjZv94UE/83KwD1zoaRYUPagZPcwi4BbRy/QKvusuPmbMTxlb2afjhZKHz7s/8z4eI5b9zePa&#13;&#10;WPbFn72JZy/834M49CAePcztYDNt6/k+/rpgf/NXvqO/hliuIeZr+B7/r8GJtE9BPpWYTjW3gl3s&#13;&#10;76P9EN/1PwIPjvG7ASe1sZxqFnLqY7SYfGEWENPw3TR8ON28BC7w3eOca387QhwpRXFfh2ISTedc&#13;&#10;9MwhFl+ZN4gvqRUZ1PMMs5jj+3IRdJJucYvNJDELTDVz7v00jtCPU3PcZDNeTDATxDhqUappiWHU&#13;&#10;8kGgH+jB8V1Nv+hMzDuaHlAEXMf+3/z+wgV+8yAbf5/G18e1PlNylwfhNfnGUH24hW1ea/IunkN2&#13;&#10;EvqavMvTyYlbNN7vR37Y01Ec9bQTJzxtxClPK/AueEsc97wmjvB/hQ55Gon9noZiN1C8j+b7X5D/&#13;&#10;gj41pjtvN++XYGu9kK1lIsQEN8Qt8dRjjHra8/BB5Ec9z/Gc7gWeOdbneeNroCloKS57WvMcr504&#13;&#10;z3zO8j+RTnpS2HYV5zzd6dsDWS9xydMPDNDm72XPcC3XL3tSGWsMY44F48UVz0SeeU50dEabWwFj&#13;&#10;Mj6drNWr5Kc8k8BEbB8P0sBora0nPJ9qdZ7wfMRzzN7EuKc4iA/2gZ1AxfGOCHEoRNsvyH/BliUO&#13;&#10;6l2NZTiHJ5PEQ0i6GWzHsM3LM+zbjbi4JjE4fLvRxJljNA4nI7/LaCruMZqJKkYLwXfMxcNGG1HN&#13;&#10;aC8eMTqJ6kYK6C4eNXqBj7X+LIFcd54oYQzieflQnpePFKWNMTxLTuOZcpooD+5m/x7aKxnDRWX6&#13;&#10;VDEGa8fitwicsVIixCGetkfQ8Qi6qhqjmM8Y5pUm7jfGoXuiqAif7jTSRTIoB24DiaAU7V76FeOY&#13;&#10;m9B/k9EPdGO/g/AZ7yNvJpLwl/Kp7hym5OE5XIVY9YgRqypGD63/qhhdsb8LzzU7Moc24g5sug0E&#13;&#10;QaLRWiQQs1LErAQxK4EunY1qrHAbb8vFp2i5eBtzU3CPDef1TPg8HD7PyQevG2PHOzF81dh4x/FV&#13;&#10;JWLtftxnU2qd0xx5a3jd3mguOhutRIrRDqRofdIWueJvNE61MTqjs4NoZbQVLfD3u+htDF4FL9P2&#13;&#10;IvIXiNHzRk/wERjI/hBR3xghGhij6TeW/mNFU9AcTr5npIr3kbWBq22Nz7S2pSBXtjV2J8vWna+P&#13;&#10;vz9AT2f0tjMmoHOyaAaf3wINwQvGJFEXWW3yqxa8roVttbCzDnx5Ftv5DQrRCH8pn+o4o+Ru3N1z&#13;&#10;01vGtRoUjTNvwRcF99hwziiuDIMzC/LBmX7Y0TTEmXL4w/24PkJ9XD/4MMhBW22eDSa2Q6iD/MaA&#13;&#10;GEX/sdg+IRcm8rfCJDAZ6Hw2mTxVcavjGsTWtakYfyv5JDAxhAlsFcaAkXBqGHz7nJwfTLwGwys1&#13;&#10;VrT5DSbu/Rw0jepr9a6Dyk/13fe8nnfmG9d8HS3m8/HbfOq9bu7zyY0F1OiF8PJb8uM7OPojWAX+&#13;&#10;Q26sIy9+R0em8Qno68y9AvN3P64f1fOITMbb5mCyWI8P1qNPN/bv1Pl1xnieLU8Qq+m/nDxZChaA&#13;&#10;OeTLLGz4EhsysC8jdC6KNtcMZ67XfO7mxs9G7Nz4Gf4oRMuNJaF4LctHvLKww82NCvjK/eT2XxZz&#13;&#10;yHYwWWThD7Xv2uTOR+lx16EVXCVs/6eeeuhReAUdCtHXQD8yJ7UG+ikfcyvi5f8IhPL+/gg2qXuF&#13;&#10;Rbwv8Qxaoako7eB9/lYYqeWI6U2lz2hRwjuG59ljRCnvWJ5t5yCBbQJtAVA6BF0dKO3NWb9GqwMB&#13;&#10;7xT0TUH/FMaZwnhTGHeKMMDNHFvUO1EU8Y4DY8BIbS4UYW5xDprSV+Glq7EMr70/4/uhxOCXfMSg&#13;&#10;LDFw+RWtNpXFjooOWjs+T4kQq3ja7vW+xzsFLXi3oBnvIDQV1bxNxGOgBqjN/jO010X+LP3qMccX&#13;&#10;vC3FS97mooH3XfEK8jfo9zZoCdrQtz19Onrbgo4g5/wfzcaO+Lmlgw+0vGiJrhbedqKZt41o6m3N&#13;&#10;eO+Lt8BroCH79ZG9QJ/nvR+AnHVYtDGfZ7ynHHTVjvmUt7Oo5e0gaqK7BmM8wVjVwcPgfvYr034P&#13;&#10;Y/LbD6C39jxRkfHKOriW4+G8WAUf1HlCfcc+r+eJcfAi1vXJOOJUn7hHy4vJyL8grjOJJf9Dk+fH&#13;&#10;74lv8Pt8b3uxwNuJZ+0p4ltvd9AL6K9PBiLXjcV3+HnuPFR8Tn4NI89GedPEODAZfMH+DNozvMPF&#13;&#10;l/SZ5dVfnyxErsaKxvOF6FiArnneUcxnDPNKE3PI7y/J8xnEJt2bzrjpPB9P512DdJ6Pp4tBtA+g&#13;&#10;X1+O6YX+Xt5+oBv7HWh/H3kzMQJ/KZ/qapGSh9f2r4hVrOuTr+Cyzn987x77u+CjjmI6MZqCTeNA&#13;&#10;KhgOR4cQs0HEbCAxGxjKCxsfuR/3PALl4tRY4Taq/xHr8inauTiNuSm4x4bzWr0/oni9mW1eeb0c&#13;&#10;O2LVu+Vwdq2DnHoXjd+Z1K+N1K/N1K+t9N+B7XvAEXCSeJ7Bd9nUr2z8lk2sdeu/bPiR5aCbE6fG&#13;&#10;rmPZur5V1wpZ1KUs9B2BN4eI0z7G2AX+AtvAVmK1GfzBuBvok0nf34nrOuK2DhvWEZt13j5aW9Zh&#13;&#10;x3IH12qMu47Y/g/iuJ35K0SLo3qPQ8Xxr3zEsTDOiLV2KOxj3eCAtYNPgXWDgxhrBx9rBx9rBx9r&#13;&#10;B1DKx7ohhAS2CbQFQOkQdPla2hdj7eBj7QD8oBQoCUoAA9zMsUV9rB1840Rhxirs068dCjO3OAdN&#13;&#10;6asQfe2g3j1Qa4fd+YhBLWLgrilrRuBrUdpq+erx/FqhkXjeQXuR4lPozr7CZFHLQfS1pnourdaa&#13;&#10;R/Nh61BsHSr094yH+oZqa+RQ3wgxHG6MhBup8GCMj3MMmATS2Z9O+yzfKDEHPXN8A7V1fI6vrzNW&#13;&#10;pQh+U/dAZvv6oaufyPB9JGaAab6PxVSg49oEX3+tzjTko30DxCjfJ8xjoBjqGwSGanUquZvHbg3I&#13;&#10;wJcfxvBlhu9DbR2bhXw28Z/j6wpSwAegM+hAe1vm3kbMhMvTfK3EZDAOjPa1xvZ2+L+9GOHryBw+&#13;&#10;0Nr+KXLdOe9Txhnkew8fcK+AfEnzcU8AzACz2Z9H+7e+lmIxtixmPJ3vF8ML3ViL4cZicngJPFH4&#13;&#10;DnwPfghhKdtlIfzIVjfWj9QGNdbQCNxR3+tfivwH8D34zpfOeOmMzfUxmEeufU1NmeubAMbh7zHi&#13;&#10;K7YZ7E/3TYLHU8RE+o0FI8AQ9j9D9gkc788c+/uGgc/YH0D7R8j70K8X/XPub9gRbCJt4xQfwnk0&#13;&#10;BR7FWhNMIRYK7rHhawJVE9S55HQ+asMe7Ih1z3KPT3/P8jDy43DmNJw5D1cvwtNL8FoXx5PIVRyj&#13;&#10;rTNPkg/HyYej8PQI3D+I3j1gG9hM20bk68mfTHyfSSwyyekNviHiD+rUn/BtOzzaDfaDw8Q5i/gd&#13;&#10;R3aCnD5JDHW2XUKubIu2DrmInnPoPQ03jsGpg3BlF9gC1sOjtchWc75a6RsMPgJd2W9PeytsZL2E&#13;&#10;v5RPdTYouRt3t/bs+gec2QVfFNxjwzlzBq6oe5YX8sGZwuY/WH+YrD8csPYwFVh/OIix/jBZf5is&#13;&#10;P8wxDkqZrD9CSGCbQHsghNJsdT4sbcZYf5isP0A8KAVKguLAADdzbFGT9YfJ+oNxCpsx1h/MLc4B&#13;&#10;aw/mW5i5R4vBRXyv1h9/5yMG1YhBWozzUDUzTZtjTyKvha/rmMPFM+ZgUdccAPqAD8W/zQ/E02Yn&#13;&#10;8ZTZRjxptuLdmFbiflCJ/YpmB3EX8jvNHqAfGMj+ENpHIB9DvzT6p2ljo+Suf1x+815QzFr0iJlT&#13;&#10;i6LVjX8hf9p8V9Qz3xP1zbaiAXY2YE4NTHIa+56DQ8+Yk0QNc6qoCiqDu4i1xB6+Py8EfhDmR6Ar&#13;&#10;++1FMnO+G31V0KvG1vFNycPnpOIUq85XM5vgr+g5q3iicrZQwbxf+zXBjljXfk3g7fsO9M8ZWput&#13;&#10;RVv828HkGRX9u2J7jzD0ZL8X6A10PusNn3Rrh17IFXqG0IPth+AD0JH4toeLbcwuojXxam3qnzO0&#13;&#10;Js5NHFy7tguvjzfgY3VOLZIPX6t3uAbHyM0h8Ex3jhliDhND4eswODmSnBoDPyeCdDANDs+kbRa1&#13;&#10;cjZ9ZptDwefsD+JdmYHIPqXPJ2Iy+azz/Rgz575StPPcCPJgKPk9mPz5FN8OMLuDLqAd+61ob4F9&#13;&#10;TXmXhudMYDqYTa58g2w+8VlIbBaanbU2zEKu88MssyPvAbVnXm3R35r5t+Ldr1ZiLEil3o6kbTiy&#13;&#10;YfQZRt9h2DfcTBGjzG7Iu+G37rzv86HWhnTmprMhw+wl5uCDb/DFQny2CP8uot4t4pywkFh8bU7g&#13;&#10;faUp2DeVGE1l7KliCPuf0T6AOH1MjD4m3rpYKD6E146J8ChW7ZiIzxXcY8P5rHis+KzeOQq/b/Qg&#13;&#10;a5xi4CbgvsdBt7iHQGHg1uWdibw3UiLn+vEO2t2Pe2+mEA07E+8oMdpSaBlMLd4y6NpRHVk8KIni&#13;&#10;20EDbBkA3PF4zvGh+zdlLo4pOzZFsqNp8bi4lsEcOyrRz/24dqhrx6aMPaN4bceGGcUHBtW+QjT/&#13;&#10;2Aykfku7LNvuuexC1VW7/m/bUp3BlI+8DKT+l1kVtrnfD8vto0i2qPickzl+qYAe9+P65Xoadiae&#13;&#10;kwlBhTrmSb/CKk94jKagfDhB6IkN7xFUNy65x48Vo5N+fjeU974U16PF6KR/pKd4whaPsmGdX21H&#13;&#10;OogWo9nYNZ6BF7Cdyta1iyG0MfrftKU6g6kYTcSGwdiwgu28XLYoH5VDrvKJ5riyQPVXf6sPsXC2&#13;&#10;ru2q3QSqP6r+K+c2cjG7D4XKjxWA+8kd041J+8r9biuckhuTFPaVi+bDKsT0cWLanO1ruWKLXq3d&#13;&#10;7rj/1G6Phb0hLt7hHszWtZuh4zxWBVkGJFiGVH+7Nrv1xkDH5dDcq0fQUYQ2w7pcrgx41Kor7wLS&#13;&#10;ekTeBK7n71NJdaWSh+tNyKW3TAS9Kg4JHKfgHuvmiPtbeg/gvyeZxGNsnwnz4z/1UQvs8IZ8ZEew&#13;&#10;Q3GjheWV9dlWiiBXda4t8k6WKVOskvJDyy97WhYoKxVfcN3Vj+t3zI3riW9aOyjv6K5ztde1+Cg+&#13;&#10;tkZPa+s2+b51q2xl2bKFlSSbgDfBq1ZQNkLW0ConG1jlwd3OmBUi6LqetgaM95QDk74KpbXzamTF&#13;&#10;M0ZJ+bpVQr5l+RjXy/heZww7whiur9x4uRx6J5ePo8X6HfQquMeGx/pxnFaDGNfMR6z7Y0dSKNZP&#13;&#10;RLBfnXv749f++GaIg4JykqVgygwHSfyt8Ig2ZpOsR+nzuJxsPeEgne00MD2EGWxnhpDBVvEkml8y&#13;&#10;iNcU61ltnMYiH0m/4dbTcqhVG9trAr3eIc48k6L6uxZ+/hf+fjof/l6Bv4uG/F0hgr8VJ1dYReV8&#13;&#10;B5fKrbAUil61yeXPfPSYMfTMJz4rHNRFn4J5VU84l55hTqpu1M3H3E5g0+Mhm+wIc1O5cAIOqLqR&#13;&#10;EkEeT9sZ5OfgykWrmrxsPSyvWPeBiqA8+2VpL4M8KM9QT06Aw+CAJeReZHusZHAnqAgqg/vlPush&#13;&#10;5NXlEfSqsRWv7Ahju7a5ueb6OYs5xaqFWeSorhYeR36KWnEGnLeKy0tWKeYTcGyJVguvEKtbbIWn&#13;&#10;tXl1i/28vNluIG+yX5U32G/jo3flcXAA7LKayG1WY7nJekNusF4BL2rnvw+5mkedCP4pRts+q77c&#13;&#10;bzVAdwN5yGoks9B5AmSDi1ZD5vWS/Nt6HtQFT2nH+tv6lzNW4whj+Wi7bNVCZ238VUeetf4tT6Iz&#13;&#10;C+wFf5HTf5LPG6zHZCbxzSTemdT7DfDiTytBbsfHe/G5iosu3koeHu+TueIdrf6c5DgF99jwXHqW&#13;&#10;HFJ1+SW2ddm6512mdXU9qPhmAuXXSOuryva1usyfVz/u+VIdX9lO0vLuHuR325a80xayvF1GSrss&#13;&#10;KK/1yWPIdVx+DB3V0VXNDsqH0f0AYyg7dH5WctdXbl6p+cXKq8p2Tl5F4+ODyB+xffJxu7isYZeU&#13;&#10;tW2/fNpOlHVtWz5r3ybr2RLcASqAKlobJXId96X9MD6sLu+yH5MV7SfkvfaTsgp4EDzMfjXaH7Ef&#13;&#10;xTfV5aN2Ne1Y9ZCrsRpfjeq19Y3i/rPo+Td669i1mNe/0VuPseoxdj1Zlv2g/ZQMII+3q4J7QFn2&#13;&#10;LWkz/9vxxZ34RflOH5Nr/HVjUiVXTMpEsE3xtAp6Fdx4hnO/foj7r7LN6/qzey47+PPqJzf3u2OD&#13;&#10;jqd9kA+gfn4GL4bgl2H4Zxh+Uj4pd1XjNb9jbtwwu67s7UC//uyNnt7wq5d9q+wB17rB7y6gPWhN&#13;&#10;XrRC9p5dTrYkl1ra+vVnS8Z7xYFJXwX9+rOVHc8YJWVbu4TsAPe7ME/lC12sldyNlxvrzva1/IsW&#13;&#10;684cp+AeGx7r10KxfjsfsT7NdeQImXMdiUlXP7ljfTpphDbW55BfTBop/05KlQWs0fI6K43rrAmO&#13;&#10;Typc1Xgt1mqNdb3VS5ZwsFHeYCn8R5uT11nr0L2eMTYw1h8yO2kT13Gb5BGwj7adSb/JrUkr5eak&#13;&#10;ZWAhmMV+Ou3j5V7sOoKNah66OCm562s3Ttn4Z1UM/2QnrXJsT4kw13jaLiG/gm0FrZ9lIWsZvvkO&#13;&#10;LACz8dUMGWd9IS9j68WkKfIcOAWOJU2VWUkz5OGkL+WhpLlgAVjC/jLaf5bH0XcKvWps3ZyU3J1T&#13;&#10;OH/ugzfPFYqLq8q2Edu8nCcf5nw9OYZ/HrYma/lzP/LKVrq8Fz9UtKbLClaGvBvf6OZVE7mu/tRE&#13;&#10;Rw10PYHOx9D9CGMoO3Q6ldz1lRt/Nb9Y+fGwlZMfdSLEvxhtjyL/lzWS69xU+Yw1Rj5rjZPPW5Pk&#13;&#10;i9ZUWZ/417e+ki9bc8F8sFhr493I1byjjXU3/KpoLcefK+V91ir5oLVaVgXVwePsP2n9gi0r8M1y&#13;&#10;WdP6STtWfeRqrMYR5qXOk/XR9SJ661m/yaetDejdhI83MfYm7rlslOXIWWGtkZb1I1gAMtifIsta&#13;&#10;4+Ud+OJe/KJ8p4/Jf+dk1VwxiVY7q6LXAXYWBuHcrwbnX4DzT+SD+92wY2UM7ncjDsqHKcD9uLU1&#13;&#10;noaeyPsQj37Uhv7EboC1BMwHs9nPkB/B4T7wpCd+6wY6gXZwug2y1vCmtfU1WAAWge9oX4p8Of1W&#13;&#10;0n+l1rdKHs73Lrl8a7sGs3VtVuveLvhWzalSBLm699QV+Yfwvac1SvYlzh9bY5nPRMeWchGOIQRx&#13;&#10;A+g72kGmlt+jrS0y1dopR1h75efWEXx0THYF7UEr66hsZh2Sb1v7uRe1W75hbdPOvy1yNY9oudTW&#13;&#10;+gtf7kD3TtnR2iW7oLMb6AX60fYxxw/AngHWH2CddqwB1q/OWNFyqT859BE6+lqZ6N8gu5M/XUAb&#13;&#10;0ILzXhPOj28Sr9eJ7+vE+3VrFvtTaZ8gm+PjNvhcxUWXS0oeHu/uueIdLZe6c5yCe2x4Lj0ZyqXa&#13;&#10;bF8lp/JyHlmdyw47AkcU71Zjg453a5Dnxq/sK+h88iu5pOPAGuSrQ1jFdmUIy9h+R24utr6Ui8jD&#13;&#10;b8nDb62FzlgVItiv1jzfEsvpDkbJhXB9Iecb3XwWc574jtz5gTXVj/RfzlyUD3TzUfJocVL3zVTN&#13;&#10;U/eY8nq+P0+cFsSoeefhp25e5/BTNjhrfStPg1PUrhNAN6+jofNetPw5hPwAtXMfNXCP9b3cTS3d&#13;&#10;TU3dTW3dTd7s5Ty1n3PRAXAYHAUnaDuNLJs+5zjXnedYnQ1qXq5v3fXBMfwxO4Y/joXWKtFsPwl/&#13;&#10;ToMz5HQ2fDpPbT/PuuA8HDtHjp9l/XKaun8SvhwFh8EB9vch20ufPfBwD8fobN+AXMfzDejayJpk&#13;&#10;M5zbRj3ZC4+OgbPgEtwrYI/m/laaLGJPAtO1YxWxlztjVY+QB0VoK2L/go7V4D9gLVjH/bPfQaYs&#13;&#10;CorZ6x39ZSIcr66Bi9kbuTe10Rkj2nn1AjX0AnXzAvX0PHX1vLUW/IZ/1+HLTGK/AV/+wX00rh/A&#13;&#10;DrAVnZuQradvJvzI5DyaCSc2wtUt1jfc9/oaLs2RB2OsTVW8w3lyPFd9izav4/hawT02vM6q+1oq&#13;&#10;f9V9rbzm75127PXsnba+zlZEXskeKe+zU7n/MlpWhRfVbP31XjW7F/dUFDZyP0VBf71XFU48CA/u&#13;&#10;szcw1h/c89kk7wC3AYu2BPs3WcJeKU17GVgIZrGfTvt45Kn0G8F9GH2tVHLX124+V8Q/sa73Ktr6&#13;&#10;673KyB/Atofsn/HLMub6HVgA4IU9A9kXzCudeU1hXlOY1xTuC07l3tIM7P5S3mrPBQvAEvaX0f4z&#13;&#10;8pX0W0V//fWekrtzCueP4o263lP3hvLKn/b4J9b1Xntbf15rg7wV82+JH5pTS961M4D+eq8nct05&#13;&#10;pQc6PkRXN3SmoLszYyg7dDVRyV1fufFX84t1vdce3uhqaRfk3cmPXvCwnz1G9rfHyU+pm4OI8WBi&#13;&#10;/Ln9FZgL5gP99V5T5Lqx3oUfzam378GP94l9W+pqB9AZpLDfjVrb3V6Bb5bLHrb+eu9z5GqsxsD9&#13;&#10;uOt+db03GF2fofcTcq8fOdidXOwA3gNNyOk3yNmG9hpZ3/4RsAYgJg3h9uvk5Dv4oiV+Ub7Tx+S/&#13;&#10;c7KDfS0mZVzD2Lq2qXNCB/QquPEM5766V6Zqp7pXllfuT8eOZVJ/r2w68VA+nAncj2unsn06uTyD&#13;&#10;eMwkXl/iy9n4az74Fixm/zti9gOypfh6KTFbSkx+wJ/fo3eJvVQusH/guCVyKryYSN0bD4fG2l/L&#13;&#10;0eTHaHsmSGd/ArKxMt0eJTPwyTdgMVjG/gr4uAY+/gb318JFXSx+QK6by/f2NOxiHQyvF6NvIRz/&#13;&#10;BswGs9jPIPYzsWcG8hn0nYG+mdj4JbyYRZ37hpr9HXb/TC6stL+Rv8KZtfYiuc7+HvwEVmHnb3I1&#13;&#10;a4Pl8Ot7eDYPzART2B9P+xjOI6Pw1yj8o5uLiovLDTfX59mxeTUPvym4x4bzSvFJ8Uq9NxPOq3LE&#13;&#10;uxhQ1y75fd/ndDz/ywmFao7RcuB0/KZyfRM3lVMxqwTcj8s/dW2ehnxO4o5yPyaeKLc+saDcllgS&#13;&#10;3KX13bbEpck6ndsSNyevT8xK/jHx7+Q5iZ7yaYmlyvcFunicji9VXqdzK/Jf4j3l58f/nZwen5Wc&#13;&#10;Fr8ZLE3W6UyLv8vha9S5x5eU6fEF5fz4E+V+id9Rbiv+Uj7T6VTyaLEfTOF5lNgnEvuubHNf97rv&#13;&#10;TtJ8tV3VqYdAYeBy8P/H9f+duFYnLvFgAIF6iMDdSlx75Yrrjf/L78JlJsTFPSVzcrou47ofN19v&#13;&#10;piEz4Sm5x0ELWSjwlEwA5xJayNKBMfIGcCShE/IeYIzMdPBU1Fq1mnk9zXwy2b6Ya14M86HLXVWr&#13;&#10;TKDqViS+CojbLmSzTR/349qsjheBdk4e1nGFbF250isCb8vbAw3kXYF6snKgjqwaqClrghfB64Gn&#13;&#10;5TuBF2WzQEPZIvA6eFtbmxoiV3UkJcJYKpYvB96Q9QOvoruRfC7wsnwm8BJjvSQfA1XZfyDwmqwS&#13;&#10;aCwrBZqDdqAr+73lg4GPZbXAQPoNov8gjhvE8QPR0x99H8mXA31kw8CHWttaIFe2RfNDM8Z4JzCY&#13;&#10;OQ+XDYhlvcA4WQtUBfcGRss7AkPw0ydSBHqAdtqxlNytU25tqcEfNUKxKhPBPyq+NQI1pIJ77MO0&#13;&#10;FQbu+4zrQ5zZkg/O9MaOPjE40xt/6uLYG1/1wRf9iMHHxOIT/DYIDAHD2R9Jeyry0fQbja7R+Cw1&#13;&#10;0I32D5B3pl8n+nfiuE4c3xk9H6Cvm+xNPzX2y8zZBu7H5avis5K7/nF925Y/+saYU9tAX2dOW12l&#13;&#10;bF29Ffi7LWO3g28dsKdToIP8INBWdg+0limBVrJzoAVt78qOgXeQvwVeBw1oe0F2DTwre5An/QK1&#13;&#10;mVNt5lhbprE/kfapyKfRbxr9p3HcNI6fip509E0OvCfHo38y40xlvGmMO4PxZ2LHTGydGfiUtiHI&#13;&#10;R8hx8HEkPPwM9AXd2e9Cewfkbemn5qbzmZKH+6wPPnszhs/6BN7U8qAP+d430ER+xJz6k7OfMK9B&#13;&#10;YAgYxv4I2kchT6VfKrpSye9R5P4IfDIsUJ9+9elfn+Pqc3x99DRAXyO48Bp4UzsnJXfnFJ4nW0N5&#13;&#10;sisfeVLdHxe3NuQfxQ/343JG3UOu7l8razu4Nbm6X2FtVJsmYEtD6vwkto3zWO8bYdP+kE3lXIPY&#13;&#10;ujZxioxr5N8v33FwTFvvmvqPyOb+g7KV/4Bs498n2/v3ys6gJ+hHW3//UfmJ/4T81H8WXHJiEW3M&#13;&#10;T5l7LweXnTEbR7DNR1sv/3n0n5U9/Kdld/9xmcIYHUF70NZ/TLYGrWhv4T8pm9GnKX2b+M+BC8zp&#13;&#10;ErgCrnPWndFseQc7GjnYfzUWbp1oh//2hvwXrQa3Y/4K0bg1mfi9Qvym5SOOadixLWSHHcFXqs6l&#13;&#10;+fXPw8b5N8tx/o1ygn+9nORfJ7/w/ya/BLPAVyHMZjsHzAUvozPaWHPRpep9tHPjHP8mORt8FcIs&#13;&#10;tgozwXSOnebfAraCHWC/M9YT6HM/Lj/V+9Nzkc8lzl84uDU5jVil8fdwB/tlGnI192j+n47fVR5l&#13;&#10;5MP/G/C/ywPbNZKta6fy/wY4oPPJZuTbyJud5Mpe/yF5wJ8lD8PdLP8pedSfLY/5L4LLoGDyMX9h&#13;&#10;7bXSj8h1Y/3kvyX5Z7+Z/Iu/VPIqf0Lyb/7SyevBn2A7+ztp3+0vkbyHPnv9hnasY8jVWCkR5h1P&#13;&#10;21G/LzkLXUfQeRjdBxljvz8J3cHkHcRqq79M8mb/bckbQSZY839oOw8wKYq08S95WeJ0D7Db3VO9&#13;&#10;LIvQhSRBiSIgqIRTD/X0ENRTTIeAKJklIyBBERAJC5LDEkWQz4CAinwgmA45AcMJLCqSXMBVCfv9&#13;&#10;aphWnrmZGv7s89/n+T093W911Vtvqp7qZYEP0zLklrSQfJt73qT/N9NKwnnvbXJ4C7n9ITbahb2U&#13;&#10;TXVxqOS+3/2czcVXSVK/z0Mbrf1y0eUwdeRg2lnvW2raAXTaA5/CLny2A599SK35AJ99QF86HdVY&#13;&#10;0TruuSye4tWVPcxN4d8bvWatjtSV9YWIa5PvMIni2rQuxXXDGP5XexIWctf63su0jno1reOetE57&#13;&#10;taxzWr9lINfFVFUr30u3znghK8+zrZNeqnXCM6EcJFs/eyWQF6ePYlaSLGaVhHKyuGXIklZlWdqy&#13;&#10;ZDnLkQZUAcuypWOlSteqJKvSJoO2On/VQq506xZjvgbXJP3UoM9qliuFVU2mWdUZq7pMgeJWhiwg&#13;&#10;/n9Pqyx/TasAJeG89ztxnYTuJawfvDLYS9lUp4OS+37349q4zFfxYsbgPoV/b3TMbIjEzFuFiJnG&#13;&#10;6LHXu5RfjWPYiO/ZSY2tvV7rMN97HYiNDviwdZjK2rxrjZ9a47820BYb3wK3RWjHUdEeOkTQ2bAD&#13;&#10;vlF+jLdGtUfeDm6DW6xMxstk3Ex5EzTnWlMrXTa2BNhQJRwz9WLMVz3XNWZudcN87zVmvmr+8Xyg&#13;&#10;bK/2GjcVwge9LouF9Bg6qfWoF3Ggm/+zyPtbR7zBxOQwcnckuTvaOuWNIX/Hkl/jyK/nrQtQVD5v&#13;&#10;6dejrsh1Y3W1yssHLVP+Azt2w7dPkJc94Vnoz/kgrmeRV0NoM9TSr0fjkKux4q1H48jxsfQ1hj5H&#13;&#10;0/dIxhiBH4daVRmnmuyLf58lV5+GHvAoPEjedrZC8h7u6UT/nagpnazz3j3UoM7k7YPY6DHspWyq&#13;&#10;izkl9/3u5+0wfJVoPaKN1n5D0WWI9auXZZ31BlL/+qBTT3gSHsVnD+OzB61fvK74rCt96XRUY0Xr&#13;&#10;2POyeIpXW3oyN4V/b3RteTdSWz4oRFxno0cJqV+7s60SWv9nW2XlHCsg57EWLMT/S/H/KlgHb3D+&#13;&#10;JtffIUY20W4TfW0ixt/Btm/i6w3Ych02XQXLYBHn87k+B3m2dRFKaG2r5L59fP+vYE5HIvUynVDw&#13;&#10;fy5/dlxBHqqYbugLOfpytcauRb6eurKROPwfcvVt65i3Cf2Un+uB/+Pfo2rSJutTb3uYasxRYYXt&#13;&#10;1s1vzNFvb/D5bXLkf8iRDeTCOnJkNXmRAwthDtdmYr9p5MdLVgUoCRe8qcTcDOpetvWjtxAd1Tx0&#13;&#10;safkvn2i42cbcaOe03cWIn7ysbX/HfzOGPMsx7V8bFLUVvzqSY5NoIqdx55hNXktVLB/Q1ZSFuVz&#13;&#10;PnZT7ePp/ElE572F0LkjgeJ/R4+Xex3t772OdgVtjehoG/IvdlDebleWd9qWvMu25X3wIHSzU+Vj&#13;&#10;yJ+gjyfsFCiuXc+eYLxnwlSTT2KHJ+lPV9+fsB36F4yTLh+ifRc7U/4Nbofb7AzZFvnNdppsbVeC&#13;&#10;S/U93lxbh+f639/FO2Mn/1k13r2d7Vz2YuPXqH/jJ/VdXO33XO2eSjZ6OIlqFPPVrVHzkC/Cpkvx&#13;&#10;1Qr8stIuC8UhifNzXg6xudT+2Vton/Cy4WWYTIxOIjYn2ue9CXYROcEuBWXkRHw6yTblZOz7Mv1m&#13;&#10;gy4HldyPZ79GjbgsBmvGyBu1TzQCv0wIc2mfKN76O8k+hq5HvSn2j+h9hP27XPY3c73FsML+wVtj&#13;&#10;H/fWM5c37N+hmHyDeHgdW6y0XbmM2FloU29gBrxM/EwhfibbVeULyCdG5hZPx4l2MzkizJ/xE11n&#13;&#10;vonEwCGOjxEL/rsTpnjF71G2Ya9E+zHbbP1+zDZ7n/ehvdfbbu/xdtifeR/bn3hfRNjL8d8RvuS4&#13;&#10;D3Q+3Udfuvz80v6S/i6xl6PiC/gcPuXeT+0D3if2V/Af0O/H7EO+zz5JO0U1uS3MSe8dzt9Bti1M&#13;&#10;/P2Yw9hd1fnvC5GDh67A/ocS2P8Q8z6M/XOx//fY/xg2Ph3hDMezEX7hmA86++cnsP8v2PlshDMc&#13;&#10;FafhFJzg3hPY/zj2P479jyewfz7yfGx9PEw1eQj7H+Lz/jDfe4eQq7n7OR4d/8ruyv5HC2H/NOfP&#13;&#10;Wpweo16o7x9pjv77h0Ce4RzxrnF+8KRz1KvtHPfqOqe8+s5p7zon32vgnIMLXkOnqGzo6L9/JCPX&#13;&#10;xX+yU16WdkxZ1qkiKziWNB1HpoGADM6rc72GU0nWpI3n6L9/NECuxopX/xo4hryOvurRZ136rs0Y&#13;&#10;tRxB31VlplNNpjuZjFtd2pAKFSHFyZAlnJAssKvIC9TDCzx/XKDOF9hnvBLOCS8FGwWwl7KpLg6V&#13;&#10;3Pe7X9s9fJXo+wdttPbznPNeTedXr4Zz1st0fvZcdEqDIFTEZ+XwWYrzi5eMz5LpS6ejGitax9TL&#13;&#10;4ikzRjwRqkmpzE3h39uca8ngv+v8iUZqbT9ViLhuhR7+s1jNGHqodbCV873XPszP2prbwTnp/YWY&#13;&#10;vpPYvov296L7/VF04bwrPEAe6Gz2ADbWxXdX5IouEe7n2Bnugb86ed4d+K0j/uuAHztE/BNvfh2I&#13;&#10;0VZh4q+heRFbny2ErVdg6489/Xe9Fc6l3zNuGMMX6nvRBuSbnM+895293g7nK2+Xc9Db7fyoteV7&#13;&#10;yJUts2L0mcq1Lc5h713nP95b9LfR2ee95nzprYCFkO0c8F5BNgV/Tca/k4n3yU5xOcUpK6eT97Od&#13;&#10;VLnAseUKeB3e5HwT17dQf7Y6KfI92ur8vBu50q1bDN0Mru1yyskdTlB+QF3ZRD1ZT+1YDvNgBjXk&#13;&#10;JWrNOGrPaKc0/OaNJv7GOoe8F9D7Zedzby72UjbV6aDkfo75NWTZZb6Kl5/LuE/h39scfZPBz8/f&#13;&#10;iBW17iSRRFf77H0aPfzvAOl05f/432PVunOafFI27OgLOfrysnzOR34O/xVQU4uFjnolQ8e95NAp&#13;&#10;LyV02isbyodzXrnQBSgqy4X06853Cdad7/D7IdaUXNaCH/DZMfyTB/lwjvMCrieFKsmiIRP0605Z&#13;&#10;5GpeWTHmlcq1siFDlqGvlFAVmRyyZKmQI0uEBP1WlRfJ599Yd/KJkzPwMxyFQ8TMN6w7+9BjL+va&#13;&#10;XqcknPf2OWe8b6jth7DRUeylbKqLGSX3/e7HTLEQSiX4nkQb7bpTNHTeKxLir9+FznoXWHd+Q6c8&#13;&#10;OA5HqW1HWHcOse4cJA+/S7DuqLGidcy7LJ7ixXUec1P49zZnWpfHdRHiWa07pQoR1xa28vct6tG/&#13;&#10;/+PHrdrPsUKfeplhqkkrpIi/L5GMLirXShdCp4ZXoFNDdGgRpppsiE7qPJ6dykR0KlsInVan8Tf6&#13;&#10;EsTU6rQF2jx5HfnGtHnyrbRsuSlthnw3bSpMgDEwUr6TNhTZALkhrY9cDUthAefz0obx3nmUnJM2&#13;&#10;FibBFM6nc30m8ldpt4D2C7T1Xcl9+/h5Mo059YjMqabveI6+7zFX0rS0Hoyl6Kud27y0Z9Dlabko&#13;&#10;rZdcRvuVad3lWtgIm9J6yvfSnuXd60C5I204jIdXeE88j3kvYc7LmfMKuQZWwNK0HPpZRn9LmeNi&#13;&#10;xr40t3g6zk3bKqeF6fHHHKNzJYc1oDtxuZZjH45X891bvYtPZK8vmPs3Yfpr68u32PM7bHIYm31P&#13;&#10;+5/SnuLd+5+c4rPiZ8gDXQ3MS9OP9XNaP/rpR3+XOMlRcRSOEF+H0gbzvnyo/JYY/JZYVGPFs/W3&#13;&#10;+OqLMPFtrf6uprK1ej/8zFXaOmjxtwoT5FvQekpr41TkjtVDplu9ZKbVm3enz0rP6idrWQNlbWuI&#13;&#10;rGONgNEwDl7Q2rgo8vuwS0fwf/w8KcuFYtY03sHOlKWsObwHni/LWwukCakQ4jyd6xnWbN7dzkSX&#13;&#10;6dqx6iBXY2X5A3H0x0rlc21rhryWvmpZc5nPPFnTWiivsRbR91LeNS+XtpXDuCtkJTCgDJSwlvF+&#13;&#10;eCHvh+fyXng6TISRnA/mel/kvWj3lFQ21cWakkfXkUx8NSaBrzKtMVr7ZVoj0X8o78mzeLfdn3fn&#13;&#10;fbBfH1kByuCzZHxWHJ8Vw2fF6EunoxorWkf1+wbdIzpmxrAroZpkWt0Zs/sf90bXEPUOW8W1eo96&#13;&#10;tXHdCj2mJ7BVq4j/u8XQ0+BaK2sW76qz5c34/xZiqz3+/yvcDfcRb/cTE12tV3m3mA0zYbp8gPi8&#13;&#10;35rKu8Yp8l7rJXmXNVlrww6ReI+nwy3WJHSYwDvr8bKZNVY2sUbBUBjIeR+u90a/Hrzn7i7vhL/D&#13;&#10;g1ZP+Qg5+Bj+fdwaBEO1OnRFrvIgng5diZUu9HO/NYD++zL/PvIO6AC3cX4LcdMG2c20uZm2N1vD&#13;&#10;OB8hbyXW2qFvB3L/dus5rQ53R+I2ng5dqB0PYYNHsMXj2OxJ7Psk+fkk+f44vnjEWsK8l+OXFdhh&#13;&#10;BWOvkK04v9FajK3my0b4qFGCeqDiITqe77yCeFZ2V/j3Rsfz25F43lKIeJ6EHonq9CRqhq52TkE+&#13;&#10;nViZRQ2aS9zMJ0YW4rvFxNIScn4pPluGr5Zh62UJ6nRWgjqdRR4MJSeG459R2H8sPpoEU2A65zO5&#13;&#10;Ppvamk2bOQn8shS5rk4vJQ6W0Ndi8nQhOTmf/JxHnc6mTs8kBqZRp6cQDy/CRBgNQ6nTA2nXh3t6&#13;&#10;039vayKM5Hww1/si7yWfw17KproaqOS+3/3nvbn4KlGdnpugTs9Bl2zycjb5NIM8nkquTYJxMBqf&#13;&#10;jcBnQ/FZFj7LSlCn1VjROqp4SlSnJxHTCv/e6LjeGolr9be0r7ZOr0ePRM9664nZd8NcejbuGKNe&#13;&#10;l+XaVusZ+QF+207924lfPobPYT/8h+uH8GsudSoXm+ZiX93zVy5xcyDMKG1tPGANp90Qxhgkv8RP&#13;&#10;XzDGp7AbPoKdsB1/bWPc92mzlbG34NfN+G0ztXEzvtlMXdPpshk91of581nQj7VdV+DHXfhQEc+P&#13;&#10;/xvx4+5C+FG9l+8i9b8zlm91kUVsRQ+ZEqYvnxXZ2rpVxH6VNvNkMXu+LA4loFSEZI6K0pASQZev&#13;&#10;KTZrBLESL4ZKI0+2c+g/h3FyGC+HcXPkRWrIOXzwG+tMPrUlnxqWTw1TY9UD/8d/flTf5/Px/Ykw&#13;&#10;PWir6BLXBx9j+38WT0r6rBA+sAiKRM88ln2plsZbZ217luTfrsmQPVemY89Me6GUUAfq2wtkQ/zQ&#13;&#10;CH80pk1jeyZM53yavN6eKhvYU2jzEr9joX/mybQvPePH08G1J0nbniDT7PGykj1WGvYoGAoDZdDu&#13;&#10;w/Xe6NdDZtjdpQfXQRO7p7zRflbeZPeXLe1BoH/maYRc98zTyM6SN9BPQ3sA/fdl/n1kTagOGZyn&#13;&#10;2/2kQBaiTYi2IXsY5yNkVXsk8lHYbbSsYeufeerYl57V49nhenucbIoNmmOLltisNfZtbc+AOZwv&#13;&#10;4PoS7L8c/VbgoxWMvUJanFexF0sT3wXwUQD/6PJBxYNfF/ya4vEh0dqg7K7w741eGz6P1BT1+xhX&#13;&#10;uzbMQo+xkZpyrZ9gHP0cI12SZhEfk+xH5HCO6rOvjz+XsXy4N9JHyxh9lObaWPteOQ3WYbslMIf4&#13;&#10;HQJ9+PwEKHl0v5Mu6zczRr9MO2kS9yn8e6NtpP7N3pNMQv2ewtXa6G30SLR+vk2ufBBGv35ut5+R&#13;&#10;O+1ecje59Jn9lNwDX8J3cITrPxL3PxHzx4j3Y8S5iquaMeau9rOOYbeDYfTr50F7OP0Pkf8hj74h&#13;&#10;dw8wxl7YA5/Dp7CbXPuIcXfQZjtjf0jufkiubSPPtpFD28gRnS7b0OPtMP+9fv4L+yWK9X8R54p4&#13;&#10;flS/76C+r/5YCD9eQI9E6+cF1s5SjqKHDITpy2eFfv0s5bwqk515vB9njYQyUA7KR6jAUVERAqCr&#13;&#10;FwFHv35WQF7eyaH/HN7F5zBeDuOyjkIRZAXUrIv2It59zwf9+nkB358N04O2ivjrp/pdB7V+Hi+E&#13;&#10;D2znz1yqFyOu1ZpuY/fqYdj/YT7q3I8LXJhUMdzmz5pTj3P/x69bl/q5l34UD9OHIn6dOMGcVJ04&#13;&#10;WYi5tWduib4/tncufX9s6CvM0ddZvYu9HXkn5vs3p5e8z+ktOzvPyi7Eny73utD+0TCLtM9djzor&#13;&#10;ZTdnnXzYeUM+4LzLGO/L9nAztHC2yqZcu955WzZwNvK7F69pY7Q5crW2T4sxD/5ccNKNzuv0uUHe&#13;&#10;RF+tnTdlW+ctxnqLub0l7+Xa39HjfmcNLAfywVnE9SXybmeZ/CvX/kIst4PWcKOzVDZ2FqLXXH4f&#13;&#10;5BWYCCM5H8T1Psh7MYen6F//PVLJo+OoCz6bEFm70mPMRb0L7eJMCM81K4Y8NSwfhZ+Gov8g9O8v&#13;&#10;78RfHaAN3OQMQL9hshn6NnPGwiSYJps7M5FlM7952GYBui9g3gvwyVxsMQObTMPvk2GC1g9KHj0n&#13;&#10;fjchYb3t4HRHx/j1Vv3+h6q36ncT+nK8mncMk64gHybhExVHHWPYtizXpiCfTmzPwsdzyYf55MNC&#13;&#10;h/0Uh/0Uh/0Uh/0Uh/0Uh/0UR7/vnYVcN1YWNh+CX4Y77KcQk2PxxySYAtM5n8n12Q77KbSZ4+if&#13;&#10;+ZYiV2NlxZiXipml+HgJfS3C3wuJgfnE96vkQDaxPpP4n0bcT3HYT4GJMBqGkhsDadeHe3rTf2/y&#13;&#10;oDdx1cdhP4VYG4qNnsNeyqa69UXJo2NmLr5KuJ/iXHqWjuerOeiSTR7MdthPIQ+mkpuTYByMxmcj&#13;&#10;8NlQfJaFz7LoS6fjXOTROk5Ex0TPEROJaYV/b3NsnQz+70/kR+L6fCHq/Hr0SPQ8uJ6YfTeM/nlw&#13;&#10;q8N+Cn7b7vSUO/HLx/A57If/cP0Qfs2lhuRi01zsq1sHcombA2H0z4MHHPZT8MM+6tWX+GkPY3wK&#13;&#10;u+Ej2Anb8dc2xn2fNlsZewt+3YzfNjujmBfveB398+C76LE+zH+v3buuwI+78KEinh8vRvxYjAfh&#13;&#10;6Of6pvi7LKSAX7do/l9/d2hTgOeZ0KX9lEzk/o+/Hqt7NgX+GdoU2O36cdSSayp/d7IwFGXsHziq&#13;&#10;v6vmj6P+Po7/Wa0dJihd4o1fwN/EVD5tCP6PP756HtgUKHCzA++4Sodvw8cCPhe48eyyl0HV/6P0&#13;&#10;Ncd7LtOLrv7Q6/+3Li0ZTNloOzrchA7HOHa7TJf/Fxv9EODfGUR8dCd9+j++jcpx4YfAV6HfwlwM&#13;&#10;pRlfhepCOeNiqL5RV9hQxCgjfguYUFf8EOarUDz7fYOuDrrmcqx+mc4M84f9EGn92shISirJQ5Cu&#13;&#10;vjUySor76Kcj+D/+nFS8NDJ+DTUzjoduNnJD7Y1vQp2MA6Gu0B36Gt+GBhs/hIYhH2Hkwa8h3VhP&#13;&#10;I1djZfkDcfTHUn7qaZwJ9TB+pu+ToSeMn0KPGD8y1o+he6GTcSx0O7IOxi+hdsYFKCnaGRVFB6OK&#13;&#10;uMOwxV1GurjXyBBd4RF4gvPuhiN6GJboSZunDVPodBuBXGeHYfQ12Kgm+hqe6GXUEY8b9cUD0Alu&#13;&#10;M2qL1sY1opkhRCMjCCW1Yym573f/e0QXfLU/El/xakAXY39I4d/bHJslg7+mHInEzIlCxMwm9Dga&#13;&#10;0aMeffs/vp9KcGGTcTS0KsxXoU3EuDr3dfLns4p+8hL0s4qY2RSmrlhFfqhzv5/oueVF5namEHPb&#13;&#10;h052gnzYRyypOFjpT5yjP3fll334eD+xdcCoKr42MsV3RnVxBH6EY5yfIEZOEX8/I//ZcCHEucN1&#13;&#10;WxwnFr83UsU3RmXxb+Lkc8MQnxDDu4xy4iOjNJSAgtBu4/fQZ8T5XuzxlXEqdBiOQR7xn0+OnCeP&#13;&#10;LpIDBUZxbZydRK6by0mjKHoVQa8C+r8Q+tE4z1jnQ9/BN5x/Te06gOyAkcR8i0IxKMG8S4pv4bCR&#13;&#10;zP0p4oxRVvxmlBfnjYAoYF5FzFRwIIPzGuJ3o5b4Bf+eJFdy4QDs4fxTrn+EfAf22oF9dPmp/OLH&#13;&#10;hh9jufjzVCTG4uVMLnZT+PdGx9VZ4klQX88VIq7uMP/UIz1G3NB10h3mqXDti7e+3oO8s5kXesA8&#13;&#10;G3rY/DXUzbwIl+pIzRh9onJSN7OuuDtMirZ23U0/d5nFRSezqPirWRC63aR+QhtoaSaJFshuNEtB&#13;&#10;CpQP+6FejDFV7t/IeLXD5IWao29z85x2Xi2YS0vm1No8E2pr/hxqzzyVLXS+VnLfX76v211m43i+&#13;&#10;bsd9Cv/eaF8XRHxdoujVr6kvoEdmghrygpkZ9kdWDBumcm0q8lfIjZmmK7JNW8wxq0BFSOG8BNeL&#13;&#10;Ii8ITcU/L8B4GMP5aK6PQD6cdsNpP5z7RnD/aPoZQ3/j6VeNrbOtkvv28W27mjlVTDCn1Yynakm8&#13;&#10;Oa0208QKs6pYYtYQ8806zKG+eBFGQxbn/bn+DPJetOtFX73MZM6TuP5bKMs8zdxOhV6EmTCf8yVc&#13;&#10;X4F8Ne3U2Lo5KXn0nF68gnhR4yn8e6PjpSRxompDuULEy+vocTF06RmsTYx4UN8NXifXXyeX3gnz&#13;&#10;XegjU5EX+iLMRT4rhDbHPzLTxS5iYJdZTeyGT/Dz5/CvCHs4Kr5AplD2jJdHX5DfH5v1wuPFq1cf&#13;&#10;It9Ku3fNa8U7poQaoO/3nfA8L8a1t7Kz+vutgULYu2qQ+xPEctVgQDu39KAhXBBBU4TAASsY1MZg&#13;&#10;ZeQqP7rF8LHBNTNYSQSClUWFYBVRLpgqygYtCEE6ZIjywWrIqtOmujChCljBTMbPEOm0qRp0oIpW&#13;&#10;BzUvP5b93E7FHikJ7JEavLR+xNPdDpZGj9LYIxldSqFHSSgORaAg5AYvhkJgBy+EqoAJAc4rBJOY&#13;&#10;VxHmWwxKaHW/QF1T9usYw35luXaRWlBgng8VDf4aKhk8HSoXPBVKBQGZwbyQDJ4J1Q3mh+oHz0Mx&#13;&#10;7Vj1g254rJYxxirNtfrBqqI+tq8fvEZcF6wJEmqJBtAweK24HnT5c32wrqgGunpZLViHNteKDPrM&#13;&#10;oP+MoAc1sa/E1tfi+zrEQD1ioT5xUV+UhuL0WQTZBdMT58jlc9T9c6wBF00DWXlRKliWWCojDPyp&#13;&#10;q5fK37HiJNGzlLK3wr83ul5WIm9VvbQLkb9NiNdE9bIJsdUEn7cO812oU1CRF+oS5iKfFfp62Ymc&#13;&#10;6kRu3UXeKe7B33+P0Jmj4v4w1UQX5Dp/d8Evd+Mr5e+GMWJK7Z/8BfmttGuL/27Gx62DNUDfb+vw&#13;&#10;POPXS2VnVS/dQtg72eDvrieoD8nGK9q5lTJmiJLGTFECikMxYxZ7HbO0MXghMDvcZ7ya8zvyXwPZ&#13;&#10;4pfAHHEmMFfkBebDIlgiTgeWibOBHGQraLNC/A4XoYiRw/jLRCljiUg2FsIcrQ5qXn4s+/WyIJCU&#13;&#10;NDmBPQoCk7W6FzEmo8eL2OMFdHkBPSbCeBjL+Rhs9Rzy0eg7Cr1Hof8o5jGa+YxhXuOY7/MwUav7&#13;&#10;YeS6eplLX0cCI8WPgWHieGAg/fUTBVDC6CfKGANERWOQqGwMEanGSBivHSsVe6qxWsaIbVUvU7F5&#13;&#10;KrZPNVbBGpFmrIXXhGWsY99rnXCM18P9Z8a4n9BNcowNIgV09TLFWC9K009p+itN36UZp7SxGnuu&#13;&#10;xZbrsOV6bPkGttyIDTeKU/BTYAP7bOvE4cAacZD4OBhYDHNEbmAGspfFicBUYukl9uNe0s5f+TtW&#13;&#10;nPSLxEm8eSl7K/x7o+ul2hu9lvw9xLEBR3+/FpNc8R5fd/K3f4J47W7018ZKT+RPw7PERV9joBhg&#13;&#10;DBaDjKEiyxguhhAfQ4jZocY4mAAvhm1VM4YvmULSUPzYM8wLCcacyN7cePEU/Xan/yfIh0fhIejK&#13;&#10;+f3I7idvOpM/nY1L/ok3ZmfGax/mJe2Y7Y1JtBvPvuHz7NmNEW0ZqxU0hyacN+Z6I+Q30O4GcljV&#13;&#10;/Hox5qm+B9/AeNeEGUBbxYjw2PHqWWPs2dTIYo9wkGhB+5ux963QEe7k/C6u34P8XtrdR1+dyc2u&#13;&#10;+OEh/PEIbR4H5Ufduq7k8WLtMDFWGwcdL0SsrbmCtWJNgrViNWvFKtaIlZADy1knliZYKxYZ+rVi&#13;&#10;HvK5RrbIpt7PMuaKmcZ8WARLYJmYTW2aY6ygzQoxHxbBUq7lIFtFm9WsFWsSrBVqXr5t/bViMfZI&#13;&#10;tFYsJo5UXYsXF8uQ55BTK4jzVbCGmF9DDK5hrVhNTK5krcghPpexViyC+TCX82xks8mdWcTsLO7R&#13;&#10;xcUE5EqHeM/WE+hrInn+ojFMTCXeZrNGLIaVsI7Y3EhsvkM8bqbNZnTTjbU5wVqxGZtvxvabWSs2&#13;&#10;U8M3U7+3UM+3UMO3wnsJ1or3yLnXQM0nC/wff482lQtrWQvW0s9a+ltD32sYZw1rxSrGyuHaMuSL&#13;&#10;jDfEPGMjdtwopsMU+nwB2XjaPk98PG8shjnYZYZ4yXhZvGxMJZZeEq9GalG6PzBHf2xSK0n5OzpO&#13;&#10;lhAnidaKJdha4d8bvVaoPX21Vqj976tdK9T+94IEa8U+Y0HYtitjzE+tc/vJq/34+Cv8+DV+/A5b&#13;&#10;fQ9H4RjnJ4zl7HcvZ997KSyGhZwvYO93PvvM82j7Kvvf2ex/z2b/ewb739PZ/57KPvBkmADPid2s&#13;&#10;O59TC/cSe19hk8NwDPI4z6cmnqdGFpAHBbTXxeJJ5CpO4s3lJLlzgjw7QfwfI6d+JL5z4Tv4lv6/&#13;&#10;5tpX6HMA+QFy7QCx/xV9fk0+fcsacZh8PYHeZ4wp7H9PQ69X0IlnX3MuLITlnK9m//s19r83YION&#13;&#10;9L+RPjaKLzj/lOsfkQc7sOUObKSbi/KLHxt+/TlyBXF1BLsp/Huj40rtf6u4UvvfVxtXpUz+X4ZI&#13;&#10;XLWJETdqj6uUOVqUMgeICmEeF66pGCC8MKP5rFikrVOuuZQ2y0Q6dq1q5ogMuCZCDY6KmhE8jsqe&#13;&#10;Kmb9Hz9Pi3LBM9+gjzfC4zX0G3D026jvbBbySuYGYZjrREVzLbqvAn2/FcLzHB3X3uexcy3srfai&#13;&#10;r9bebbB374i968XQXT2ftDF7iwZhHhZtTEXvP3Ty46cB/QxI0E8D/NMmzAb6Uwz4o5/oWFK/XCCZ&#13;&#10;W1GOVzu3Hui0LEGN6kEM6Op/b+R9iJX+xNMgc74YbGbDdJjM+USuPy/6mmNEb3zVA56AbuZY8TCy&#13;&#10;f5gviofMqfAKzOJ8DtfnIV9Mu2W0X6bNUyX3c82385PMya//6TH8RSgkPWn208ZiD+S9zP7smfOM&#13;&#10;bg4UA80s5jMirEvNGH3ihqTBtB0fZp02r8abb4nnzS1irPmBGGl+RN8fi6egGzxg7hZ/N3fynulD&#13;&#10;3h29B+9o5/8wcuWbjjF0Ksu1R8x3xSPmZvreIh4zt4on6bMHPAv9uTaQ+wehz2BybzA5p6uJg82V&#13;&#10;4bG6xRiL0pg00FxNn2tFP/L3WXO96En8Pgn/gPvN18XfyOdO+OsO/HsH/r7DfIHzMVwfjnwQ7frR&#13;&#10;vp9WByWP9nevy/wdr/70Cvvzz3ujc6kYOaTqcmmON3C8mu+GG9AjJ0EubaCe6XLpLeSbsNEW4v89&#13;&#10;c4F4n3x4H1u9b77E+USuj0P+nHjLHCU2wFpYxXkO15chX0K7JbRfwn3LuD+HflbR31r6VWPr/Kvk&#13;&#10;0bbdw5wS7VftYTzdnPbg78+pD7uJj+3ExRZzI7psRLeNYiHnc7g+A/l02k2nr+nExQziYg5xsZDc&#13;&#10;y8F3G2ALbOd8N9c/R76Hdmps3ZyUPHpOyk9+fYgXL2o8hX9vdLykROJFvTu52tq7Hz0SreP7qZX7&#13;&#10;qSkHwzwu8ljH8/h8PsxoPiv063gets0jBk6zjp/Gx2fhtwi/c1Sci3Ceo24dP0+dOJNgHT+O/Ady&#13;&#10;Ppc6cIh6cJC8P5ig34PhecZfx5Wd1Tqu9ryv1t4iyP+JkyA/RXBUOJYbxqhx6hnFRp4afE5UDo4V&#13;&#10;weDz7P1PhEt7F+kx7lFrTS3kKj/i9Snpw6OvGvRZnb4zGEPpoYtrJfdj01/31Pz8uI6niwheWvfi&#13;&#10;rRfVkNcM9hfXBgeKesHBvIMZKm4IjhRNgmNE0+B40Sz4IkyB6TBbq2MAuW5tMoLzseFi3rssE2nB&#13;&#10;5bz3y+E9IM+ZUJ3zGsGl6LIE2ywWMrhQO1Yz5GqsbuD/+M+WBhea0ldj+r0+uJp5raffjYy1kbE3&#13;&#10;iopB9kOD7GsG2dMOLoBXYBLno3kPNIz3QQPxdz98ol+blDzaJ+5lPsn0FePo60Y4J7ncp/Dvja41&#13;&#10;lWmk1ianELFfBiMEI79zmh5DDxWnZYygq6vjZQzDTTEquqWN8m4po6xb3Ehxk+BcIMXND5RzzwYM&#13;&#10;90ygEqSBgAy4huse8jq0q0f7etxXzy1p1HWTjdr0V8stY9SE6q4u3m3kOt34M9BuGn1WNhq4AaMp&#13;&#10;/bZgrBbuL4EW7slAM/do4Ho3N1DXPRSoAQKC7pFAGfenQEn3VCAJ/S6IJOMC7wwuiPLGRWEaRd1U&#13;&#10;o4RrG2UgqNVN2c33nZ+LSdibHrX/Z60aT+HfG+13tV/dDL+r/epWHK/mmeQ29BAJ/H4br9+VbRvG&#13;&#10;iAtV825Ffovhum2hjZHu3gytQOevG42q4T7j5qOR4TaGG4xqbkN8e51RAyTUdhvgx+uJkRuM+rS5&#13;&#10;zm0KLaAV522Q3Uqb2wwPMrU6qHn5tvX9chP2qJzAHjcZlbW6t0LexqiEPSqhSxA9DKgI5Tkvi63K&#13;&#10;IE9B3xT0TkH/FOZRhvmUZV7lmW9FMLS6ZyJXPolXp6sb5dxrjGTXI0ZrGwWiIXF0E7SFDsTvnUYR&#13;&#10;929GMfc+2tzHeDpf3WdcGx6rZQz/l+bafUYd+qgHDeB69+/GDdDI7Ww0du83mrhdQPUfr751MZq5&#13;&#10;7UGXv+3J2Xb0044+29F3O8ZoZzTEno2wZRNs2RRbNseWN2LDG916UIvzmsgy0SmD2MiglmQQE9Xx&#13;&#10;ey3DdusYacRSqtvEqKKdv/J3rDhJlL/K3gr/3uj8Ve8AVP4eLUT+jrusjqTH8A9dJ41DB13+Krni&#13;&#10;+csYz2ddTIwnvnTx9zzycTAWxkR4juMwGGxUcAcYptsfu/bDB/3whxqrXgz91d5JP2LjsTAXRT9i&#13;&#10;t59ROjx2vHo0gJgfRH3OIsaH0X5UZH66+aj5x/PTTxE/qT3fq62zG67ATxvQQecnJfd5g8+KjaCb&#13;&#10;10bsrfPTG8g3wHp4PcI6jithKX5ajJ8W4aeF+GlhAj8txEdTw1wUC7D7ggR+WoyfluKn5fhpJe3X&#13;&#10;Ruanm4+afzw/nYz46XQh/PQ+fro1Uv/j1av3jVvdbaCz64fI/xd2wE7YZdzi7oaPjbbQxv3EaO1+&#13;&#10;arSEm6BFOP7jxfNb2GYX7KN+HeGYDwepd7rxv2Gs/cZf3C+NO929xl3uZ8bd6HE3Ot3tbocPI3zA&#13;&#10;8X3Q2VzN17e5v05+eVk8x7PTl/hK4d8bXf+Un1T9+51jm6t8fmlrJn5ubWvqn1vbmIbbxqzotjbL&#13;&#10;u63Msm4LkzUZrof6Zjm3LvI6ZiW3tpkGAjI4v4brHvI6bkOzHu3ruTdCS7Mu/dR2bzZr0WdNt62p&#13;&#10;f269B7nyY1aM2pfKtbtN6d5Fn3eaDdwOZlP6beE2gbpQ02zmZprXuy7ykFkDBAQ5L8P1kq5nJrn1&#13;&#10;zAuiKbSCW82LoqNZ1P2rWcK9mzb30Fbnd2U333e+35ti70TrnhpP4d8b7feLEb8XL3r19XQkeiR6&#13;&#10;bh2JPZRt4+XVCOTDTdcdBkPNdDcLBoPOJv1N/XNrH2KjNzxtVnN74Nun8MtT+PApYqIHfupJjDxt&#13;&#10;1nefMa9z+0B/GMT5EGTDaTOSmBpp6p9b1bx82/p+GYA9Ej23DjD1z62DkQ8hzofCCHw/krgfSV6M&#13;&#10;JC9GkBfDiJmh5MRgGAB9oDfXnkbWkzY9aduDe3T2ewC5rm49QL49ZCa7DxOjj5sF7BFfEANgGDxH&#13;&#10;/I43i7gvmsXcKbSZwni6saaY+ufWKeTuFPwxhdyaQh5NMW9wp5qNoLE7zWzivgyq/3j17WXybzTo&#13;&#10;8ncUOTuKfkbR5yj6HsUYI82G+LoRtmyCLZsSA83dZ80b3V7wT3iU838gewCduhAbXaglXYiJB/H7&#13;&#10;o6btPkEd6mGmco/+uVX5OzpOBl5B/g7E1gr/3uj8VXmr6rba47za56Gd6BFK8D1rpxnS2nYnNthB&#13;&#10;nG4nDrYRN1uJxU2wEV4nHl8zTXctNlhjWiCgOteku4E820i+vYXvN8FW+IBY2I6dd5CvO8ldNbYu&#13;&#10;tpTct4+fg1svs206ceP/+Hs5lL2krdhVxUs3X8jRl7Ok/h975x0mRbE+6iUpOW13szP1NbtiABMH&#13;&#10;FUGiK6DosoDkRZQkomSQKCxBJAomEA6gIqAHs8gBjkhQUZKSRHLOGVbikuG+1Uzr3v3N1HjZc5/n&#13;&#10;/nH3eV56ur7qqq++VD09u0PMcuSrqdvriP/N5Nc28mVbrEBJzv8Rv56YWEPMLCdOFsECmEu8zKFt&#13;&#10;FjE2k/j6hvjSupcB/8efQ99PfxPbMH6Kx7XiM8ipGbG3GuvkTHSZRc7NIffm0n8BOup1mOyj5b59&#13;&#10;MsdPvlD8FOV4s/t+bit6/c9tmev/rchvYbvMBTmthPgckA1M67oapf5fovafh3Ri6Czxdhq/nSbm&#13;&#10;ThNzZ/DfOWItnZy+QN2/BNcgm/UA8/8j/lbr/vjc1t1grv96Xb5t/djj9/Gj1v9rUep/NstBDxt7&#13;&#10;2OhioUdRKAw8z7PyY6t8yPOib170zov+PNcj19Kp/+fIt7Pk4dko9X9/lPp/gDw+SG0/QsydoP6f&#13;&#10;JY6uQy7ravF81jWexWaLd6wc8XFWbjDX/zjLXP/jrNKMUQYegofjA1Y5KB8ftB6JV1aFeAEdC5Hq&#13;&#10;v1iV4vOCqf7ntSrG52GcPIyZh7HzMEceqyz2LI8tK2DLitiyMrasgg2rxJ+EY5wfpv7vJ9f3Eit7&#13;&#10;qUt7qf8HqGHHqP9p1P8z1L6LUeq/9nfmOLmeoUZFWpe2t8a/NnP+6rzV9T+O483W/1rkb7TnzbWI&#13;&#10;QZNtaxGfScTAU8RnTeKzBnGZCJWgvFUg/mHkZYnlslYAikMJuIv2u5GXph/361ADniD/niT/kqx7&#13;&#10;42tZpcB8394MuUm3ZtY98U0ZszGxVQ8fJ1lVmatqfDn4BzFzD/F2J/LbrZJQHKz4u8ive61b4stY&#13;&#10;Meh3tXgiPAl1iPsGVvb4FCtXfDP6NKOvqUZpu/m+8+tDIvaOdt+u59P412b2eyDkd/33DTfr997o&#13;&#10;cT703LuMvzlxzLg/9bbOF3/R43Dx3pbm/J86+et5kXGuRRnnRezW26NS/IvYXJ9HWlsCa3qEmC6R&#13;&#10;hbUNQic+8fCe6dcIszb9e1eDiM1B1vXiIz3Sik+0NNeLT/PIGz8R+URiUMdWcpgx8tM2kTidSOxo&#13;&#10;JhG778OHMCXEVI6aaSFMNWyaVTn+PdDzlQ0zn36+P9aqEv8m9htFDXudujWS+jWSsU3jjvTWmffP&#13;&#10;OMwcS7dj5wrY+64s2HsG9o72rGaGVTN+JpjsOQv5bPgPfAtzrSfiv4N51uPx860a8QusavELrUR4&#13;&#10;FMzPaqYTY3NhKT78neM+WE3+m+b/lbmWWbXjl1hPx/9kNYj/3mqIHg3j58BsmAX/hpkwA0y5r9fr&#13;&#10;x7ifK0uwU7TcX0Lea/xrM/urJH7SNf9+jpnv2UoRIzou9f1tSYgLveag81of/vxsSveJBd2focJ+&#13;&#10;984xFNdrjBSPC4scU/2Lfi76O3iuFdbHY0oTSfclTKq/H1L/rn0R1hDuc7L/27oksh5tl/+gw1Ym&#13;&#10;0793mJBBl4zffRNJl2Tnhl20vf0fv24yFN8JlOwsLFIrsLDIV8r3XyLtel79vUQ1GFh/L9Epjr4N&#13;&#10;9Lx6vEj+Q+T9+P25PKr/dkf13271fpEP8NlXapd33M3r3RH9p7+7aDc66887D2XQHVUG+XrRHDaW&#13;&#10;/lu6JDK+tqP+7qK1TKa/uyg9gy7R/Ne/KL/7JebPe3VMvxD3uWT23U7m0t9DOQnyR4gZuhj9MgHl&#13;&#10;/fkj5dUE5m4Ut9LToVHcSNHnmkh5NRJ9LsLboP/fOd8XnBn98t/UJZHJtF/6osNR+BAKZdAlo1+i&#13;&#10;2agPdVJ//7KuPU+D/+PnWAEa+lh3q5Eeyeozjj/AB1ayWmSlqi/gHSsFeStIVX087o4Y1/peYz3c&#13;&#10;AzsgnP2i6bwMnRuGdE7wFebo66yvX2Y1VCkck8PIdd4vsx5XK6yKap31oNpi3av2WqXUcbgEOe37&#13;&#10;VD67nCpoV1KF7URVxH5cmfaf64yl50oNM5f20zXrMXXVqqouW5XVBesRdcYqr07AIdhrVVA7kW2z&#13;&#10;qqNHEjSE5zhvQ3s75J3o15X+XbmuK9d3Zpz2jPeiukaf61ZLo26F7ZZGOxSy27HWriqX3YuxUtV5&#13;&#10;ayBzDVR7YLPVT621uqtfrQ5qGf7VNjXZQcv9vME93nfTHsdXJUO+uiOMfQiBmONWSWxf8s9r/VpQ&#13;&#10;FZm2n44VHTMPws3GTG2be92QHmUY0//xYyYXDbXtR1QVj7tVbVvDOe25wV9PFcZ5NMo4VexHuVaT&#13;&#10;yniaR/8cJ/PayoXW9kgW1tYOndqFdEpAV//HX5vOh3b4Wcfol76Qoy/Xfmlnd1Tt7c6qg91FdbK7&#13;&#10;qW72y6oXvAKpnA+AgcTJIPoMou8guwO0o/0l1d9+UfW223Ld86qt3Vq1JuZa2M+pZ+1n1DN2E6gP&#13;&#10;yeo5u6ZqZVenz6Oqo11F9YB+MJjz4XY1NYo8e9NOUm/R3xRnA5Gb1jLQfhq96qBXbcavpfowZg/o&#13;&#10;Bp2hE20d0Kc98vZ2XajHeX3aGyBvSN9GXNtEDbGbqpF2MzXabo5OrdQ79gvQHrqiZ0/1uv2KGop/&#13;&#10;B9gDVE/oAG04b2n3Uc3sHqoptmyKjUxr0X7JHGM98WeVkD8j5UxP7Kbxr80cVxWIp43waBbiaid6&#13;&#10;NI8SVzuxjfZF2TBxpd9H7bBbqO3EwzbYCluw4yYw2WQdMaTHbBNmzKK0/YZ8FbG20m6jfsUny4nB&#13;&#10;5cTjcruT+gWbryBWVxK3q+E3WA+baNuKbAd9duLDnVxr0kGvy7ctJvBq2Xrs0SSKPdYTNybdNyHf&#13;&#10;YjfGHo3RpRF6NIB6UJfz2tgqGT1roW8SeiehfxJrrcV6arOuuqz3aWhg1H0ecq1Dchj75adtPmMt&#13;&#10;sJ9SP9hPqJ/Z3361qzIXexDsIRcPkovH7RoqjT5p6GayUxr21HMlhpkrD21p2DwN26eRD2nsMX/Y&#13;&#10;vaGPOknunILTdl9v/Ehxfpp82g16jtQwc8TRttvup3Yxzi7G28XYu5hnF/m5nbm20rYJ+Xq7P7Yc&#13;&#10;gA0HqKWwiPPvkc2j71ziYy41bS4xMZ94XWQ/qxZTu36xU9QaMK1f+ztznGz4G/m7gdzV+Ndmzt/q&#13;&#10;5K3O36fgZve8dPSoFYrXGmFsp5/NpBNb6cTAdY/SqqCjSVRxHrV4relgjKeCTmdVyOkCXVVhp5sq&#13;&#10;CjY4IYpx1MSF0PaM5O84p78qAtrfZcPorGtKHuQ5nVSVzXlFxTi90b0HdDPG0XVvnbUi2jsJO2+A&#13;&#10;2lmwdx2L70qNUh/qWAeMa6uNPNk6qGpBknVIPQU1wRSD1a3D3phtwtirKG2J1hFVFSpbR1VF67iq&#13;&#10;YKXBKTgL6aqSdR7ZBfpcVIlQA2pynoSsNn3qWCfhmFEHvS4/lv16+Tj22BHFHo9bO4y6P4k8ydqO&#13;&#10;Pbajyzb02AKbYAOsw1a/I1+LvmvRey36r2Udv7OedaxrA+vdBFuMut+DXMdbpHp5r7Ve3WetUf+w&#13;&#10;VqqHrGWMt1g9DrWgnrVENbGWq2etX1Vz+jRnPpOvmltnvLkSw/gqD23NrXOMcR4uqRbWFbjm0dK6&#13;&#10;rlpZMdIaTPnT2souT4OpXj5tZaNPjNRlzLqMX9e6Cpex7zVsGSM1kdewckiilVMqQzng+6ykNLJ7&#13;&#10;6FuK2ChlnYZj6l78/oC1V5W1dhNLu9Sj1k7j+rW/w8XJ4lCc3BHGLqRkjLa3xr82c70M0ukAJMAx&#13;&#10;uJNr8t8Y68/35dHeV84kXn09Em5c6/3r3yfr62eigylWZiP/D3xnLVULiJXviY0frRXqJ2uV+tn6&#13;&#10;TS0mLhcTl4utzbDds1WpMHPpZ1uL8eNsj+1R5tyiZhF3s6yNaibjf038fwHT4SPOpyGbSoxPIX+m&#13;&#10;hPwTac4pzPe2x07jnG9bW9XbrOEt5nyTOUYx13AYDAM5H0B7f+T96dc/NGeZMOvMRVt/5uvosUSl&#13;&#10;kk+p1mpv7kj1bAD2HGT9wlzL1VD6j8Teb8IYGM/5ROz+HvIP6DeZsaZw/Ii+0/HJZ8i/op/2oylP&#13;&#10;tTxSrN0WijX9vvRmY+0csRZtrzgXZa84i/wM+8RpOMUe8QeciLJXHI2yVxxkn9gP+9grdrNX7GKv&#13;&#10;2MVesYt9YDf7wR5q0z7yfz97xCE4Cic4P4nsDH3OsVeci7JX6HX5tvX3imPYI9pecSzKXpGG/CQ5&#13;&#10;dQrOEuvniPlzxP458u0sMXma2DzJ/pAGR+EQ7KdtL7I99NlD391R9oq1UfaKtewV69gHNrBXbCEO&#13;&#10;9xBHx+A0XCD2rhKH2e1fed6yBsx7RS7bvFfkss8xxnm4BFfgmrrF47q61Y6R3GDaK3Lb2eU8eWfa&#13;&#10;K9LZC9Kp++nsFensD+eo/+fYK87w+hTtaciPsjccZI/YC9thM+frka2l7xpiYw17xRpi4nf8vpm9&#13;&#10;Yht7xS72ioOhupAQpi7oWqv9nTlO9PMkv0bfEeY6UpLnSYt5nhQ5f+8N5e8DWcjfeO6t/4hybxNv&#13;&#10;/+HVsS/D6Kl1T7BPq9vss6oEfrwDP5a0L6j7oQw8CGVpK2enq/L0KU8slLdPcf6HehgestNUafs4&#13;&#10;1x1Vrn1YxdkHlW3vU0XtPTyv3AGbYZ2KtVcj+1WJvZR5Fqt74EF4xF7Cc6nlqpq9Qj1u/wabjfXw&#13;&#10;YeQ6TiKt5WF7I3qtR+d1jL9W/YMx74WScCfcTlsJZLfR5zZ7A2zifDPtW5BvRa/tXLtTVbS5h2AN&#13;&#10;1ez96gnWVdM+BichHR0vq0T7uqps55CH7VxyL5QAxblD3BchDwphy0LYx1TbtV8yx9V9+DNaXN2H&#13;&#10;3TT+tZnvQfTzSX0Pop/l3ey+oJ9Trg3FVY0wcaPfs9XGlrXxZyOPOeoFW7NUdfFYy2vNaeP+/QIx&#13;&#10;9QI2bQsvEmftoGOIThw1nUN04WiqI12w/4ug46NsGJ31e7aWdk5pRr1JwX+N8VUjfNkoyriNvHWu&#13;&#10;jWhvbWf9fxlWzoK9X8fe34fsXSaM7rloe93+XvX1mMEzP833f+rk7199GWdJlHH6knOve2SXvthC&#13;&#10;n0eKpSqsaS9UzcLaZqPTuZBOCWHWpmvsbPLFVP+/RT6PWFlI7fmRmrOIerOI3FxErv5I7i4k7+eT&#13;&#10;13Pt39Us+Bo+J8c/Jac/oQ5Nt3fDfjjM+THa05Cfod85pec25amW+/bx7fwNa/LzNNKaviFHTbE4&#13;&#10;C/kcmIv9F9jLeA72K+tZ7elSKoyd9L34Ivqu9bhuzKu19q2yxi4gq+wistyOkx9skX/DF/CxHZQP&#13;&#10;7WIyybZkgl1I/mnn8fbnSOv4FLleR3IYnfLT9pmdTz638zN2AfmS8WbALPgOFtL2g51XfkSfReTm&#13;&#10;Ivuq0daL7IveutqEmasobT9wf/E9ebuA/P2O2J3DmDPgU5jKfcYH1N4J+Gu8fQL2wzbO16n37VVq&#13;&#10;Kjb+BHtrv5j8reWZ/T0ng7/1nun/+O/JSI8Y7UuNf23mupxIJ12XnwD9mfKdXKPtx8/ffm94GT3O&#13;&#10;R8mly9QzUy7FOOdVDidd3eKcVrmdP1Re5yjsh52cb6F9I3L+h1BnrbpM7UuHM9jwJDmWRq4dJ+eO&#13;&#10;Y9vj5GAae9hJavwZ6nc68+q5TbbVct8+fi4F+d2K/VHWFEQ/05qCzgme651Tsc5lVcDJJrc4ueQy&#13;&#10;e/IpOGJnk/3U+Z3ExXbiYju6bycudlIf9hMXR4iLU/bP6P4za/+Z65cxzirGW6+CzjbYb1yTlmde&#13;&#10;k/aTXx8ixctlYkXjX5s5XmoSI/uhDtzsPp6AbaPt4wn4OcFZqkp5zFGPOJqlqprHWl5rzPv4I85Z&#13;&#10;+qSrClCR+KoMj4ZI5Kh5LEQ1jqZ9vJqTQyqC9nekffwhJ6eUdrLLvc51dbdzDd0vg3ncUt46I+/j&#13;&#10;2s56H6+fBXu3yWDvBJ3ZoR+/Tui9rg16mNbWCnlz53f1LPH3jLNJpThbwfw8qxty05jdGKMLed2J&#13;&#10;MTsw9kvMofUw5aqW+7Hp56penx/XCf7iOP7v6zM/m2rnLFadnSXqZfKsl7Nc9XVWqFTnNzWQmjOI&#13;&#10;9b7qbIddsA8OG3VMQa7XnRxGF11bU5w0bHhGPUdtaEl8tHYuqBegHXTgvBPtnYndLsR3V+eUca5X&#13;&#10;keu5Iu1NgxhnAOP2c66wruzSmRr0AjwHjTl/2rmqkpDXdHgf4RyArZz/ruo6K1Ujcu1Z7NIGzD75&#13;&#10;q174PmmbwSeRak1bxtX4/sxca3TM670pJQuxr/8OorXc+B2ehDD+0LF/Lba18X3+tdgWcjX2ObkS&#13;&#10;20wuxTaV87EpcgbS4GjsM3I4tqUcin0e2kIH6Ardae+FvB/9BtB/ANcNkIux/eVybF/G6sOYveQa&#13;&#10;/Uy2LWh1N+pW0Oot+a1UyWMNkpzWcMYdJafhCOyJHSE7YgfL5thU2RjbEzpAK86b0t5A9sXWRr8k&#13;&#10;dEtiXUmSzUqWW6y6ktdqIAWsplLQam3UTdvN953v9zPYOylk70h+1/Np/Gsz+70I/j4DxUD/PtnN&#13;&#10;3JNUsvg/QKP4vZLVwVjPK1odpQI8YnWS8lAOylqdjTYpg9yUj/dbXficoKvcbXWTu6yX5U6rB/SG&#13;&#10;vpynSkmrP7IBcq81UO6HMlCW8/LIKtCnktULuhl10Ovybev75QHs0SaKPR6w2hh1L2s9jw2exx6t&#13;&#10;paLVCj1aQnNoxnlT2lPQswn6NuEzkSbo34S1prCeZ6QUfUpaz0ELo+7FkJtqZzHGCliNRaz6kmDV&#13;&#10;Zrwk5kpi7iSpatWS6lYdedKqJ7XoU4v5TLlVy3rFmysxTF3IQ1stqx9jDIBBMFiSrSEwVGp7DJM6&#13;&#10;1jBv/EhxXscaKVVAryc1zBxxtFWxRvA50jAYCkPgNRiMr4dgy2HYcgTrex1bjsKGo+R2KM6YClkx&#13;&#10;+troZ7MOm5iII1aLWy/JbVZbYukFuQ9/mtav/Z05Th4kTqLl74PYWuNfmzl/40L5WzwL+dsvgx4J&#13;&#10;YWyn63Y/dNC2LRtGfktIrvtoUkP052iySX/i1BR/qcj7EYN94ZUQfTi+DJ2sZ6UDedGeHGlnvQgd&#13;&#10;vbnKhNEvF23t8GNTj2R5idr7EjFrWk8HYr4T9bkLMf4ysd4rtDbTevTaI/lJ/92OrrMlsuCnT/6G&#13;&#10;nz5BB9O6PkWekc8415jW9VkUP32K/FN88glMh3+FmMxxEn6agJ/+iZ/G46fxUfw0Hh8N80iWcfhp&#13;&#10;XBQ/TcBPk/DT+/jpQ/z0EWvRNjCtR8sj+en2kJ/031zc7H44Bz+NC9X/O8LEI0PHzLHGybdgiv/v&#13;&#10;kM+DBda7shC+hx+ssfIjLLLekZ+st+Rn6w0YDaO8NUfKz6+w5fewkvq1meMRWE+9M83/G/Osst6T&#13;&#10;FdYHstyaIoutaegxTebDPPgO5lpTWcdUmQMmm+v1+jb398kVGeI5kp1W4CuNf23m+qf9pPOqNOj/&#13;&#10;P/xm7l/K81492n1redt831rebiHl7Of4PKCZPGQ3lQfsFLkfSsId9jN8PtBSbrOflwS7LXSArpx3&#13;&#10;p70X8n70GyD3QRl4yO4vZe2+jNdHyiMvTz+TbZ9Erv0Yad+rafeWJ+xUqWYPkir2cMYdxVyjmHuU&#13;&#10;KHsEn1kMlqLIC9k9oQO04rypFLMbiNi15XY7if5J6JQkFe1kedSuKzWQ1aTPk9jFpJu2m+873+/3&#13;&#10;Y+9o+979zKXxr83s9wdDftfP3m82T/Xvt0a7b+2JPUz1tIfdUbrDy3Yn6QZdoJNtvm/l95u9MduE&#13;&#10;qQ1FaWtrd5E2xMfzdjdpab8sLewe0Bv6cp4qrYiP54mTNvZAPu8YKO2hE+ddkXWnT09ipifXmvyi&#13;&#10;1+Xb1vdLB+wR7b61g22+b+1MjHeFbvi9B3HUk7jvaTeHZpw3xU4pyJtIZ2gPL0Ib2lqTI63o04oc&#13;&#10;akkumXSvh9xUt+oxVgO7sTSy60tT4rcVcdQBXoY+di3pb9eRwXY9GUqfocxnmmuobb5vHUruDsX2&#13;&#10;Q8mtoeTRUHuIDLOHegy3h8kI0ONHqm8j7JHSG0z524sc7cU4vRi3J+P3tF+Dwfh6CLYchi1HYMvX&#13;&#10;pS353BqehRTGbIisHn3rol9d1lGXmKhPrDaxX+IzsLbE0wvyAv40rV/7O3OcdPwb+dsRW2v8azPn&#13;&#10;r85bXberZiF/F6JHezE/b1hotzfadiE2WECcziNG5xI3s4nFGfA5TCcePyJ+pxHP0+wXoSN05/OT&#13;&#10;PvIJfv+cfPuSXJwBs+Fb2uYhW0AdXUj+6rlNttVy3z5+DurPyvzamBCmPtz4rOzGPV6k+jEfuy8i&#13;&#10;7pcS/yvIr9Xky2q7HfTgPJX2wchHyHziZDbMgC+Il0/YG6YTMx8TV9PsVz3dy4TRIRdt0+ypMsYj&#13;&#10;mb6aRp6dy4bpr98ffIwu/7KfZo46zJXMnEnMbb5P03LfPpnjR/89gY4f/VnKze77+hl9tPp/OUr9&#13;&#10;v0RMXIQL1P3zcA7ORqn/J6PU/xPU/6PEzxHy9SD1/wB+O0D9P0BtP4j/DhFrR8jpY9T9E3ASznKe&#13;&#10;juwifS5T/y9Hqf96Xb5t/dg7hT2i1f9TUer/WXIlHS5Q/y+RV5fJn8vk1mVy6RL1/wJ5dZ6YPAun&#13;&#10;4AQcpe0IuXeYPoeoxwej1P9NUer/JsbibxtkOzG3mzw4RBydggtwjfqfw6kjuZ16ks9pDOb6n88x&#13;&#10;1/98Tj/GGACDYLDkd4bAUCngMUwKOub6X9AZKVej1P8r5OoV8vIK9f8KuXmFmn6FHL7I6/O0n0V+&#13;&#10;kvp/gjw+DPtgJ2NuRbaJvhuIjQ3U/w3ExGZidSf1fw/1/yC173iU+q/9nTlOTmeoUZH2tdPYWuNf&#13;&#10;mzl/dd7q/E2Gm71/q8pz72j37VUd8317FaeFVCEGKjk8V3OaSnknRR6C0nCPw7M0p6WUdJ6Xuxye&#13;&#10;8zgdoCvn3Wnvhbwf/bhfh/JQwenPOH2lstOHMXtJVfqZ6n8d5KZ9v47TW5KdVHmK2KrhDGfcUfIg&#13;&#10;3A23OSPEJd7ikDtOT+gArThvSnsDud2pjX5J6MY9OzzmJMsTTl1JQlabPnWwi0k3bTffd359eAh7&#13;&#10;+3tTJL/r+TT+tZn9rv+uQfu9QRb83h49aoT2/TJh9hu9P7V3akhTj3LS3tHU+FMnfz1NGSc5yjhN&#13;&#10;sVt7D54fkav6PNLaGrKmk9A4C2vrjk4pIZ1qhFmb/r2r7sRmd/To51FJRjkanpV4pPBa08eLreQw&#13;&#10;Y+SnbRRxOprYGU3MvgFvEb9jYGyId2nTjAuhYyWSz8dhlzed1437/zDkr9JvAPUwlRrZz3kV+nsx&#13;&#10;GGncft46UyLauwl2PgXPZMHe07B3tGc105xx8jGY3nNMR/4JfOa8K5/DF/ClM1a+gq+dd2SG85Z8&#13;&#10;47wBo8H8rGYifvwC5rL3LOG4ERaR76b5FzLPPOc9rvlA5jhTmGMaukyTT+ETmA7/cqayjqkyDUy5&#13;&#10;r9frx7ifK3OxU7Tcn0vea/xrKxMzucH/++lm+EnnfivIfM9Win46LvX9bUmIC73m8H/8PSZnuXgU&#13;&#10;ipti9mzcKDXMHWX8zHwy8n+7Y9XP7sdqvTtH7XB/gT3Gz2d3uD3cFHQuqxUP/fifjd/C+Q53tLve&#13;&#10;neL+7M50/+3+5E52f3WHgckfZ+N+NY65HfnyuJ/cb+NmutPjpriT40ZDD+OYk+P2mNce94uaHjdH&#13;&#10;fRv3sVoeN1Ztx17aZmY9R0X8fPkdfL4L9P/RreBObKH9zc+givyjX+cEv52u/+M7Rf6/X//f8Wsi&#13;&#10;/tE5OgpHbYHb8eltGfz63/5um3VB/n5QzN8Psi6YKPs9WktOlShBuBBsLaLGyC1wPNgZeW8YI+s8&#13;&#10;EiPWqhWsSe8t6+AS+HHJkgf5r3WtigUdu3T5H/FaghoU7flECXXj+UQy1/s/fr3Q45ZQzeQu9bSU&#13;&#10;Vk/Kw+oxqaKqypPQGFqq6tJWcX+i6klH1RiaGet6M+S6NqX6E3H059K+bKqaSIpqyNj1pYGqK3VU&#13;&#10;beaqLdWgCucVkJVTTaWsagXtoTvnfaWiGihV1Wv0G0Z/PquFBmoI4wxivAHSlD7NVC+jbh2Ra90i&#13;&#10;2aE9c7RVw1nzaHkGX9ZX4+QpqAIPqXfkPjUSOw2WEqo3mJ+7aLm/R/n7W01eVBHznlFTVRGNf21l&#13;&#10;9M0N/v6mvxtEx8w2uNmYGYIer4T0SGBs/8f3k465IerGe9JUX8jRl2s/DlH9Zah6VYbjk9fxxRvY&#13;&#10;7W14F/7J+UTa30P+Pv3eZ6z3VQ/Ou8kE1VnGq44yFvu8DW/AKNVBRqpOjNdFhuBvPbdpD9By3z6+&#13;&#10;bSfxolGUNU1SN54fnQ2zpnK0TSL2JqkG6F6PNdSVccTkOzAaRpAfw4j/ocTmENVcXlNteN2a9pas&#13;&#10;vwXraM56mrOu5qyzuUyl/V/qBfmc9X2pukIfGMj5MNpHIx/DXOO4ZhzjjpMB6m15RfEMFpv1oG8P&#13;&#10;7NRDvQStpSfj91Ip0puc6YsuqeopGaieQIca2P8x7JeInonYNlEmq2ryEbJPVBJz1YVGRltqm/i2&#13;&#10;zBxr20OxtjcLsbaHYFka8svTYexegLY9cUvluMdhKRbQLJUSHgG3WEBzGrkm4O7xWBpR5wnoeh0m&#13;&#10;Q+4MewXT/O2amhSIiSnq3sjThDA66/xIChT17pci5Uc95I0Dhd2UQD63WSCX+2wgBi7Js4Gz0izw&#13;&#10;hzQNHJfGgYNSL7BfkqAGJHJeJXBMKiKvEDgHVyC7WzGQ260SyO8mMl4NxtVzm/JDy32f+vlRizVt&#13;&#10;i5IftQLbjLW7PvKmgR3SPLBP2uCntujZNnARcrhtWGeLQBHWGuc2CCj3KXgMKnFeDn0eCBRwS2OH&#13;&#10;0qypNP58IHBUyrHmSoGdUo1x9dymNWl55jVpP/lrivT+LonrNP61mWN8CnGSnTj5VxbipQ963BIl&#13;&#10;XvoEbvHipU2YeCpK2yuBPG5ffNwvUNAdgB0HY7MRMBregjH4fhyy8fQZTzyMZ7xxgZzuWGw/hhh5&#13;&#10;K5DNfZ0YM9lwcOCa599IOvTHN68ELktvfNo9cF66Bs5AGhyWl/FV78Bu6Yf/B2HP4fA2/BP/vUc8&#13;&#10;fEDsTsank+lv0mEccr0HR9JhHHnxbuCIjGHOtwMHZDTzDoPXYBAMYJ7UwCH0OALHIY3zkzKQmBqE&#13;&#10;voPJr6Fg0mF0IN2ow9jABZmADd7DFpOx2RTsOyVwKxRwJ+ObSQEb+wfct4nvETAQ+nDek/ZuyLvg&#13;&#10;oy74x6SDjgc/Jv0cHR6IHs/a7hr/2szxPD0Uz19kIZ6/Ro+VoVrxSJh45b475uvASpnrsUN+IiZ+&#13;&#10;wldzPfJ7cZ4c5rr8tM0lhr8jlufBfGy1AL6HH0L8yFGzCH4Ckw1/wuY6liLNtQj5D/A9LAwEmSvI&#13;&#10;vEF3DvybujQz4LgzApb7Nbp8jW/1XGXA//Hvd3LR8DVrm+6xQ75mvXr9kXzwJbbX35c4Iws+OIEP&#13;&#10;ou2bJ9gjL3ikSUJwqZSBgsFD8kAw4JaAXME/kF+BgHvCI/K+OQtd9b45Pws6V+f9045Q3ESqx9WD&#13;&#10;O6R6MKfRb9WDud3qwbxujWB+94lgYfepYBG3DjSCZ4IF3eeQNw/mclsEY+CSl+tlfKdxzOi3FszX&#13;&#10;ziNAXw17Mn0ixUzzYFHGt9xmQcdtQv/6waBbG2pA1WAxtxLyCsFCkA9yeTETaa0VvLXu+DNO/Dyv&#13;&#10;h52i7Vv1gttEEynGtJ/0vvVjFvw1Bj2i3eeMYb3aXqlh7BtH2z+Rv4dNJ+Orqfjlo2B2uCQfBc/J&#13;&#10;tOApmRpMk8nE5MTgfhkDo2AY50NoHxw8DefhKmRzB2PPIcE87jDsO4px9dym/Ndy3z6+bftkiMFS&#13;&#10;YXTGZDF98MtgjwPG+50hwb3oultGBHfK6OB2eRt/vAvvwVTapgf3yRfBw/JV8CRchFvcz7DFR0Eb&#13;&#10;ewTciUHljoW3YBTxMyIYx9qKsUabtd5YWyQdBwcfcPt4/BU/ldE9N/jvBX8KxcAyjvlYmP/MgC5/&#13;&#10;+153PvZaF8rZBC70f/wc0ve684PrPDtFypn5wTWyILhSFgZ/lR+Dy2RxcImsgJUhVnFcDWtCmHy6&#13;&#10;JrjaONdq5JpVIVZy1PwCy9BjaXAt/C5Lghthh1cbaviL4uivKy+v1yBfEzxAP03Ane9xQGZxPgvZ&#13;&#10;fI91EXNwOXbXNXMF3Ox7jS1/w/5both/C+veiv23Yf+d2H8vdj4CR0Mc43gcToQw2f8EdkzBNpF8&#13;&#10;fRy55liIoxw1h+AAeuzH/vux/z7svy+K/U8gP4Gt93kE3C3Yfwuv13rskC3I9dr9HM8c/9ru2v6r&#13;&#10;s2D/whQOvxYnsG7/x48THf+F1Y33RZFsYiGPU9t5BrhTEtRuuV3tkzvVQSmpjsjd6gScknvUGbgA&#13;&#10;17yYTPAn4phxrmvBG/fokea6xt4Zo/K4OVQBN5cq7OZRRd1CYEGAc6HdVfnceJUbzPegdyPXvk4N&#13;&#10;o0scbXczRimV1y3JmHcy9h3MUUJZjFvMVSrgOirIvMotAgXhVohRce7lYKybHizgnqEenglekTPU&#13;&#10;+fTgUblM7Y/BRrdiL21TUxxque93v7Yn8CJdzO/LE9SNe/tI9ovHF/EqTVx1jGe3B8VR+6UQ5IVb&#13;&#10;Oc+Bz2LUcbnO3nUtmG7UUc+VWcdCGeIp0n1BIdam8a+tjK0z1vU1xLPe2zdkIa7Lo4d/L1YqjH/1&#13;&#10;Plhe7ZDHPA4Zc/4xdUCqq73yBLH9FP1ro3u9EPU5+jTgdUMw+bUhNtYxF8k/Wt4gRH2OmnqQDE+q&#13;&#10;w/I4fquG/x5Tp+GGfyKt7zFitLxH5D10Y8jW+vOFm63hU7H14ihxOVUt9tZdNowv9Gd2XyKfrZbJ&#13;&#10;d2ql/KB+l5/UZvlZ7TLaci5ybcvUMGPG0fat2sqYG2Qm432l1sinajXPHVfzfHM1zynXyptqI89d&#13;&#10;t/P88QCchEs8z8zuvkHev6MKuhNUEXcqfAbfcD5b3er+R+V056oY9zv6mvy8GLnWrU0Y3YrS9rPK&#13;&#10;4f5IbZlHXZlNPfmC2jEFxsOb1JAR1JqByPup69JP/QF7eUa6mWeva3neuZxns4tZy2KjDlru5xgu&#13;&#10;8r7X9sMMvoqUnx9ynca/NnN+6u8o1fuO/lvWm42ZI+gRbd85Qi5pG0bKlRPIT+O/dGrqJXLzKvvO&#13;&#10;dfIkmxyR7HJCcsgpOCM55QKY953N7EumuTbj9y3sO9vZC3bhM759yT0MaXCa83O0n2ffuUDsXIyy&#13;&#10;7+QQ876TQ3K72SWvGyMF3OuMfZU5LrPvXCBOzpLPJ9l3ThAnx+Aw7IatxMwGFeuuQY9VzL9KXZFV&#13;&#10;1Ig16qhsoLZvxUZ7sJe2qSlutdz3ux8zF3kRbd+5GGXfuci+c4G6lU79OouP/kAnvn1O9sNuznew&#13;&#10;72xl39lMv82hupaA7/2fjPcIeq7MOh7OEE+R4vowa9P412aO64PEs953jmUhrgvLX88tyvjKc/T1&#13;&#10;189SCstSUR4Bt7BoIj+XOI4uOtfSsqDTPX9Dp3vQoaxHwL0HnfR5JDv9EdLpZBZ0GoJO3Gl4vz+S&#13;&#10;EMZO3mdw5LEpJ0cgHy2H5S05JGPlgIyTPbAdNnG+Tt6Utch/kxHwGui4LxVmLn0v0AV5F8YbAv66&#13;&#10;/fgfjp6FXLOuw6WQ8bnKm8jHks/jJY87QW51J0pOiIFLMl7S5R05i75n5HU5LcPArOtpdC3k6jkz&#13;&#10;69omg68j5UEbfDsCtG1Tw9gjjrZ3kE+QX+R9WSMfyu8yRTbCNtjN+X7aD8kkbDVBjmHv4zJR0mg7&#13;&#10;KZPRfZqck49Z18eSzf2YWjdN8rkfousksd0xxNZw0OuLrF/A1Tr6a6tM39zgv+8/F4o//ftNN7v/&#13;&#10;zMNO/v1hJD3myQ6Zh5+0nZLB//FzOT8N86jV86nVCyS/u1AKu4ukiLsUVsHvUtBdj3yD5HI34uuN&#13;&#10;2ESvu4w/EEd/LF0XNjLfbo+AuwkbbWI809wbpSjjW8zjuKvp/4sE3cUwH+ZIMfffyGdi92+w/zfo&#13;&#10;YLL5N95a/7pP9GN/OXby9+lIdlpOXGgi+esqftJ1VXOz/jqZwV+lwthP5/BJ1nDJw3w/f5lacVX2&#13;&#10;4pHdksPdQYRuw4PbsNJf5Od1ASgI2m4JYebUNaqga76fL4A8f4h8HDV5IRdkcw/LdfLnCrlziby5&#13;&#10;RB3Qc0Va3yV8fNLjLz9Vpn9u8HMj5/9i78zjo6iyvt8gkG6qqkEg99JFGsIqqwQIe8ImypZnVBjH&#13;&#10;DUeUyOMCDC7sYXFhRySL7IRNQVlkFVFWIeLCIAEdcfDBEWYUEUYYEXRE5fneoi/kk+m+7UveP94/&#13;&#10;3v7483bVuXXuOb+zVPVtkkR4TigB10n0unjf5yWFzd/nhcOBcPWwHa4RDoZrha8P1wtXCjcGKaAF&#13;&#10;aBWuGG6LrB1z2oX9oBzHZcKtw9eFW4ZLM6dU+Maw+fu8euHLz2yZ+K9fup4qcaJm+OekcPhiUrXw&#13;&#10;v6mGH6iUc+Bb8DUV8w/Of5FUg/jXIcaNQCpoH/48qWP470mdiU+X8DfA/H1eW+SqRmPZ0DZ8OqlN&#13;&#10;+GRSK9ZMDX+ZlMK6DcENoA6oxTrJ4RPYcRKcBnyXQZRrh79Dfi6pXvj7pAbAlIMp4cuf+WPZ0Dr8&#13;&#10;Y1IaHHSAiy5w1hV+u4YTgBPuQmw6hBPhPxRODVcjRtXCtUESxyHOJyKvTIwqEx+TDSofdP3r3tGI&#13;&#10;PIrXOxTvCvra4vms8lj1DacE+dwbO+J9n9c7/Oekvh6OJg0gJwYQq74ezN/n9SWH7yOX/wjuh6t+&#13;&#10;4EHQP4JMRoWHwABg4nAAjKtcytDJzKjz2eb9Q8j7gwfBA2GXtVzWdcN3gz+Eq4bvCItwn3CVcG9s&#13;&#10;6U1s1VopQL+0LnWv6Y1vPT0cTeqNv8r/WDFQ3Kvv8yqWIAbDiEG8njKMHDLV0jB6ynBycSScj4bL&#13;&#10;cfSRiWAqeB7MxO8cZHnMyaOn5KEvl54yk57yAjk/nZ4yOU5PGR+np4ympwynjp6inobQUwZTo4Op&#13;&#10;2cHU9xDq+Sl6ygj4HEtOTwAzQB49ZQ49ZT61voCesiBOT8mJ01Ny6BPZ9IuZrDmDGE5l3efAeDAG&#13;&#10;jGadkfSUEcwZwdwR6BtFT8mip4zF3vH0k2fj9JQpcXpKNj1lFhzMgYsFcJYPv/n0lHzybgGxmUPn&#13;&#10;yCNPZ9BLJoAsMIzjJzj/J+SDiNHAOD1F5YPOSd1TJpBH8XqK4l1BX1u8p6i/kal6ioiSz+1IdVVr&#13;&#10;6vsR/X0Sjy//8e9OK1k+36rQ5c8EjZHrl66xMpyoZK0K+T1sSzwW3Jao7eiErCqQPEC0RPkCxm2M&#13;&#10;er3/k7/pV7kC1yZetiMVnfql7VB7a5UrbEssDB71bCgMzktUxwqx+JmGPZ2wJ4exWxG7UHXlezVO&#13;&#10;/wcn/zdt6YR+xVEWNjRjsSWM6md+roWjBsTqVISj29CpX5ojhxMNrFOJ7Tw44h7Gx8GtliOesNJF&#13;&#10;X3CTFRLtrFogXTTwcComfw2xtQe2NmO8vYjNLHOFP0TGf9c8DZt94nJc6/BWv7TNqPUxR0yz6grT&#13;&#10;PWOaVZ85jcR0q4mYYaWImVYz8SKYB/KtpmIxsiXMWYqepVZNYbpnLGW9DR7SmavQ0ls71nOHkiss&#13;&#10;sVqB1qzVRiyy2ooFVnvWTxdzwItWB5FrdRQvgIlgPLIxXDMa+0ZbjUFdz6ZYHIz2OPAJncu6T8yC&#13;&#10;v18jMY917Szr10QFfa2uT/0s3Zwg9YLoNiWI4ynsqBGJY7IOIqOOo8qDU1YNj8esKHJVA6csV3xj&#13;&#10;CfG1VUl8ZVUQfycvPwefgo85PmQlioNWVVFoJYFkcAPnGotPiO+n8PiZ1Zz5zcVx8BU58DWyb6wG&#13;&#10;4pRVB9Tw+E2Osra2TfOjuT2OT5ci3Ma67rh1KVHlZazc+Ab5WauUOG8liH9btvjZqgKqgwbiJ2w+&#13;&#10;T76ctdKwsyN2dxRHwV/JlU/Ij4+tdvjHb0wlT0z5etC6Q7ztwQcnCgGP59Qovqo+ecgqh+4yrHEd&#13;&#10;a/lY81Ki8kOtkRzlGsWPkmt+iudPOyao/OnEqH5uUfcuLvvNfaC6zd99jcN1dZuf7kZpLL9qIE8G&#13;&#10;NUEtUBvUASa/6tg/eDozoviNSb7ayGuBZFAdJIFq9o/g34mu/RO4CH4Bv4JSXpy6RtHl3WeR17Vt&#13;&#10;4XpIF+VtBVuU8lCK9wq/GH0sb19ItOzvEh37TGJF+3RiIv4pXkw+Knms2KmYdSdmXRmvtYff/Bti&#13;&#10;dzM2mGJ3C3KFbqA76AF6AZNfvYiF0hkrdj2Rdwe3gK7gJtCF2HUmdp2JXWdi1xm+OxO7znFi1wt5&#13;&#10;L+LU2UO6aEbsmvG+vodSIgV5SpzYpRC75sQuldi1InZp+Kd4Mfmo5LFip2KmYte9BLEbSOzsOH17&#13;&#10;ID6aYvcI8gG2IzLtCuJB+3rRz04EIWO/HYncpHOkXUUMR9dQdD6J7iGsoewwcaXkmivdw5V/+v6Y&#13;&#10;HKUuoc43kPib8ugJ5MPsS4mjiPFY+zrxjF1OPGeXF5PsoJhsVxJTbAlcMdWuzljbaGM/5Ka1+tkN&#13;&#10;4PBG8ZCdIh62m4tHwSDwOHjSbgYfKWKY3RRumogRdiPjWlOQq7Vi3Zsmo2ei3UI8a7fCrzT0dmSt&#13;&#10;jqzdUfyR/L7LbiN6I78VPbfaNUAix464004Q98FFJrwo7swxufrcoWMyuEhM6kSJCSntG4xeBR3P&#13;&#10;NM75gX5mUTmv7jm/K0Hub8aOePf3zcRdcRjrnqPkRfEGx1uAiZMt5LQpB95Avhm8DjZFsJFxDXiF&#13;&#10;mlhOHF62q4qX7Gog2cuBFGzUL/3MVZYTLxHHPA8+scxWsIx1t5zYvmKXESvt0qznE+sj/pn8Uf7H&#13;&#10;itNtkTj1KUGcyjl8RIjTo8o5wvMrS5PAqHmoyvuyThVR1qkkrnMqitKOIy7RKy6CC+A7eD1LvzlD&#13;&#10;HX8Lp9/C6bd2HY7rc74h8qbiPPV3EfwKSjnN0NNUlHGaoLOhKOfcYKxDgVzFO5ZtiU5jUQWd1zst&#13;&#10;he2kobej+IkaPAtOErsv7dbiC2r/c3rD59j2OfH/gjr8klh9Q5z+Bf8XQWnnUqLf8QnHKSMqOQki&#13;&#10;ET8F/5lip3jTsdP1eZG60D0zVn1epDYV9LVp+OcHuj7vjMT9vhLEvS1xj3dvauuY702tkLeAh2ZO&#13;&#10;BdHUuV40cRKB+d50C3IVr1g1fzO51BVdXdDZEd3prKHsMPGs5JorzbPyT/OczHr6pfMW6nxtHfO9&#13;&#10;qQPym4h7N4fnE4ffRuSUE7c75UUfJyjuIN//4EjggurAfG9qjFz5naENYdS2kBK+Jk4DOLxRNHdS&#13;&#10;RKrTXLQG7UA66ET+duH8TdRFV+riZsd8b7oDuVorM8palTh3B3r6OC3EbU4r/EpDb0fW6sjaHUUj&#13;&#10;J13UddqIGsiT0JPk1ACJHDuiDnnfEC6awYvizhyTq/mrY9KuSExi5X479CroeBbP/T9Gcj+zBLn/&#13;&#10;OHakR3peShSOVG9/HB4e8MA+jqOQfiXHitv0ELaovZr/LoFN2b/BpmxseNrDqcRsbFLHsXh6OGLT&#13;&#10;oyWwqYfl802Ic2/oYU0w1rOS9yyCXrxXMOVOL+tFY630RN4jgu6M3SLoxJhmzWZ/bb5oY+WDJWC5&#13;&#10;t1asOLexCkR9DxNFa0sh2+hPW+t51pgq0q0pohPzu+KL8tHkj5LHipPa57ub3GnCeD/jtXy+H0Sc&#13;&#10;cuLEaZCVY/TrEeQDrFyRCYcPWnPEA3DYz1pk9GskclMvH4mOEcRjKDqfRPcQ1lB2mLhScs2V7hvK&#13;&#10;v3h5OAiOTf31CeTDiNdoa7IYR/yeIY4TiPUkK09MseaChWKqtRi8BF412tgPuWmtftY6ONwEn5vF&#13;&#10;w9YW8Zj1phgMHgdPcTyM88Ot1+FmoxhpbTCuNQW5qZdPQc8k9D5rbRdjrT3o3QvHe1l7r7if47ut&#13;&#10;HaIP8tus9WA5mM9xrrgL/++Di0x4UdyZY3I1f3VMBheJSaxePhi9CjqexfvmjZHcTy1B7q/FDvU7&#13;&#10;j0z2r4VzxWFWlF5flXObkG+Bx7fgaJv1mthurQQvgyUc54utcLbFmiU2wdtasAqsIG9epk6WIltC&#13;&#10;HSyB2yVct9RaI5YR/5fR9yp61drxbNP8aG5XFeE2OYrN0OVbBa/Kp1jPUeuQbyLf36BPvUm+b7Wm&#13;&#10;489Mz5aUKDrVPW878//s4X/wW2GbMfe2kltvWm+LzeTZRusdfH1HrATLwELOzSEnc603RDZ8ZMNP&#13;&#10;trWA4zzOz0A+mXkT4NKce0qu+SmePy0j+dOe8cFr7J1qb31iJH9i5fEpODllrfK4yIjCnc25U9Za&#13;&#10;5qwXp6npb6nvs8T9PPgJ/Mqxz17PXuRaUdpeDV4xxqG0PVFU8lDAXIWtxjgoeWl7G/q3gx2stUNc&#13;&#10;snayD/426+8RP3J/O09MzoEz4CvwhbWbvemt7OtvARvAKs+mWBx85nEw8UosdK5eKJKrsa69QAwV&#13;&#10;YsUxLRLHLozXeg9sThDGReKYEiVGKr+b2+NELQ9DRHNbYdwVm7Q/tdCj8yGWnlrEprmHAvQpXOUl&#13;&#10;jXX8QH9WU/uI6jvHm0vgW39sinf/62+b+4GSF0Umxw8BU296yDY/h2Ui7w8eBA9E0I/xHnCHPVv0&#13;&#10;seezp5UvbreXAPNz2O3w2NnDRHEbfN5mm5/D+tjPs8ZU9sumsN5E9tQu+2fyR/kfKwe7RXKwVwni&#13;&#10;NJE4xXsOm2ibn8OeRT7e5rc7wmGWPUeMgsNRtvk5LBe56V6Qg45s4vECOqejeyprKDtMXCm55krX&#13;&#10;hvIvXh5OhGNlSwbQr6Kfc6chn0m88uzJYg7xm08c84n1YjtPLLXnsoe2ECwGLwHzc9hI5Ka1Rtnr&#13;&#10;4HCTGGdvFk/bW9hXfpN95Tfx/03xPMcvcH6m/TrcbBQ5tvk5bClytVamdopR+1WJ90vRsxi9C+nB&#13;&#10;c+w96N3LWntZey97yXvEE/Tkgcgf4T7wCLXwCDEZSCwex//hcDEWXhR35phczV8dk0lFYhKr/05C&#13;&#10;r4KOZxr2+oHuUSrn1WeQ20uQ+1uxY12c57CtxENxuBrol+ZQ2b6VOGyDx+3EZSfx2Q1f74F9YD84&#13;&#10;wLmD9hviEPJDxPUQMTkIn4Xo/ZB76/v2Gq5bJbaQFxvtFWIdOfSavVSspgetJrdWk2Ov2S8gmybe&#13;&#10;sCeJHXCyF+wHH5GTn9JLjtrT2f/LEceYb4rFQeQmXwqpt0Lq7QBr7kffB+T4XrAb7AI7iP12ZNuY&#13;&#10;s82eBeZwPI/z85DPZ+5Crl0kPqEWjtjLsGs5Nr0qjvP8cByfj8PDF9zzP7N3icP0zULy7F2wHWzm&#13;&#10;eD3n1yBfCVcr4cfki4qLzg2dV+/+hrx6F94U9LXF86p3JK/uKkFe1XV8viFx8qquM8SLRapOKkad&#13;&#10;V+V4Xw/5DRHUZ2wAGgETJ42cMZ7OjCg6ocbXEHl9UA/UAbWdsaIWqOmMA0+DZ8CzYAKY5K3VNYou&#13;&#10;9d11I+SNnBzmKRSwV62QI/weJvFe4Vmjj9c7WexLj2Cveyj70k+wZzeEfTyzj0oeK3Z9iZl6brm/&#13;&#10;BLHrSuz0s1Ss3tTVYQ/FMT9bd3XWsue5XtzibBTdnM2ip7OFvdgt4vfgTo7vRnYPc+51VgPzs/W9&#13;&#10;rPeYhwLRF577OuZnayW/19kGtrPGDtbaIe5ydrLf+zZ7qHvYDy4Qtzr89l/QA3QC7Zzd7N9uFS2x&#13;&#10;L9XZAMzP1qkeB1efIXUN3gZ/+n4bi7/byC+FWHHsF6nBASWI44IidiRHyWFU+xZgg+qHsWpQyRcW&#13;&#10;Qz7HphrMd8zPnwuRLwDzI5jHOBfkghec2eJ5Z76Y5uSDJcD8/DmNOI72wG/AJh5THfPz53TneTHD&#13;&#10;mSpmOlNYb6KYjS/KR5M/Sh4rTmq/Vt2DHytBnJYQJ/38GavXLKGnLKGfrPQwTLzlKEwSBR5yeK+w&#13;&#10;0dj73nLYK3HeEFs9bBHbyfNd4O0IdjMq7AEFQHESK38L4HwbMOXOJmpqLbW22tklVlF7K6nHlXH0&#13;&#10;rvT8vPoMW/zeNBCe1e8l/1MJ+D77G+riLDFXvsW6j5xD/gP4Cf5/cSYLX3CqKB18XlwXfEGUCWaL&#13;&#10;ssE8MAvMA4s9LuujT7/0fY5/huwrG+RzPlyeJ+dNa56nLr535ohzzizxnZMnzsDVKXAC/J3jY5z/&#13;&#10;mzNXfO4sBEu9NVP0gox6TfWZ+nPW+9ADf9naUZhhjOUXzjTWmCy+wt+T1M1pfFccmepGyWPVzZBI&#13;&#10;HIeVII6Ng1frJjmKn6j2NQ6aP7c1QF4vmCvqBF8UtYJzRHJwPjB/bmuL3JT3bdDROjhbtERnC3Sn&#13;&#10;sIayw8SVkmuu9H1E+afvI7H9M+dps+AE0So4UbQLThYdyNEu5GhX8rMb+dk9OFf0CC4Ei8FLwPy5&#13;&#10;rQZyU34mB9fB4SZRN7hZ3BDcIhoG3xRNQDPQguOWnG8VfB1uNoo2QfPnth7I1VqZUeJaiXPd0XML&#13;&#10;em8KbsevPejdy1p7WXuvqM5x1eAOUQl5heB6sBzM5zhXSPwPw0UdeGkMzDG5mr86Jk2KxCRWb2yC&#13;&#10;XgUdz+I9bDiJqe4ZY0qQ+0OL2BErN4ZigylPhyEviuEcjwAmTkaQ06YcGI58GBgKngJPRjCI8WFq&#13;&#10;YgBxeCiYLzKDS4D53p5JX/y9h4miPzncn7w1+TOA2D5Mjj8anCIGMf9xfFEcmPxR8lhxGhuJ0zMl&#13;&#10;iFOq5fO1kubvOVKtVlL5tTpKrqsca2m1lS2t9rK1lSbbWB1lmtVJdgE3g24c97A6yF5WusxAnmG1&#13;&#10;A204bi17ore71ZK5LWRbq5lsbjWVTawmsqHVSN5g1Zf1rDogGbiyvpWI7HrZzHJYx5IdQTfwX5Yt&#13;&#10;e1sV5Z1WZXmPVRXUkCY+eyI3+dLTCmNvEnDRX1V2taTsBNJAO47bWCHWd2UrqxoIg+ocJ3O+JvKa&#13;&#10;2FWba+vKW60b5O+tBtjVGJuayr742Bef+XkNjrvIO6xb5O1WTzjIQH8GOjJkCseNOF8PeR3m1YEf&#13;&#10;ky8qLjo3dP13Jp5WJJ6x6r8zvCnoa4vXfwPy6b+p/6aMgxiv5bvjB7EjFLGja5S8UZ9PH4TLB4nn&#13;&#10;ox5+FqMsBUc+5yEkRyEfRW6Z6nkUeTcKrkaTY1lgDPn2dATPMCo8G8FzyBWfsXh5Dv6zrF7eeqlR&#13;&#10;bFaf+YciH8K8QVY3+Zh1M7Z3AWa9j3p+hmLynQLPD8FzixLwvQi+y0b4Toliu3qmWmSVlTM8/MDP&#13;&#10;uiiUvWKTzp8Z6HHi6JlBfBZ56Ik+BeeKnuK5pL6DVb61KoFv57BJ53RyFN9Q7TtHPpvy5DzyH+kV&#13;&#10;F7H1FysofXZFWdquJK+zE2VZWwJXlrOTQA1Q28uT+lHWUs/D5eye8jx+n6fWzWvWZE4N+T194hw9&#13;&#10;4yx5cBp8Db6kf/yd3nGc3nEcPcfpGSo3Y615nPUOeahrXPOQVUseZM2D6D7AGvtZ631QAN7meCfn&#13;&#10;dyLfwbwdkTVTovip8mUH673mwZHb4W27Jby1M6PMr8S5nfTgt+nFe6wKci/zP4DzA+Bj8CncH4H3&#13;&#10;o8j/xrwv0HXcqiT/wfHXnD+F/AzzVBxNPU/JY/WtNiSC6ludS5Brdeyr+R+rT9SxHVnHbm6MQx27&#13;&#10;paxrt5H17LbyBjtdNrQ7yBtBKmhjp8l2dmvZnjnt0dPevtHzOSUKryoO7Vmvl4eeMo3cS7M7G+Og&#13;&#10;5O3tLuAm1ukq29o3e2hld2f9HrIZOpravWRj0AAkAxeZ5LpE7KuCzVWwy9Qrq3gcXK173T9S4E/X&#13;&#10;aiz+UmxLKsSKo/q+VsWxewni+Bh29IzTxx6Dh3s9/CAesxV6xrSpJ7aoPqa+07jWe+JCbGocsSk5&#13;&#10;SqxR7VtoN/ZiG+v+s8BuIueDeeTMHDAbvGg3NdZMDnLVp2LV7Qw7RU63m8mpxHyy3UJOIi8nkbuT&#13;&#10;7PYgXU4hJ6bZnZjTSb4AcsCLdkfWT8eW9nIBubwwki8mv3S8da7kwkfdOHzk2pf7XSzbZ9l1sKOO&#13;&#10;nEvPnm/Xwo6aoAZIwi4XnlzkITnLrordVbG/Kn6E8LUafiXhb3WQbORvJHJTnx+JrlHcQ8bYleXT&#13;&#10;dhC9lswF88Bi6uRlu4Jcyb1mDXPWsJ6pv62x23lrdSJe+qX3RQKcWEPvWAP3a6jVNdT2Gmr7NfsW&#13;&#10;D2vtbnIddWyq23Xk+CKg/MnSCzDqNaryPp8ekY+ufPQuRP9C1llIL5nP+zmcn4U8h54xw86Axwz5&#13;&#10;HBiPzixkI5g7HPuG48dwcmIUuTrObiCftW8gl+rJ54mnyX8V7+J5kkeexOspeXCtoK9Nww8/6ACU&#13;&#10;TxkUl+op6ruja63f17Ej3jPt6+TW68R8u4ef+Y5OwZGHPYTkfuT76a+K/wygX5p/lvDtp6b2U1sf&#13;&#10;UncHQCF8fhzBXxgVPongMHJTvA8TlwPESq0Xq6e8h3wP83YRvx3EeDv3ju1x9G73/Iz9TKt+dkT1&#13;&#10;yz+UgO/vICPeM+13dll5zMMP/MyHwn8+0x5DT7xn2mPE5zsPPdGncPXelgZ3RXNJfe+ofLu7BL6F&#13;&#10;HZ+vY5zeF3Y6Guu0JvK6Trq8wWknGzqtZCOnOWgE6nJck/Nh5K6s6VSVYVAVVOG4EucrIA8yL8j8&#13;&#10;INdV4PpK6KmCvqroVWub6lTJda3pfp6GT43i+JTGeioXs4B+6dyvyok0J1W2ddJkqtNFNnV64EMG&#13;&#10;tmRgW4Ysz3FZzvuQ/2KngkagNsfVOF8FeZB5FvMtrrO4PoieKuirJtOc2qCR0SclL+6TilO83qPW&#13;&#10;U9DXFs+Xe8gT1XseKEG+PFLEjmRNHKPmDtW+R7DBVOdDkA91HDnSqSjHOJXlOCcEanqc1I+iU33W&#13;&#10;Gef0lH/yYP7c8Sf0DHZqyEHk1kBy7BF0Z4L7wb3wfzeyu5xaAD1OA2/NlChrqufdu1ivuwdH3om9&#13;&#10;dzqXP3fE6l9348u9+HSfU0H2c2zWtVjf/DlCyXW8dP72L8JxnSi2EUJff65T0NcWj/WDkVir792u&#13;&#10;9T5TgB0X4vzbhALngnGv8R3ke8G74D3wvvOD+ACYavoDp4yXPxlRfLc5p+TvOdfJvaAA7OZ4t1NW&#13;&#10;vu2Uk7ucBOAHAWABx4tx1yi61N7PPuT7yI1dHnrKdcR7He9XeHB4rxAw5vM6bFjv/Co2OT+Lzc6P&#13;&#10;fG94ge8FLxh9VPJYsVPf3WUSZPXdz7XGTn13F6+vn6V3mnrg98h/pA//RD/+hb78K/35V3rTr9TO&#13;&#10;L9TZT9TYj9TY9/Tzs+AUOMHxl5w/jvwY844x/xjXHef6L9FzAn2n0KvWNuWAkmt+dF1UYC8/Xl+v&#13;&#10;EDT39QrBVGkH02RCsIssHeyBDxnYkoFtGfIoff1T+vpH9PVC+n8hthfSrz+ib3xK/z5KH/+SnDoL&#13;&#10;fgKlg0H0VEFfNVkhWBuY+7qSF/dJxSleX1frKehri9e6yhPV19X3JdeaL2lwq+1IjlIrqPalBc19&#13;&#10;Xck10nmv0AGY4twhmGSs9XTkaaA9aAfPCm1BC3BjsLpsHKwlGwXryIbB+qCJsZ83DPaUrgeHuQrS&#13;&#10;WNeNg5VZo6JMCVZgPVu2jvhn8kf5HytOIyJxyipBnDpZPt/6yLNN4yhxKsO5TtZ69vXXs6c/kz39&#13;&#10;9Vfs0XWk9ubHRHR0iqIjwLnO1hi+Nxgjn7AK5f3gHmunbA9a8r42UHLtp9bbq4jeWPetXlynoK8t&#13;&#10;nstqz/8Jcln9XqjRjHWxRfV8Xr/598FMx47CiH8p3qWX/6efUdS9fTo+jPYwRk7HHnWsbdL+PIee&#13;&#10;rIieWP48Z2XxPUHWlWuL+9M84o/af75Wf+Zix4qIHclR/EG1b661wlhHc625cqE1Q75kTZSrrHFy&#13;&#10;EzbvAH8Gn1jj2Q+dKr+wXmAvNA/MNdbsQeSm+0ah9aL80Mphz3cme6/T5TvWNPZ6p8ktYKP1vFyH&#13;&#10;bLU1W6608sErYD3HWzi/Hbvelm9aBcwv4LoC9ox3o2cH+rbKQuYctDYZbTuOXNmWEYUnlUfHWOMo&#13;&#10;eg9bH6CvEP2HWOsQdh3CjgNymfWuXECez7VeByuMayl58ZzZQaxGx8mZHdZouB995driOaN+7kfV&#13;&#10;QHoJcqYNzm6IkzNt7A3GOLax18jW9quypf2ybGEvYa92sWwE6oKa9lJZw35Fhu1V4DWwEbzFuZ2y&#13;&#10;tr2bOQXsNxcwv4DrCmRzew96dqJvG/vOb4ANRm6VvDi3TfEpJ45PTe0cz6fMKPGvxLlWyNPsPNnZ&#13;&#10;nidvsRfJHvYKsB5s47iA8+/LdPuAbGUfwu5D7JcfYu/8ID59iM/78W8ffr7n2Z4SZQ3VW8L21zLo&#13;&#10;IZe5Cgs8m1KjzFff5dWw56J7tqxlz2KtXNbMYe0cIz9Krvkpnj9q33oo+aP2rcdeYw8dBtfZcbge&#13;&#10;Zmcb/VLyYdipMDyCEYym++cI8spUv8ORDwNDwVMRPMk4CDxsvyQHkJMP2StlJjmZSU6qtVKi8K7i&#13;&#10;lGkXyt97yGWuQr7RnwHkzMPE6VH7RdbLlY97/mUb/VEcxIpTj0ic/qsEda728t+JE6eF9jueX1lR&#13;&#10;eKjKuSXIX6Y+V9i72B/eLlfZW8AGsJrjFZxfhnyxXEK9LARzQB7HOZx/AfkM5s1g/gyue4Hrc9CT&#13;&#10;h7456FVrm+Kt5Joffd/dhk/xetc21jPdg7bZW+Wb9KFN1PNa6nkFdbwQ5ICpHE/g/HjkY5g3Bl1j&#13;&#10;6HPj6XET7PnI85iXzfxsrsvm+jz0zEffErmNeWptk09KXtwnFSddT7GeJdR6CvraNGLjB3rvWOWJ&#13;&#10;quvflyBfPi9iRzK69Us/G6Ha9zk2KG5j9avjyL+kjr+Gl1P0rH/ac+QZ+DHV2hl7rLzkoVCepebO&#13;&#10;0kPVGrH69D/ps6fouV8z90v67zHidhR8AgqJ3z7it5d+XUDfLqDOC4jLXnJyHzVaiF2fYKPywxQn&#13;&#10;Jddc69w7Dj/x6uk4OWvKva+Qf0P+n6YOvsW+M9TFGXLiDPfKb+3lyJbKE9j6JXV0HBwFR8itw9xn&#13;&#10;/0L/+pj77sfM/5jr/sL1h9FzBH1H0avWNvmk5Nqn4vlzB8F9kvy5twT5U93x+XIj/SZWHld3cmV1&#13;&#10;Z4vHUYZOMEadY1Dsq+5sZc4OWcPZJZOdPbK2UyDrgyagmbNbtkCWypxU9KQ6l5/5UqLoUn08lfVu&#13;&#10;9lAoWzoK5txScoVU533W+QDsk82dP7NP+yHrH2DfuhBbDrJnfUjWAiFQGVlFrglin+PsBFu8OMTi&#13;&#10;wPE4yL0SC51fDeAvXh9o4GRLhVhx7Ev8VB9Qe3zX+pliJHa8Gue+MdJ51ZjnI5wVcoTzshzmLGM/&#13;&#10;d7F8wlnE3usi9jwXyYecpexPrpAPOivlA85rYAN4g+OtnN+OfLd82HmH+e/Ix8FT8DqMc8PJhxHI&#13;&#10;RzpvGfN8CnJTDU4hRpPIq+eI2ThiOpwYDgL9QV+O7yLufVjzdmcb2Ahe4Xgx5+exf5uHfdnYlo1f&#13;&#10;2TKLWI53ZssJyCYzZwq8mGpQ8aZjp+M++DfEXa2noK8tXr/9I3F/pARxn4EdiyJx7xqlntSe6Azi&#13;&#10;NwMOZnl4Ri53FPLYB1VYxHuFncb6Xk4sV8D/Cjh+hfiuBGsieI1xbQTrGBUUn7FqaR21+Cow3ZOW&#13;&#10;IF9A3c519svZ1PMs4j4rjt5Znp+LYvKtfreQ6peDSsD3PvieHuE7JQrfqn/tc6bLrR7GsBetMP2K&#13;&#10;TTp/tqJH991YeraSp/s8FKJP4Wr/KZ5Lg/FJfcZUe4fX2kMuYFO8e+UFYmCq04vIfyVPSgV3yeuC&#13;&#10;22WZ4BawAazmeAXnlyFfLC8SqwvgX+Bbjk/Rc07SX044q8EGsIXj7Zznnou+f6FXrW2qUyVPh38/&#13;&#10;0Dwnsg8a79kzEftMPiUGt8rKwd3SCb4v/cED0hc8hC2HsO2Q/Ae953PuO3+lPg7TCw9j+2H6xV+d&#13;&#10;JZyfj5xnKnrABeALZnN9Hnrmo2+JTAy+CszPnkpe3CcVp3j3HLWegr62eL48Tp6oe47aw7zWfLkJ&#13;&#10;brUdyXCuX/q5ANW+m/DZVOc9kP8umCt7B2fJPwTnybuCi8DlfZr6WiGj1qm+O7wrWCi7e1jl6c6I&#13;&#10;Ms/mXPfgK7Jb8GXwkrw5uFh2QXcH0Aakwn/z4HLZjDnNgqvAWi+3UqLoUjXdjPVqeshl/1jBvAfQ&#13;&#10;PDiXNWbLVsEX2d/OZd1sqbgw5a+S63jp/E0vwnGsfpquritybfFYj4zEelyUWCuOFVcqVjeAqpH3&#13;&#10;DIpzNVzZs1VzKgM1n9T5j7+F8FTC1b8PEcvWpxJWhRLsVSFTTlRH3sLeGOpqF4TusP8Sus8+CUq5&#13;&#10;Ju7us/OqmXTeZ6+udoe9q1pX+2C1FvbxatXtU9USgEnnUwmnzDqRd084Xq11wsFq9RJ2VauesBrk&#13;&#10;GXVWTyjlmuysnnAyVC/hL6HWCQWh7gkbQ/fBl+LMbOeqkM6b4rHfQZzWECz17wxPMtaNxI9hfLvI&#13;&#10;+zKM+vz/j6vPd9//w3HtRKxUjW4BKwjWbcRV/W1KHT9KcHx9ZLFqGpH30vPj1XSfgM93JHT553hu&#13;&#10;i1yrBt2PuRX5+gSOhDI9/Bx6jnE+GBn4ObQg0NidCAYF/G5m4HrQ2O3j4UjMfP03+jaoJMSwt4r4&#13;&#10;xZnxv9XmZdhcxjX/7NGyQBmvDjNQrF/aJ8XdssD50IrAN6HXAsdDrwf+J7Qj8GnoPfAJ+CJwNHQi&#13;&#10;8FXom8Cp0OnAWXDeWJ+fIVc1n6UXYtRrqVgeCfwr9Gng29DhwOnQx4GToQOBE6H3wW6wneO3AmdC&#13;&#10;mwPfhzYFLoIy7qaA424OVHHfCoTcHYHq7p5Asvs+OAA+4vhwwHU/DVR1jwQS3c8CFY198zRyZVss&#13;&#10;Hk6xxolATfdYoB76GqO/KWs1dbeDTYFG7ppAbXd5IMldRnwVp3ejKxnol/ZT5ZmS6z6l72/vEavD&#13;&#10;ocuxinXPeC9wGO4Px8yZUihfT64ESpAzTfigdDJiR7I2nrGo/U3Kn/TiGIurRuVPheqXPxOqXf58&#13;&#10;qEb5i6Fq5Uu7ofJ+V5R33CrlK7uVyldzry9fy61Yvj5obOTqElyruKRGsUV9x3CJOJcpX8F1yl8K&#13;&#10;VWa9quW/DSWV/8bLw8ZRrlE9/nvy+XtyuUl5hZMx+VQ8qhqsUAI+82lE/SI1eFsUe1TfyE/o577q&#13;&#10;YbJ7kPELsCPhGfdYwkb3I7A5YQryWWCjm++h35X8SeN6P+gAVA3tAzux+RDje4y6V3D4m/vGOWwe&#13;&#10;HrE5Vi6eSxjunktYZKyZcwlL3e8TXnLPJyx3f0hY6f6UsMq9BMr5V7mW/xXX8S91K/gXgXkgz8uD&#13;&#10;FAzVL51zZTlRwT/cDXnY6Fb0K6w0rl3Bvxr9r7HOOjeB+df5N7m/JGzCnk3umYQN7umE1e43Ca+6&#13;&#10;JxNeBou9tWP5etLzdfgVznXNloL4oXF4KuUf6iroei8er4/wbTdx+pTxWuN1E3asjtiRjB790vyR&#13;&#10;vr6b4OMuxiwtZNTyqrzvhrwXnP7Ov9ztTVz6+BeAPDCT42nu7f7JyJ52e/rHujeBNNDa/4yb6p/i&#13;&#10;tvBPd5v7s8FsMJ/jRZxfhvxV5q1m/mpjjSu55kdzWx+fdA7Wj2Kz+vxTn3xo7mGc0bdUf5bbyj/K&#13;&#10;besfiT3D3E7E42aQAXr7R7h/8I9x78WX+/xTQS5Y7N4DF338a91byZ2e/tfdrqAjSCOP2vo34Nt6&#13;&#10;tyXyFhHfYtnYwr/Pre/hav4Uz4Ej+KJy4G+M+66xZgfC16A4OTDQP8hYMwP9j7iD/APcwf5Md4j/&#13;&#10;AXeo/343K4IxjGMjGMc4HpjucePRdRf+ZAD90vlmc2Kc/2H0XcYYRoUsMBIM59rh/sfcYf6BYAgY&#13;&#10;7q3VVSti1LrK83488vH+ccxT2OgO9DDO7c9xf2QDPQy6kmPF+f8CHapn/p3xWmtw6m/gf2oc/qfi&#13;&#10;9zT4nw7/M+A/F47nRTCfcUEECxnzgYn//Dj8L4TnBRHMZ1SYB2aDF7n2RfjPg/88+M+Lw38+8ny4&#13;&#10;zvOw0Z0K/1N5/7SH4bxXiM2/4l3x/1UJ+N8F/7oXJ6NHv3SeqB64i3o35WQB8vfpD/vpCQfpFx/T&#13;&#10;Fz7xj3c/9T/r/tU/yT1CHzzif979zJ8D5hj5X4vctNZaf767jh650b/C3UyveYs+shO8A97n+M+c&#13;&#10;/9D/snuAOYX0I1OsjyBXa2Vppxm131V5f4R+/ld0HUbnJ+j+mDUOcW88QA/bR6zepacV0Nt2g53g&#13;&#10;DbCeHrfav8ZdzjUvof8l/ywwnePnOD8W+Qh3C3wpTk22KXnx3l7o9/lmxulVhdx3TPwVYssB7kn7&#13;&#10;/RPw4Wl3LzbtAlvBG8RsEzFb75/oriVma9FlslGtVdzGndio8ynWc8FOfFPQ1xbvKyqfVV8/zXit&#13;&#10;feUEdsS7D56gvv7l4WkjZ99Rj9+T0z+Q2z8x/xdsLxUY6pYugut4XwaUDQwzclY2MN64VhnkCtdF&#13;&#10;UJqxFPiZ2PzIvfYCcTtH/L4jjt9F4lMfnvRL56+6z39Hjp7wEPse+k/mKa7/xXitXPcO+Hx/jJOX&#13;&#10;vQN/9PxO1YYyalvV55G+yDMDD7iPBv6XuzMPj6rY1n4EEvYQ6N4dRNjV3YRJmQ0ICAEVUREEFUU9&#13;&#10;OOPAGZxAREVNmEECJEKY53kORAggDhCCE4gMAiJH8YggcBREcQBl8vvVtouT2yddzQ33r6+f53V3&#13;&#10;1aq9atVa71q7uquDf3V7mk+5z5m93N7mS1pf/gO55Hqs/P2b2dvtbvZ0H0HfQybPVfPv7p3gFnCD&#13;&#10;+aR7LbKWxOtqsx8YAcbSnupeY85225oL3Q7mEsYvce8D3Wg/Tv/fzOnu383J7j8Yq8uN3silbY8D&#13;&#10;9VLrDdDxnDmNdc51nzQXo3e5e7+5yu0MbgbXmSvcFmaee6U5z61vTgJZINNtZD7nNsPu1uaj7k34&#13;&#10;S/pUZ4OUqxxT+8Pbi8UqVn7ezn0S6t7o/PwV++Vz5wzX0nJmMnaoOpGKHvVSPpLPncnkk/RhJyXk&#13;&#10;quTJvJ+OfDbxm2/2cRebL/NdQqabT64sNwe5BearYATfMWSDXKB/7gxDrptrGHEfbs5xR5oL3NeI&#13;&#10;2RjiMwlMB7Npz6d/AfFaxJhFpv65U4Bcx9sCeLYCXcvRmY/uZcyRZy5D73J3nlngzjRXMu8qdwqY&#13;&#10;CEaD4XBmiLnU7c89mejPNMeDkbQH098XeR/GPe9Kn+o4I+Uq7oozi4lVvOfOYlP/3FmELQvNYfho&#13;&#10;iDvXHMAa+uK/vu5YMJqYZROz4eZQN4uYDUOXzkY5V7SNk4rxKRavJ7E2CXVvNK/PwilZC8tCvtLy&#13;&#10;ugg71PcWaehTL8Vb+Zm8yOzmbvZQ4BYRT9mOZVM5bJG5lngRNn1xATZ9gQ0HPRTwnZ9EbJvKR2wy&#13;&#10;LsIm+X1ZvM/eDS39Z+8myJtbi92W1ny3tTXbvdaaCsYC+GGNoG8YsgFuU6uv2xBcDqpbA91qVpYb&#13;&#10;skaC0WACmAJm0D8H+SLG5TFe/9lbylXMVJ6ksKZ4e44U60XmktB/9q5mZWDLy25N6yX3CusFt771&#13;&#10;vHslaA5aW33c661Mtx1raW8NB2PATPcmfHGtlc+aC1jzKsavcuuBy62V6FmBvuWsMZ+5/1xbHUVO&#13;&#10;roqfct8Qsja7KR5i7xsqEHuZKwGupf3sfdcF+OsufPWQB/0e7SH82Q2fPIbP/sb4J/DTMxH04KrQ&#13;&#10;k/fP4k9dfXnW0u/RpLxnBD24SjwD/gG6E5NHrSHYMgy7R4I/a1ksXz9ErO7yENvXKRFfX3YR+ZZ7&#13;&#10;AfmWCy90z6VJyKfBsZnWPHc2fJtrTQZjQY47Bx7Osoa60/HBJPIsF4wEr9Iegj8GIu9vvQbGg6m0&#13;&#10;Z9M/H/lixuUxXp9vUh6db3JN8fYQucRbt6bJyGfBl/lwZwmxW0ZtWEY+LbOmuXmsc4G1hLWucKeQ&#13;&#10;R6NBFhhIO9Na6vaxFrgvUDdeYE0vEOuXrMFuX9Y8iPwcjl45t45nUq5bU6znmLyv+L3RzzHJE5mb&#13;&#10;oYvgSxG+Hefqz8CKrHFa3xYR5w3WLPd94vwhcf6YGO4Au8HntL+kfx882M+4/ejab2XTHkb/YOT9&#13;&#10;GdeX8X3dLWAj7ffp34C8CL7JuXW+lfJo325nTS/EWdN2aoPkS9MSaqP8nLIL+R748gUx/pJa8xV1&#13;&#10;+mvsk7aklXCPfN5/bXVzj3goYI0Sf34H/3gJ4wP07bOWoXs5PliBD1a6O+HcNrARbKBvLf5bA/dW&#13;&#10;w73VcG81fltD7q2lBhbxvPgQG+U6dP6RcuWfaP6E4Y3cc9S8CP6Us//zLIzF43L2i245W38WUs6e&#13;&#10;7Sbac90ke75r2Itd217i+sFlIGgvdMPIU9GRak8G+rOQVOar56HArW5L6M9CUu089C9jntfdKoxP&#13;&#10;sVe6FUEiSLBXuGeIw2n2C6eoE6eoh9LfsdZ6Cs7I9Sqfqz1DAD+pGhbr3oD9vCuh7o2OV+1Ivte7&#13;&#10;iHjdUcyO1BJ4ieqEO7BBlxtdkT/EGh+1X3b/ame6/7AHuU/YI7Q87IZcV58ftl9F52D3AXuge5/d&#13;&#10;z73H7uveATqCdvYA90bkbdFxvT0KjAfTaM92b4IvNxPfjsTwDnA36Apn7oczD9rz3IcZ042xuhx5&#13;&#10;Arm0LVae/h09f0XnI3Y+Ogvcv9h8hgftQVv4cQ1z8v9jdJvDz+bY1twe6bZkLddi+w12H7cD/pI+&#13;&#10;1dkg5SruijOdi8UqFmc6c5+EujeaM/UjnEm7CM5kF7MjFmeysUH6sBNQL7XXTKZjNPJx9gvuJPwx&#13;&#10;Dd7MhDez7f7uXLgzn9jOJ7YL7GyQC/Sf4V9BrpvrFXu6m2nPcfvbC9yBcGMo8RkJRoPxtPn7TXcy&#13;&#10;MZ3KmGm2/jP8fOQ63s6HX/PQNReds9E9izlmUEum2svdiXBlDDVkNDzJASPAYJAJZ/rYS93nuKcn&#13;&#10;+nvCmZ5w5jk40wfOZOKjwfhL+lTHGSlXcVecmUas4n2Gn0YO6fw3FVum2sPw0RB3Ark3BptGgmFg&#13;&#10;MDHrT8wy7aFuBjF7BV06G+Vc0TbKv9OOVwtHsjYJdW80r+Xficu9z9UXweu3sGNmnH3CW5H4x6oN&#13;&#10;b8Ght8n9d6g3hdSId4nrR2AL+AQu7IQTu5HtYcwexu5B32fwcxc1Z6c91d1uT3E/5pmm8+F7Eb7H&#13;&#10;smEd/HnbHueusce4K+3R7gryaAXxW0EtXUnM1pBv71Cvi/DnRvAJ2APH9pKDXxHPffBuH+N1NuxG&#13;&#10;LjkTy4bd8OFT9Oxizk+o31uYdyN4DxSBQuZZC5fegTvvMPYd9K21h7vr4VoR9r5n57gfAp0N/F25&#13;&#10;1oZd1I5/sjfYiy/24bP9+He/PQssoL2E/nzWXYB9q9xNYD14i/Zq+lcgf50YvU58dDZIPihOqpzb&#13;&#10;dAF83oTPJdS90XxuEeHzNRfB5xQjIaEuRunsTzHqer9VjVWnU4wGopLRSFQ20kRVo4kQIAxqgNqg&#13;&#10;Dv2NjIaiMXoaGzW1v2FtbLja38WmGQJdQdEA1DNC6A6Jy42wVmcqcsnDpuohw1U9Z+S+PWhUE66R&#13;&#10;KqoY1cWlRg2RYtQGdbU6pVzFRcW0Ab68NI4vGxiXerbEyolGRiWRZqSAAL5ygB9UBBZ9hmhoJIn6&#13;&#10;RqK4wignaoIwcGlXQVaZMZWNZNbg09qejFz6I1Y8k9FV0SiLDxLQe9YNGafdmqAeSKPd1PiD32uU&#13;&#10;Ea2wpRXz6bjTyrhSO1cruNHKaCxae2giroEv14LrImjDVeJ60Bbo5mprtPTmGltCnMP0tTHS0ZuO&#13;&#10;/nTmSWfOdOZOF1eDZtx7lXG1aGI0A1fh78biSqMpPGsOx1rA43SRarQSQVAZBBhfEZnFWBPum/DB&#13;&#10;NGrRrkZ/UDhGVcZdxvjLtDZLPkTzqCY8Oh15xtQqYS08whJkPCTUvdG1YTdjtjNwL9fdXGtzTQa8&#13;&#10;Lvg3a52w42zEjjp/3uv9V+WO/D6wE3y420OiNs5d4cv98OYh45z7iHHG7Q7+AZ4FL9L/MjzOgHeZ&#13;&#10;8CkT7ss4x5ozE9/38pDizRkrl3rB815GBfEsedHDKC+eIk/+Bh4Hj4JHwENw+AHmvY8xXZn7L+Ta&#13;&#10;PeTcPeTgPUZl4GptuQc7Onk4ez4Wqh48dgFxfIwYSsSK45f4QcZxP9fSxjEHO45G4tgCPeql4shP&#13;&#10;ExNyjKPuRA9n3VnEcxa+meihgTauE8nvieTwZPJlCpgKpkcwg6vETDArAl3+zsKPXbElVl2aiXwG&#13;&#10;eTgdTAVTwGQwDuQiG0U+5pCzOcyVw/NGzpUG1EutV37vksPahng4y++CJI7GjIH8Lc1WYnCIa2lj&#13;&#10;kEcMVC6loUe9ituUhx2rPbQUeaxHthUvFKeknsORWKYpJVz/p57D6JH4id+VSBw+rye6ThzmXrm2&#13;&#10;f3Mt7do2YFOlyHMvDT3qVdymDTzXvvIQFht4Hsu2Wlu0Td+hYAc2fc91J9fS1K4jF+DvI/j3hIeW&#13;&#10;4gj+lm1lk/K31BPP30fw7wkPP7lH8LdsKz3RazvGmqS/f+BaWn8nmv/hUh30qJfyt6zLieZZ1+dB&#13;&#10;X5cds4yoZP7hVjHPucI844ZBDVAfNKa/qVlONDMN0dxMBvq63NxsKRp40NflBqZP1DcriHqmJeqY&#13;&#10;5UVtM1GkgjAIAhdUMZPEpcybwhiHuf1mReAXPjMFVAb6uuzDjkQP/x3TEP6L93wNmaddiVhxPI6P&#13;&#10;ZV0+wbW0ceyBHS3j5E0P1tDdw2G3hynR8nzeKI7K39goPS0UGbgqPsj6fif3tfeQKK7Dv9fBjfYe&#13;&#10;ftZ+rm9vHuO3LkfcTua37m3mIX5XctD9C+gawb1c76P/fvAAuJe5UoF6KRv4iMLveH7QznU/8vvA&#13;&#10;vRF0lePB3aALuNM8Dn4Cv4AT3lxpaiKuai5Z3+9kbQ94SBR3sl65/lixPMn4LcTyDNfSxnIoMYj3&#13;&#10;OWqoqf8cxd8ziVfNRmK4mSZGmk1EDhgNxoGJYAr9s8yGYi565pr6z1FzyY+urKcpUC/lH/mZZ44p&#13;&#10;0BUUM8A0M4TukJhk6j9HjUGu0znKrCayzVQxwqwuhpk1xFCzNtB/jpJyFRfF5xn4Mt7nqBmm/nPU&#13;&#10;LLOSmEOtmEPNmms6wA8qAos+Q8ykvkyHF5Opb+PBaJBNewSyLMZkUXOGUad0fO6HXPqjk3IwV+Xj&#13;&#10;ZN73Q9cAsyw+SEDvWXcU9WQ8mAbm0F5Afc2j/i7DlmXMp5trman/HLUMbiwzG4t8D03E6/BlOVgR&#13;&#10;QQFXiZVgFdDNtYpckeuK9TmqwExHbzr605knnTnTmTtdLAYLuXe+ebWYZzYDV+HvxmK22RSeNYdj&#13;&#10;LeBxuhhjthKvgSwwhPEDkPVlbAbcz4APGWYtkQmXBsDNwWZVxl3GeP3nKMmHaB6Nh0fx6ryMh4S6&#13;&#10;N/p5fRY/yDovf/dT2tpQiB1q71cHfeqluCKf14XwYZOHP5/XGWoQVzWuCu83w5ct8Gkb3NnB+N08&#13;&#10;pz8HX4EDtA/R/2/k3zLuO/j8Pdcf6PuJ5/uvjPkdnAWJ1hnXss7xN17lhM8qD5KB4/Eilo0+i2eq&#13;&#10;Bz3vEy1blLNMUQa9CVaSOIcdp8FJ8DNc/9E0xTHTFvx9IKisnfMo/NjvIaDNtf3k9tfo3Ifur5hj&#13;&#10;L3PtAbvAdtpb6P+IHNtELdgEpyT/Y61zE/MVevjP3iGaF/K3V5IXyRfBi7AVnxdh66xbx4OeF/Wt&#13;&#10;MoLfTYkrrT/cJoxvTnzTwXXgBtrt6G+PvAPjbrESxa1cb6fvTjhwN2PuBQ+C7uAJ+p6GFz2IXw94&#13;&#10;0SMOL3rAie4e9LzoDi8ehxePorcbvHgQO+4HfwFdaHdGditjOll+oOdFJ+Zr60HPi7ZWRXE9Otug&#13;&#10;+zrmaM1cLUBTkEa7If31WGNd1ljX0vOiLvOFPcTmRcUILypfBC+Gwou4ewkrzl7CYi9hNRJZVpoY&#13;&#10;YbGXAKPBWDARTKF/lsVeAj1zrTh7CUu/l5htsZew2EuAaRZ7CTDJirOXQN6VHIy1P3nNYi9hsZew&#13;&#10;2EtY7CUs9hLYqntuSbmq4+f3Evgy7l7CirOXsCqJ2RZ7CYu9BDyZCz/nwqu5FnsJi70EPJoOnyaT&#13;&#10;M+PBKJBNeziyLMYMg1/DrDh7CeTSH52Aeqm6n0xHP3QNsNhLkMPDyedRFs8tMA3Mob2AXM4jp5dh&#13;&#10;yzLm0/lpmRVnLwE3llmNPeTDldfBcrAiggKuEisj0M21knyR64q5l7DYS4Dl4HWQD5aCxWAB9863&#13;&#10;2EtYzfA1ewlsmm2xl7DYS1gtxATGjLHYS4AsMJjxA5BlMjYD7mfAhwyLvQRcGgA3B5PfWdZl5EKc&#13;&#10;vQR8iObReHgUdy8RiYm6N/qZUSVSG+Rvr0q7l1iPHfG+y1tvHXU3ezjr7oIbu+DiZg/67/I2w4vN&#13;&#10;xH4Lft4KtoFPItjBVWJnBLu46uK+KxL3WHzeiXwH8fsEbANbwRawEbyP7F3iWESs1zPPeuqUnCsN&#13;&#10;qJfKDflZbz1rW+PhrLue9cr1x4qB/P2S/P6l+kXE4AQxuCryuT1VGcRV2YTqhBNwUPI+owR5FfrO&#13;&#10;Ir/EThPl7Poiyb5cGHYqcEElUd72i0Q7WZSxy4uz1JIT4EdwlNz+lmfZIerPQTh6EE4fpHYfsurQ&#13;&#10;3wB5GuOuYvxV2thIufKPqpMni/E7tQSb5ZpOwm/dms4hT7TPuZZdVvhtQwRYR4A1BeyatOsL227C&#13;&#10;WluIP8jVX8H34BB5vB97viTGn1uXgyAI0LboLycOsxc5hl45t45vUh69JhmneDl7gvsk1L3ROSt5&#13;&#10;Ivd5V1wEX6rZ8fd51Wz2eR7Ka58Dde1EUR//NrITRGPGN7PP8Luh/yCd9xKtQGug81lr+CXjGStH&#13;&#10;W9mc74H0CFpylWgK0ohvQ9sW9eyKoq4dAPr9Wl27pajmIfbeqW7E1w0uwtdPFPN1rRJ4TCgTnsBv&#13;&#10;zwO59sdLGBOgr7d9iXjWtsRT9mXi73YN0d2uJx6zG4sH7TbiXruDuMe+Vdxldxad7TvFLaADaA9u&#13;&#10;Bu3sO8RN4Eag8/+NdnvP/7FsaIf8ZtCe+TpEcAvXTuBW+m8Dt9s3Y0O7CG4Sd9g3ijvt60UX+1rs&#13;&#10;ay3utlt5NjQoYZ3l6LsWP9wC7rMbCekXlQeqLtyHP+Pl0H32ae6PnUMynjKH5P/f4J9cS/N9/j1G&#13;&#10;QsIAjNL58x5jgOfPpiWsVX7n9SDyR41B4q/GUPGkMVw8bbwmnjEmaGP0OHJdzXvcGIvO0aKbkcNZ&#13;&#10;4kjOOEdwZjhCdAYd6WuPvJ0xUdxkTANzwCJxs7FMdDBWcG64mnFrxN3gXvCg8YZ42FiFvhXiMSOf&#13;&#10;c8rFWtueQa7j8NPoeQK9fzXe4ayzENuKxF3gVtDOWMd5+hrOwQs4A88Dc8BE2qPoH46NgwX/NgVr&#13;&#10;GaC1QcqjOXMXsRoYiVWtEmIhc/AuYyC2DDx/b3Td3cuYfzHwa67flJIz07FjUBw7psOHRUDnx4XG&#13;&#10;q2IufplpTOfccaGYZLwuxhOr0cYHYqSxXQw3dophxm4xyNgj+oIM8Ap4OYKXuPYxPtP6sY+xVWvD&#13;&#10;S8hfMbZ5yOCaGUE/rgPAQOQSg4wtYrDxsYchxkdiqPGheNV4D/s2gCLPhli1oBd+6AtyjJWcsQ46&#13;&#10;HxtcmOAH8hw5XlxziKmE4kR0XGU8ZVzluePhUsZ1JXb0isS1BXrUS+2/5HnHSqOXWOdhkNjIWjaS&#13;&#10;j+s8FHh+7qRu4qruS+b9OvKvkLxcT3yLwAZy5D3wfgQfcJX4ENlGoKtHG8k5yatYc31orEfvevSv&#13;&#10;F++CIrAevA3WcO9qY61YZbwlVjLPSvJUzpUG1EvZLffAK1lbnodBjJXoFTMG0vd78f13XEubW98R&#13;&#10;gzcjMUhFj3opmyj1Cd8Zb3rrz1BCrkpehfc/Iv8VX580lotT1KDTxgIwE0yhPV78bowRJ4xscZx6&#13;&#10;9B34BnxFey/19nPke4ypYDZYRHsZ/SuQv8G4Nxn/pjY2Uq44qvgt1xTvGfMd9U7GNNaafkL+G7Xz&#13;&#10;nJElypo5IskcD2aCxbRXiD/gzilq78/k47dgH/icWH+KPdvJu634YSu1eKsxifYo+oeLL9D3NXrl&#13;&#10;3Dq+SXlJa4qXs9+RrxLq3tasD1ec//evjvBe5uxxrqXlS8Dk39KJ8KUzetRL8aECHQHzaSE8TOPM&#13;&#10;eZBoC+qbk8UNZqG4GtQyZyFfBApFwMPTMW3+CX1fYLM82yutzR2xWT0/0tCjXspmmXcdsfEeD4Wi&#13;&#10;IzbJtvKj4pXUo9aeppRw/Z96nkaPRB90SMRe22/cK9f2O9fSrq17sbXVKcEmeSbRnbX08DBSW8ee&#13;&#10;NYeJ3uZQ0cccLF5hfF9zoBgIRoDR5hAx1hzBGWYO52xjwCSPw7HmHI8PR3qY5M0Za288krwagb7h&#13;&#10;5mjO6bI5Rxoh+oO+IAO8bI7EnmzxPPM+x5hnGdvTHAcmsKZJYCqYqbWlB3Z09/DfMc3Ef/HyKpP1&#13;&#10;Syg+ROfVaXws80r+e5SljeO6Ynakokq9FLdkHV6HDV25dlJCrkqezPsNyD8gbh8Rq63mq2KHmcW5&#13;&#10;SbbYbY4Sn+G3PfhsD3n4T3M6mKetQXnIdXMtNZdwVvg6Z4cFnEe+IdaYb4q14F3wIe2PzJXiY3M5&#13;&#10;5zX52JKnnWsPcjlXRgnrqkLfZ+j4DF2fonMXuncwx3bzbXSv4wyIZ69ZJDaA9eAdsArkE+9FjJvL&#13;&#10;PbPRP9ucDSbRHs355gjkQ8Rq/CV9ei9zpJYwt/K5iruqA1uJ1dRIDYx131Z4qfPfVnMi9o8Tm81c&#13;&#10;1pAt3sOmteBNsArOryBm+cRsKTFbii6djXKuaBvXFuNTrL37WtYuoe6N5rX8NzMlr8tzLS2vj2BH&#13;&#10;XhxfHYnEP1aNOALPjvLMPUYsfyT+vxLX0+APUMZaw1nmG8KwVgnTKgD5YCntJSLJWsT55UJxibVA&#13;&#10;nDXna334qznXi1csG34052DDbM5iZ4qD5jRxgDw6QPwOmK/RHs457auc0Q7iXHSgOAXKWgOxY7Co&#13;&#10;YA0XfitbONZoME5rQ3nkkjOxbChv5bKmUaw3B/0jWf9w8Tv4FfwEb36EN8eok9/Dne/h1ffY9wP8&#13;&#10;OQ7vfwa/YvNv5hStDedYm86GJGu6sK2ZrGs265krUvBvirUMFNBeQ/87rHs99m3ADxuYe4M4Qo4e&#13;&#10;Nt8R3xC7/cTx6zj1QPJBcVLl3KkL4LP0u4S6N5rP8t+ykHyW/65Bafl8L99FPhWHz/daT2lzv4v1&#13;&#10;Ime2/cRt1hDREW7cYo0Hs0Ae7dX0F3KG+p64y/pY3GvpP292Qa6L163WVvRuEu2tD8TN6GxnFYkb&#13;&#10;rbWcub7BeepyzlOXcJ66EMwDs8EE+rMZM5jx/bDnBXEn69HVH7neWD538LXc41TiWtrPiaPx+fSI&#13;&#10;zxuUUKfL0TcaXg62XhIvcpXvlT2KP33RofZubUrQAb0S+lpPc075tFiE/6eBsdSN3uBJ3j8MpDxa&#13;&#10;7+BiemuVoFduCwZzn4S6N5qXl0Z8FLwIXq4uZkdaCXbIPe5qbCjywGdS1iPbsWyS5ysybtUuwib5&#13;&#10;vf2TcXLlhPWkx9+mJdgsv+tLsJ/kLOVpUdF+TlSy+4jL7H6iij1Uy8cKyGVOZJSgswp9yXZ/YdoZ&#13;&#10;nM28xNnMC5zN9Oaspbc4Bg6Tm/utTM4tBokvrBFgAphFe5H4mmfLIZ4z31PnToBzoJy9CvuWcSay&#13;&#10;RCTb87Fzlta2Ksh1+XqZvZh1Lhc+m2eavY4zliLxCzgCDhCzvdabYhd5u4183cbzYpuVxVleP/FP&#13;&#10;7N5n9RDf4U/pU12+SrmKu8qPX4rFKhaPf+E+CXVvNI9TI5ypcxGcqW6z34vDmer2nzWvUwnxTabv&#13;&#10;CnszZyvvcq6xVlxJfBrbeWAWGE97pGhgD+K8o6+4gthXt/W1rQ5yXbwa2c+j92XRxM7kPKWfaGYP&#13;&#10;FM3tIaKFPZwzltc4cxnD2ctEMBXMAnn0rWLMOsa/hz0fizqsRxcvud5YPpdnLTJP5Xfzpa2vp4MJ&#13;&#10;CQ0D+u/kTwcbBnQ5dTp4S+B48LHA3uCLgY3BkYH84PhALugNHqB9M/1NkNdhXB101Qn6aJ90bg7u&#13;&#10;dx4IbnF6B991ckE+2Eh7L/3HkZ9mnJxb5x8pj+WfH/DN5/gmkQ/CP3It6cyCIf/1/yn5/9EnbVin&#13;&#10;rH/y//GxC1/Y+OREMZ/wfev5vykrySfVQ/F5Uj2k50n10F2BlNALgZPB3MAXwWWBN4PvwJN3Ak+A&#13;&#10;9rQb0O8PvhAoE7wLNASJtA84DYIfOu2DS5wngtPgyTTnTfAF7ZP0p4QOONVDiQE5t44nUh7NE+WT&#13;&#10;gyx4O77w4ZNTUT5Jx2eyrlAiz/OnJP/kkkfZvj/zqA5j1Ut9RpffxeQGs325wbKsoZvTmrYB2gAZ&#13;&#10;lyMoHcXcJgP/FWWD4i3d2v+/jrQh1/nThljP1NxgrtMzeLtnQ4F3zeV9rhPtG/Xv5p/Arq1MfJbr&#13;&#10;p8XswhQtX/4vbWnDZNJHssYVYkMyPvqmmC3FuUu31kcF+Ohh/58+6sxY9VJxqkBHQfBh/3seBvi/&#13;&#10;4XoK7AkO8J8JrvAfBB8Hs5GPByv8BR4e9sfyn/TbKoySNWhtMZuZ5rz/4tlcJpSQkOXX1+gyoSx/&#13;&#10;V5R2Auql1pRMR5nQy/6kUA9/hdDf/ZVCj/hDoQf9V4Bm4LrQo/52oSf9HUI9/R1Dz4OX/bpcSkcu&#13;&#10;58pQE3FVc8k4tQy94G8Res7fPPSs/6rQM/5Goaf8dUANEMKGqqHe/ktDL2FHf5AFxtCeRP905HMY&#13;&#10;N4/x87hvHvfPQc8M9E3ztwxN9qeHxmlt64hc54dbmKNdaL6/TWgJupb7m4RWMtdKfxCkhF73J4cW&#13;&#10;+hNDs/xlQuNBlnYuKVdxV3upK4jVA/4/YxVrL3VF6AF8/8D5e1vjMwOonEuCKyshRQWu60rJmZ3B&#13;&#10;hATX0XNmZ9B1pK9i1Yod/An0J2B7MOhsA1vA5mDI0XFjI3Kp83GgXoobATreD4adDcFqTlEw1VkX&#13;&#10;rO6sDdYEl4O6tOs7hcEGyBo574L3wUawOdjQ2YrsE8bsDNYGqVob5Lqi47IJf6TE8cemYIrW9o+D&#13;&#10;AewI4AvH2RH0Y4cPVAAWbRM/GcjLOx8Hk5xN4H2wgXYRskLGFAaTWaNPa3s+ch1/89G1PJjoFAQv&#13;&#10;cdYEz/gLg7/7N4HtYHfwtP+L4Fn/vmCCc4AxB5hPF6sDwTreXG1UoLiqWJm8PxCsh46G4ErQBFzl&#13;&#10;fBNs6uFgsJlzKNjc0x+L54eCLZxPgVxPrFqxK3i1sws9u9C7C/07mWdnsDGxvgo/N8OXV8OBls57&#13;&#10;wXRnPXgLrEbnCmT5jF2KfUtZx1I48TpcXR28jP3BpfCpEvekaNcv4x3Nk4/gye9+ff5+hK8l1L2t&#13;&#10;WZ8BVP7Kmv8+eVuW/N1cyvwV1JGqcfgqQlW1vhWhSx035HeqhCo4lUOmEwiVdyoCA5QLWU4ZZAkh&#13;&#10;siJUGQhQg74rnKRQPcbUd6xQA8Y34L4GzqW0qyBzQ7UcEaoGqmp9K+XKP6o2BliT8m0q/lIvxTlc&#13;&#10;lRAI/e7V71j1oyryaqEz/lqhS5y6rKNBqCKoCmrSbuDUCjV2UkNXO1VD6did7lQAZqgFa2rOmpux&#13;&#10;vqtYZ5pne5oygKuyQX5XkhDqzOcPidP+hJBEOc/PsepkGWwpG/qD58ZZv8n4Ctgo16HLPSlX/onm&#13;&#10;Tzl4I/ljcZV7L7X/w7IL3jN0wdcN4/CnS6ihlj9dkd9P3B8K1XG6EfdHQqmgKkih7aPfRm44XUNJ&#13;&#10;ThdwG+hIuz39NyG/kXE3Mv5G7ruJ+9ujpyP6bkOvnFvnHylX/lH86cWa4uVEL+bT1ZtecLwn/H4C&#13;&#10;DnSHJw/Cjy6gPbiediv6myNvyrim6Goacmib9JdBfsbfnrh1AQ+C7rSfoL8n8l6Mk3Pr1iTl0WuS&#13;&#10;cVI5EauOyvkk1L3RfJGf5SRfnIuoNwsvwLcL4/h2IfVmATVlHvVmNj6ZQX5OBmPBKOpNDrJsOJFN&#13;&#10;vcmm3mTj4xxqSi7+HgsvJpC/k8EMMJv2XGQL4M1C6o2cW+dbKVf+UXyZUcy3qTKvIy+V67gsYQZ+&#13;&#10;lXyJVW/mI88jzsvJ8dWsYw31Zg1zraHerMbO5dSbPHgzH/5MB5PAOOpNLvVmFPXmNepNdpx6k029&#13;&#10;yfRw2p9N/ciOU29ysGUU9SaXejOe8ZOxUa5D5x8pV/6J5k9KhD9VL6LerMPX5SP15kblaK7K1/Lz&#13;&#10;8zr8tw57P/DwnX93SOK0f5+H8s5u5LuJuYxHpxJ0JNO3G67shhuf4fs94HPqxJcR/IurxFcR7OMq&#13;&#10;fRIrr/YRpz2hltra/gnyjxm3iVh+SCw/IJYfMK9O7wfeOsuf52O0v6Wf34V8oYvI16Rw/PqeFNbX&#13;&#10;dwt5xXB9xwnXcVLCtZxK4VRQFaTQ9tFvIzccK5zkJIFLwFnq+2nq+2/U95Pk8kly4ST1/Tfy9DT1&#13;&#10;/SyxuQS9cm4dH6Vc8VHla23WFK++18Y+XX2vHa7h1AzXc0LhNKdK+GrHH07HlnRsS3d+Jk+PEb9v&#13;&#10;4dBhas9hbD9M3f6WWnWMOv4zeX6aPEkK/+73gyrhM/5QuAz6TKd22AH6GiTl0WuScYpX3+V8Eure&#13;&#10;aL6EI/lZ6yL4cg121IrkZ2oJuSVr4TVwQPo2rwS5zKFrwlc414brOtfh3+uJ303hRs4t4FbQmfad&#13;&#10;4QbOXfDpbuR3w6m7w5fTrk1/LeeOcE2nY7i60zZczWkVDjnNw8K5Cn+lhSs7V4YDoCIwnMbhsk6z&#13;&#10;8B/+9PBpfxt80h50BvfQvj98zt8tfInzKDx8LFxBy68uyHVr6QK37wxb2GVgexJrSHTag5tAW9rX&#13;&#10;h8uzTgOYwAYVQEX6fc4NYT9jHe7n82L4UufB8GVOt7CLTSGnO2vszpq744dH4eBD4abOveEWjE13&#13;&#10;OoDrQAvaTem/EnlDxjXEP7pckXFR3FC50uECeNUBv0moe6N5VTvCq/oXwass7EiKw6ss/Clj0bQE&#13;&#10;XslzviHIB+Lv/sSjbzjZycTHGfhW55Nx0vcanePQMRZdo9H5GrpHMoe0Q6dTypWvlJ/l+lT+ppZg&#13;&#10;v8ybLHwsbelUgjyZvhzkueFT/gnUkylweDocngXP5sCtefBqHvyfH64EqoCw1sYM5Lq5MuBKX3Jv&#13;&#10;ILwaTD6+Sl4OB9lgFO1ccnMMOTyWMePIT50/5iGXcz1ewrrkdznz0DUHvTPCjZ3J1NoxcDsLDASv&#13;&#10;0H4+3MTpgfwp8uEp8uMpYvIMsehNTX0JX/THL9J3OhukPDomw4vFJNazfTj3Sah7o7kvOS/3zI0v&#13;&#10;gvtrsSNeTV1LPKQP80rwobR9LTV1HfEoxJdF+Op9aulHYAvYTnsHMdtFLD9F/ikx+5SY7MKfO9D7&#13;&#10;CTV1M/VmAzX1bWrPampqATX1dWpqPpzKp17lU8OWU1NXUVPfooauxycbwXawm/YX8HEffNwP9w/E&#13;&#10;qak749TUndTJHeTbJ8y5HX1b4PhG8D7YQLuI2BciK4T3hYwtRF8hNhbBi3epqRupqTvI6z3U1C+p&#13;&#10;qfvgzAHWdZA1HmTNB/HDAWrmv6id/6SG7oRnm0AhWEN7Jf35yJcybin+0fFKxkVxQ+X6pgvg1Sb8&#13;&#10;JqHujeZVkwivWmh4xddD/3XmuJYaujZyfhSL02udtb61zrYUNWcb9FQBH8HjceDfoBrK1fcF/5tz&#13;&#10;ETn/JZX+/N6rKTrVS+3fZZ1e61xSaaqzLkXa8JV3vaSS7Ivli93Y48OeL7lWLmYXqs5/jxHLF/9X&#13;&#10;trRhMumjD7EhgcmOcq1dzJb/jY8+dRIStkVi1Bl16qV8VIGOT51tvkMejvuSAtt8QXDKOe4LB2r4&#13;&#10;DXDMOYc8yX/IqeH/1MM2Xyz/7cXW+eAAWAZUXJnmvP/o1p53NQ8kJByMw6vmgYO+5gFT+wxrHqjg&#13;&#10;vzrg97cIOP6WgUr+1oHK/jagHehAu2PA5+/EmFsDFkjyanoatqmX8pH8fu1W5nvQQw3/bfjktkBV&#13;&#10;7WdwKb814ALBHEHmCvlvAe0Dqf6bAtX9N6Dj+kBN/7WgFWgCGiCry31XYN/l2H0565P1IFZuXe75&#13;&#10;4OD5WKia0Bb/HYjjv7aBAz6JWHGUZ5ULwXegtHGcgB1l/frznAmBsp4fM5TTuSq/yxyYEDjnGx84&#13;&#10;5RsbOOnLDfzsywkc92WBQaBf4BdfZuB3X0bgDEjwZwQSQbI/k3gPIL6DApf6h+LLLJADRtM3Btl4&#13;&#10;Yj4B38q5dfVWypV/lG9zivk2tQSbJbdz8Kt8fj5egpzbE8YhnxI45JsZOOKbF/jRtyDwGyjjX4Bd&#13;&#10;87B5JpyZAkfGwYlskAUGw5cB8KN/oJq/LzzKgFvS9rQS5pB8zQik+5/ycBDfSBzzbIpVJzOxpV/g&#13;&#10;W9+AwGHfEMZnYaNch84/Uq78o+r7tcwt43Ykwp+fuC4HpakDH+GsrREep6JTvRQ/pK8/CmzVrmsz&#13;&#10;8o8j2MJ1K9gOdOvaHtjr6eykJuSq5kzm/bbAF74tYDPYBDYy/sPAl74PAv8CX4F94GtwABz05rqx&#13;&#10;BF3y+6XtyLfDgQ881PCvJs6reb/Uw0HfauSr0SX5FCt2q7HhjcBu35uBXb63A9t9RaxP+kW3RimP&#13;&#10;FTsZM1nD5W9tSpv7P15A7H7EBt26jiP/CfwMfgG/ghNAt64TcWL3K776BfwEfgDHGP89sTtK7I4S&#13;&#10;u6PE7ij+PkrsjsaJ3QnkJ4jTUQ81/HuJ3V7e7/Rw0LcX+d44sduLDV8Su6+I3dfE7jDrk37RrVHK&#13;&#10;Y8VOxkzGTv4mqLSxq5LCb8/i5F2VlB+1sauE3Ek57vOl/OKrkHLCl5zyu89OOatdVy3kOj7UQkdN&#13;&#10;dKWm/OwLo1swh7RD5yspV75SNfz/0XYe4FEVa9wPJEhn55yZsxQBQ+hDWyBUBWlSFBVQrl7FAsSC&#13;&#10;KCBcqqCChSsgoiIdrwHpWPDaaHZQQBCUiw2s9GIINZTA95tNDubZb3eWJ/m+PM8/mzPvzDtv+b8z&#13;&#10;Z8+wi/HP3x+To9QloUsoJ3PW8FhrQCXkKXJ3oIbcG9Byf6CePBQIyYxAI3kskCpPg3OBJvICKCya&#13;&#10;yGLWfaYkcuN3rLlKyjKitHSFIz0hZVAEZVlRHlQEV3FdRSqRIqWoSp9qUljnSkVu5oq1N6WipxF6&#13;&#10;68srRW1ZBb3VRDnggBJcJ8mK4oJbVpzj3umcmwTOBC6wFyfifzFiESAuJnb2nPy9b/g5KZ8nJ9Wi&#13;&#10;5KQwbeXRa+Dn8xraigF/zzGcN/cs5p75LV7zs+f0zmNHMqr8H3/9N+p7Y4ONp0Zu0CcP+vK3LSZ9&#13;&#10;qRMbB/rA+d7g3lzcw+vd4HZwqzwZ6CHPBrrJ8yBBdJNFrPcG3WSKaBPGnsDN0iDD6k93cnsLHO8p&#13;&#10;9zHf7kCvXP9s/hj/Y+WpEPkxeSrCa37XqAnk6UycNWoC64UtphPwa7L8NTBN/hCYK7cFFsjNgbfB&#13;&#10;WvCV/DawRf4c+Fb+FthOjLbT1+bv58jNXKN9wvDqc6Ycf39K7D4hdh/JPwKr5S+B9+VO5toZWAoW&#13;&#10;YEM6slflgcAc1qs52D1HJopXZQkxj9pfQE0upfbfBu+D1Vx/JAPiE1lafEqfz2XOe5fkKHMbvm5H&#13;&#10;bovDt+jawjryFbX9GTW+ilp/GywAs2WymCrLi8nSERPQY2Jqi4OR+3n3a/stcvV1nPcjb8mvAwb+&#13;&#10;2MjaLg5XFuCMU4DazsKOePtaFvE3sYp1r3UCeSZ7Twb1eoS96DD+HoqzryUp+76WpM4EEtWpQII6&#13;&#10;HriA7nPMYeywxdnI/Vj5cTb+xdvXsqhLGxeykRdSuwNXqL2BEmp/oLQ6FBAqI+CqYwGlToNzAU9d&#13;&#10;AIWFp+z72qE4+9ohuH2EPSsTTh+Hf6fYd86A8+Ai14WUEoWVFInKFUnKvq/R1bqvKfS4qqwoo/g6&#13;&#10;d1UFvdVEFvzOBAfh/G64/wvz/kwt/CyTwJnALnLxJ3W9n30tg7iY2Nlz8vea5+fkTJ6cxNrXzqDX&#13;&#10;wM9nJPfd3PWyXAG4H1IJCSki5714CH77P/4aZd4zhlSKSA7jm0BIGaRcev8baVN5bDH3mRV4ze8a&#13;&#10;3u0ybOqGDW3C+CbQDZvMdaw4Vcy1qXIBbErHpng1lK5yaijNDyKvfhxd/l6C/C3q5111OPAhdbOK&#13;&#10;+l5FvaxSpcSHEPVdVUG8pZLFElVVpIM5YAZ+vULby+oq8aKqJF6gj+FaCPg//hwmVy/Q/4kwvgm8&#13;&#10;QFxeUEes69aL6mDgZep5GnbNpL7nYKPxw8ZnI/dj7fN5LvEJCvsznbkqGK7FWHthOvLXlScWKkcs&#13;&#10;VmXEUlUcJIEEYnI+sJh4LVQnAvNUJnZmYnNm4CWup9D+AvLJ9JtM/8mMm8L4l9AzlbjOQK+Z2+aT&#13;&#10;kfs+RXK6ai5/aheAPzuIz67cvS7kJ47XvLnboXhWEMaWwA5lsOv/ivN69PjPQGPpWa/2MNYgRawP&#13;&#10;4+9ngZG+6Vzf6hbAt2Je/Noo5tnvjcsgl96eQFlvf+BK71CgkpcJcu4pakWJVyJtlbwUUTqMnH20&#13;&#10;a5R+pWgrjZ7S3ulAKe9koIR3LFDUOxpIBNnqaOAse+tp9q9T6izIBoWs9XWKeO4NY0/gJDE+qezP&#13;&#10;z05TX2eor3NqX+Ai9ZWInyYWNi4auc9Fv74K54lxtSh+kr6Ewowz8MdG5roencz9deMC5Lp9HjuS&#13;&#10;o9hh7ivbY4PtXqkj8uu93YEbvb2Bbt6+QA/vQOBW73A4JqEoOs26dqv3TSAtjBRxKzm/1bM/Z+/h&#13;&#10;VRI3e8niRq+KuN6rKjp61UQ70BKk0hbyrhR1PE/U8sqAIuBsoA7caIAdqdh1NTYaP2x5MnI/1n6e&#13;&#10;OhKfeOtgR8++Dt6A/CZs6+454hbsu9UrDpJANrE6HbjJOxHoiq1dqJGOoB1o7R0PXOOdCrTEjxbe&#13;&#10;BZAkWjCuJeOvQU9r9LVDr5nb5pOR+z5F8icV3pi9/Wpe8/s++gniU0bY94knsNnwZ3kULhjuP4E/&#13;&#10;T3pSjPV4lo+9472yYhJ4AbwEptL2Cv5OQz7Nc4EAAdrLiJe90uJ5r6R4mtiM8YqKEeR+qFdYDPYS&#13;&#10;xKPe+cCjxPdRYjvEOxIYDi9HsyaNI88TwEtgBrydC2fTvYOB11lDFtDfFs9XkNt8eYU1aSr5fJk5&#13;&#10;X0TfZC+DuTIC48HTXD9FbsciG0t+x9JvLDke62XRnoX8DH3PMT47MIuc/8crJOaR9wX4tQgfF+Hz&#13;&#10;IuLwuldBvOZVFrOpm6nwfyIYC0ZxPYz2R5EPpN9A4mPzxeTF54bP94l51oNY69JE4mbgj43k1TW5&#13;&#10;61K7AvBqr5OQ0DOXV82j8Iaz0YS9Tk9xGhxwZgrXnSkC7mLOLRdzftnzkl+RtplzS/P5pT/AGlAd&#13;&#10;PaVy9F/2uWUll/MqYb/HruROF/WBxqbywFzHipc5Q10F9hTApknYNCTXptQcf8K//fsRc0Y+yR3C&#13;&#10;uVhPMR+8iE3jwNPua9Z7uCfd+ZyzLRSj3EViuLtEDHGXioHgAdCHtrvddHGnO0fc4U4VvdyJXI+l&#13;&#10;fYR40B0sBrgPi6FuP8b340yrH3M9JMbT9pz7iJjoDhLGHhs/jdyPmc/Pf+PnhFw/k8Me5vzy/SSE&#13;&#10;Cf92J1h9es59Chse58xwFDaNwLbhnLUNFyPBMHckPo4Rg9wnsf8Z8Qi6+rtTwFT+nk7bbPEo/g4D&#13;&#10;j4HHuR5L+zPIx9PPzG3zych9nyK5eQDjDTczC8CDrZcRn61x4vMt8dnmPiG2uo+JLcRnkztMrAef&#13;&#10;grVcr6L9A+Tv0u+/6HoHv9/B/3fdGZxpzRYr3bniI/AZWM/1Rto3I/+GfmZuW3yM3I+Pn/PV+LRU&#13;&#10;2PeY1fDRrMujc+gQ/u1zohxXbyNfAl8XwNd57iyR7r5MHUwQr8PXJeT8Lbj2Ptz8CJ5uAN+Bn7j+&#13;&#10;hfY/kP9Jv9/p/yvjfmb8dvRsQd869Jq5bT4Zue9TZM5Nrt8HWQXIeQ2ePTwhcuJTN4r/SbTVkE+I&#13;&#10;ynIx5wuLhSefCseqa5S+pWgLyic5exhDv8eEkiOEK4czbrgoBpLkSFFIPi4uUh8XyH+2Oz7seyiK&#13;&#10;riK0nWKN2QuOu/1FouzP2H9Z506Sj4or5ADmekSUor+Q/bCjH2cg/Tj/6M+5xwBRUw4WtbDF+GSL&#13;&#10;u5HHiruJt4n7xQLE/S7iHm8tukva16K7ycXd2NmLWN9BrG+Tw0QPcBO4nutOtLdH3pZ+bdDVWk4R&#13;&#10;18qpXM8Q7eRs0VHOpd9ccTO4het/0P5P5L3oZ+a2xcfI/fj4tdYZn+LVWmdpr7VWyJvKRZwvpXO+&#13;&#10;NEvUky+LBszVUI7ljGykuEYOwfaHxQ3ktCe4FzzAdX/aByIfRL8B9H+YcQ8yvjd67kRfD/SauW0+&#13;&#10;GbnvU2StmVybnF9ROP97/0Li01/k1JrR7//4a00xGhbC0w/AVGrtKTCKvyeBF8iNkcWyryh2GfvK&#13;&#10;FMC+ny+Dkz8TW7NWxrpP+ElOFD+C7+UksQP8Tz4vvgO2uH8jJ4d1pvkB4dWPCct3wtfIN8gXOHuY&#13;&#10;ItbJFznLmMoZxHQwE8zmei7tr4r1YAP4GnxD23fIdtDnBzlN/MRYmw3GLz+2Pp+/Ix5PCfve8V3u&#13;&#10;ehjL9h1yHPOPIyZjxU7Wxl3U4y+sj7/IUWAkbSN4jjycPsOI1TCxDWzh+mtkm+izUY7GJ/tatRK5&#13;&#10;yUmsNXk1utbKoZwDPUqMHkZ/P+brJ34Fe+DUAdbLv+QgkUGfv5jPFqf9xNPM1Qb4P36uitOwj5rb&#13;&#10;R+z3ytfAPDCf69fBArE/jIVh/dX8wbz646Fuwn44/z0wc4yO0qccbTuo5x1yIVgA5oN5jEkX2/l7&#13;&#10;G21bkG+US/B1KT4vFWvAh+h8D9k79F0BP96hnt6FEx/C1Y/keHj0rPhSPi02k0+b/ybfPk8i14jS&#13;&#10;OGBqUPGa3/cHjVX8/bixekJotVhUACnKvh+nqCdFVTWGfo+JKmqEqKyGM2445zLDhVAjRWn1uChF&#13;&#10;n5LoKaHs+3Ei8x0njgmqvwiA0sq+Hwv1qJBqAHM9IsrTv5Lqhx39RC1Qj+uGyFLVYNEEW4xPtrgb&#13;&#10;eay4m3ibuF9ZgLjfTtzTRE6th6LwztyP3K7SRGdwg+op7gTm2rfJXzM6osdf42Pp6Yjvt4HriWcL&#13;&#10;YK59PZGcMj6Z+3rz75/zy6nZ2BTvXmO2sq/rs9REMRPMUJPEdPCKep5zCPu6PkXZ1/XnkU9QL4jn&#13;&#10;1BTxrHpRPKOmAt4PqZlczxbj1Vxkr4qJ4HkwBbxM2zRkM+kzW00D9nXd+OXH1s/Ri8Qj3rr+Ym5d&#13;&#10;pUXhgkvbVDUOO8YRi7FiFvUzG37Ops5mq1FcjyROI5AP58xhGGc1w7B/GL4Ox5+R+DUKjMZHO+eH&#13;&#10;I7et68PRNVINFY9RZ0+qh9HZj7n6MXc/8Sqcmk/dLVaDxDL6LGM+W30tI562dX2ZmoWOueA1MA/M&#13;&#10;F8vV62CBeAO8qezr+pvwfC6wretz1CLOuRaCBWA+sZwH0sn1fOK8gFguggNLxCS1VPwbjAOPo3MU&#13;&#10;suH0HQo/hqoZYIoYAVcfZz0bq56FT08zxr6um3xH8uQleNJP5KwJ1aLwgJJMeIlYG/hjI+s3hU5m&#13;&#10;bapVgPr9OY8dyVHsQH3Cz9hgYpsaRW6e3/yOfC+cOMiam8GamwkXM3P5VyvKmETaMontb2HY95jf&#13;&#10;4P9vcP9X9phd8P4ndO8AW8FmOLqJPWYjfTYQ4w1x9pgNzLcyjP70NcjZY2L5tQnub8anLXD9W/rv&#13;&#10;wE8TCxvXjdzPl78m/C9PjKtFiYfJ9f8YZ+CPjcy1ORM0uW5QgFwHeYbqcy45ih0m10HPnusKyCt5&#13;&#10;D4lk72FR1XtEVPcGiZpezvOyUBSdZm+r6fUUzcJYzPmHQc6zvbQo/V3aqnvz0b2QORYx1xJR3lsq&#13;&#10;PFAGFKMt0UsXF9QccY41/Ry1eI518gLcSPQGi6LYVQYbjR+2PBm5H2s/T+WJzxxhvycv782xrjOV&#13;&#10;kVfxZotq3nRRw5tKbKaACeApYvW4SPFGiau8EfjFvRLwgOONFAFvDGeMT4pS3jNgApjC9VTapwsX&#13;&#10;fR56zdw2n4zc9ymSPyF4Y/b6pgXgz26Hz2PkxidEnvwf/x7b5Hq3c1BsD+NnsdsxOHjJJj/O29GT&#13;&#10;Kez3Q9udTMYa1He2h5F5SU+kb+bZ+WfAfGZqI6iOHaVyjLvsZ+cJEI9v80mwxTfBvdL6ucQEt7JT&#13;&#10;yE12CrtVnCS3qlPMreaUBgJIoGgLuilOWfqUpW9ZtxLXVzqeWwF5eaeMW45xQSfbUU6W4zqnnIBz&#13;&#10;3CntZDrFQRK4IE44Z0WWc1KcJzaJboYoCVxQ3s3kWf4JkeKeFtXd83x2J8n6Wb4gcrOmL8+JU/i3&#13;&#10;n0ezRnluYexKwOaL6M/mDOM8c50XRUERkERbYfeCKESfQm4hkIjfSdhfxCniXuGUdIsylv902i3p&#13;&#10;XOWWdqryz4druNKp6ZYFFUGKU92t6VRx6zgV3frMFXJKgcLgHPk+5WjnmFPDyXCqgCutvpi8+Lz3&#13;&#10;OVaKfB4V9v21lHtUGPhjI3n1C1z6AuwG+eXVGOzgG6OsvBpDbGz3LmOI4WjiOYoYjyDeQ4n7IPAQ&#13;&#10;uJ/YpxHvvsS6D3Hu4zqgHG2VnAfh2UPE+RF4Nwj8C4yAm6OQ8fkdZ4zrAWGNrZH78fFj+688sU0O&#13;&#10;Myfnl88fwpXwL+JqfIq1xj+GfJx7jLOOLM5csvl8VBFnshsAFZxJ2Dze5fPYbj3sDGF3yBkI+rsN&#13;&#10;8Kmucz+cSXNr43PNsO2hnOnDv30bzFrU1+3o3BJGJmc/Bmet9zFp2HK/e5IzohOcq2RynnRUGD9s&#13;&#10;a4KR+/GJ5I85NzH8yQCbQX7WJXPG4PM4OYqfqE1YjQ0m1l2jyEvR9jHyz8F64r3BPc65yUnOPbI4&#13;&#10;9zjLucd5cJFzlULONnKwzS0RjmmtKLrMfds2avXTMIqHORtrzk/h5Cfw9WP0roWnq8nxB+Ad8BbX&#13;&#10;b9C+jPViqVsM5HwvRSjKnCaPS5lvVhg7xVLX4Iw1j8vdU8xxnLmOiffw+0NgYmTLo5HHyqP5HmSz&#13;&#10;v5wC+V0HCvO8z3Hs60Bh6YRjmholDuY+uxDyBOk6F13XucBaeh6cBTa/TrsqrDNWHR5Hnsk6kMG+&#13;&#10;c4R14zD1d5j14TBrxxHq8C/WjKPsXZludecEOA3Ocp2NLEGy18mKoKzVBuOXH1t/DcmC18XjxCOL&#13;&#10;Nc22hpxDng1/LoBCsih2FAHsQ5L9SF7kLOgC50DZfEYkW5wGJ0AmyIDvf8G/v+DnEThvi98vyG21&#13;&#10;9Qvr8W/uOc7isjhPOobeoyILXARFZCafWTkhAvIUZ1XnQKJ1LldeFZ6rTZT8F6fNlVUcV1YFNUAt&#13;&#10;UNuRUoM6jgKetH/HkifrO0nA+DM6yhzlaEuU9ZxE9CSirzC6CzNHYVmTXGtiXdc5x5p8mnX4OOtx&#13;&#10;BjgA9nD9O7JfWLN3wo2d3NvsZJ//lb1ot1vG2e+Wgk8lnWO5a0tylLkprQST70ienMmz/pn7Ev/H&#13;&#10;X+cL03CGWBv4Y6+hrRjwP5dzGuVmHc4G+a3fltRvFcdevy3Jjy22rZG3pWY6yEpOR1nB6SyDIABK&#13;&#10;cF2Edr4vD962lhdES5AKGsoEp768wqkni4FSQAAFytJe3mkIZ5qg18xt47GR+/Hxa7ApPsXbW5rK&#13;&#10;nL0l1prUAvk1oDVcbyePi+vgemd5NrzW1vKTxaufL7OHdKbvbWHUsdbWbbKx8w/ZwrlFtnJulh2I&#13;&#10;USenBWgI6siOTg3Z3qki2ziV5dWgidX/BshNbmLtVw1kMyckm6O7hdMYfU1BS9AGdKDtOsZ3wp5O&#13;&#10;sgGobZ2rk6wenivWmtuR2u1APbWjxq6l3q5GZ1NQH9Si9qpS35XJV0XyW5F8V2RtqwwvqsoznDEf&#13;&#10;5+zyKOeY9v3MyCPzfXWefMeqpasZZ+CPjaylC7m1lETh5feeZhx2VI1TS+NY52y19CzyCcRokqzs&#13;&#10;vCCvdKZQS1OI1RRq6QVqaRK1NIH6eVZmi3FgDBjJ9XDa/4V8CP2G0H8I4/7F+OHoGYm+Meg1c9tq&#13;&#10;ycj9+Pi1lI5P8e7z05nP5lM6+X4VG2ay3k6FF5NkCFtC2Mb9L9cP0X4f8j7064OuPvDiPnjxELwY&#13;&#10;KI/hWwa+ZnCmm8EZ7zExk/ZXkafTz8xt88nII30yefLXh1h8GQdXDPyxkXwxn7Eza28pXvO79m7D&#13;&#10;Dv97EpOpYf/HX1NQn7ANH22x3UbOt7L/fsO9wWZ4sBE+rAefgrWssauRr2KNXcUau4r7lVXSA+Vp&#13;&#10;v9JZS8w/JefrwUawWaY4W1jHt8KZbci3yXLW2P6O3Gbb7+wHv6JzJ3X/PXneSr7XgzXgPfbrt1kv&#13;&#10;liFfwp6xBNuWsB8sx4cVMovP4x3Hfu7twRawnXX1R3mS898s8Tt9ficutrybuPm587m8/jLybuYz&#13;&#10;8MdG5t3k2+TdfHYov3nPwI6WuetELP5lyJZOJjDxjbW2H0d+ApwCp0EW6/kZcJb1/hzr/nnW9mzW&#13;&#10;9mzZMAwTr1SfZLz6PDP34HuJbxYooio7rsrk/DOTz3TlfGdkrPlLqBZOUdXGSVLtncKqI3N0wpZO&#13;&#10;zklwAhwHx0AmyAC2fBl//Zj7+Sqi4tdpEcX9KPDHRuZL5ubLfK4qv+t6DezIFjn3SB2ixM9830QN&#13;&#10;lS1qqGOiQRi/i2uVwTHRJYxs/jaoZM3ntSrZuValOHwuC1R12oHrQMdcdOK1cy668GriWS2KPbia&#13;&#10;0EU1cNoCw5/UKH1MzlsgT1X1nYaqjhNStZ0Gqiaw620Q9jM7ZrxNnM17ykq85rc+BhDvePvoAOy0&#13;&#10;rT1DkA9XVZyR8Hm0utIZo4JAgBJcF6G9MPILYgj+DAAPgfu5TqO9N/J76Xcv/e9lXG/Gp6HnfvQ9&#13;&#10;hF4zt43LRu7z0ecyn62Ku49OZj6bT5NVeWciNjxLnsZSmyNVCFtC2BZyenF9G+09kN9Mv5vRdbMq&#13;&#10;yvVFzs3PiF7wME1l4GsG558ZnPHxjIr2icgn08/MbfPJyCN9MnmKt48OoDYN/LGR9Wk+U2jW02oF&#13;&#10;4MtC7Ij3jHshOTSxXR6lFqrRtpD8LqL+FhO/peTvTVXN+S94H6wEq2hbQ12upc9a+q6lltegc7Wq&#13;&#10;gLy8864qx7igM18p51XlOnNUwJmpSjvTVXGQBC5wxn2WM+aTYh5r6xJysAJ8CD7m+nN1QnylTnPu&#13;&#10;d158TX9bLtYgt/myGg6vVgnYfBH92eI9dK4Ab4BlYAlti7FnEX0WqUIgEb95ZgXvl6krnBXwYRV2&#13;&#10;f6pKOuvwYQO5/1pJZ7MqC/i/P4jDJrj2JevGZ6wfq+HfO2AxSOd6jtLODFXDeYVYvkKMbL6YvPjc&#13;&#10;8Gvlncvg1TtwysAfG8kr871uhld1CsCrTOzw1/3kKLxBPee92dZndn8hP0SsDxDrfcR5D/Hdw9pi&#13;&#10;i8kF5Ca/qVHmNOv2BfJ0nhyfRWcWuk8yh7HDptPI/Vj5cTb++fWbHGWuHP/sz2BPkYNz4CLrSaJ3&#13;&#10;gnPK06K4d45zvouc8yU6ZbxigO+O9gJAWf3eQ+0Yv7tGsaUUbXuotX3qKucgvDpCPWaAY+AUyIKT&#13;&#10;Z2k/R32epz6z4aktHmW8iuG50qLM5dJW2kt2SnrVnGJeTSfRq4feEHOFmDvk/AnHd7Fffs+6sJ15&#13;&#10;tlMf28nr9+Rip8oSfxCLA8QkE9hsMPLInBzLk5NqUWyDzgnHGGfgj43kvvksquF+owJwP+TF50bI&#13;&#10;sz9DSUXeDLT0jolWcONa75Ro650JxyQUxTfzTLytt5PP7RnUd9qGYf/e2Wu92s41Xl2nJX2beQ2c&#13;&#10;xl7IaQBqgRTyVsmr5ZTzUhzPqwAcUJTri5xTn+E8+zhn9kf5LKM9T0bux9qvncbEJ949SmPPfo/S&#13;&#10;HPnVXhWntVfZaYN9bb0gcADfM+0lISvktMDWpt4F0Rg0AHW4ru0lOjW9K5wa1FUNj/NHxtVkfG30&#13;&#10;1EFfA/SauW3cM3Lfp0j+GN6Ye7gWUfhTixyZWjRrQ01QLvdvXsz7CfNy6TzI9OGtTrg/qqJ+z2mr&#13;&#10;Mjn31anI/Z+870vWOq3KjHGzy5jvO+WpN6+twohlu/ke39HgCHgdVEepsZefS2fm/79tacNkJi7m&#13;&#10;37U8As6D/+axJe/3jEazxZytZtXOiUusNWCMm1X7vnJZtf3c+XOas91uSQkJs1A8gFfffzOnLXeY&#13;&#10;G/7x+6PGmrsZOOjbGCt3M7CvZ7ny2tjZs9yO2ubaIFbunsPmXtg8hde+eWzHFGvu/l/a0obJTO5G&#13;&#10;YcON2PAfXgfnsSVv7uLFyIP83XROHuui0//x+Y3aBE920xpcJUPa/O3Hxl9nguiolKujja+AV19H&#13;&#10;cf4Oykq6NugoB+lUUF/erQUowd9Z7iBt5JF6r8qjt1oUvbidcBXjDPyxPtf884ezBMDkqTCdH84T&#13;&#10;I4Zeyle8GHXPY0fzKHYQ74Tu2NAnjN56ojQYpLuHEdu2RGwythUvgG1Tsa1TbuyTo9hmfJsqO+nb&#13;&#10;ee0aRV4qLG+uZ8h6+j+yul4or9JvySv1SvAl2CaT9Q+ytv5Z1te7ZGPQXNvW7K+Rm7lGR5nLcHaT&#13;&#10;TNUbZUP9lWyg18m6+hOp9SrwLniL62WykV4km+kFsjXoBLpxfRvtvZD3pl9f+vdlXF/G90bPXXqD&#13;&#10;vFNvkrfrr+UtVtt2IbfFYSdz/CDT9LeyH7oG6i/kYOYarN8EC+QA/aq8X0+X9+ip8lbQyTqXkfuc&#13;&#10;9OtkJbmqkJurWHxeKSsQ+wqXxkbyuUQuZ8yzvfzyuYLiPUeuHaEoeSpCWwVVRxcPo6KuoAzqXLLJ&#13;&#10;96c4ehrF0VNcNWKswSD0GTS6pCfSN/Od26YezHcd5de3ptjUK049NFW9wjxYHsX3arQ1VffoZqq3&#13;&#10;bq766JYqTbdS9+n2oCPoDK6nravqq2+kz43qXnA31730DaCLulN3UP9k3G26seqp66tbdF3VTddW&#13;&#10;N+ma6npwHWjD9dXImulGqrFuoRrqtqAzuIn43KKa6NtVc32naqV70d9Wb12RG07H8uUG1R672mJz&#13;&#10;G/S31tehsy1oBa4GLWhrjqwZfZqpdqAD19dhf0fknejbhbE36O6qq+6JD/9U3bGpp75L3Q7uAn2x&#13;&#10;80F9m3pY9yC/N6jBuh1oDhpyXVf117XUA7o6saxOfGy+mLxE1kw78tkwTs20I24G/thIXpnnfffB&#13;&#10;K/NZi/zyatpl8Goa9ttyMQ1eTYczM4jFLDg0Fy7NBwvBYrCUtuXE8w36vAGv3oBXy9G5DCyBV6/D&#13;&#10;q1nw6mXiPxleTYJXz5GT8fBqPDkbTx6fg1eT4dVL8GomMUkHi8Gb8Oq/8OpDeLWavK+Jw6vlcXi1&#13;&#10;DF4tgzNLmXMxHFqAznQwF8wGM2mbgWw6fabDq+nwagY6Z8Gr2fAqHV4thVcr4NV7+LASXq3Br7Xw&#13;&#10;ai28WkscVsOrD+DVO/BoGXyaB2aAF7meBK/+Da+eIZbPEB8br0xefG74a9e8y+DVPOJm4I+N5JX5&#13;&#10;zijDq9oF4NWP2OGvodWirEeoTviR3P1I3m1714/w4yfi9hMc20lMfoVLf4L94DDXfyHLoM9R4ntU&#13;&#10;3RqOVyjKfGbtP8p8CZ7BIPoaPBCeOy1Kfzfc/wH6PIj+fmH8pR7SR8jPIfUI8w/Ue9GxG/yuHtW/&#13;&#10;gP+Bb9QAvQm9G8nzBni+Af9MDmPFYEM4Bn/vHX4edxO/eOvDbnJoECuP5vuxTB7Nv9PO7/pQw0tI&#13;&#10;qBhn36nhVQzHMTVKHM0zs5rIa4HaQIM6oC6wcbuuV9vKizrINagFaoBqoKqndYpXB9QD9UED0BA0&#13;&#10;Ds/VIYp9JWirh7ye15p+BoO0G0ZrXZzr4sjcMBpYfXS9Wlp61bTnVdHlvMq6Ev6ZuNh8NPJYuWtI&#13;&#10;zsw9Q5MC5O6uPLkLRfHd1MRd2PBwGHX0XcTOXPs2+Vw0ehrnciC2nsb6EeL0CLG7K4zG/5eeG/PY&#13;&#10;kxzFHnNPfyPzm/UgFpduQn4z6Aa6gx7gFmCL8y1ww7bG9EDePRfdeL0Z3AS6guvh1PXEpQuc6gKf&#13;&#10;urB+mLk6R7G/JG1diMEtYbSmr8Eg3SKM1jrEdQhZizDsfGoBn/i+L93KS9ZtvEr6Onw0sbH5aeR+&#13;&#10;7iLXdMMjwyfz/Vf5XQvSyV/nOGtButc5HOvRUeJTjrbXvI76Na+DftVrp+d6bfQsYjINvAie99rq&#13;&#10;icgneF30c96NoAf4B9d30H4X8j56ipdG/zQ9E8zx+qKnt/6Pdw8679Lp3j+t8VmB3PAglm0rvLv1&#13;&#10;W+hc7j2gF3kD0DtYvwImgqe9gfpJr59+DPlI707QA3Tm+lraW+pnvFTsa4htDfGroX6dHC/2muo3&#13;&#10;vBb6bfxcQV9b7kzc/Nz5dTeNeMfbA8x8Bv7YyLy3It9mD2hfgLxvxo5476s2UyNrwqioN8NDc+3b&#13;&#10;5PuzBj3+PUEoCj+K0LaG+tocxiD0Gfy9N0b61iGX09cVwLcT2NQ6DqdPwE3Dm1hrUibyv+DBYfh7&#13;&#10;EG7v9zqBG6z5LhS8waozIdhJX/Ta62x0nkN3FnMYO2wcMvLImBv/fA4lR4m5WXNPwB/jX9co8lK0&#13;&#10;nUF+gTwUDqbqK4JNdPFgc10q2EoHgm20CHbQTrAL6Aq6gZ5WG/d5Pa1z7ae2Dnr36iPUegY1fsy7&#13;&#10;T58EWeAc19m0X6DmL1LzCcG7rXM5yI1faVH8cmkTwd66TPA+XTLYD78Goncwcw1m7sF6L/X+m/eQ&#13;&#10;/ol5v2dt+Z56/568/kQufqWm91Dvh4mLiZ09J3/Xpl8HJ/PkpFoU26Bzwkn0Gvj5jOR+JzqZur6x&#13;&#10;ANxvHYzPjdbBHG7E4n4H5NcHG+mbgk11j2ALfWvwWtAxHJNaUXxLpO3W4CDdPozrrVxoTw20D16n&#13;&#10;2wXb6zZwrVWwtW4BUkGI6/rI6tGnLrVUN8h7eHSHosxp1pW6zFcxjEb0Nbg6PHcsv+rD8RA+NYLv&#13;&#10;TejfAj9NLGy5NnI/X36um+eJcaxcN2ecgT82Mtc35eb61gLkuhd2+OtchygxMvfBvYhrr2BjfV8Y&#13;&#10;KXpo0KCxfjyM1vxtcI81Z0OpqaHBvmEMC6bpEeAxMDoXY3g1eDwXJp6x4vI4+RoObGvvwOCj+iFq&#13;&#10;94Hgw/r+YH9sfxCkhfMUS+99YT//Xisj423inJbE92cUIN7zLiPe87BjHrFdFkaKXk28V/P3ujBa&#13;&#10;87eBPd6rifdq4r0mjDT9Eb5/lovPeTX4IhfreLXFex2xXhsn3u8T77eJ95vEeznxXka8l8XRuyzs&#13;&#10;Z+x498qN9z0FiPch4p0WZx8/hJ2GS6Oj8L8cbRnIjxPHk8Q8K9hLnwneBrqDG7juSHt75G10Bv4c&#13;&#10;AnvBH1z/Rvsu5Dvpt5P+Oxm3i/G/oecP9O1Fr5nbtnYYuV///tpRoiznL3F8KlG2u9WnEmXv0EXL&#13;&#10;9tGFyz6os4MD8GEwtgzGtsH6B66/I39bgn30puAdoDvozHVb2lsiT6VfiP4hxoUYn4qeluhrq0uU&#13;&#10;7Qy6W30y8kifTJ78+5FY9XmItdDAHxtZn/fCE7P3PVAAvgzjzGJ+bmy7ReFDadqGyfn62TC26lly&#13;&#10;JeclKzlP2srrKT0bTJI7kf8JTulhYcyPabP5vrNHsdl859IoXqujv1TOvJd9XvclNq/ItTmUMzb8&#13;&#10;2z+PNPvcl3KFfj+M+ZxzGay4ZJPPq/fRszKOnvfx9cswTqHPYOUlPZH5MN/hZnwTBfBtHzadimPT&#13;&#10;Puz4Poz5eh++metYHDH/p4qxyfwb5PzGu6iKb1NRdUqfxo7T2FNUGcS2ycu1yZwH5demLtjk87Z5&#13;&#10;FA6YM9su2HEH6Kr26aFgMDY1A6Y9VrzM9zaZeKUUwLYnsW1PnBw+qfbwnHuPfh57RgNzHcsmY8sI&#13;&#10;bKpeAJsysOmTXJtSo8TrCtoy1Cf6JLG5wpuvT2DTbrBXHbGuq3+qTP2bOqF3qZM8wz6td6gsvQ1s&#13;&#10;BOto+1Rl8Kz/APhDf6x+5HoL7et5NvwJ/VbpH9QHjP+AuT7Q+9SH+iBth9Vqnmev5VnzJ9Z11cj9&#13;&#10;mPk1fQg/f8j1MzmKn+Z93iH1g9Wnw2obz7Y38Wz7K/xfj23reLa9jufu67D3S55vb9Tf4sdW9S3P&#13;&#10;uX/QW9Qu8AfXe/DpgN6uDhKLg8TkIOMOMH4Pvv2hD9DPzG3d/5D7PkWuL+YcwnDTPBPNb92YfzP2&#13;&#10;fZz4NPa+t8Yn1dumU72vdSNvg27oreeZ8Rc80/6CZ89f6GSuK9FeAXlZ+gXR5Xm7wB9c79XlvQO6&#13;&#10;oneIfod0dVCb67q0h5A3op+Z2xYfI/fj4+e8Mj5lxfGpspdl9Uki5/+W0MW8v3SSt18ner/pIsxV&#13;&#10;1NuiS3pf8uz7E2xfpat4H2DvB7opaMV1W9qvQ96Rfh3o345xrRnfDD0N0VcLvWZum09G7vsUmXNz&#13;&#10;ZjGEnDcrQM6fIz6bc+NTN0pNoD7hOW8zz+9O6UFgBHkz94ddo/QtRdtI+o70NtFvgx5OvoeS90Gg&#13;&#10;P3iAWKQh60M8eqPnXu9/Yd9DUXSZffqfzNcF/MNbqe8Dad5n1rnv9z7W/bw1zLVaD/Q+1EPIwwjw&#13;&#10;OHiK8eORTaDPRG8dz0w3W+Nu5LHi3jw37tcWIO6fXEatfQJnbPfinxLDT6mlj4n1WmK9ihi/B1aA&#13;&#10;N7heQvtC5K/Tbz660qmhdGppPjW1gNpaTI29Ad4B73O9kvY1yD+in5nbxksj9+Pj19rSy6i1pfDZ&#13;&#10;5tNryGdSG69QIy9SK1OomZeYayqcmQF//kNNLaC23iSnH4LPwUaut9C+Dfm39NtK/28Yt5HxX6Bn&#13;&#10;LfreQ6+Z2+aTkfs+RdaaybWptY4FyHkx7uv9e0qj3//x702L0VAsuFKXB6fg/V6wC97+BY6RGyOL&#13;&#10;ZZ951mXsM8+68rv+m2dd8fbH1sGc/THVN55X335zn3BN8Ed9NWgZ/InnQT/xzOYn3TT4szXujZAb&#13;&#10;TqRF0enS1iC4k2dRu7QO/qJrBX/VNYK/6+rB3WAfOMD1QV0zyH4RPKzrgAagEddNkLWgz9XBP/U1&#13;&#10;jLXl3vjlx9bncxPisS3O3tEkmLMexrK9RXAr829l/m/0tcEtPKPbrNsGN4GvwHra1vHM7gv6fEGs&#13;&#10;vuC53Re6IW0Ngl/y7O4r/N4IvrbaXhG5iV+sNbkyupKDn+uqwY+J0Sr0f8B8/4e18wCvqkj/f1Tu&#13;&#10;KYoICgEhQIRAZgJIgAChJxhKIAEJiiDIrivsrj91dS2wICqiqDRBRYoKEkCkBhARJPSuFIEQQV2l&#13;&#10;2DsW7OX/eQ93IP+YO9fnsud5vs4988688/Y5d04uruLMcFVKl/jVKTnxhSm94tdzNrmF9lXrWt3j&#13;&#10;PwjWyijDVz593eI/4qzz05Ts+M/Bl+Ar8DV9gm9SugPxQ1IZ8wnduO7x3+Gz76w1olX8ScZ8A74G&#13;&#10;X4ET4MuUlnxOoz8VeqP474mVH1KSQG1QHZ5VoVVmbGXkq4Ie8cREDWL1svhi4qiI+DrA3P1W/cXf&#13;&#10;Jk5K1wjJPcnB3meRg1OIuWj78RRiaAL63ANGh+Mvku9HM3Y08TY6/pWUB4m3+4mve8BQcAdxcRu0&#13;&#10;W4nLW+BzC3YQ36SW4RvZj//Oen3ADdSh28Ft8fb9+A7i7a74tZxvFnK+uTplJPE2GowDk5j/BLSp&#13;&#10;jJlKvItOtvwUeiS7y1mk2L3/Wdi9ELtHOzcojF/OOd5yzvXmcIY4hzPFP54bLICPqfGR7LgA3V8G&#13;&#10;i7HlM0DuI+kmOslzvZz7la7rCp+UB/K9JRlUC3+miem3Duk62m8d0rX8Xf+6SqtSfqsobXqASLLL&#13;&#10;bx26I7v81kH8Uw+5RF6u0+c5qFXm7y7+V7JkwF/sIr91aIsM8luHUSVk4Swgqizb69h/67Cu0vY6&#13;&#10;6yr9rEw9MGvK74snnce/f057Vak1bb5D3OAy9mK69bcO6yrx9zlRfddIP1PpEyVyHgnaRviuUcTf&#13;&#10;OrzOolcg89u03UrIjihR7fW/kiWDxcR3O5AhDRk+o+1XQpY/47tVUb7bSCyvqzS0wWZfoBJK+/Ak&#13;&#10;6x8lSMWHUyKsDcnqn80+7yp5qJD6lgbMVfK5abN/ssZ7fnqCyJAftCdrSF+k3DqHRT9BLo/2K1oT&#13;&#10;K/C2+ud/KUsGi4l/vgZvIUNVMQTxbmQR/9jiHP2ZcGZ8NDvWCfH/oaTQiR1TZWL4MnaEHFcn9G5y&#13;&#10;vi/wG9QJCd5NjmTDMYxX+FRsOaKEb+m2yh1e9rSe0eQuQLBGGELkbmgm0xq5WTquINRIbQEvhy5U&#13;&#10;8tnIbJ5Fl8Ljp7DuGWXw8OlbGvopeTM4GspVe8DOUFu1AMzh82NA6KX5vlyCb1IZfHFr3MvME5i5&#13;&#10;JkfM72wmMyYFJWbQNqOtR1secJ2OxWg2+qSEHOmn5gb/NTYiluI+QYZfArRX9RxBrvoEvaQ/kmwz&#13;&#10;mSeyzaWNVbZGDs+rYf8lwsdcRjbRrZGTpPrS5hgiraGLLRo58aqJc75q5ZynOji/JHd1fkjOA38F&#13;&#10;/+f8mvxvx1F3OheoIU5FNZSxEiuJwFyGl6w1GLqsNcIQaQ29Gp8HORerG5yL1PXOhWqg46t+jqt6&#13;&#10;g1zQFRmyoGU6lZGjBkgCl3PfnP5W0NszLoPxGczLYH57+LSGX7oaxJjBThOrbEOg2+xwF7z+7WSq&#13;&#10;m5wu8MpR1zk9Waun6gLaO91VSydLpTptVSP4iE1tdhC68bvJkzx89X04T5LKsI/Ec57zPbb/PmLM&#13;&#10;PMcYiZnFtLHGzArk8JS9Vq1wPDUnwI/JKxyB9wd95sCnYhQ+c4iZFQFy4SeoeJpPW3TwgMnV5WHd&#13;&#10;VpyFbq8hU6uwTInwMZeJQYnR14ilvrRiQ3MZuvjlNXy8j9ja73RQRcTDIaej+i84Ao6D9+h7n/j7&#13;&#10;APoHTjvQBrSmv5V6l1h822nBvDS1x2mqdjqpapvTSG12GqhNTjKoA2qqLU41tYM43409DjgV1Jvg&#13;&#10;OPiI+P+cHPnKqaK+JQdOMt4WZ+9Dt+nyvpOIXLWRq6Y6Br93nOqsVR2dqquD3Bc5CehZE31rgdrg&#13;&#10;Mu7r0l8XehJj6zNfqU8crb50GqqvncbI1FR9j47fo/P32OFbp5M64WSrT/Hve+TKW2A/eJX77fRv&#13;&#10;gr6BcRuwj00X8UvpnHkLf1YI+zNSzryF3QRmbum4ehGfNiRn1tDGmjPNKPLRcqaZ66m6AX5MbuYK&#13;&#10;/pgzdeETLWfquhVVswC58BNEzpn16CT1YONZ6DYImYyNE+FjLpMTkjOD3ApBnKUZIq2h46K4m6Df&#13;&#10;hpx3upeo/7jxaribAE7VSNx3+jJzeBSLG45uNwZQ1rp8I3xudOuof7qJ6h9uTTXIraH+Aq4Ffdxa&#13;&#10;6ipovd16Ks9VoGEQY6mnVzwjJ9t4XB7rXRGgImMFl1r1usqtwhqXqL7uxaq/exHrVmD9CtY4FrqJ&#13;&#10;RVP7B5awcVIZskntH8g8gZlbOo43M0bieAdtrHH8JHJEq49Puvb6OMVtq6a47dVUt4Oa7maqGW5H&#13;&#10;NRvMA/PBQvoWuxlqCfQlbjvQhvvW9LdSC9x0NcdtoZ5y09QTblP1qJuqxrmN1CNuA/WwmwzqgJpq&#13;&#10;jFtNTXArq8fx0TRsMgvMBwX4YAW+WI1f1uD/Qsbbasoi6Lb6uIiYWujWRq6a8K+hnnOrs1Z1dKqO&#13;&#10;jDXQLwE9a4JaoDa4DHnq0l9XPU1cznLrM1+pZa5WK4m91W5jZGqq1qHjOnRehx0K3U7qJTdbvUDc&#13;&#10;LXJ7qnwwDUzifjz9D0MfzbjR2Memi/jFxIaJq/w/EVf52E1g5paOq1fCcbX3LOLqDeQwdS1SfL+B&#13;&#10;L9/A7+KPHGAuUxPK0/EG8fEG8fImMfYW8fMOsfQu+Ah8xv0X2PRLxnzpNgennvdSDSNaw0ty/UvW&#13;&#10;i/MEueoEtj7hZgVrDypj/MX0Cf1LfPGl25l1uoCu6nPwidud9XPU+/B41+2hjoK3wUGwF9ou5r2C&#13;&#10;fDuReyf6iQ8j2WBnYIMz9dz48b0/4cf38KEgkh/3sa7Uh2LaWOtDfY+/F08+9WyYCB9zGbvKXlDf&#13;&#10;+zFZfJhmiLSGLntBMnQVhqZNAQ2BLbYbeq41Lhp4jtIgGdQDSYyv63mqjueD88EFoDyoACoGPsgq&#13;&#10;Q77z6WsIvaFXg3GCXHVxgBrK596HdnGA8oE8kXS8GBku8c5RVbzfk6t6PyfXRD+xi01HoUfy3evI&#13;&#10;Jfv4m7Sx+m5ACd+lwsdcxjeSEwOQ4eYAnhqA/eTeyGRiUfiYXE41TGj/fz4V1c3Y6WZsNyDAH2M6&#13;&#10;p4Q8iWXwkVjKYX1bLOVC7wF6gitBL5AHbHbOixJLefiuF7gyjJ60PUB30I252dglm5jqSjx19S4K&#13;&#10;YqlrGfJfQF9XbNA7QA3GCnJVeoAaKpX7VGjpAezxlM7arYmndt5vyR2Ipyx0FNvY9BS68V3pmi5x&#13;&#10;JPF0jDbWeJqF/+orey2Y5dUP8mREGfapRt8sr6561rtMzfRqq2e8mmq6l6CmgElggldLjfOS1Bh4&#13;&#10;jPFSQGPQDLSkv7Ua73VgXKZ6EkwHz3gZaobXHn5t1Szosxhns88y6H2RIZJsy7w2qgCei7wsNc/r&#13;&#10;Dt+erNWTtXuqB70cdZ/XWd0N/T9eK9AY1OO+phrpVVWjvUrIV4HxFZCpgpqDj+d7l6gl0JYxZjk6&#13;&#10;2WQTuxnfmbx7Enub5/CkMuwpz4iynsDMLe3344yRPeAj2lj9vhs5on3X2U2OrA3wY/Ju4lDujUxG&#13;&#10;n7XwiVZH1mK33QFy4Sc4U0dK6/YxOklMf3oWun2LTDWUPaa/JW/7skYaMJepfbK/nYD+OfH7KTH9&#13;&#10;MbH9ETH8oaes/o7zT33HicQzzk9Sv8PrF3LiJ3h/zxoihy2GhF7a5qKfiaFEIzytkV9q7rfEj+iX&#13;&#10;Uwa9PH0/Qv+NuneuX0k5/iXK9+NVeb+6quDXVBX9OqC+quRr0Ag0s8r4IflsW+tDcutjrx32zFBf&#13;&#10;kuNfex3VSfAD+Jn7X6kBv5HzvzMmzm9jXasidFlrUBl6yfNdRb89OnRU5/udVcjPgW9PbNyTtXuq&#13;&#10;D8j3o14X9SbrHqK2HCLfD+HXN/HFES9evUe+f4pdxHZ2n5zJTZMHJ0v4JKkM2SSvT8JXYPxZOvY/&#13;&#10;Y4zk9de0seZ1ez96bLT37d/zs6Bn+xVVLnHRi7jo7ScA+/f83j7fuQPYv+dfAZ+OxFdHP1FlEGvt&#13;&#10;/BqqFWgGGvu1VCNoDf16QAH79/yGrJcQoKJqgLwNfPv3/EZ+Fda4RDXxL1Zp/kWsW0GJLWy+Frrx&#13;&#10;l/F1egkbR/J1OvMEZm5pX38T9vWPZ+HrAciRoE7VuSz4mMvUAXkOHoDvBmCbQQF+T77TF1RU9wZI&#13;&#10;UHdCv9Nva83fO8mpO/0MdZefqYaA/4C7wxhBK7gH3BuG2DOSXe7FX0P8HsF6aUZgWiOz1N5bof8f&#13;&#10;4/7hd1OD/a7I3glkBn6KxHdQoGdCRHv/BN8G5fj3amljza1lPFzPjmLvZaHZalloilodYDTvwART&#13;&#10;1IEAs/ks2Gy1987QNvVKaDvYoV4Fu0M71WtgXxj7aQUHwrDZ+0DooNoFpGZGsvcW6OtDRaowtI/3&#13;&#10;f3uRfRfYYbX36kDP2RHtPY31WmHvp2kzaevRyr7D9affyf2AvXeG7Z0YTD31HxMrss/9gA1EtxFl&#13;&#10;0KvR9yv0OGe7Os/ZokLOBuU4hWAlKOB+If3zoM9Rv4by1Q/gG3AiNEd9HpqnPg0tVB+HCsBKUMj9&#13;&#10;Bvq3QN/OuJ2M32mtHUI3+W9qR1UCfGUUnaoin02nqs56VcXZpio6u9X5zgF0KEaWYmQrVh+EDqij&#13;&#10;od3qLWLojdB6sBIs5n4u/TOhT2XcZMZPZt5k5k+Fz0z4zVVVncVgpVUnoZfWSfw0OaxTUhl+kL1P&#13;&#10;1hOYuaXr4TOMaU2czKaNNV6uwLb3h+W4Ej7mMvFyIR1XOPervABL1N+dKWo4GEws3O0UqX+Cfs7L&#13;&#10;0DeCInVFgPsjyvw8/NKReQltrDI/gcwTwzKnwsdcRmZMG/eEM1E9EGCkesIRTDwtk4mrB+AzJQqf&#13;&#10;B9D1iQBF8BNMOc2ntD8KWFd0W0obq24rkKkoikwrkGNOgJG8QxQURZRpeVgmeXcYq0xFf0KmImTY&#13;&#10;EmAk78gEkWV6MSzTS2chUxXOBUeG7ZQOH3OZGIAcV8UdqZJBNXerygTt3SJVDkh/pJwqZJ74cBNt&#13;&#10;rPbKYfHNUXyY425W14FrkScbyH0kmTYjSwdk2noWMq1FpplhmdLgYy5jL1wct9adqTZjmwNgEzIt&#13;&#10;ByvcXda6uszdy3uM/bwnOMB7joO87yhWM8FU8Bh9j7q71Vh3O+8tNvA+4yXeXSymfw7n/DMYN5X3&#13;&#10;CpOZP5n3BJPVi+6TvA+Yql52p/EO42kl8sg+nWiEpTXyyj4mdGMzk9Or0DPaXrHKte8VL7sFvK+Y&#13;&#10;z3uL59B/DrLNRsbZ6Dgbeeei43z1rLuIdyHL1DPwetpdAzbweTM6beedwg7G7eD9xw7ey2zHjpvR&#13;&#10;bQO6FSpZ26aT0I1OpevLK+gssbmfNtbYlD8siGafOM9un3O8AnWOt1D97s5Tv2Kfn9x8dRKcAJ9x&#13;&#10;/zH9H7gLOZMvUMfR5xh6H0P/d90tvCvYzjuDnbw/2Km+Bt9x/yP9v0D/jXGyts0+Qjf2MT7/BJ8X&#13;&#10;h2M7EduYq2SsfEI89oUwwhBpDb0an49CP0y8FhOv+91tap+7njxYybuMxfTP5X3LTGSfyrsP9mRw&#13;&#10;nsdzgDdVVfBmqkreXM7GF6uKyHaRt57+baqctxvbHMAuxbwnKbbqJHSjU2mf70M22eMP0cbq8z74&#13;&#10;fGHYPg3hYy6jP+zj+uDPXI+aDbLwr9gqxwykNWPL87mTt0h18uaDeYydozI9nmlBS9AMW6R6C1Rj&#13;&#10;xjSCTyPvhUD31DJ4yT5dn/XiQV1vimoKUr1nrWs3855Rzb3prDVNtWF8Bn7oBLqDK7nvDa2PN0Nd&#13;&#10;gyyiky2WhB7J7oeRTez+Dm2sdh+P3aPl2vgoufYoNpyAnOOw9Vhs/ZCXr0aBe8Aw7ofQfwf02xh3&#13;&#10;K7z+5RWCDdxvUbd729Vd3k41HNwLRnE/mv4x0McxTta22Ufoxj4m14aiU7RcG+rZc+1m6IO9A+p6&#13;&#10;cmQguXIdOTOQtf5KDg0mfm4ip24nt4bj09FgIpjC/VP0z4T+LONmMP5p5k1l/iT4jIXf/fCVtW06&#13;&#10;Cd3oVDrXjoR9/sFZ+LwY+5hnSuFvLpM/kOOKidMPwBbi/gWwgM+FYD2+EVok+T5krsTk57SxxuT5&#13;&#10;fvSYPN8/Vf/TjPC0Rn55TvD9l5QHXH8V56CrVDl/NWeiq612/917OcjrQWXwvJi+n6H/4K3hfLeQ&#13;&#10;s8S1nHduAJvVV95WwHdH4vdb7xX1HfgB/Ax+p+9cfztnlluRZxPnsYVWGUQvY1sTz+dijwJlP/c+&#13;&#10;1z9VDyPJHvKXYIslrL9YXeAvUhf6C8F8zlSfo53LGfEczlZnI2M+tsrnvDafM9bZnGnP5Uz7OfWj&#13;&#10;9zw62WvVx9D7YqdINfkTeH3uzVInqI8nyZVfyRnPn4wMk1Vlf4q61J+mavpPq9r+LNrnrXaq6m8J&#13;&#10;1soow1eYK66qv03F+zvBLlXF3wP28vk1sE9VBdX8/QH/pDLmnxvMLyJuioI1RpQxphp9jn+AMfvB&#13;&#10;PrAX7AG71Xl8jqPvV/L9R+8guharr8Cn4ENy6T1vnzrm7eHM+hXaLepd4ulD7yX1BfvQV95y4mcp&#13;&#10;di+w6i/+NnFSukZI7kkOyllkrDn4N4wYbT/+GzF0LTbKBr3C8RfJ93nEXB7x1sufp64k1noQa9kg&#13;&#10;C2QQf+38BaoNY1rDp5Vv34+bsl4d0JiY6QDa+fb9uIP/DOfS01lrmurK+BzirRfoC67j/q/QbvBn&#13;&#10;cBY5W4lO/bBbIjCXqSvyPC/0SHb/FrrYXc4kY7X7w9g92rnBw/5ENRQM90eqcUDujUymZgyBj6nx&#13;&#10;qchjLqOLPNcMQfeHwDBseSOQe8OndEz9zHh5rpdfVsSqW3cWbavtdax7qK2WGpIGzGVklrreDXp2&#13;&#10;qJ3uCrqE2utOIAvYfJYR6hDwHGQY0hqeUtfbQW8dytCtQpm6RegK3TzUCXQF3bnP1S1DPaD11G1C&#13;&#10;V+p2IANkcd8ZWjZjuoe6gI5WGUQvY1vjo0zskRbFHpmhNKvsWdA7h5phj2a6W6gpcqSCy0FD7lPo&#13;&#10;19hJIa/SmaAdaA1aQUtnTEvGtmSOzX7J0G11PTnUQOtQfd0wVFenhmrCrwZr1WDtGrpHKEH3DtXW&#13;&#10;fUOX6f6M6c96trX6h7oFa2WU4Sufvv6hHHj0AL1Abz0gdBW4Wl8X6hNgYOiagH9SGfOlrg8M9dO5&#13;&#10;QPSJVNdzQ311Dnxy4JkD7xzWyAnl4eurseU12LIvMXAttuyPDfvrZuBy7htAS0amesRGvVA26KgV&#13;&#10;fr881Eo3CbUkllrotqHmVv3F36XjpCNxUiMcJ5H06oitBWZu6fwdg75dy1FbaHvS1qMtD7j+9Ln9&#13;&#10;uBJyJAZTT/3H5JLUx3HIYMvfx6FPJSaeDiXqZ4mXfGIxPxx/qgye8rfG+fhrUoBTuZBTxjjRZVKo&#13;&#10;CeMu1xNDjfQE4nssvB8C94N7uL871FgPZ8wwbDwslB74IbUMXqgZN4z1bgyQwFhBPated4fqsEai&#13;&#10;vi9US49i/EPoKbawxbrQjb9MTRhdwsaRfD2aeQIzt7SvJyG/+HoKbay+3l5CjkT4mKukr7cjg83X&#13;&#10;r0LfA/ZRE4qoAcXUgEOhJKvdD4Vc/WGAfvow9j9Mnssag4wAtEYGqd3F5GYRebePsXvIwVfIxW1g&#13;&#10;PVhNnq4gHwuo04up6YvJxcXUyAJiYQVyrMZX65FP9LD5SejG1sZPr2KfHuGcTCxDNsmFV6lTIvuI&#13;&#10;MujV6NsL/QD17CC14nXkO8z+cxgZDxOfrxOrB6jP+5B1DzX8VbANbOZ+AzG+jjheSz1ZG2oDMrnv&#13;&#10;pDfCZzP8tsFX1rbpJHSjU+n4mYpsnYmfGbSxxk99NusqYfukwsdcxneSY/WdKjo+gKPrO4Iqp2Uy&#13;&#10;do6HT0IUPvFOAnMF/eAnSDjNp7Rus1lXdJtLG6tufZHJ1ONE+JjL6Ca+7+vYc2Mg9BuQ8x9Oor7J&#13;&#10;qatv4U9kb3FO7cPKMKQ1PKUO3oJu1wWw18HrnCZ6gHM5aKSvdVL0NfDuDXJBNvddnMa6M2M6Ozw7&#13;&#10;OPY62Jn1WgRI0J2Qt5Njr4NdnDqskai7O7V0T8b3FjsAWywK3cSi8bv83s7YOKkMe8hensc8gZlb&#13;&#10;2tfzGCN1cBFtrL6W93hOOP4S4WMu4xfx9RPEruR5miHSGjrT4yZDfzKMKbRTwXRgs8l055KAZ04Z&#13;&#10;PMvTNw36FDAZPA4eA5OcynoiOTTRiQfVwKWgOqgZrJVVBi/5W5Lp0KcTGxMD9NP34e/7+DwkQE0+&#13;&#10;Cy616nifc7Ee6VTQo5wL9IOOp8ein9jFpqPQI/luMXJJni6jjdV3hRhfRfFdITrafLcK+ouO1i84&#13;&#10;DfQycmopeVPg2J/hdkC38dxBnm8nN7fAcxO817OGyGGzldCNrUyOiH4mRxKxk7lM7ElsFpIfIkuk&#13;&#10;ONoIfSvYiY93O7X1PvK3yKmvi6kTr6PvIaeZPuy0AK1BB6uMBdBtaxU4nbBhN+yZo19yeujVYC3Y&#13;&#10;ADY7ucjB3uV0xzbZeofTxbrWIeiy1iCjNK3RW54LXodPsdNT73fy0KsvfPtj4/56BVhCfD/vXKXz&#13;&#10;oc+Ez0ynDWiiZ+GLedTiRdjiBWwitrP75EztMT5ZW8InSWXIJnVrLXwFxp9t6fNAe1ANLAdSt1bR&#13;&#10;xhr7rsv/7yFK7Ltu08CGI1jHXMaGIofrpmrHvVyH3Ib6PFfrOFfpX4jD78E3xO5XxPEJ4uOE0xK0&#13;&#10;BRkgi/7O0HMY14PxPCW5PZifq8u53eGXrV23M7jCatuq0MW/kWSr6nbVVeB5sdtLX+j2hW9/1uqv&#13;&#10;vwaf4t8PnN76GDF1hJg7gmxH8O9x/Psh/v2Mvekb7P8LKOfW0Oe7CfoiN1FXduvqquhZFbvY/C52&#13;&#10;M74zfv/lT/hd1hOYuaX9Lv4Wv6+jjdXvCfjd1Lws+JjL+FXqfQJ+THBr6noByuvmrqCm7hBA8VnQ&#13;&#10;1ZrLzfFlc+zfIkAPnY6P24C2YbSjFbQHHYDYM1I+dHCv1S2B+DvNCExrZMa0cY2hp7j9dLLbR9d3&#13;&#10;r0L2PGDnWy/Q80zdLG3v9fDtgr030cZq737YO9pzbj+3is4OwH7oCv74nJsNn2jPudnEab8A/eAn&#13;&#10;iPycuxmdZP/ceha6PYhM0b7jPIgPbHk6BvoEN0dPJO8fJ++fcDNBG9Cc+1T6+a5Ozo3BVw+CkWAE&#13;&#10;98PoHwp9COOGMH4I84Yyfxh8RsBvJHxlbVueCt3kmsnTuejUJkpdnMt6Np3mulk6HxmeIQanUnsm&#13;&#10;UnseBMPB7dzfQv8/oQ9m3GB4DaZe/NNNoT8Jek3GVWc8z2WA36fCJwl+KXou42Rtm05CL62T+Mk8&#13;&#10;ByThb3OZ/JE950HqnMDMLZ0L2xgjtWc3bay5sL+EHInwMZeRQ55H9iODLc8PQX+buD5GPX6fevwh&#13;&#10;8fAhcSA2UYYhreEp34s+JBdeD2D/XvS624Rxl+tiYqsIe++D926wA2zhfpPbWG9kzAY3Ddi/F21g&#13;&#10;vaUBEhgrsH8v2uTWYY1Evc2tpXcyfjd6ii1svha68ZeJ310lbBzJ17uYJzBzS/t6DzYTXxfRxurr&#13;&#10;DC96HmV49jzK8FroDl5T3da7XLf2GuiWntZNQUOgvIa6vtdE1/PSdJKXDtqCK+jrqlO87ozJ1Y29&#13;&#10;HozvoVuA1l4OfLrq9l4nneFlAHseCd3Yx9i2JTqZPErENuYysSbx29I7Fb+DDJHW0OW5sz30LK+m&#13;&#10;zvbq6h6e0ld6qaA16MQ97wu83tD7Imd/5O6vm4BGHnubdw0699HJHnublxfERWoZa8i5ST3v37pK&#13;&#10;gARsIrDHXn1kUV4ia9RmrQRsVgNb22NP6MY+pePnMDJI/MjfnfSirUdbHnD96bPkm7G12e+STs0N&#13;&#10;/mtsKTXrZmS92csM6kVOGWNkzZux681eF32Ll63/RQz8m1gYAu4G9xEn90MbxZhR8BnltbPadRTr&#13;&#10;PRGgn37AE9jPHoU+KkAe6/QGV+mR3tX6Hnx5N/P/A4bg2zvw8W3gH+B6aAOZw+9udX/itT9ySQ2I&#13;&#10;ZIP+gQ3O7PMmVuVvXEysRpo7FB8KIvlR/pZE/Pg+bax1YClydNb2d3pLvc6BDxezjrmMn0X2pfhu&#13;&#10;Gb5ajv9W4LeXvJ56LdgANoEt9G3DXtsZs52x27HbNnhuxa+bvSy9jrqwAjsu9jro5/HxXPJtNjVj&#13;&#10;FrVjltcYaO7rQUvUi7Dncq+6XgM2gR3c7yYv9nt19EEvGTS21uSt0PsicyRdtnqNkKsBMrOfkP/r&#13;&#10;4bkGvAReBC/Qtxx5ljFmGTVuGbVvOTxfoE68SL1bQz3cgtyvUhv3osN+6lSx116/7nUEXUAuMubp&#13;&#10;16gVu4ivrcTUGrAcLOT+OeIvn/iaiS1nYiPb/iJ+MbFh4qrwT8RVITElMHPbYg+mnf7++gGfJa4+&#13;&#10;o401rsr5Z+I7ET7mMnEjtbicf6oW5xgiraGX57MH/QLAbx91Jb+Wruwn6nif73h+PV3NT9aX+img&#13;&#10;IUgFp850VBm85BnjUr+f9gPYnzF8v4n2/Mu1C1/H1/o8X+nf8fnP4Af8fhKff4O/v/aaAfszxtf4&#13;&#10;83gAl7GCJOuz07feZfp7r5b+if3nV/wTh+5iI1sMCD2SHz9Hb/kO8Q1trH7MxI/m+2gifMxl/CR+&#13;&#10;zMRGklNphkhr6PLdrx301tgy3W+gW2Db5tg4LeyvxDLmCM9c6Daeufi8u99IZ8OzC7yzWEPksNlK&#13;&#10;6MZWJl9EP1OHI8mSiY1Flkhx2hl6N9CDOM3za+s+fh3d1+ddOfE5AH2v85uBFnqg3xrYz+DSoNvW&#13;&#10;SvM7YcNuupXP85LP93OQCTqBLj7PJ/R397vrHD8b2M/groMuaw0C5jJ+k2ehAfC51u+pr/Hz0Ksv&#13;&#10;fPuzVn/W7q+bkksN/at0MvQk+CT5bUATXR9fNCRHm2CLdGwitrP75Ez8Gp90LOGTJCMYrZFNni06&#13;&#10;wldg/NmWPg+YM7hv+Sw1TP6WJ9bYvws5ou2Nd/n2vfEu/DAEOw7FL8Pw0T3YaxQYDR4BY+kbh9/G&#13;&#10;M2Y8Y8f7XUFn+jvpMX6WfsC/gnmZ+nbi4l9+O30TMfRPP13/w08DjYHWN1IPb6E23u4n6P/41fVI&#13;&#10;8Ah4lPsniMepxONT1MunGW/zxTjoEg+LgbmMzcUP48i3seTbGOL6YXLpQXiOBPeA4WAYfUORZwhj&#13;&#10;hlA/hxD7Q+E5jFwdTmyM9JsyN01PIheeRIdpxMzTfns9w+8IuoBc5MzTU/w++jHiayxxdj8YCm7j&#13;&#10;/mb/avTtpQdjy8HYyKaL+MXEhomr+/9EXN1PTAnM3NJx9TN2kLiSf1w71rh6jKI4QZ965roSVuYy&#13;&#10;tr6QjsecCXp2gKWcrU/g7H4CZ+5L9ZvOUc7Zj+qFTiH0reAo744EEyLKvBR+8u9Mr6K9jjaW5/1v&#13;&#10;kHl2WGaJBXMZmSUnv3Fmcy67w1q/vnF2MWaP/tZ5TZ90DugfnIOcqR7U57oHOQM+oD13j/bdXWAn&#13;&#10;2Br4ONUsRmvWk+9RvjtbXxrgKGfAgkPWeiZ03z0M3mCdNznDFrzFGfLbrH9E/44df3WO6Z/A9+AL&#13;&#10;8JHzjn7fOaTfRcbjzl6wI5Apkg2OBzaYfdoXJvZ+w375Uez3m5OvBZFibzU698F/62hj9WNvzh82&#13;&#10;heVIhI+5jF1l7+3tbgrsOMIQaQ29WkBfq/Pc1fpKd6Xu4S7X3dyluhPIAG3dF3QrdxXnyWvAerAZ&#13;&#10;vKpbu69xnryfMUW6I77uBLqBXHx+JbQ8fN7b3QE2WfNa6MY+xrbd0MnYNrEMmUWnbm6+NTZ6Qb/G&#13;&#10;nasHuAv09W6BHuS+BDaCXdwX0f8G9CO6l3sMuY8h/zGdScy1c99B5/+i35voedgar+nuD1oFmM1Y&#13;&#10;waJAprQyZJbnplbI0sZ9njWeY63ZrJnP2vlW+wjd2Kd07doAT4mfbbR/oY2lDjyErcdHiZ+H3PFW&#13;&#10;vR6G/ggYE8ZY2vGgH3IlAnOZmBP/jXenBzxzDJHW0MvzeRz0MeBhMBo86D6lH3Cf1qPcZ8AMMBM8&#13;&#10;C/LBnGCtrDJ4yfuV8dDHEwOjAhzlzFdQoG8MMIfPgmetOt6ODHe4k/Vd7uOcez+q70E/sYtNR6FH&#13;&#10;8t125JIa/gptrLm/+E/4bjEyyDNAGjCXsbPE5BLoBWApWAaWgxeATa8XsIXwjOS75dCXgQKwGCzE&#13;&#10;dwvw3QJ8Nx/fzcd387H3fHw3P4rv+C2lXoGf5gc4qqfhu2l8nhhgDp8Fdt9NQ4bp+O5pfDcT381B&#13;&#10;P7GLTUehR/Ldq+guvttDG6vvDuK7Am0/pzmIjjbf7YO+hxq9i5r9ivsi59irQKFVr6PQbTyPwuOI&#13;&#10;u4Iz/+X6TXgfYg2Rw2YroRtbmRou+kWr4Qfxvy2O3oD+DnXyOHX8A3ee/pj6+Zm7RH/hLtMn2Ku+&#13;&#10;cl8Ga8FGsM0q4w7otrV2uLux4T7seUC/xj52wC3mvUSxPgze4v5t+t9hvzvC3nbU3Wtd6wR0WWsQ&#13;&#10;MJfJOfkedgI+X8D3U/ag99mD3nGPs9Zx1j6ut3O/kb1nDfRVPDutYr9dhU/W4IsN6L8VW+zCLmI7&#13;&#10;u0/O7BvGJ8UlfJJkBKM1sskzXzF8BcafpfecvYyRPecgbayxX9OLHhs1vVOxkcY65jJySt0Seq0S&#13;&#10;qM1ngc0mtb3l1hioBb1mGAm0NcKoTFvRW6EreKt0eW8NWAc2B2ulGuFojXzyLFveO6p/oVb9Qvxe&#13;&#10;4AmWBGtH0udCbwFrzNOVvOd0ZcZXQxfR0aaP0CP5qRgZxE9v0Mbqp874aZW216jO2MSWV529+bqb&#13;&#10;N0PneVN0P28i5+3jeD8wTg8HD3qT9Fhvun7Um6kneXPAfKu+90GXtUYAcxmbV6PjXm+uHoFNhnvP&#13;&#10;cs7+DOf8T7HWU/rv4HpkGIhdr/We13096qrI7W3kfgf9u/XfvP28DyhifBHzipi/Hz574LdL8ztY&#13;&#10;3l1ssco2CbrNDo+yxljvIDq/Ab8jvIc4zjuS48h1XF/jvaN7ea9jp9d0Z28rWGVdS+jG7ya3b/Li&#13;&#10;4saGfZVkjENr7CO5fZM3VgvM3NK5/TZjZF97jzbWmHkROaLtay+K/VkjDZjLyCm5vQz6Em8p7waW&#13;&#10;6wXei3o++j7v2fe1jdBtPDfCYwM5vA6ea+C9ijVEDlt+Cd3YythZ9Iu2r71IDIosOUY5WqNfeT6/&#13;&#10;DH09sbiZeN1Ozr9C7u+mPuz1lul93krwMu8Z1oKNwL6vPQ/dttbzxN0Cbx/2PKCXEn8veMV6JVgN&#13;&#10;CrlfR/96Yn0DsbfRs+9r+6DLWoPK0Ev2tX3w2QvfXcT4NmJ8PbG9EiwB87if5b2pn4I+lbyaSv2c&#13;&#10;ik+ewhfPov9cbLEIu4jt7D45U/OMT1aW8ElSGbJJ7K+Er8D4s3Tsv88YqZef0sYa+58hx9FwDqbC&#13;&#10;x1zG97IvfMa+8N8AE/RnnoDvnPQzNa60TJ/RJ/n4BW2sMpX3o8tU3mefkv0Kecr7gsgynQjL9NVZ&#13;&#10;yNQcmUyNyIKPuYyd5Dtbc7+A9wpzOA8XPK57BJjDObyggHvBa9bY7+HvZ0yR7hngoO7lH9RXh9GH&#13;&#10;VnBNGH1pJe4ixU9fbHIlkPhPMwLTGpmlbmX7x/QV/hHOyN/WHfy3kPswsPNtH+h5ps6UjoHv4Hs1&#13;&#10;MfAjbawxcC/2Pqjt+/i9yCm6jQDmMrpVo2MU9Iew4yPYfJy/W4/3d4BNoJD7l+hfAX0ZZ+EF+l4w&#13;&#10;DNzF/R303wb9VsbdyvhbmXcb8++Az13wGwZfWVtsn2gWpjVry1mB0E2OmJyfgU7Rzr1msJ5Npxn+&#13;&#10;q5xPH+Ds+rCehN8e8Y8jy3FkO865/BH9d/qvhz6QcQPhNdBfzf1y+hdCn8u4WYyfxbxZzJ8Ln4Xw&#13;&#10;W86592qwyaqT0EvrJH4ye0ukOLzXz2fNyHXsJ+wldUzOs2ONl3IEc9cUe7yUc7oG/+/WSLlwnpOd&#13;&#10;ci44x+mWEgd+D3VL+TXU3fr//vwJuvhrEDCXiQPZX74L5aR8G8pN+TrUI+VEqGfKl6Fe4CpwDeiX&#13;&#10;8lXoWmgDGDMg5TvwE/g11J/1+6Wc51yTUs7pDXpYZRC9SvvlZwp3ZhR7/BzKtMr+WygDOTKwRwdk&#13;&#10;aY8c7UAbkA5aYqsW0Jun/BZKQ+405E9Dj+bo0xK90tG3NWhnlf0odLFfjjEerbFfeT4fg9fxULOU&#13;&#10;90ONUz4OpcAvOeVncI6TnMKfwaZc6DRIudi5PKWy0wy0tq5V2ekTrJVRxlqEcVxlpy88+qdUca4D&#13;&#10;fwXXg7+lxIOqzg0p1ZxBAf9IcV7N+XuKA2z56ziDGTMoJQTPEPxDrBNy/oJ9r8eWN+D7wf+PvfMO&#13;&#10;j6po/35Akt2FczYCUszunixlT5KhGCR0pAR8UESxIb2GXpQSECR0QpEigh0BEZCaSJUqgooVeZRi&#13;&#10;QUXBigXFQlEfeT9z2OHJu092lh/5/fFez/We6/oymXPPueee7/2dObOTAlz2g8v+8Nhf/AC+je8r&#13;&#10;vozPEp/H9xDH0Max+HvAbeJ4/M3im/gbxXfxLdBSpvidfOrWJJnvSJ38hU5SwjqJNq6/4FtCPRu5&#13;&#10;3i+Cu94l4uKWUQ6iDFHK3HFd9s9y3cj8VXEEnUcv/qO0INfUG8m55DajELt8l92C/XY0cXdCddEh&#13;&#10;IV10Qpud0KzkJLWQZ+TPZHQiX60dXJwL0XTYGj83o/2bEhqIVui+Jb6bgoagLnMhA1tt5kjthObg&#13;&#10;RqfP9EL6lPup2vRXxUGauJ54r0+4XjuujITr6KO6qI/WGyWkimaMU3Khy7W0q3yp90/TAhxHy3VT&#13;&#10;npNQz0bmejnxy1yvprzSXGcRR52w5loWwlFJ7mXBaxbcDHJQUYxNkEgTuQ7q8LVEO4e3aDkby3we&#13;&#10;yzqak9BJjAMTmNuTw5hCKTE1jFxKyWc0XnLJ17iEfto8jcI+jHb3Mo8HM58HJXQDnbR+BznjrBOV&#13;&#10;7zWSC/jOp7xSvp+B70phvtPxoy41t6Qmn0moJOY5KCueSZCodCkmpZ95+EmL4Wce+eF3oEBf/Emk&#13;&#10;XfITqSX5PeFejG0D5ZWObQ0xNYkR0xrm5dsObhVrEiSaRI1pI7H0I6YtlP0pr2Qt+/oy+P4aft93&#13;&#10;UFZ8Dd+yruac4vv9y+D7ffj92kFf/ElE5/uFMN/bisB3Rc5jY63TFV36ddrCXsWVJlJc1UU1V7qo&#13;&#10;4aoD9Ot0DVdfEXCgX6cD+PG7Ggmfq4FIctUVFfBdBpjA46onXNgSXE1Ac6BfpxPo7wycnoFT/pwA&#13;&#10;0K/TLtd19FFdlHJVE15XKv2mCMmFbp2W9si8lynAcVVypS41X+XZgPQtoZ6NnFs7aCPXafn91iud&#13;&#10;W1nEUTbG3MpylRUjHPQVWfAl6yompWP5/f4yYT9B4lGXGo98t9/lKqNdW+/G3g7cA9rLtvTTUYJn&#13;&#10;g8ohZUGfHV1B7fuhg7SD9uAe0A7cDe4EtzuoLNq6qoAQSHX6uqmQvkpxry366OigDm0l+oqmDtgf&#13;&#10;UK+LramDkHacTV3JopkrSbRwVRD/cF0jbmGskhvdOKVdcR6pgz3EJtfY1ymvVAfy951ifbZa7tJ/&#13;&#10;tlrmulk8C5a6WotnwGKwyKX/bPUkdrnf6w3UpfIrP1s95mojFrhuFfNdt4mHXG3FXNcd4G7QnnpH&#13;&#10;Mc/VCVsX8Qh4DDwJFrk6iyXYnqXNctddQP/ZSo5Lcav0/BR8xPps9RTriy72Ra5mxNEMPpqKZaxH&#13;&#10;y1m3+L0sUJ96Pe7Xhac6xJsh+L8SiT+DsdZhPPXEw7SZ52rIGPWfrSZilzFE2x9NxNdkV22Ry7o1&#13;&#10;0yXwmUJfKfSdIlai1XWsYxtcNcVm2mymP50GN7v0n602uzrgozPoCnqILa6eoJd4wUGW2OrSf7ba&#13;&#10;ylx6Dsjx5CgxUCo9VOTrFa4+YgV+VuBzBf5X0M8KV3dy3RMus+CyDxroB5f94bC/mA2m43MKtom0&#13;&#10;HU984xnHeDQxCa3y/zKKB10t4DlTPEo+deOX+Y7UyUJ0ot6V0dbxhXAtoZ6NnL9vMC65jsvvYV7p&#13;&#10;/HW5/x1HED/qUtzJ9dflvvjOjqYVD3bDnSoS3WmitFuIa9zVRXl3TVHBXUtc664N6ookd33QCDR1&#13;&#10;uEpVHVGqvuRnriR3X+Fx0FSrT4/7Bto1Em53A+HCfwk3nxrAX8yD82j3LJo842oMmoKL+YnW5xny&#13;&#10;/LUD/f7ha+biV8zDr/D9BX0cp69PwYfgCPVD3D+E/SDtDob7TC9knHJPfZD+XnaQRluJi/uHaOvZ&#13;&#10;IebhEfYPHzDvjtL+GLr4AnwLfuD98xNz9DT2X2n3G77OMDfPU/+L+xewX0WOZB51OpX2aFr7JzFL&#13;&#10;rX1IeaVaG3IZWhtCDB3oI5rWhmIfjtZGorXRaO0BtJaD1sajtQlobSJamIjWJqKNiTG0NhGdDXWg&#13;&#10;19pQtHYf/u5Da0PwPxCd9QO9QHd3PdHV3RA0Fl3or4tbr7Uu9NfGgV5rbdxNaNdI3ILv1vTRir5a&#13;&#10;gCagEfWG3G+AvQHtGoT7TIc3dak5JbXWgP5SHaSJ+vBW363XWkP3daIxvN7griaa0/5GOG8NbgN3&#13;&#10;wn07eG+PvSPtOuGrC/x3p96L+32wD6CdzKNOa9IeTWtHiVlq7QvKK9XaBrQWa1+ywa3fl6x33yz4&#13;&#10;3TGR724t8sBasNqt35fwfwU6+o02j591txHPuG8VS9y3iafdbcVC9x3gbtCeekexyN0JWxfadBHL&#13;&#10;wHNgtbuzWIftedpscN8F9PsSOS7FrdqXrISPWPuSlehIzr1osa9xNyOOZnDRVKxHdxuYFxvQ4Abm&#13;&#10;G/+fIjzVxV5HrHFnEHcG8WcwjjpiMbZFtFmEZp/mGZ0u5mDXzf85+HqIef4w2nsUvS1CRytBPtiM&#13;&#10;Vrej2d3ocS9t9tKfrq+9bv2+ZK+7Az46g66gB+gpXnb3cvCKO0u86tbvS15lzm0CcjzR9iUb3X3E&#13;&#10;RvxsxO9G/G+gnw3u7uS6J1xmwWUfuOwnnnX3h8f+4gnwCD7nYZtD21nEN4txzEITc9HqAveN4nF3&#13;&#10;C/SUyTP6fYnMd6ROVqGTWPuSVXAtoZ6N3Jd8GZ6/3xVh/r5JHLHOAd9EW2+S8/ccVBTH3RJp4nsH&#13;&#10;dfhaQn8OeJwcH2dunWDefQG+gs9vwzhJKfFdGN9TSj1VBepS66z83P09efmCXMl8Z6gGlKoNRzZx&#13;&#10;n2D/gHaHyd9BcvyeuxvQnwO+54wz+jmg5FmeA8rvq1/pelnaw98+jfE5vLSns1bL5bBf6+ko/J57&#13;&#10;hOW5UyR7bgOtQHPqnL14GmCvK8p5MkRpYAA39QTuX4W9OO2K0744z13F8wn4cePPwK/sWzeXpV3p&#13;&#10;Ua156YypVYwxpdOfbn6me24XNTwdRKqnm6ji6SN8nv7E0p/Y+ou/mZvnyd9vaOgX9+2gFWhKvR73&#13;&#10;07EL2qXQPoXnONfyCPxwpuWpJ9I9TUEr7ZikPXJMMk+x5qfsT0I9Gzk/f0In8v36exH00rVAHEH8&#13;&#10;qEtpXX5u6EoMurkg7RLdCqA7X+vy3N1T3/EZbX/YDXtX0AV0dlBPdILvu8HtnobiVg/7Kk8z0BLc&#13;&#10;7PSVroKnVPHLfVMbT1/RyEGauMUjUVs7nls914m2nhriDk81+ksTHcLj041Hjj9ans4Qg8zTH5RX&#13;&#10;Oq8Hkafh4TlQFT/qUuOU69Ygz3AxBMhcReP1XuxDwTAwwjNMZIORnqFiFLjfc68Y7RkMBooxngEO&#13;&#10;5JgzVGeUqj+5BvaCm2wwifk9l3IJeJC5pet/Gv1M8YwWEz0PiPGecfQxQQwHw8BQcB+4FwwBgzzj&#13;&#10;tRqS41Wcq7VC/u5drHk1iVxJqGcj55XMk8xXMcQ/hDJE3QBcl/29Tvn+/SjGmrXK/ZHD1bqLvp1/&#13;&#10;Fb8yx6vdn7BnPMbe4TP2EMfZm50Q/Nwae6MTYif1F8FL7s/FHtrsoe0e98fUP+L+h2KX+wPxgvt9&#13;&#10;9niH2HccFEvd77LveIf9xFviKffr4GWwi33cVvZ2m8QK9/Psi/PY5+ThO4890vPiNfdG8bZ7i3jH&#13;&#10;vUMcoL1O/7uxy7xHG8tu9x7i2k1cL+J/p9iGz01gPcgD67i3lnjWYF/jfgnspf4y919hT/gqbffx&#13;&#10;/OviFfeb4g3328R1gJjeE++6j4Cj4HPqX7GPOCn2uX9g73iKfeQpfJxi//oDe/FvGe+X7Ls+Ax9p&#13;&#10;xyLzorShdCV/vjIvxvzbDG8S6tlIXX0FP8PR0/eUY65QV/L/ZNkZjqMlftSldFOSG0fg8oh7vTjm&#13;&#10;YLE45ZZYL8452MnXEh9r5+kpNHUKrn6C15/Q2WnwexhnKCXOhnGOUmpDalZdKh65Lp1z/yh+BlIf&#13;&#10;GaoBpWoj15KT2L8gT8fJ32fub4j9S6D3e8wZ586ofP+A32HwLN+TV8p3VdaTAzHmcVXPAe3Yqnj+&#13;&#10;KSp73hWVQBBYnvdEAOjm07Weg47P3sSuLsWXPBcvj72s55Ao4zksEj1HhNfzIfgYfEr9M3G15zi2&#13;&#10;E+IaUB5cC/zcS8ZWmTZVPUfBYW0MclxKy2oeJMHH6zH4SPK8ro09gD3Z8xpcvMZeah9xvAL2gpeo&#13;&#10;vwhPu7DthKMdIgmUB2Wpl8F2NW2u9uxhjK9oY4/DLvXWRpFHqfgz5D18FfdsFyU8LwiPZz0+8+kr&#13;&#10;n77zRYrneVHds1HU8mwWGbTJIDZdrjLgU/bVTPoNX6ov6IrLgPMMuM/wfAm+Bt+IOp5vwUlRF9Tz&#13;&#10;fOf4jzZ/6nl+EDaQfeSoDihVHxX5OuT5XoTwE8JfCN8h+qnq+YpcfwOXJ+HyezTwI3v2U+wpT7EX&#13;&#10;PyVc1K/CFkfbv3mn/M075G/3YVEMvbo8+0VJz1vo6Q2eeUM7fpnvSJ34GHis9dLnyWM/HX29/Jlx&#13;&#10;yfVS7p+udP42Jo5Y62VjtNUYDbR0sJg9n8R69rMSO/laQr9e3u05RpvPRDvP5+Iect0BdA6jC2XX&#13;&#10;MLpRSkg9Rct3N/LSHsh8ZwB1qXzL9bIt9tZoohX5u5Ect0RbLWP4bemMM/p6KXmW6+UflFfKt9x/&#13;&#10;Kb6D+FGXil1+nphEHLqxjcP+AGvAaM9u9qV72J++yj7zda0G54TXnGh8zWE9mIWvmficju+p9CHj&#13;&#10;kHkIqiApI+OM1LUcn9J19OfynPFFW3umofkHWWfmoq/5rDOPebaIJ1hnFrImPc1as4h1cbHnTfAO&#13;&#10;OKiNMTv8nojWVzbvhVGeT+DzM5GDNsejkUkgF0yn/iC6ncX6NZs2s3kn6PhYhF3mrXchfMl30tP4&#13;&#10;Wsh75nHWnfmsN7NYYyaBMWA4Wh2CTvth742f3rxbepPXvuRiMGvwMLgYDS+TgC4GaY/MyeQCOala&#13;&#10;SGxyDzKZ5yTUs4255wZNQEUgNS/XGrnnj9R+KjYDSO2mANlefi2v/fv3O6X6jCDvlwWyvey3EZD9&#13;&#10;qPfn7yXZ6xCkHGO0WH8vebLq9MSTVTvQJgOoS2lTzv8l2Dcnnq66L7F46Ehi2dCxxBTQNKTj7lji&#13;&#10;QVvn81jid/aRxL/tfYmJKZsTgylLElNTpgOdz99LpqbofH6K/c2SwZRtJRNTVpb8215S8jtw0Nb5&#13;&#10;XFKyaUjnc0nJlNDKkmVD20oWD71Z8nTVT+FLcqbzKe3Rcu8jaR/yTcuVlNegAZVLaJ7YkH9kLrl9&#13;&#10;6f7/z2tc3P/LeW1GriqCcuTzIHnNo0wqkFe+ZS//u+2ocxqTcykd8Lh2TvtMzlxpLPXXzHny4j9q&#13;&#10;vnqo+szOIZ85IHSVg7zQaUNiQOhDB9LWORRNn+0J4EvG0Y3yR0oVF24v+zyiMjHmhmMMXgzP+VfF&#13;&#10;KMdY2cx15l2bQuxyDlQ2R4Vsc1CoppkVyjC7hG4wO4ZagXagu9kt1NfsFxpgDg4NMoeFBtNWNx87&#13;&#10;YZdzPKeQvmTuOprDQx3M+0L3mENCd5kDQ7eZ/UM3gUxwA/UG2OqY2cSRA3LB3FBd81HuP4V9Me2W&#13;&#10;0n4pzy3l+SX4WYi/J0MdadPJfFgb2yDsMrZoPAykj7747WGuxFde6E5zPX2tDzUGtc11oerm8lDI&#13;&#10;fDpU2ZwPcrV9SbvKu3pHtCJXHcK5qloIP3L9aWV2gPsOl55tzD03UO8zqRWpmb5F0EwecQyIoZk8&#13;&#10;9Kzjag16WGkODS0j34vJ1UJzcugJc2boMfL1iPlIaD55mWcuCz1krgZ5Wq7GY5d9ZQB1Kf3Kd+IE&#13;&#10;8jzVnBeaY04MLaC/x9HIQvQqdVhdPUCpnpFr+gjsI8yuoTwHA6Ly2Q8ev4LPIUXg89tS/K5LmM/6&#13;&#10;hcTDuhT3banjoV8dCDtgSGTY35aSOB41tibE9AuxtaD88wrXh5uMuLizMTR3k3E2dBeQOehdSPxl&#13;&#10;uHeH8WfoNqOEfbNRxv6H4bdbGCG7mVHNbmg0tOsaLe0Mo5Vdy7jFrmG0sVOADUKgKqgCKoNK2HVr&#13;&#10;RyUj09nHRIuhitECfy3w2wL/LejnItIoBajG89VBDaO5XdNoFkYTO91oTGwN7OuNeqCOE0M03fjh&#13;&#10;IQXUM1JtyUvkHK4Hn2di8FnPOMPzZy492xj+3EDNYZnP38jnzZT/usK89iKOSrb+d+Z6GZW0fPYy&#13;&#10;qtpZRordm7H2M6rbg4wa9jAwEowGY8nveCPNnkibiUYVUIl6sp1jBLAFaOO3sw2fNqeDjGu1MfQ1&#13;&#10;KhBDebuHcY3dBW11MrzAA66ifiHUA931Ns6FBsDnUDAGTDTOh6Yaf4emGcXsGUY88GhjGI9dp+3x&#13;&#10;RoI9Dm3n0OcYI47xX6CvC6HBYADoRz99jOLwVAIkAA/1UnZ/w7QHEO8gI9G+F+i0PdIorY0hxyhr&#13;&#10;T4KDqXAxA84ehN8HjcoglXp1e4qRbk9gzRhj1CVHdem7rt2Lejfud8LegRx1ID+6GKQeIvU87DL0&#13;&#10;PAzOJdSzkXqWOpZ6vq0I61R+gTiCzBV1qTUd13H5xCDz2EYZKZWdx+M2Yd/KnN2JPl5CNy+jkVfJ&#13;&#10;3Wvk7XXDZb9Bzt4gX2/C9ZtwrONqUVi30fpaxDxYzPxZCu/LmSermC/5YBPYSn0Hedtl2PaLzJvd&#13;&#10;MfLyBnY5rpxCxlWRe2/g43XW2334fBXfL9PHHuM6fF9vb0cDW1jTNoH1aCIPrABLjNr2U0ZN+xGe&#13;&#10;mW8EQQVgUo/n/oXQEjh6Dr4kpzoepF3lXe1jdkN26Rhrz+6w3qPxt9swiN8DRwmMoZi9mZjywWqw&#13;&#10;gvqz5GwJOVtEu0X40sUo+4qMMY8YY63TeYxNQj3bGK7dQK3TbcO6blcEXZ8nDrU3SMe3upRu47lx&#13;&#10;3jgeKmFKZNjnyaesR4upE7HIPUHnIsRUzvz3niBVBUSpYsJ9XDnzbCjZQZyjzWh5rGz+xZ74j1Cq&#13;&#10;eS5UjfbXmWdC14NGoLl5PtTSvBC60Sxu/8N0AdPJY7Q+/8H4GzvwatfKxmZJuxH+Gprxdn2zmF2H&#13;&#10;PmqBmqA6qGbG2ancD9FvFdpUpm0l02MHzVLAtJPNq8E12liSiaOcg//cA9SAv1jaqsH4JaLlsWtY&#13;&#10;W72KkMcOxHEqvBcJFpJHXMd1ME9p18wO5nd8dvqGzztfhbqYJ0I9zc9D/cMYQDkwjEGUg4FuHg42&#13;&#10;T2r7GoR9YBgDKCX6gz4giziyzB9CvcwfwWlwzumrZSHj4qgtbjD2weS5l4MMuwO5gg+7rYNzfCaU&#13;&#10;OBWV/yzIkfNIfo660r313AI6CBYSp+R/LhroQBlt/szH/jjzZiFzZYn5Z+hZ8+/QcrT7nFnCXolu&#13;&#10;V6HZVabXXm2WBfp31jjsur7Gmcn2eLOqPclMsaea1ewZZg17DlgAHqf+lJlqP23a9iKzir3Y1O8l&#13;&#10;VmGXfeUUMu6K3FuFj5VmyF6Bz+X4fpY+njGvw/f19pPk6lGzjj0fzDPrEkNdOxdMMGvbD5g17Wye&#13;&#10;GW4GQQVgUo/n/oXQBDiaBl+SU50OpV3NO/XOWkyuYr2zFpsX92jRcrXY5F3EOrLQTGAMxexHiGku&#13;&#10;mAlyqU8mZxPI2TjajcOXLkbZV2SMcwroqWohvMrzgTmMTUI925h7bqDeWfLzrNyLDS6CrvcXiCOI&#13;&#10;b3Wp94PU9X5ikPnPUEZKZZef2Q9h/whdf4qmj6PpL+HmK3jRcfIxdp2mjppu+yO08AHr+hHm+Xvw&#13;&#10;vh+8BvZy7yXsL+JjF9zuQju7zAD1yvYe9P4yGnwNDe4H74JD1N830+wP0ftRtPqxaWlj+wq7jC3a&#13;&#10;Z9Mv8HPcrG5/Yqbjs7Z9EG2/DV4BL6L5bfS5iTg2oOsNxLYBXW+Gk+3EvhtdvwpfklMdP9Ku8q50&#13;&#10;/XaBXEXTzNs8J6GejdSMPPuQmhlRBM2cJo5vwu+i+oVoQp6BnOY986eDs6F4r0Sc/Sd5/BNeJLfR&#13;&#10;5t2f5OkvU9j/Imd/w/EFUMxb3S4exlWUEiVAPNBxGO/lPaHp6yrsxUExEAf+Jn//AufA7+T1V7OW&#13;&#10;/Qvr2GliOc06JftKB+pSc0Du6+DEPungbOg0c0GOP1oOJPe/koNRRchBqvff+5KgCohSxYTruFSv&#13;&#10;/n1UHXs6ucnwng/V9/4ZauT9O3SDt5jd1FvCbu51gVJ2ptcLygL9+6g8dh3X5b3JdkVvVdvnTbED&#13;&#10;3mp2JW8NOwVUB7WoZ3hT7Tpe267nrQL076Pm2GVfOYWMuyL3muOjmTfEOFLtG/DdmD4aeq/D7/V2&#13;&#10;bfJc01uHfuvYad66tg2SQUVvbbust6bt5ZlS3iCoAEzq8dy/EKoIR8nwJTnVaU7aVd7VvK1PrmK9&#13;&#10;j+p79e+jel6D+D1wlGBfT45qElMKqAKSqfvIWUVyVoF25fGli1H2FRljSgE9RVtbUhibhHo2cm25&#13;&#10;H9HJtSWnCLpuRxzlY3zebOctr81/O2/Abu+tbHdET13Ifw/y3xcMAvdRH44GR6KRUbQbha9RaHyk&#13;&#10;1839eOzFaHch1Bf0BF2pd+J+e7hv500E5bXcSrviR+W/dwFug4VoVs7V3vAqNR3tHTsA+xDm6lB0&#13;&#10;ONz7Ryjb+1doFPHp1qRR3uOhiQ4y7PvR/f2MXfYR7b2WzRwZzhy5l7kwiPnRj3mRBbqC9ty7E/5u&#13;&#10;ZX60Zn60Zn60hrdb0eMdrO33EFMXYpTj0GlP2hU/kfoZBxFynz6lCPoJGvxdkLB+bmes6lLrosmN&#13;&#10;oNGP82OJefZdlFmgmTGTs74ddjtQn/vVjEVghx100O9STiNjbiGTV4K/aUTpoeS16HxPkuKyv683&#13;&#10;ipjHh2OuyoPqUjHLveAoY7w9ynhOu8aOMlbTZq19v5HH2eEGzjg3cc64iTPFTfYc43l7HvaH8THf&#13;&#10;WAoWat9n8+nvaQc7aCuxQdv3w/TxkLGFfrZyjrnDzjV2cYa5i1h2cYa5nTPTTfZgYz3np+vASqfv&#13;&#10;aGMd5Ix1/CXO1TyaCk85MXiaauRwrppz6dnIfMk8FSdPtxchX/uIY1OMNWof49W9o97CfgBO3yNX&#13;&#10;h8nLEWMZWAgeBwvsQ8ZD2GbY+41czgJzOVfM5exsJueN8zgDXACeAIvBMrCS+2uwr6fdJtpv0q5R&#13;&#10;0q7moOJ2bQENpioBUioNMi3j1pKXLQ6mace21ZhCLJPsncZE+yVjnP0K+XgdHACHjQn2R8ZU+1PG&#13;&#10;8rnxMHgKrLI/gYsjaOc9tLMfzbwGXga7jZ342Y6/bYzxBfq/OLZoMW4xDtprHfxbP5EauDOsgfaU&#13;&#10;pa5wzp6Cr5ExNHDKGKmdM6eMofZPxhD7Z2OQ/avR3z5r9LX/BhfCiDP72sXCKE6pW1eLm0O1fRXD&#13;&#10;HncJ99HHRfxF+QdxnDeGgxH2OWM0GO/01bIQHcjzmOLmeLu4OY12EjvsUw6m2V9T/5pnTzkYeUlj&#13;&#10;kfx3gHe5ZspzzStdMw0W8lj8G6aefwM+THOI7TUH2aXN/pwB9rX9IBCGRZkcRpBSx38wBv/J2K0w&#13;&#10;AuZ99HERSZQVuV/BHA5G2OXN0UDPfxB7EP7LO9hhG6bENLuEg/F8LRGdf8m75F/+fMGV8t8C/tVa&#13;&#10;HMSdutR6IbtoYeZoNdkK+y3mOM7xJth3mZPse8ypnOtNtzuZD9pdzLlgvt3VfBQ8CZZo+a+FXa63&#13;&#10;bVQglCoWpmpcLXOFXdtcw/lxPufIGzh73mRnglbgFnMjMeTbt5vr7Dtpc6d58f0ULMSXHFcX7Lq1&#13;&#10;vYu52u6Mr0747EBf7emjnbkFv9vs28jVzeZO+t1ltwTNQUNQ29xu1zQ322k8Y+PfNheBBdRncT8X&#13;&#10;+wTa5diSU50OpT1ybb+LXD0eY626y3xcy9+dxHKH+RAczbFvNWfYNxFTJrgBNCBndclZbXJWi5zV&#13;&#10;wpcuRtlXZIyZBfRUtRDe5R4ok7FJqGcj15XuJEe+23sXQdcDiUPtxaK9YwYyv0Y4mKHlLJv5OApN&#13;&#10;j0HbObSfSOxTCyCXryWmMQemAx1n0+FYp29pnwZyw5hKKTEBjDVn2qPN2fZI8pdNHrPD+Yk2vmw0&#13;&#10;OtBB9HeoPEuXXA8oAteH4bpPDF0eNvs4484oRBMJ3DuG/RvW7h9Yx39h/fzdHGOfMSdqufweu27+&#13;&#10;fmeOxef99pdmtv05a/PHrNGHwX6wj3V6D7ad5Gs7+d2O3rebC6kv4/5q+1Xzec4CN9J+I+eDG+0T&#13;&#10;1L/h/knWn+/NpcT5tDa2s9hlbL0LGW8Z7p0xl3Mutc7+kXXla9aTY6wdh8CbYC9ryA7Wmo3Y881n&#13;&#10;wDwwlfPHB+ytxL3bHGC/AV+SU53WpF3NMbU/PFggV1ULiU3Oz4M8J6GejZyf8uxRvneyi6AZP5+l&#13;&#10;Y713/F79eyeIvap3nJ3qncA50CQ73TuVM5XpnEE9yPnKXLuudz54lPOWJ4H+vVMSu25elvKusA3v&#13;&#10;GjvRm2+X9m7gbGYTZzWbOP/aZIe8G4kh3xbedXY12lT36t87dbHrdFvHu5r413HGlc94NjCuTZwT&#13;&#10;bcH3Ns7adthVvDvtoHeXbYEkUBaY3u22y7uZc9B8zkBXgkVgAfVZttubi32CfQ18SU51mpF2lXel&#13;&#10;merkKtZ7p7pX/96pTizVvA9xVjeHMcywKxOTD1QAZcnZ1eTMJGelyFkpfOlilH1FxugroKdouvYx&#13;&#10;Ngn1bKSuR4bXwrFF0HUL4lDnFumFzC95xtzC24/zFokddgsH0c8l5BmcnGvyTOVK93hdLyOmrsTT&#13;&#10;z8EOzokkosc0IRzTxCLEtMrkd1HT9D8Lt8o8p/3b/KvMcmKxWVPMNDNFttledDZ7iiagEnBT/83I&#13;&#10;FJ8ZNcURoxw4l3bEOJr2mfFy2m9GXprbfCKtkjk3rQnoDLKpzzTz0habL6etMo+Cc9q/zS/t0XR0&#13;&#10;D7zcTc7k9/MGUhZ2liTX2UbADdQ8+2/kpBnjqwjkOc1tcDGccmgBTuTP/yt+CuPkwGXo5EAMnRww&#13;&#10;k8Ues7lYbnYVM8wxoq85HZ1MFxXA78YY8ZHRVbxoNBf5RjI4l5ZvvJv2opGf9pExP+13Y1RaBbM/&#13;&#10;Oumf1hfMMEelLTfnp+0x89MOmO8CvU6kPVInipM2cNEaLuT3j7KjcIJJ+/sOaxFPj6B+Hq319Qjq&#13;&#10;3jdrfeOCS32PBWf71gZH+14Kdve9FcwEIWBQP5u0NvhF0mPBD5PGgR6gBXXB/XLYi9HuTHIm6A5G&#13;&#10;U5/tK4c/EVzrawF6BHVrubRH8tOEMUvN7EcQd3NgdYJyEKXSCSatZv4bOWkW5uQ1uLgNLr6lHFaA&#13;&#10;k1jz6OBl6ORgDJ0c9M0IvupbE1zle40cnwgO9P2MTn4OJoFzSSeCnyS9FtyTtCa4MWkG6AHqUy/P&#13;&#10;/T+SzyUdS07yvYtO3k0eCGb7jiWv8v2R/KqvfPCgrz7Q60TaI3WiOHkZLlrDxQ+U2RGcqN8Zk+dd&#13;&#10;Sj80+4+1NxN+3gpcnEdVsatLnT3IZ5gTgUzfgmS1b2jGPanTNzAa9Ps1ZceI/lWfseax7H9f8sX+&#13;&#10;M/CpLtW//IyU6duXHPRNhsMFyVlOuY+v9yVH8qLmzyHiuYl4jlK2LRAXrrTz538zlmZ0Jjl6lRga&#13;&#10;EMNJym4FYpG6TcVuAMlRCpDt5dfyYvxOebk8ZsFjG+sij+nOkxf/UTzGU83ytbEOBSQOWlk+iTZW&#13;&#10;NA4ld6nE6wN1C8SNG23cquvLjXswcfcKx327ephSxW3y9WBfL2ucg6nWIsrNYL5vqvWCb4u1BEzz&#13;&#10;PYz9SbDFGuygV9Rxfcy4BOP5grJ2xLguN+ZdxDw7HHOwkJhlDnf5ZlsdKNsUYpc53+Ubb+3xjbBe&#13;&#10;9w2yDvh6Wx/4elrHwU/gvK+PFee/17rKn23F+8eA8ZbuXfIbvmRfOYX0JTX1q+8B67Tvfutn30jr&#13;&#10;R98w61vfUOsE+Bi87xtuHcL2T1+O9Y5vCpgDHqO+iPvPEtdz1ie+VbRfxXOrrB98K/GzDH/PWL/S&#13;&#10;5jd418UW739Sy0MJ/7OMdbX1h+95fG3B/1b62kpcW4ljs/Wab531km+5tcv3FJit7UvalZ5JUdzV&#13;&#10;4Dhf9AjnKtr6dtzXA+57XHq2Mc+5QRMg+fsyrJnvi6CZTD/vrXAc6fhUl9K5nJ+Z/mFWLQe9rEy/&#13;&#10;xLBLManx1MLP6Bh+avlH86zEFvxJjL7kJ3JsP4fH9ksRxtaNmMii87unQTUwSjU2OR+6kWep0XWF&#13;&#10;2GVeuvmXW939z1k9/KusXv41Vh//WmsQuBcMpT4cjWSDkf6VYAVYRv1Za4R/qTXM/4w12L+E5562&#13;&#10;OvsXWvf4n7Du8j9m3eFfYLX1zwOzQC71idhyrE7w0dM/yhoAhoJR1Mf6x1oTmWdT/FOsqbTXaTob&#13;&#10;u24sI/wziWs6MU/D/1RriH8yfU1mTJOtLPz35F4P4umOvbt/BniQ+izin419Dm3n8uw8a4x/vjXO&#13;&#10;/4g1yf84MT1l5foXg2VgNXHmW+P9G6wHyO8I/1ZrIOgBOlK/m/u3+/OsW+HyVjjSjUXmJXLODCSf&#13;&#10;o8L5jDZnBsKbhHo2Ule/oqfqrK/ni6CrvcSxJYbW9zLeDQ56WXuZM7IeLaZ/hbV+oQgxHSamvTG4&#13;&#10;Oezfa70PpEbaFKJ3g3sfYP8IHAUfg0/9e6xj4DP/S2C39bl/l3XcvwNscyBzGG1/9Db6/RR8x7w4&#13;&#10;S+kOjLZ+9W/W9v8TfX3vf9066X/L+sa/3zrhP0AcB4jpgPUh+CCMI5SHgU5DcryKc7VOnYSnWBo6&#13;&#10;iX4k1LONGaMbNAEVQRz6kRpKAJF7kMt9V1uB2GuTFdCvTVZguZUceM4KBlZZlQNrrFBgrVUN1ATp&#13;&#10;1K8PrLYyQJ3ASrACLKP+rFU7sNSqFXjGqh5YwnNPW77AQqt84AmrbOAxq3RggZUYmAdmgVzqE7Hl&#13;&#10;WEnkrlJglJUG0kFd6o0CY61mgfFWi8AUqyXtdbnIwK5bm2oHZhLXdGKehv+pVo3AZPqazJgmW1Xw&#13;&#10;X4l7QeJJxp4cmAEepD6L+7Oxz6HtXJ6dZzUIzLduCDxCXI8T01PWjYHFYBlYTZz5VpPABqthYAt9&#13;&#10;bbUECIJrqV/D/asDeZYJlyYc6cYi86K0oXQlyGcsXQl4k1DPRurKFdaVSXmle8ABxDElvA4EpVbD&#13;&#10;V8F33gD4lLmINm/7Ys+C657kozt56QrHXeFWx8ko7DqfI/GRja/h+ByK7yH0IePQ+ZR2xZXiWY5P&#13;&#10;8RxUg6P8v8c3SrvG3EsORgTut+4PjLHGouHxaHgSOpuKtnLR1bTAQ2A+eAws1MbYBbscd5tCYjG4&#13;&#10;15W51p251wtd9UaD/ZiXA8EQMJT6cObmCOZwNm1GolMdH9Owy756F9JXGe7l4msKfiei87GBzfjl&#13;&#10;/Qt6gc5ovF1gvdWWtaEN+m3D/GjDvGnLvLo7MMHqBBc94WUA0MUg7ZE5GVggJ1Hfyzw3sMCzkdqX&#13;&#10;mpdratkiaH9VgTiChXAk93uriEGn07XYn0cbG+FjM9rYGhhnbWcNlJykF+JT7o+3B3pZbzrYQluJ&#13;&#10;PG2etpKHzYFN1gbaPh94wVpLflaCJeBJ8vYo+ZuHNuagnTmsy3NY2+YxZx4hT08S1zPEKMehy5O0&#13;&#10;R+ZpLfysibE2rEU/kp+cQsZakXvrsW9Cyy+g123Etz2wCDwO5sHVLGzTGVeulY+u1oKVYBnzainz&#13;&#10;agl6W8y8Wkz7xTy3hOeX8g5bhr+V+JV968Yk7WpMkfq5Bt3Iz89JRdCPPKeswUTSxuCrUUbHz1pf&#13;&#10;6zJLfVllZvvuLzPaN7tMd99jZTJBCBjUzybdX+aLpKwyHya1BjVAIvWzpc8mnSht+N4pHfK9UjoT&#13;&#10;dAejqXOuV3qp72zptb7EMmvpO1Zs0fiRZ7dHmQDy7PZnSrVPIaWX/Xec/hv5aQYBUtfyHPcwvMhz&#13;&#10;3DMF+JHnYf+TM8tFpS/qJ9o6mOlbRH7blZYaSgXqUu8v5Mu5Yog2P16d6cu7WpfvTN+yRDUPmvGc&#13;&#10;HIc8+5xP/PLs86uIcaicY/qP89YhaP9U4sXYo8U1xHcqMdP3RGIFysh+5Xniw/QnzyK2/Q/6ffEa&#13;&#10;fja9xMV+qxOXuhQfmOJevOaXEuPKSXxq9qn4qRnZdxJ9jqTdU5STovTNbe33bZ6AvE/Ni3FkqCAo&#13;&#10;VRzyvPcJ+m5X8YITQ7uKu0xZl4g252YSz710PE/GVyAuXGnPe/83Y2lGZ1IXDxCD/DmuJZRTC8RS&#13;&#10;8PsU3NZytLJcXNzi+Isc3U5bdSmOoC9uZbnF8dsc7In/kPIn8E65PfE/lzsdfxTsLfcO9iPgdPxK&#13;&#10;B4vjo/H3f9g78/AoquzvR8e+VWCU7pauKkEkM+JPxgUDw8zIpqAQthh2RUEWCSAgOwIREATkp6Mg&#13;&#10;7qhshkV2QoCwaSBhSZBNdhBlkz3IFlYReT+36It5MqnbPuH94/3jref5ervq3DrL95x7bnUXyNP4&#13;&#10;+ik66zKOZ1T1y8eb/EXyuYjFnykP+1yGG9WhfEZ1VBFrvq+ItcvXnM/xagKjmhPtzvmROXt9Ra39&#13;&#10;vjutn313W4d99wAH3Mf5/chKWz+C3WC7T67bWKAOpQtXokpjL9bFWV+MJXHMtZ2oJjOq+UE+S3mM&#13;&#10;dRy9J7CT46KUddJXwjqF/TM+Cx33WOd8fnAXuAP8Hjrtuxo65rsSOuy7HNoHdrk+eXFwOSQ5mH8z&#13;&#10;F+p5uzj8pUbgr7iV6pPwymM9SB5DHA0ZJzAWJo+d8GNL2I8YdKhD8STroJO1xeVxoBIyKrlcA52s&#13;&#10;Db5XrLW+DtYaX6KV6WtjrfC1BM+BxtZKX0Mr29fAWudLsDaBrWAP1/b7mloHmXPI9wK5bgnagHbk&#13;&#10;vAOyV8h5J2pH2tb1ailX/Chu2+ThNqYAn2VMbeBV1qVXbXRE3tVa6OtlLfX1s5b7XreywGbwI+eH&#13;&#10;fL2pmW7USEdqog1oAZ6nXppap4n5F+LLIebj2nptYBURT7mYDycS37g+VSzAZ8G1hvjS2FqMjTRs&#13;&#10;zcdmKrZTtfxIueJH9Xf1e0ujcP00Z/wK/YWpn7FwPS5C/Yy1xmnjGod8PJgAJoKvQDLQ5T3ZmuHq&#13;&#10;9OorXyGfCMaDL8EX1kzf59Ys3xhrNpgD5oIUkAoWuLZqFsC7fJ86CfkkamCMi7O+t8nz23we7GIB&#13;&#10;nyVStDG+jQ/vWFN871qTfKOsCb6PiE/yootRyr1yJ3P2Kb61ZCxsD8/8E7nLxAe5TrxqciXyVWA1&#13;&#10;WAOyQDbQxZUNF1KnV+6kfA1YBTLBCnK3gtwtJ3fp5C6d3KXDdzq5S4+Qu7XI15KndBdnfXPI3Rw+&#13;&#10;T3GxgM8S+tzNwYe55C6V3C0gd0uIT/Kii1HKvXIncyZz1+YWcneC3C2PsO5OEKMud0eRH6JHH6RH&#13;&#10;77dW+/bSp/da67VxXUKu03kRHRfQlcs+cAbdp7Ah/dBxJeWKK9XDZXxqf4yBK3WofUf28BPkX1dH&#13;&#10;p5Gfp09epo//Zi3yXad/3m6n+3x2hk/Ya3yG/R3YADaDHVoff7J2aG3ttX6CwwO+n9m/DrOPHbOO&#13;&#10;+HLAKXCW81yun2e/u8DedtHap7Ul7H2uLa+9SdgHfXfYR3y32SeI6wx6c7GVi+1c34+c72Dv+R67&#13;&#10;G3h22sB+u4GcfE8uthP/Hrg4CC+SO31O/tg3VE5y8uSkjEoIo8oJ5RyVg14Jlc/8e46s+THM68BY&#13;&#10;2GeWf9iRa+Mf9o3a8OpbFZHnxT85l9Bx8k97pbYGKtqZ6Mz0/QNUAOXDeJjxf+xVvjL2Wt8D9jrf&#13;&#10;3+xNYKtrKxYu1KF4ZFlH/c0+6wu6mO/7qy2R7tr2iqeMvRQbi3xl7TTfI8x/nFgkB7p4pNwrTx3D&#13;&#10;eerCWNj9ZRh5WhuhRw2DE7mGByoSGBUPDp+H2Vm+ofZq35twP5h1O8he4UsCvUEPeO1mZ/u6so5f&#13;&#10;tTeCrWAn53u4vhf5z8w7zPzDvoFgsH3IN4S1M9Te7xuGfJj9g5afj5HrfPuIdfohOkfZx3zv2KfR&#13;&#10;m+vrD7qBjvYZ38usz1bIW9g/ga1gLecZvnb2Mt8r9kJfd/jvD4aAEfYC37vkbzSyj5jzMXN1uZO8&#13;&#10;qdyp9ZmUZ114rc8kbEmoe/Ovz+7hvL92C+tzEX5E2psW2fq9aT7yFHI8h7zPIv8zyfNMW783rUQu&#13;&#10;8+W1RlaiIxNdK6ibb9G9FBvSDx3PUq64UjzL+CLtTYvgWPri9YzzDfIM1ulq6mAteV/P+t3EGt9M&#13;&#10;7rfaa3zbqOlt7E3b2Ju2RdibZiDX2ZpB/c2yD8Dnz75U1sFC9o7FYBlI53wF1zNYF5msi5XUtI6P&#13;&#10;rRH2pq3o2YzejdR+Nmsgg7WwGKSA6ZxPsnN845B/wfr7gjXxBTkZRy6SiX8aXMyBF8mdzgcpz5+T&#13;&#10;xXly4lX7i7lPQt2bv/b7hmt/4C3U/mn8OBvuebHkXx2qp8nefpq+vs8Fv+PYEmc9fRqEL/JZ8Q3G&#13;&#10;wvbhYk5kn4o5Z33X8eM6/hRzJLx9GhL2aegt+JQViop6Qtz4zStGkcSoeJLPd1mhJ4RuPUu5RHYe&#13;&#10;rOWzrnbWhuq6Or3WZTbyLLAmjNWMq0A6WBqqLxaFGoi0UCPQDLzo2ootwH+Z57RQPzHVRWWxMCRR&#13;&#10;UxvPolB1sST0pFgWqoq9yiIzHJ8uHhm/Vz3XID9T8aMW4yzGB0E04BiiPkue7wHyOtP+6/frHPJU&#13;&#10;K0KeckK1tHEdRX4oFCcOwuF+ONwXShB7Q421ebqEXJf7S+i4gK5cdJ5F9ylsSD90XEm54kr1chlf&#13;&#10;pDrMgWNdfz2D/HyokrgcqiJ+C1UTUVZ18RerpvBZdYSw4oVhNRKm1QQ0By9pfdwbeklra2+oHRx2&#13;&#10;hM/O4kioizgWelWcBKfBOc7PhzrByyviInMuhdprbRlWe9dWInlXh1p/QS4IqxMxvCpus3oQV1/0&#13;&#10;JsFxkvgZ/MT5zlBPsRm7G0OJ4AWQIL4nFztCNcQeuDgIL5I7fU7+qF+Vk5N5cuLVy0+iV0Llsyr+&#13;&#10;mkD9thUXrv14xtlcV/XOxz9d+49a/H2MCLX/qNXF5XAgitWhOHS4UAH5v+DxCStRVLbagpdAc9AM&#13;&#10;NBKVrATkdUUFK048BsqCB6mbB6z6IgZZaeqmtPUCeInztuKvVjtkncRD6JW2ddxKueJHcVuWmCLV&#13;&#10;e1lL33cfQ17BqiT+aVUV/7aqEVt1YnnG9SVWkcCoePDxubJVWdRz8T5zJbpra6+S1QvdfURFq68o&#13;&#10;b/WHmyS4SSL+JFGSaxY1GSC+u+HjbutF0JDz2lyvgbwK855gvr72pFzxk79+ZN1Mxe8mjHMZC1M/&#13;&#10;8rf1yuH68arjTnDSyWqtXfOdrJeZ0150tjqKLlZn0Y24e4P+YCC18AaywcwZjJ7BVgttHgZjb7SL&#13;&#10;fmKIJdFNm4ch5EliMHy/YfUEvcQg8Lr1Gvb7ir7o6E1+eoCuIBG0QtaCe17Av+ZWB9Da9cmLg+Yu&#13;&#10;B5Vv5kLVap88tep1bx9yKOGVx6bhPL54C30gBT8qhPMYSy2oI299p1gVxAQXZUSKJVHhpk8qngno&#13;&#10;UfUQq5Qw5tUzAS5SXPRDn8QfvOSv0RbENJn7X2KcxViYGt2fh+MYdKhD+SSfD/bDr24vPoA8Lw5y&#13;&#10;LqHrTQfpebo99QByif1gH9gbxk7GrfTGzVYD8T39cxN9dBPrX9qKVc4zKv9l79kEj8tdVBYb4XMj&#13;&#10;e7Muns30s63Wk2I7/W0X838kFsmBLh4p96rB1uEafPkW8nQH3ysiPYfdYeufw6KQX2N/uQqHV+Dw&#13;&#10;MvvLZUv/HOa39c9hfjtBFLPri7vsuqKoHScMbEg/dFxJueJKrQ0ZX6R96Q5b/xxWBPnddiURtKsI&#13;&#10;y64m7rWri/vsmuJ+u46IsePFX+1GoAloDvTPYZfYb3X1eYl95wr9+Br9+Dp97nb7VeEDJrjT7gIf&#13;&#10;nfDlFbjpKPy2/jksBrm0lVhA/Qa5FoOu+9Fb0u4hQnZf9CZhKwnbSeIiPfgMffkEz2lHecY4yrPC&#13;&#10;UfJ6gjyfZi88z154ldqU3Olz8kf9qpz48uTEq//60Cuh8pm/R7UL134nxtnEUpge9QR+tAv335gC&#13;&#10;OJI96gm7ncuh7IPqUD1A+l7J7iAqkY8qcFkNLqvbXUUcqAvqc/4sOWtgdxYNkTckZw3JSQM7USSg&#13;&#10;N95+WdS223BfK/Evu6Uob78oylFDj9jNxMPU1MP2s6C2eNR+GtmT4p92Zew8IZ4B9UEjzp+jHltQ&#13;&#10;j62o/VbUoi4XCchlPXjFkmDXw6+6+FwH/bVEHWq8JqgOnuS8KuuwCv5URl6ZuZXRVwUfq7JWn7Qb&#13;&#10;4FdD7m0smthNRXP7Ofx6AZ9aijbE2IaY28BDK5v92+4tmtn9sJWE/iR0JImKnD/O9YeRl2VeWfjR&#13;&#10;xSLzompD1VWtP1FXteBNQt2bv646h+tK/l5Z2LpKxo8HItRVsv2Am4uKqqgYVV1xa9Qk5JPBFDDV&#13;&#10;LiO+BtOBjpPpdnlXZ3wBOqO5Ng35VDDZjhXJ4Cs+T7R5vrD/ASqCf4J/gSdAZddWzQJ0yXfX05FP&#13;&#10;px4muOgn3id/7/N5hIvKYhTyUejS7Yej8OF9+xHxof138bH9oPiCWCUvuhil3Ct3vcnZZHzrxyhr&#13;&#10;vDA9IZPcqWcpub7VoXKD6qhMYsu09c/Wmaztlaz1laz51dRzNn1gPdgMttMLdiLbxZzd6Nlt65+t&#13;&#10;d2PvuIt+4gd4/sHWP1vvZg1J7KKv77J7YquX2AG22a9hv6/YhI4Ndn/xHcgC6WAxsgXcMx//Uulp&#13;&#10;qfgl8+DFQarLwR/PkGoNbvgTa3AD9SXhlcf+kDwV2/K3ycKuwRJO5H2/hKN//pRyiZJ5cB+fdfV5&#13;&#10;n6N//iyJvAS4Fzhh2IwBcJdTXxR1GogiTiPQDOifP4s4/cRlcnmZXJiOhP75s6hTXUQ7T4q7narY&#13;&#10;qyxC4fh08cj4vfI0OJynYYyFXW+lyVNcuFd69ZrSTpwojb9lXfxd/NuRqCxquIjjswTfB6kZr973&#13;&#10;b4ffSpzOoIuoBKo4r4onwVNhVGeUqBGGrvZrOP1FZaDrbRWQP0Z+Hnb64HcvwL6GXZ3esm6ccZ58&#13;&#10;S55lf/vfW1gXXf/EuuhKznVc9kT+mlNJ9If/AU4VMcipJgZTW286T4uhTi1QWwxz6oEE0MSNuSx+&#13;&#10;q0P1Uvlnp4fBUW8XN74PeOWvN7p6OfGiJ3p7oL8rdjqBRNCW89Zcf8l5VrRk7bR0nnNtxiqDjMqm&#13;&#10;/N7WEnvxLsowV+JpbS5bsWbasmYSibcjcXcmfsmRbt1Iude6eTucx1G3sG5mkMdI39tmwI3MY8UC&#13;&#10;eJDPGFORT6bmkuk9E+g94+F4vKP/3rYIuU5nGjoWoms+OlPQPQcb0g8dV1KuuFL7iIwv0ve2GXAs&#13;&#10;ffGqmbnIF5CvxdToN9Tocmo0kx65yqkj1lBLWdRKFvWZ5TQH+u9t45DrbI132sFhRzGJHjOFdT6N&#13;&#10;PjITzAHzOJ9P/1ngvAI3HUWao//etga5tJVYQN6CXFuDrlXozXB6iGVOX/QmYSsJ20liLOefOj3F&#13;&#10;aOQjnUTwAkjgPE584tQQX8JFMrxI7vQ5+aN+VU5m5slJmQJ8o5yjZqJXQuWzKtdMoH4/f59Jcm//&#13;&#10;hHE2Y2Ge0XLz+BGDDnWoNS6/t+Xig+TQq/bPI8+LC5xL6Di5QE1LnV71dh55bhjnGM+GcYLxCGvi&#13;&#10;EHv7z9TcQfb2gxH29oP0py0uKosD9J0DEfb2Q9T2EfrUMfpUDvNPEYvkQBePlHvl6dNwnr5gnEXM&#13;&#10;hclTaog/Sxfe22PQoY68eUoNnXA5lTbUoeSyxlJDv4j5odNiQegM70XP8a40VywHmWA1yOLa2tBZ&#13;&#10;8R1zvmPud6GTnJ/g+nHetR4TK0JHebd6SKSEfhYzQwfEtNBeMSW0R0wO7QJbwQbepWaLGaFVYm5o&#13;&#10;Be9S08W3YDVYx/n3oZVie2gN76TWiV3M1/GZjVzWh1cs2aHN+LUJvzaifz0xrMPWOmJah4/riG89&#13;&#10;cW4Am8D3YAv+bOX6NsHfwWDuDu7fJTaEfhBbQj/i1z58Oih+CB0BOeAs5xfF1tCvYlPoGu+vr/O+&#13;&#10;9zp6rovZnE8PXSHeCyIZLpPhSBeLzIuqDbX+08lnejifXus/Hd4k1L1V4cMEav3Ld8cLOK/NuIyx&#13;&#10;MHW1Dz/Wh/2oiQ51qLqR30/3weW+UAbvMSVSeIcqkSFutyTW81nipHY9X6amLsPVFXi9Qp1dBdfD&#13;&#10;iLLO8T72HO8wb+B2RsmnFy+3W7+LX0O/u/YqKocZlc+EE5WL/BfylEP+jocu4/cFoNd7zI1zvSff&#13;&#10;kudUdNe/Bb7vs/g7s2G+Y9GlDuW7jwv3WUtEtIsZ4j5LYslNn1T9RKNnRQQ90dYK7pW4hj6JFTf1&#13;&#10;5K8l+S5NxpbAuJSxMLXUA5+Wh32KQYc6VGxyL+lhLdfWSW/kfUF/fB1AfQ2yVvJua41408oWQ611&#13;&#10;Ypi1EXwvhltbwU63TsoqQ4zKlvs8TMy9XeyIYHMb87aIXtZm0RP93ajpzqADaMd5W2RtrG1gB9it&#13;&#10;tdkGew1d7NbabGhtFw2IIQGbz2KjHrbiwNPgKc6rcb0q8qrMq2rtcm3GFhCnrJeq2HvUxQpRBd6q&#13;&#10;WGtd24kFzA9yrRp8PmWtEjWsTFGT+XXg+1nQGDTjvDnXWyBvybxW6GrD+DJ5aE8+OiF/lXkyj7qe&#13;&#10;J+VefasBNbYAP164hVpLzlP/Xn0iGV+TrcPaPCRbx8QkK0dMtn4RU6wzYpp1VswCqWChdVosQraY&#13;&#10;OUvQs8Q6oM3DEuytdXFNLCUfS60L2jwsQS6x2LoILmHrskizrogF1lUxj/vngtn0uhnWdfE1GA/G&#13;&#10;IPuEez7Cvw+tk+Cw65MXBx+6HPyx7lX/mAN/kfafOVa6kPDKo3xfK/Mo/7x4Yfef4/hxLdwzYtGl&#13;&#10;DrWOZX0fh4fdLmaI4/RDee7lU1t8SeWedoyF7WMl+N1tX9inGOUQo/JJ9rES9j43txULkHNr1L32&#13;&#10;fuHYB4QNLBCyD4p7gG7N+O2ftfUSjbyofYj3V4eFsI/wTuc4OAlOgzO81zuHLJc550U08IN7OLeQ&#13;&#10;3WufEiXsHHCjXmIK8FvFpbhVtRKAj10R+AjYu7S+F0du2TvhYye+7MCPbWAL+B5shKsNyNeL4vY6&#13;&#10;/F6H/+uIYz3xbCSu74l3C9im5e8iPVo+M8YXEFs01y5Zm3iX+h3v2rJ4H5iBvuUiAGxQyl4hHrBX&#13;&#10;8q5kNe9NvgNbtLYehk9pq3oBtopw7WE4f5h8PGJfAJfAZXCF90+/isdAOfuqdt2Ws6/xXvSaa2Ng&#13;&#10;ATYcrt1n/8acq7xz/BVcAZfARfi9DJe/kvvf4PJ3uLwOj9d5/3ld/C6fnaxfeSd5SVywcsEv4LC4&#13;&#10;ZO3nXeVPIsreQy3t5v3ojX0upgDbsk5kvvPXSZA6idRTgnY67369e0oi61b2FPnuqLA9pQJ+RHqm&#13;&#10;rUBtVbAzeF8mkcI7OokM3qVJrOezhP6Ztj7rrj55jrfPgnO8gzsnGofRhFGiaRjNGHXPtM3I07NA&#13;&#10;1pRXT4lDXp2aeJLcViXHVaitKhH0VnHj9H6mlX93JBWb3W6B7+7wHemZtru9RLR2MUN0tyX++5m2&#13;&#10;NXoiPdO2Zp12d3ENfRJ/7G35n2nle0cZW0/Gwu4FX+AT3060/1+UL8iBzJvXOp2AfBJ1MsX+RUyz&#13;&#10;T/Cu7zDYB3Zzvo3rm5Fv4P3fet7brRefgg85H831kcjfY957zH+P+0Zy/2j0fIi+T9Erbev2FCnP&#13;&#10;v06XElOk/W1peH/zimmpfUwsov5T6Tez6TNT6C1fgtHgbc6Hcf0N5AOYNwBdA+j5b9DLh9nZyDOY&#13;&#10;l878dO5L5/4M9GSjb6NYyjxpWxeTlOeP6UtiitR7pD0JdW/+eulFncjek8RY2N5zFD8ifQc6yn6j&#13;&#10;W+enkOdS15fsVeKqnSWuUQ/XwntfWfxTh3oekd91rrEWTrq4sQ/Hq0mMal40n0/a25m3ReRQWyeo&#13;&#10;saPoPgh+Arvhf6e9lfeb23mvugv86OYhtgBd8rlsO/ZWu1jBXIkb3zu8+tdOew02Vok9dqbYy/yD&#13;&#10;xCm50OVaylW+1PPIgT+R6wPkWULdmz/Xr4dzLf+eRGF7w9MO/0+pCL3haWeGNtfPIK8JaoE4UBvU&#13;&#10;ATpO6jiLXJ1eOa6NPA7UBE+D6uApZzFYwnu6pWAZ+BakgwzXVs0CclyUa3WR13XWM0/imijnYr14&#13;&#10;kPMHkZVz8a02xnJOmnjcSRXlnbmiojOTd4Yz8Esfo5R75W44OUvFN/nup7C5k+/uIvX1ro6+r/dC&#13;&#10;3tc5w7u7X3h3d0IMdA6DfWA359u4vhn5Bt61recd13resa0X7Tlvx/U2yFszrzXzW3NfG+5vh572&#13;&#10;6OuEXmlbVwNSrvhR62IkMUXq6yOx1xzuBhaQb26PGukcE/9xTou3nItiiPMbMVzHl+v4dl204Pw5&#13;&#10;rjdCnsC8BHQlODs438j1bOQZzEtnfjr3pXN/Bnqy0beR9yY7gL6vS3n+mGSeIvV1aU9C3Zt/rcs6&#13;&#10;kX1dvi8pbF9fgh+R+voSR9/XlyLPi2WcfwN0ef7G2aRd68uQLwVLwGKwKIx5jLOosxnOdjHd2ck7&#13;&#10;tD1gv2srtoDcy34+jbU9xsUK8bUjsU67rmc4WdhYxXu5TN7L8Xs/sUgOdPFIuVeeRofz9PEtrGv5&#13;&#10;u3qiceN57dEC4ryDa+mhRGMryA7VNORn5Y9aR8vRUT6so3oBOopwbXmovLEFnAkNN34CO0O9jSVg&#13;&#10;Pp+/AlKeX292Hr1lCtBL2FHZ3Ceh7s1fy/I3/xXMk/9fqGzGB0E04BiiPsvvZ7q/L1bU4v+DFY4v&#13;&#10;Vt4ZPtRzgo/zotZw4wpxXMGXopbE8Js+KZ5uQ8/jYT1e8dxmPW5IeMVTLxyP/P25sPHY+NEi7EeM&#13;&#10;CoZRxSP5sK0WRnPG+ALkkj/bijdKWDWMv1mVjL9b/zDK43NVUA80tSoaL1rVjFbW00YbqzaIN3Q1&#13;&#10;3gC5tDWwAFsO1xKsOka8VQvdzxi1rerGM9aTRjXwL1AeH8pZccbDVn2jrNUYtACJnHfheg+jgvWa&#13;&#10;8W+rH/P7cV8/7n8NPT3R191IsF41Glgdtb61Qa7joRU2Wlj9iXkQ+oYZcdYIbI3ArxH4MdT4q/U6&#13;&#10;PPU2bOsV0EJrS8pV3lXNVCFX5SLUTBWrnCGh7q0KZyZQ772eDddMM8a1XFd1z8c/vQbS8KN9hJpJ&#13;&#10;s9pr85hmtTEWWi2N+VZzY57VzJhtNTGmgUlggvWcMZb4v7RagZdBB9DVGGf1MiaSs0nkbgo8TwOz&#13;&#10;QYrVFz290dfdSCPX0rauxqRc8aO4nU1MtSLENJu6k/lPBOpQ6yTIhQXIl1Kfy61njVXUX5b1IkgE&#13;&#10;3Tnvx/VByIcaC6y38Pst/H/LmExvmMi1CdYQ4nuDOAe6vscqA4zKhuwtX1pjjXddxDFXooHrU8UC&#13;&#10;5guujcOX8ayHiVZdbMVhsxa2a2n5kXLFT/76ke8dMtErf7dex1iY+sn9E1zn4oPk2iuu88jz4gLn&#13;&#10;F4Eu7xepM936vYD8PMgF58DZMHIYj1jPG4eoyZ+pyYNWW9BBm6eD5HWLizjjALwfsBpp4zlEno5Y&#13;&#10;9Yxj5CmH+aeJRXKgi0fKvfIkf8uXeZK/CWYXMk/yt/z+EdZECbu/G5dXvy6N/AG7n/Gg3dsoa/cw&#13;&#10;/m53Ae1Ba85f5PrzyJsape3GRglggSDnfq7fhTyaedHMj+a+u7jfj54g+iz0Sts6fqRc8aPWeWVi&#13;&#10;itS7KmNP1olXTJXtbsa/7b5GBXug8Zg9lBhGGCWBH5ic/4Xrv9OTrlrdQHvQkvNmXE9AXod5NZlf&#13;&#10;k/tqcn8d9CSgr5lR2W4J9L1LyvPHVJKYVO/yepYoadfCpne9tA/Xy6uMawtZLy3z+BGDDnWo/iWf&#13;&#10;JVrig25dt0Hezo4zOti1jU52XaOLXd/oCj8yz7FKIaPSKXtiV7u8McjFcOZKDHBtePXpLvZgdL+J&#13;&#10;jWHYestoDVqApiCBa3XtQUZNaqwG9VbD7ghact6U6wkGfyeFebUMGYeu9qQ8f57kb7SR1lNralZX&#13;&#10;e4nIO1J7nVkHr+JfV9ZFV7sDaAVXLxiv2M8Z7fG1nd2EuJoQVxPjeWqrmd3caEIcje02oD3ownkP&#13;&#10;rvdG3pd5/ZmvX09SrmLKvy/IullBLuTvgIWtn7HwE2fc+P7hVcdjqY2x+C45igfqUPUQzYWxdnfm&#13;&#10;9DTGEdt4YvsKv6eAmWAu5/OQpTIn1X4VvKKtrVTsZboYbsyntuZHqC0pT2X9p1JD8+w3jBQXg43Z&#13;&#10;1NtMamsaOqaCSdTaRPAZ+ICeMYr73sO/d+1eoIvrkxcH77ocxN3MheptX+dZf173fk1dSnjlsU+4&#13;&#10;D8jf+Aqbx0v40TKcxxiVIEaVI9kHLlGLujq/SO+/QM2ep57PUc9n2BdOgiPgZ+r5APL99kvGPrst&#13;&#10;6AA6c96N6z2R92Vef+b3N06Dc6zl8/Zr6OttXER+0e6qXbuG01Xrm3B6GT6nn3GbM8D4jdxdoO/n&#13;&#10;gAPgB3K8ndxvxuZGamwjvm0k1s2swx30jz30j4PwnwNywRX63O92PeMvzrOGcJoahtNS65vkTeVO&#13;&#10;5f3kn8j7SWxJqHvzr98B4by/eQt5j3aiohqH816zgLzL30SjncZGtFPbKO7iX0YZR6K2Uc5FYz5L&#13;&#10;9Nau7zLOa8zhmQL8j9PfKAseCeNRRonHwijHKPu013oo5wxHx3DXXsUCfJbP0KWdt4wSzjDDdoYY&#13;&#10;IWcwvg8Eer3F3Tgbe/IteV6B7rduge+68P1UmO9YdKlDrTO5N9Z1njIquYg16joST930SdVPJfSo&#13;&#10;vhurlDDm1VPJieNeieHok/ij/+SvpRHh2ORvh9noKcx3hD74FGmv7EMOmqN/YAE+c3tUf+QDqZHB&#13;&#10;1NObTg9jqNMFtAetOX+R688jb2r0J1d9QHfQhfNOXO+AvD3z2jO/Pfd14P5O6OmCvu7olbZ1+7+U&#13;&#10;q7WmeP4IpyI9e36EPV1MHzndjNFOX+NdanCEM9R4wxmBLyPwbYTRlvOWXH8eeTPmNUNXM/rJ804z&#13;&#10;ricgr8O8msyvyX01ub8OehLQ18z4iHnSti4mKc8fk8xTpGfPPk4tbHr3nneok0zyJX9jLuyek5HH&#13;&#10;j5gC6kHuORn4ILn1WudZyNfTh7536hnb6Mc7HHo2dSA5KVuATvnucAdrYY2LVq7u+ALmRXNtjdPC&#13;&#10;WO28YKyitlZSYyuotWUgDaRynoJsLjmYS83NdV52bcYWoEuu6bnYm+AizpjDOpzj6H8DSHHisVHP&#13;&#10;WODUNRYxfxlxSi50uZby/Llelodjr34qdUuoe/P3hg/Cuf6UMZtYCuoNiP7r/9P1UJC4w73Oy/ZD&#13;&#10;wblGqWADoWxWRw8uu/8+x+eMuRTBj4zKJuqGqM+yPnS/+5bCfik2A8mZV/2UCpYSTwXbCOnDbwE5&#13;&#10;lnLhxcV+jE5C31HGGXn84uNNvwri4v+mL9UxJjnajA8fM8p/w2QJo+JFclSWc1nDiG753/Xdzb8V&#13;&#10;EimPu4vNNboUn6tdq8OQf1Z8kTGteLaxpPhuI7P4L8Bn6mo6s/iYIs2JwSt/mcVTiiwpvqrItOLb&#13;&#10;i3xW/EiRYcVPFekCdDp3Fzul1ZmBfHaxI0XGFtte5N1iq4oMK5YCxmh1DivmM3V+Div2i/Fusd3G&#13;&#10;2GLZxuxii4wM+JKc6f2c67kmx5PYDfDyMMVWhM8q91y6+W/Y3MGJul5QTf7/vP6/k9fq5Equ6THk&#13;&#10;MosxloQVy5PXSGuaW9xD5Ztbtb1xTIB/Awelsv4aunfe+I96fryL0zGBn4zpLqLMtYz7wLeBKPNA&#13;&#10;INZcB+YFos3pgRCINce4+MmzXrfj0BZ0/sT4A6Pyk49D1OdIPh/FZ8O84XMMN6pD+SzvPxow3HUY&#13;&#10;r4SMSi774dHAFSMncMrIDRwxfg3sM24P/mjcBUqCB4P7jUeCJ4zHg6eN8sHz4Ip2fcYgl2t+YAG2&#13;&#10;ZC7vD15gbzuH7jOGEzxp3BPMwVaOYYDbg78YvwfOGVcDl4wrgd+BaV4JBMyrAce8Hihl/iX4V9MI&#13;&#10;ljHvAvcAJ/g3s2SQf1Y1WNK8P+iYMcHi2r5ZHrn0zYuHx4OlzEfQ+2DwYbN0MNa0gxXMu8Ht4HLg&#13;&#10;cfNs4CEzJ1DaPEp+Jae6PiXlar9Uz83RwaioPeH6KlMAP7IfRQf3GBLq3qpcI70333vtJaGyZuS/&#13;&#10;bbWHUdUJH/90zVTDj8sR/KgWvGxUIx86vp5GHgfqkMf65C+BOmkYPGY0Ch4xGgcPGU2CB8EBsM+F&#13;&#10;5CsWqEPVoI8LbZnTFs4bupC2Addl7Pk5OBLm4ARjYddNEhzEolyXwyR8kfF71XISdfJ68EFzUDDG&#13;&#10;HEwNDg+GzJHBYubHwaLm50Fhfhm8wxwfjDInBn8zJhLPRNbPBGp/HGvpS3j7HN4+AaPByOAp493g&#13;&#10;WeM/wVzjneAlcFW7zl5HLn1LBOpQfBJa1OvYGoCdQeRlKHl4J7jX+BiMA5PJyXRyNId8pWAzBd9S&#13;&#10;gteNufg7M1jEnB6MNqcQx4TgPdoa/zxoa/f3T4IlzA+D95kfsEbfD5Y2R8HTSNas5LyscppR+S2/&#13;&#10;h8xDPg/eJfde+f8lnH/5HFzY/Kfx/JYYzn/DAny5i2tpxRLNDBfvmccZL4Mdxd4yrxRLM3PAxmIj&#13;&#10;kX8B0sw0F4mePk/C1/3onMF4jLEw6/ZOP3kN++zVP+70v27e6U/W9rk7/VPMaP808y7/DPNu/2wz&#13;&#10;6J9r2uB+8IB/lvmgf6r5EDoe8o8HY9x8xeKzOlS+5Lp9CHvlXaSZZf0Sc7S2H/KnoD8VO/PN0v5F&#13;&#10;Zgn/YjMEooHhX2j+Bfnt+HAb/t3mn+Ta9or1NjfW129yrvrsvX7+/G4Enu71J5kSXjU2kzwdJL4U&#13;&#10;xuOMhclXC/xICfsRgw51KP5QHdWCeJszevWY1sjbwWkHctWJvHTxTwRjwEdmZ//7XHsP2VtmW/9Q&#13;&#10;swVoChpwHs/1+v7RZj3/J+BLMIHzSVyfinw281KYn6Jd31Ku+FHcVvdHRQ0Ix1RWBcSoYpJruLp/&#13;&#10;APYkhmlji/cPMRP8b5iN/APx53WzOfl4CSSCTlzr5n/T7O0fYb7mHwk+A5PNXnDRhdrpSO287F9i&#13;&#10;tgTPg6bUT0Pqr4F/gfks9VUvHJuXj/X8G83qLgbcjDH/PjMvXAOLGHOIqzA1MNzP3z0I8xWDDnUo&#13;&#10;vmQNDPf31K6Z4f6u5lv+zuYI/yvm2/725kh/O/PjMD5hlPgUfAbGAN2eNsb/qtbWZ8g/DeMTRomP&#13;&#10;wQfgffx439/NHOXvAfqAAa6tmiooRhVXUT6PQT6GGhjlIs0cTn6G83mAiwF8lujpyb/8dzT3o2cZ&#13;&#10;4zHGwvCf7I/Mf3IE/pOJexL8T4b/qfA/E45Tw5jPKLEALARpQMd/Gjw2J5Z4oA7FWTQXFiJfAObn&#13;&#10;QSqf54LZ+DEb/mfB/yz4nxWB/zTkaXA9y0WamQz/yXz+3MUAPkt48y95349P6bfA/y7/H704Bl3q&#13;&#10;UDGjOmoX613HyY/ID9AfDtMTjtMvTtIXTvmHm2f8/2ue9f/HPOcfBT4wc/2fgrFa/rOQ62xlse9l&#13;&#10;+78219FvN9JrttBHdoKfwAHOD/lnmkf8082j9NFj9CNdrs8hl7a8evs5dJxlnzuNzlPoPomNE/Su&#13;&#10;o+yDP9Pf9tHTfgQ/0N92gk1gLTlcxbx07vmGfv6N/wswmvO3uT4U+UDze/iSnOp8k/L8vf2Yn9/O&#13;&#10;TP0z8TH/x1r+jrEnHWXvOex/hxiGm3vxaRfYCjZxvp6crSVnWeQsC106H6Wt/D7uxMdIe/tOYpNQ&#13;&#10;9+bv67Ke5d6+ivE4Y2H6ynX8UM9iZdGhDlXXch+8Ts0WCUi8peWsaGCYGR0YYhYLDDKDzA8FeDYB&#13;&#10;JfKgJJ/vA6WAjrNSgeFaW/chLxlGCUaJe0Fx4MfPuwPvmHcG3jOLBkaDG/nxiq9oIM28Tj3KOL24&#13;&#10;Xh3mOpvxGJwUhuvOgaiolyPUZefAy27cFVUiJP/hQ7777IN8YKC9OTTQ2Xw70MN8N9AXDNJy+Sby&#13;&#10;5tzrtX4HB/qZgwK9zST0vRboavYIdDE7g5dBi0A387lAH7MR+UwgvwmBUWAM5xPNZoGp5ouBWWab&#13;&#10;wFyzE+gF+nM+MDDFHBxINocExptvMleX5/eQS98SgTpUvPL737uBr4hzmjksMAe9C83egSXmK6AV&#13;&#10;eI68NQykmLWRPxMYC94DQ8w4OHkWv5sGOpgvwZfkVOeDlKu8q+fDjnly5fXc3pH7JNS9+dfnempl&#13;&#10;PzFsYyzs+kzFD9UnYtClDsURqqNSWUuSw3glZFTyaD6nIV9K/tIDA83MwBvm6sCbZhbrZG3gf/mt&#13;&#10;7z9glLk+8AH4FOj3nYnIdbYmkvfkwNfm5MAM82tyNpP8zANpYCnn6YGZ5vLAdDOD2skI6Peddch1&#13;&#10;dbsOHd+R+7XozEL3GmysCqSid6H5bWCRuTiwGLuLzfnUSgqYDpKpmXHMG8M9nwQmgS/AaM7f5vpQ&#13;&#10;5AOZl2RKTnU1I+Uq76pmMslVpH0nk16k4y8j8L65gjpeTv/6hhwtwqd5YBaYxvkUcpZMzr4iZxPD&#13;&#10;fS3m/7B33mFSFGvf3oVa7IKF7a5uggRdYUUkyIJLkiQSVYKgGFAPJ3B8z9FXRFGPRJEkiCALKEHJ&#13;&#10;SXIOK0kJEiVLWlAUUECFFQGBo/LdNTt13G/OTo3X8s/3xzfXdVPTXdVVTz3Pr56u6Rkgl7hrXeix&#13;&#10;Im1clENP0XS9iLlpzLWRutbPe/V9J5Myr7o+jB3muUVqLvYncO6w18k5EWK5c5i46eNoNh3FluNc&#13;&#10;o59Bn6bMS36+8AdsuoANv4ZY7lzAJn0czaYvwzbp7xXzalN1kuBYx76Xqa7GWtdJdTXJuVtNd2qq&#13;&#10;WU4dNd+prxY6jaEFtOS4jZrttFMznIdp97AaA+kcD+H8IOr7064v7fs6DeAejmtxPk297VRXI2Cs&#13;&#10;dZ3oeuMfs04aMadYOa2Rys5p0e6Dzah/QHV3Wqme2NnLaatex+6+IVtSib95mTyo9fSw6uQ8HWK5&#13;&#10;84jSZD/jiXbvaasWO63VMudB2rZQK50mKsO5F+6BNM5VxX8V1RznDjUVxkE6x4Odu1Q//N0LX3dz&#13;&#10;9DxseUTXG/9ErrOTYf3o58N5XWcD/oCvB2CDLScNpn4ovk7H1++q3s4Y9YYzDh18oN7kufBbMIxn&#13;&#10;rOnwHtjvH12pt43VVU1xXlEzndfQZHfi0xsf94fBMIzjdPw9Ah2PQq+jlP3+MYF6PVZPIwZKo4cS&#13;&#10;vJ9AH+PVh8xjDvOZz7Puhc5oYj6KmA9XK5whxHwwDCTe/aAnvELcu9DuOa75B3H/B3H/hxrO8SDO&#13;&#10;96W+J+26OdqntrjrehN3sy7eJVax7h/vKvv9Y5R6B/vfxkeDeVbdnzn0xX99nT7Qk+PXiNkrxOxl&#13;&#10;YtaVvmw26rEibeyfQ0/R7h/9mZvGXBup6+/Q89f4/8cb0PV87HjWyc6LtXOJ702cm6+edVaG6O6s&#13;&#10;R7/rWZcrQ8y2anClmutkqHnOR2hiFaxWC5y1sC7Mx5SaT2A92Hy4Hr1oDbbMxcZEzn2MztbBWlgD&#13;&#10;q+AjWAaLuXahWuosUIuc+dgxnzWhx0rNpS+d3+YztxkhutNW82zUGGjfH+eai5SnKfNyvzyVQwvJ&#13;&#10;9GFeZo3RddwpdGCb/xnqf8DWH1k3l8gtV8gt19DpL+j0N3T6Gzq9Tm65Tm65HiO37IuRW/aRWz4n&#13;&#10;txzCj0fw5xes45NwBs5x/CNr+gK55SJ54WKM3PJbjNzyG338Sm75hT6v0fdVxviZ3HKR3JJFbL8j&#13;&#10;r5yBb8gpJ+AofE68d9NuO9dsIbdsIbdsIbdsJ7fsZv1+jo+O4i/tU5vmdL1Zeya3XCJWsXLLpRi5&#13;&#10;5SK55SK55QK55Twx+g6bTsJxOMrxIWL2OTHbT8z2xcgteqxIG0/m0FO03HKSuWnMtZG55RKi+xrd&#13;&#10;/ZvyDGVedF3Oj70/Kefb9ycVqa/qd3fu9ns7tf03nHv8N526/jvWuFWjXq+VnmBeZi2V4EQ1fwh9&#13;&#10;DnKq+AOcSn4/p4Lf1ykHpaEE54pS79OH8kfBOJjkBP50p5g/y7nZn++U8Rc6ZaE8VOS4sj+X/mY5&#13;&#10;qf4Mp5o/2WpbXeq1bdH2SvfQTy1/AfNd4tzlL8e2lc5tUBJ8f5mTxJgF/dmO40+FccBzGXyShG8C&#13;&#10;v6dTCn9pn9p0retN3I2ub8sRq2iauY3rNObaSM38EtZMfL68a6Y5dsS6HzX3n3XahejuPIk2niSG&#13;&#10;7ULY70ftiFM7n++6iJnmUfz8eJgnKDUdwjypj4lTMpiX0RDTjHuS2NjycQd/Bf2toP8VjLPCaQ8P&#13;&#10;QxtoybUP+EudFv4ipzl2NCeeeqxUMxClGUvfj5ozt4YhutNWE/1+pH1/nGsE5WnKvKzb54jBNMf+&#13;&#10;Wek5P3tPGE3H/+vPdP6XeXX25zhd8OUr6LYHvA59OR7AvAcRj8G0Gcy6GUx/g/wpzkDWWn94w5/o&#13;&#10;9PInWGPwiv++dS11YX38rz/WedYf7fydtfw3Px3ehoEc93X+SU553u/hdEXT3aEfvMXxMNbScL+/&#13;&#10;k06OSKe9TQeDqLet5zf9wc6brM8B5JV+xPB1+u4Gr8BL2NCFcV6grjNtOtO2M/294A9zXmRdd8Xe&#13;&#10;V+A1f4TVhteZm82Ggf57zhB8MBRfpOOzkfh3JPlsJL5PJxZDyTWD0WU/P4MYZWBXhvMcx//gfCfq&#13;&#10;/0q7vxIfmx+0HkxeMDml+x/IKdrvGnNtZE5JQMdfo+OClGfyqOfN2DEjhp43o0Htw5ZgXmYNJnJi&#13;&#10;M3l5C3rdRv7YgU92ouM98Dkc4vgo579C6yfp5yT+tfnqpJ/9rDbNDERpxtLPpk8Qp6/gS/R7DDKJ&#13;&#10;2RGw9bnPz/48GK3P3dR/5o93trOmtmDfZu4fes62PnW9iYuJ6Zf4ckQMX36JXm16/Ir6E+j6JPfY&#13;&#10;k2j9pD8UhsAgzg9g7nxPxNrIZI0cgD3wGWtnO+t2G+tkq/8WDLXavo56WzzXMc56v4/zqd+Lfrs7&#13;&#10;u9HgATgGJzg+zfnvqT+HLecYz+anc+jCNtY5tHGOfHcenWiy0MyFMD9Rai6GWOBcot421iXWpR5r&#13;&#10;VC7auYVzP1F/AX5kv5AF5+EcnIXTnP+G+843rOtT3HtOMdYJyuOcO8o96RBt9rP2d8FW2ET7T2i7&#13;&#10;FttWM8fV5PTV7F/WoqNP0OUmcspW/13a2z//aj1E6ujgH8gNB4mFxlwbmRuKhHNDcAO54Tp2xPze&#13;&#10;Dj04gSb79yvRckSh4HWnSNDL8YIeTlHalwj4jg5uh4pBT6dK0NepGgxwUoO3YHgozhVyiWN+zqUG&#13;&#10;y53yIdKta6l8MJT+33JSgkFO2aC/cytjlIQSUAwCbPY4n8S4hWlTiLYFA77PC4Y5EhtkMBJGW22R&#13;&#10;2HEdfVzHDyYWJh8UD37f46fkMhdCE1ec+WvMtZFxLBqOY0nK07TPy56lEXbE2jc2Cp51HgzR3WlP&#13;&#10;fNrjmwdD2PeNDwZznZbBPKdVMN9pDW2CBU5baBfmYUrNI9AebOu3Pb605YpHghX0u4L+VzgPQWto&#13;&#10;BS2gKdc2DpY69wWLnEbY0Siw7xsbMbc6IbrTVhN931gK3x/H97fcQAw6EgPzW7BU+jIvc2/Te9mO&#13;&#10;rI1/hljudGQ++tjowmhK9xPrO42OQSf60bxAH5ro3x/cGp5b8g3M7VVsSney98SpZmKUOef2apDu&#13;&#10;jAjxgfNqoEn/z9wiNV8WW05x/e2U3+gSEoFXH/Nef84gPYXO0+y//u7YcX6zGi/tNh1Pipffhagv&#13;&#10;jydp4mWkv3U/Z2PM7XjSWX7jqrnsHA9xNurcZmL4OeydRXmZ0syHt394btdyzK0CF5qX8bfOkdeY&#13;&#10;S35XI0N/VylaXi7gFpDSzS8T3XzSdeOk717n963XnWS4nXMVXEdWdAvJSq4LxUJ/hynamJXc+vK2&#13;&#10;EMVDY3YyhlEa2xTvb3N9mUx/t7pFZBm3oCzJGEXBBw97k6Aw5wu6idKhTQHaJrgKAimwQbg3Qxmr&#13;&#10;LQI7rhFT7YfImCoXe8IxTcnFRq0nxfw15tpIjerfJmfRbsENxLGTy/8tEUOjnZhHhxBn+a2npv5/&#13;&#10;zadZjn5qY5N5GZ/r59TNuK5eCCnT8G8a2qgX4rI159ZzLzgN3PNOI/d7pzHjN3fP8LvYbFpRtoY2&#13;&#10;8BC0pd6W39u6P1nHasNYmtZhWlFqHoAWXNvcvQSXnWbuz3A1NFaqmSylmW9CaL7xsi3za8tcm4X4&#13;&#10;3W+RsdS/W9ZrctkNxLKHGxdXJRzLZPoyL2MTXcf1cKtY12IPN1X2dKvL3m6a7OPWkP3cmnIgvAVD&#13;&#10;OR7O+ffcanIs/Yx1y1v/PuFY9xbr31Ec7d5KX8lyFIxwb6Pv2+QwsMVvkFvW2md/t5zsC33cFNkL&#13;&#10;+3q4d0IVa5+63qwxc48b5fJ32WL4cpRbwppj3qN+jFsciuIrjQ8KinAuUb5LfhmJLt4h5wyBAdCX&#13;&#10;4z7U9aZNb3JOL66x+eNl6h8nrtFy68v09Sr5tYcr6DeeMa47Q2AEjOH4A/LuZOqnYstUxrONNRVd&#13;&#10;2MaaijayqSGnoZfpMANmhvmQUjMrjG2sWeQJPdYoMC+jY/056kO3Af02oP8GjNOA8RowdgM5EcZz&#13;&#10;7fvuPXKcWwdq4e8acrRbG53dg8bqybdpM8htKPtDb+hG+1epewm7XmSOL6KHF907OC7H+WTqy9Cu&#13;&#10;FO1LWv2j9RCpoyFu7Dyv46Ex10bmBv179izmvJryZ8q83K+XYIfZi1SgD/MyPtX36yXoYU2I7Pt1&#13;&#10;T9OI0rQrwfuP0ct69LQR7Wzmfr0d23fBfuD3wzKT80ep/4J2X6LnrylPcu5b7uVnqT9Hux/hGlzn&#13;&#10;XD7PkcIrBElQNOTjaDYKj/sp8boWQ/fX3CR5Fe3/zL7hEjZcgCz4Hk6j9VNuYexKkl9xP/8qHNdo&#13;&#10;Y37FeAdDFLPq/6DryQOs28/pez9j7GE9fwZbYRPH6zm/jjW2llywNsbeYS3jLQnx+94hUhdrwrr4&#13;&#10;lDKv+zjfi60L34uXZULYdZHsFZBlPSFTvPzyDi9OVvKuO1UhDWpzXJfz9ahvQLuGnpSNKJtwrrmX&#13;&#10;Tz5AfWvatYUnoCPn/oou/oYuOqGLTjF00QlddAhhz4cd6OsJL1E+Rr/tsaEdtIEHoYVXUDb1Csv7&#13;&#10;aNPICyB7vUfTRSPGqxXCrotanidrekVkDfpOY4xqzKsK3Am3c1yW87ey6SzDHMt49j1lGcbzQ0TX&#13;&#10;xeawLnbfgC56oIuYewkvxl7CYy/hsZfw2Et47CU89hIwGIZyPJzz73nsJehnrBdjL+HF2Et47CU8&#13;&#10;9hIwwmMvAcPAdo8Z5MXYS3jl5BvQx2MvgX09PPYS2GrrU9ebPG72EiPxZay9xEgvxl6C+tEeewk0&#13;&#10;MjYEewmPvQS6GoOe30VHI9HwO2hqCAyAvhy/Tl1v2vRCX708+16iK/WPk9+j7iXo61XWbA/W8Ovk&#13;&#10;gwGs0yEwAsZw/AFreRL1U7FlKuPZ/DQVXdjGmoo2smEvgV6mw4wwMyk1H8KsMLaxZrFe9FhR9xIe&#13;&#10;ewmYAdNhGkyBifAB177vsZfw6uBr9hLodrTHXoJzwz32ErQZ5DVE2+wloBvtX6XuJezqwhy7oIcu&#13;&#10;HnsJdPQq2uzG+u7tlaK9fS+h9RCpoyHoKNZnRh0Pjbk28p6h/72VLHxxkDKve4ll2JHl2H+TtMzL&#13;&#10;4re9mni5NYSU69DjOnKCLe7r8NnHxH59iBpyI/7+NMxmSs2WMFspbXHfGo57ND1voX4zbCKGG2ED&#13;&#10;fAJrIIPzK4njcmK9jHGWkaf0WKlgXmZPpD/rLWNu80LE01aTFTUG2vf6s96RG4jBd8SgprR/B/wd&#13;&#10;GtS+7mkMpjQ2l+D9Beov4+erXlX5b6+i/JU89yt59le09wv3v2us4Z+5T14gl3wHp+Ar1vYX3B8z&#13;&#10;qT/i3QzJUJ7jypxPpT6NdjVpX9MaG11vNGrypJ6T0XdyLjbjrrjv0LZtTj9Rf429w3XvJilUorxJ&#13;&#10;+VAG7pAJqqqMUzWYaz15kbV6Fr6GTI4PsLb3EuNd5PhdzGmXV4zjIvIgcz5KfyfoV49t05uut80p&#13;&#10;2nMefV3OayPXrP79eRZz/4oyr2s24KFXrP1/oNjnhShkXaO3KCmT1U2ynBKyPO0rquv8Fvj/pirH&#13;&#10;qVBNxVl1UE0VtI6VSr2mapi7KKtABUghvmVVkrxVKXmLKgb2/dotqr4MQkTfO30d9vUpyrzuqTvm&#13;&#10;8HW0mHfEb8+C1nInMC+zPvUzyn+qBPmMKiz/okrJp9XtsoO6Sz6u0mQ71US2Vq3kg+oheb96RDZV&#13;&#10;7WVDqA/1wtSlvAfqgE2zddSDVhvqqpb02ZK+s2nAuA2hEdzHucbQhD6aqAew4/4QzVRz2Vw1lS3U&#13;&#10;fdh3r3xANQzZUNlMktLMU/D+bvzQENqo6lL7JXINtcEZJi9E82cbtKYx10auIR3PLMbSv8m9SpmX&#13;&#10;z9Czc9iRTB/mZeZC13GzsUHHNM1UUpr6ArxfRP0K5riKtbOONbSe+K5X2Z95k3O5RveZQb0t561U&#13;&#10;nlyhishlrIfFrM0FypGzYRpMVIXkB9S/Tx/j0NE4lQx3cFxZTlCpchJ6mqZq0r6mnA+LyI9LicNy&#13;&#10;cuVK2mSoClb9rKfepuFP6GcdfX6k6tBnfbkQLcyCyfC+qiffY8x07HhH3QnJUEyOYC6jsf0DlU9O&#13;&#10;wV/apzYN63oTd3MvmZUjVtE0M4vrNObaSM2cD2tG/3Y4r3n3AnaYvBvNjgvo4Vew+fEXcsFVtHKR&#13;&#10;GGaRC34gF3xH7E6RC75iLX5BLjhKLjjEet8Le2BXmJ2Un8EOsPlxR4xcsJO1vgt2h9nDuHthP3zO&#13;&#10;uQNwkD4OkgsOkQs0h8kFR8gFmeSCo+SCYzFywaf4YS98jQa1X0xsTFy//gNx/ZqYasy1kXHVv53N&#13;&#10;Yl1do8xrLnD44i/WHtjxs/htqiZelg4hJdsRsO+BlV9d+n6aLBqihizu15A3hylJqSkVpjSlLaal&#13;&#10;/ezPPi1zyS2JnCtFfUko4TdgnAayGATgQiLnC/n3SOnXlg7jOL59D+wwt7gQ8bTVRN8D698t6z3w&#13;&#10;bzewthoQg1h74Aa+fQ/clPr78XNLv6ps7VeUD/kpcAuUkG38QLbyXfmAX0g29R3ZAGrD3T7PcPwk&#13;&#10;eRf1lf2bIRnKc1yZ86nUp9GuJu3te2BdbzRq9K3nZO51ybnEDHfFNfDte+Bm1Lfy88l2/k3yMT9R&#13;&#10;dvB9KAN3yMeZ58PEsrVfTzb3G8r6UAPu4vhOv5a8nRiX9e+EZCjGcRFZkTlXpb+a9KvHtulN19vm&#13;&#10;FC0H6utyXhu5ZrVOspi7/t1sXnPxM/jWfI/+EH2Zl7k/F+bEM/5ZfvOpKSnfQsOjoY/PcxfWwhB4&#13;&#10;DW10IdZdeP9MiOjfs+vfRmqNF6LM615yEjab+0eqMZjS2Kw/e07Cxtkh6stJ2KSPI2Og+zFzj97P&#13;&#10;WWc2c5/tX3YmhYg+Nz0nPbfEG5hbRo65VaAv8zJzy8+JDOayIYT9NwSf+gXkVj+/3IFOd/lxch96&#13;&#10;OghfwinOnUbDZ1nHZ1nPZ9G11nC0Mc/iw+Mh7L8hOM66Ok5/X7BGjpETDjPG57AXdpMHd8EOzm9j&#13;&#10;DW6mzae03eQruZG8sREbNpA7NrAubbZswI6MEP8d0z34z+SKaOtqD/PXGD1Eriv9G70sfOHfQBxV&#13;&#10;8LsdyfRlXiaOOmepIDtnRbsPFae+VBAnbw3yyXIBnyuDm2SFoKCsGBSWlQJPVg6KyipBcSgNZa33&#13;&#10;vHjq9V4q2ljxQQWZL6giE4Jq0gnSZGJQUyooDqU4voXzyUFVeRttygYVrWNVpl6P1dNMmtLMuwTv&#13;&#10;KweVsb+qvJM+K9B3ecZICWrTd13GqS9vDrjvBg1lAB5IyB/Uk7+Ri6+Siy9zT7pMLr6MXq6iod/Q&#13;&#10;Vn58VBB/aZ/acrGuN3E395dyxKqktD83KheUtPqvbFAM+xU+SpJlgkKyRODgP0cWBknMChCz/IEr&#13;&#10;44lZPH3ZbNRjRdro5dBTNF17zE1jro3Utf7NaRb+179ZzOv9oiF2VIzhq4bh+HdiLPMy8VecuBcN&#13;&#10;NQpS5X1BddkkqCHvD2rJNvAwPIoWnkATT1H3NG2epu3T9PcU+uwQcK8OytPmdtk2SLH68P6w3qPZ&#13;&#10;0CS4Td4b3CobBLfIe4JSshbrqBbxqxUkyjrErD7r7b4gXjbHn63hMfgTGvsra7AT8fx7UASU1Yan&#13;&#10;qNfrIJoNT6GHJ+nnCcZ8LJDM35Gt4H5oDk0ZpzFaug/t3Efb++ivcRBwvhj1xWlXQrYEm5YeDus2&#13;&#10;mg0dyB0d8cFf8MXf8dn/4N//CSpBNY5rcL4O/q+PfQ2JUUPZDBpyXI/ztamvSYxqxsgHWg9Gk2bN&#13;&#10;tQ5+z48pRiSURidINE77XWOujdSz/v1nFu30byTzque1XlzcCzH0vNZ7wbr2V3o95FKvn1zsDZIL&#13;&#10;vXQ53xsH02Ehxx/JJd4Gnn1v4fn5brnWy7TGawX1Ns0s9vbS72c8V98m59LnbG8T3/d8wnc1q/ie&#13;&#10;Zhnf0yyAuTALZsA4vsNJp80gOcfriz3d5QrmY9OMnm80n+vn9L/g88OUN0FenhldwueTwz6vTF/m&#13;&#10;ZWIvOHHJmyzPeL14Dj1Z6vfGHqOfE/TxYriPe00HlKYPquJOeC/KLCisNsh4uOrNlodgF/HYCLo+&#13;&#10;st8zOfqNpsszXKcx10bqUn+HoX2kn00LyIuPSpIozfxS6cu8zPz0HrekepFnzZoNsmSI6DadCNuk&#13;&#10;/12JvNrUAZs6h32ebAyiNDbRdVwH1Tmk37Rc6vWzvr9T/zw2d1X/kt1UT9lT9YXBVj2+SL1tP9FF&#13;&#10;9ZedVR+eHffi2XB3ng2/Jp+EdtBS9eC56xs8lx3I89R34H2YzvFc2Uwt5nnxStlWreI58ir5N/gn&#13;&#10;x89z/gW1QL6oZsuXaPsEdifnMh89317U29ZrTzWPeS6TL9P382q97KQ2ySegDTTnuJFaI2tTn6Zm&#13;&#10;wVgYKmupfrIBdjdVXXmm3RnbOltt0PVGi2Z9PJ4jVtF0/DjXacy1kTrW/0a11rH+t4oTIC86Hogd&#13;&#10;mTE0M1Bl57yWufg4kXNvq11yuPqUZ6CfyFEqQ76rFsJ0GMfxcJ6Vvskz0r5yCLEfqOy5bSj1tniN&#13;&#10;QDPvqd48a+0jx9DnODWAZ7KD5Xg1jGfDI3h2PJrnwx/AJJgGCzifQZv1cqzajD275VDmY9OMnm80&#13;&#10;n58L+1z/Gw2R+bUCvtD+oOqG/++P/fxWfScfJrWd0fSxP2ln/meCnfm1v6Kt597UjwwO5J8WfJt/&#13;&#10;aXAl/5ogUawJUoRt/muCFQm2PtcEuxKWBicSpgUXE0YGCQV6B4ULPAO2PvcnFbb+H++rqf8wKaHA&#13;&#10;6KSLCQOTTiT0TtoFKxJsffZOShE2O3snJYqBSVfyj076Nv+HSQfyr8Zf2me2PnV9tNiPJ7DP4Os7&#13;&#10;83F/pMxtvVH1X3+n4v/H8v+dWN5LfErAaGL5Z8qqBGwmpYnlTfx9kgocR1vHVIVepr1e6zzSCLXP&#13;&#10;LfbDPPKByF7HD4WuzP7D3JMLczjMixcTQ6QIfnsiDsBSL0Uc9B4Rn8CHXir1deARMSxEvIim0f0Y&#13;&#10;9Bx96n9zrSulsZO3fcz7WDZ/gc2VwjYnc6F5GZv19V94lUJrL9o94QuvjPjaU+KMV1BkefnFVS9O&#13;&#10;5FdxwoNSSoiyqoi4XfniDlUCyljzUTHq9TrvaQyhNLboWBZVNwtfFRNKBSJJuaKgShICfvWSxBXP&#13;&#10;E5e8YuJHr5Q475WFylCD43qcb4RdTcVvXgvat+C6FqKIakY/99FfQ1FU1RPFVG2rbXdQr22L5ofy&#13;&#10;qhFzbSFKq9b09wj9P8pYj2LXo9jxsDjtPSi+8hqLL4iv9qktN+l6E3ezj8in8EWM+0Q+dT2/xlxb&#13;&#10;D3sdaADaf/rf5dOa0XvPlymNTnj7hzWThh2lw5pJ4ULzMnHSayNNlRZpyrP6qw719aABcWxEDJug&#13;&#10;k2YqUTRXBcX9yoEC4gGVAPlDaH+lmsEozXgJvH+MNo/h8+Yh9Nil/+O/SB/ovZT2wRnKvK6b3vig&#13;&#10;box101vVDc2/Uy42c3lcb9VAvI5m+qjGoq9qLgao+8UQGAbD0dFI9PmuaiLeo817qj7UEqNUGnXV&#13;&#10;xVBVTQxWqaI/2HTUX91utWEw9UNVinhHlWO8svR/K5SE4hwHYoRSjOfSJkm8BQOhHzHry3ruo4pi&#13;&#10;/81gX9Ndwmt6Yy5+qMi5LvTxIn29RL8vo4FXVSHxGvHvTvx7Ef8+5JB+xHegyocN+bApnxjLufG0&#13;&#10;mYJepmHjNPqYxjhT1W1iEnOaoO6gvoJ4X90pPoAJqqKYrKqI6fhtpqoJ9aAxx/fTvjXtHmHOj+L/&#13;&#10;R5nPo+Jfqp3oqh4UXYjLC+SIF4ilzc861tHW3PdhvV2gfJn55mXNXWWPOCist4dy8WNhzl1NGiSE&#13;&#10;q1koKlPWhZvdWaKee0TcBZ67iLq1cERcTdIMimqz/rt73ehzEeUblHmxubXLv+0XtjmFPszLrFud&#13;&#10;J1q7E0Rr91NrnmjtbhVt3B3iIXenaOfuEe3dfaID/AWecXeLf7jbxLP08ay7HlaH4pRqBqM04+k8&#13;&#10;8SzjvRziiHgOPzzn7rWO/ay7n/4PMM5B8Vc3U/zJPSoeh4fgAfewaE59U2xogn1N3M2hsaPNtUlo&#13;&#10;rhP+43OT159y4+LGx/DTU+54oYmmscXEqQfzW0HZlzIv8ZqAHfvDdiTTh3kZ/9F13ATmq++B0e7P&#13;&#10;U6ifgU9nEat5xGW+uxFWwwqOl4i5aHMWmpzuzhATYDSM4Pgdzg9zl4qhbgasgw0cb+b8Nur30G4/&#13;&#10;7fdb16CuN/4xvtX/X8bE8JwqmAlRmjlxO43r705kPM1M69zecadhyxQxyp2EPRPE+8RjEsyEeZxb&#13;&#10;5E4Xy93ZYiXrbKW7CraIZfhiPtqZjXamu8fERHgfRqOfUehvhHtIDEdfw8Jzi2bjMPeC6B9i4n/m&#13;&#10;GHlfywhrQP979P2ZV140sNmNi3s3hgY2u+9a18xmN11scYeJre7bYrs7WOx23xQHwxyiPBzmCGUm&#13;&#10;2PJqpjvcOtYR6g+HOUSpOQj7YS927HVHiD3uKBgDE0NjNcE35mV0oP9/kUzqM9HAnhBHxGbis5n3&#13;&#10;a0NM5L3m3aj+X4ffdc5cT/kGZV78f8qN7f9TMfx/inl/g//5fxPEGfx/Dh9fCnOZ8ucwVyivgs3/&#13;&#10;V/GjXu8twbyMzxI5cYX6n8NcptRcgguQhR1Z+P88/j+P/8/H8P9V6q/i6/MhjohT+P8U74+GmMh7&#13;&#10;TXT/a79r/2+6Af+X8n7PxclmwpRmznQdV8obb/VJMvUp3gRRwZskKntTRFVvuqjmfSju9uaING++&#13;&#10;qOEtFjW9ZfARfGz1f0Hqbf4v6H0qCnnbRRFvp/C8vaKot1+UgmRI4fgOb5e40/tMVPS2iUreFutY&#13;&#10;NajXY0XL7TXoI83bIarTZzX6rsoYVbwD9H2YcTJFWe8o4x4VZbxjoiQoSPSOiJtoF88118nn19l/&#13;&#10;XCfP5/Pmcn4G9ZOEj7+0T2061PWRub0SsVoZI1dV8lZa/VfJW4L9C/HRPFGeGN2GTaWgGCiOk4hZ&#13;&#10;IjErSMwK0pfNRj1WpI0lc+gpJRc96T1QSeamMddG5nWtZ31v306Z13t7Y+wwe7Fo95jGaLZliFlW&#13;&#10;n7XyZoo23jTRzpss2tP+CWx/Ogd/4r2mI/wZbD77Mz626bsj9Zo/hXmaUvMYPOzNEm2JW2vi18pb&#13;&#10;CtnxiTa/VmixcYjf92CRvt4R9vUuyjfweV5y+Dx8PTCGLud5A0PzTstFE/q7mRXU838PiE3eMLHd&#13;&#10;GyV2euPELvxt8+VG6m3rd733vvjYGy1W01+Gly6WeO+IeTAdJngjxFhvjBhFPEcQ3xHofYS3muON&#13;&#10;Ygzrfry3W0zz9tF+n1gGqzhe520V68k/G7z12Jm9707OZT64Mm4X9dq2TrnUK87t9DYxzx3iU/LK&#13;&#10;OvLJcnLHHJgC44jZSHLIEOoHkg8HEu+B6G8wPhmO3aO9t8Qk/KV9avOPrjdrzOwPZ+eIVbT1OZvr&#13;&#10;NObaSM3sY4LdmIP+ezB5XZ/6e1jzGSA5Fx/RNd/D2u87V6n/lfjFq0kiQU0RjprOc64PRaKaw7Oo&#13;&#10;+bCYZ2bL4COw33dOxLjvnCDup7jvnOa+c5aYnSM+F+Eq/MZxvNol8qnPeP61Dez3nSLU23RbhD4K&#13;&#10;qx3MYxfz2Suk2i9uUgfo97CIU5ni39xzrsJltPITfA+n0MxxbMnkvnPI2wxrYSnHczk/g/pJtBvP&#13;&#10;c0F7ftL1Ju5GMwkINtZ9J0HZ7ztCLcH+hfhonrhOLvs3Nl2E8/A9x6e575zivnOSdXgixn1HjxVp&#13;&#10;48Uceoqm64vMTWOujdS1fq6s7ztfU+ZV16XxlXlukZqLrhM4V1oNEuVDHOHZqSb6cwn93blea/r5&#13;&#10;5RuUecnPNf+ATTWx4d4QR0RNbNLH0fyknydqm769AZsGYVOsz96D0L1tnQylPp31MUrtFKNZM2PV&#13;&#10;RlgNK8QY9DYavY1SfNZWM8QgeAN6ctyd86+ppZAB62ADbOb8Nur30G4/7e2fvXW98Y9ZJ52ZU6zP&#13;&#10;3p3VRMbS2D97d1fTsGUKz+Ym8exxAs8Cx/OsbjzzHc+8JvGMbzrP92bz/G8RrIItPNfby9wPMudM&#13;&#10;5nyMZ4fHeMZ6jPkcFb2JaU91iDkeYOzsuVUghuZl9vv6+cBr6oLoHCL6Z2/9jE+vFf1dcX/KvOhy&#13;&#10;Af6KtUdbwNwzQtj3aB/hz1X4bJ2aLNbTfhN+2hpmG6Vme5gdlLb75g7uIVp3LcG8jH8SOaHrt4fZ&#13;&#10;RqnZChvhY/S1hhy3Co1loLEMcpUeK5qvM4jLghDR92gXwr6+dAPr7Yc/sN5+QBe29XaR+iusj39z&#13;&#10;b/qV9XJdrYdVsFz8hg5/4Z57FR9cRJs/wLdwguPj+OMY9Zmsy0y1FjZyvJXzO6nfS7v9tLevN10f&#13;&#10;ud70nGLtIX4g1rY5XaL+F9ZjvD9NFPBnC+kvglWwSdzkfyby+fuY6xFxmXX0PZyEYxwfwp793J/3&#13;&#10;4Ic9zGkPsd6v5orD5JgvWJ+n6FePbdOZrrfNKdp9TF+X89rI+9jlsF5+oeyL9vKyNkv7cXFrhP13&#13;&#10;yaX9NVbflvY3ijL+VpGMH8v6fDb3+fwM1aEGx7X9naKuv03Up119fzUs43gB5+dS/6Go5s+g/QxR&#13;&#10;AVI4TuY8/5eAKO0vhzVW3+r6SN9WYk6x9FLJz9ZLmln4lGbt688pVam/258gavqTsHOyuMefit0z&#13;&#10;Qrak5nKNvt/X9weJZiGO0FaT/Qy+Uy7tkXRcXf8AfR/GB0fw1VFxl39MVIRyUIZzJfCf7+8Snr8Z&#13;&#10;1sIyjudxfiZ+mUy78ULPw6Y9XW/8E6mfX9FNN+zIly/v+umIr01uj6bjjvixo2//LqQj+vmzv0P8&#13;&#10;Ba38zd8jnmE9Pgcvwb/83aIb+ulBHz389WD/LqQH4w0Iwb0QP/YMxyFanu+Bn7sRi3/5B0VXP1O8&#13;&#10;QCz+CX+GJ4nP49Q/ig3tsa89sdD+jjbX9qG5/p7jzZ7h+RyajHbt88RKEy1egjjpe7G8gXjNzWFH&#13;&#10;Mn2Zl9E+koibiw06l6aZSkpTr9fGEuozmOcaf4r4xJ8uNvpzxCZ/iVWHq6i35eePyAcZrPsV/iyx&#13;&#10;DH0vYq3NhRkwmXMTqR9PHx/4K2EtbOR4q5hEzplCfGcQo7mwEJZwvJx4raTuI3SzihxvWyObqNe2&#13;&#10;dcplvnqdbqSfT9DhavSxEj0tRhdzYCqMRx9jGHMkuk1HG+nYlu4vFaPwyVh8M4H8MR1/aZ/abND1&#13;&#10;Ju5GM3NyxCqaZuZwncZcG7nG9f8PoDWTdAOaOZ3DjuRcfKQ1cxobtA+jrbHvqc9CMxfxxxV08298&#13;&#10;8yu5/jp+ig/mw2KRL1gGH4H9M/wB3/7s+AB54pC/XWQSk2No4Svi8y18Dz9yfJGcepmY/ow2rvj2&#13;&#10;z/D5Avtn+Phgm4gLdjCPXcxnr/iFMa6RS35GFz+RS86jke/hDDn9G/gSDqGhfbTbyTXb0cx2NLMd&#13;&#10;zexE//vQ+2F89CX+0j61aUbXm7gbzVwhVrE+w19hDdlidYV19jP330vcay4Qo3PY9C2cgC85PkrM&#13;&#10;DvnzxUF/MWTve6PpQo8VaeO3OfQUTdffMjeNuTZS125Y18VuQNdFg7i4LcK+9ykajn+nXHSvOFc0&#13;&#10;2C6KBTtF8WCXKBnsE7cE+8XtUAEqc3xXsFdUC3aLu2lzN1q5m/6qB5+KqsFG6jaKSsEGcUew3hrn&#13;&#10;W4N11vxUMliLDWuEH6wSScFKUZh1VDhYCLM5nsH5Kdg3UZQJxotyUAXu5rhWMF3cE3wo6gZzYaHV&#13;&#10;hmrU23JktWCeSA3mMK9ZzHsm85/OWNPFrVAaG0oyTgnqitOmOG2L018J1nypYCn1y2i3TJQNlltt&#13;&#10;qMDcbDakkjvS8EEtfFEXn9XHv/WDrcD+k1jUCg4y70zsOyZSoBQU5djjfGHqC9GuEPGxrTmtB6NJ&#13;&#10;s+ZS0JHZb6bkohMkGpeCzzXm2kg9Fw/rufQN6LmzGxfXlo2ozf7ObtvQ76Kj5enO7iMJL7iPJrzk&#13;&#10;Pp7wsvtEwqtuh4Ru0Av6cNyP84Pd9glv08/b7gPW3za/7d5n/Q32ELcxfTVJeBMGuE3pu2nCG2Cz&#13;&#10;v4fbzNrna27zhFegq9sioQv2dXZbQVtrn7rexMXE9E18WS+GL99064VsiZYbBlM/xK0LdfCVphbU&#13;&#10;hOqcS00Y5N6VMNCt8n9YOxPwKIo0YMejSkCC0z0IyJnuThBckHAICiggt6CCx4qsKAREVEDwQpFV&#13;&#10;RBQRhQByX3IYjnAmJHKTgKhEIri6cggCghwrogiyXuj/VjOl+WfTNf7DP8/zWtP9dX/1XVVdMzVE&#13;&#10;MSxUSzwPz8JTHD+BjL+HCw3woZHR9oeQm+byh9D1cOgaYlADvSnimZBHXx7x9rAhRYwJXS3eRD4R&#13;&#10;WybSnyn2E6kLU18TqQ3FJOpkEvUyGabA1AjTaBXTYQaY+poR6uH39WYx46kq56aF0tCbhv40+kmj&#13;&#10;vzT6ThPjIJ17R4fuF2+EusE/iPe94rXQfdTZ/dRYd+o4TTwX6ikGwUDox/UPI+uNTb3wsRf10CvU&#13;&#10;geO2nG8l+oZacF0zrr/JaLOqh+g6ep468iJ1FDQ3qHwo9L3Rc0MOC6yR+LyWNp02BUoDr6H6vVqD&#13;&#10;8VgN/A33/BD3ReyowXX6pdf1l3BiPvWw3Ke2Mc/Z1EsudbM6VF2sCyWLPGx/F7bBvzj3b+p4Z6iO&#13;&#10;2EU97Qo19mMW1OcuYl/o08TvM2gsFVLnhejbxrgooFbfp49NkAcbGDPrYDXn36Hec7gmm2uzGGsr&#13;&#10;QtdDY7gRWhhtWYEd831S/siFng82hGLncQP+K4LyuC6Sx3zaMcRb5463fzmPx7GjbCSP13Ojfuk8&#13;&#10;8tv/hOOhsuK0T4r4lXz+SmxO+9xlzOtpav8M4/cHOMuY+S/8FOFnWsUv8GsE0/j9lTia5opfkP8M&#13;&#10;PzEWf4Sz8AN8B99w/mvG43HG7HH6Os7zRvWVqp2l1f4SCvytLQ74pHCtomxgDtRvaUZwj/rtQTpt&#13;&#10;PDm4zPpzLKWiQ7+K2nSZlSIsnx7iMkvxvzWl9JSJ5DJVK6H9v/WUQY+iIjoUZQJ9ey/i2/u08dZX&#13;&#10;VWzSz70gm6paTUVjnzaiqqX4c96Lnru2Ysvr+KR+4/EGbTzxboNNeu4KsqkN8e3s00O0Id7qWI9D&#13;&#10;PYaVnljxbkN8O/tURIciON6F+KRq6SPaeOPdvYhvQXNkd3x5xMc8L/ezrhH8zVvxhFVdPG0li2ct&#13;&#10;T/wTXoHXOTfGqiXSrTpirNUAzPPyWGI4wsc8L4+wGqG/gXjZqidesq4VQ+njOXgWBlm1sYP1DOcH&#13;&#10;WKmiP9f049pHrYZwPT41hhvBPC8/gh3dff43p88Qv1jP12fwX6HrIbpG1W9i1PP13xeQxwLs6BFj&#13;&#10;LBfgQ55PGVFAXaljbZOuUfUbG60naH5fwn1zfWqLqcR3KrUx16eicc6da5UT86ywmG+FxEL6X2Il&#13;&#10;iizIjrCSNgdy4R3kpvn9Hau8sa9c+sqBlUXI5v1yWMq9S6yroCJUgirG+X0Jvr3jU5trFX/GLTqX&#13;&#10;KodqTKp/Hx/vmDxIDjpHcpmELv3S8zKqEw5a5s9RB627xJfW38VXVhdx1OIZZnUVJ+A7OM3xfzn/&#13;&#10;q3W3+B09v1vmz1G/W+bPUb9ZLdHVSvwMP1qtxVk4A6b8nWTeVs/nBto5Wu2f+o73a6utOAZHrHbi&#13;&#10;EPYdtG4F8+coJY+u55+JpX6eJBXTl4rlzzw/lC1Ba79fkf9mNSFON0RoRNsQ6nE+Fd+vFT9RF2eZ&#13;&#10;c07BCTjG8RFkX3HNYeacQ8xTpnjsQa5s6FiMjaU5twdd+5hfD1o10JsivmY+OQU/wm8cX2xfLS6z&#13;&#10;rxEl7WvB/DmqpG3+HFXS7oKOLqKUfS90FZdDaUiMUIZWcQWEwORXyDZ/jipjp6E3Df1p9JNGf2n0&#13;&#10;nSYEXMK9F9n3iwS7G/yDeN8rzln3UWf3U7/dqeM0cdLqKf4Dh+EA43Ivst3U+E5qfyf1sNPqwHFb&#13;&#10;zrdC3oLrmnG9+XOUqofoOvqeOoo1z39PLhT63ui5Qf3uZyS5VL/7SaeNZy2i/maGXovUQId+6bGj&#13;&#10;PkdVtFNEss/55/UQfRGtvq4C76tTLzXsGuIaaqe2nSzq2p5oCI3hJo5bcL4l8lZc18auLdrR3sK5&#13;&#10;W+3qojPyu7iuC3SHBznXx64lHrHriEft+nCDXxdBNj5Kbrv7mOu+O7oesFNFN/T+Axvuhb/DHXAb&#13;&#10;td7Brivac01b+3o4n9egPtvS340+jY1j7Ub7OtHUrieaoLsxfTTCr/pQB2pxXIPzKYyxZHxMts1r&#13;&#10;h2T6q+jz59ohui7Ub69UXXxNG+8zY/BfqIvB1AT/bhHMdfEKeX6VvL9Grvk3jGIs+Z0AU2Emx7M5&#13;&#10;Pxf5PK57G10LaBdxbgk1sBz5Sq5bBXmwhXMfELcC8ldAngpi1EUBscrzMddFHro2Uhfr0bsWG1ZB&#13;&#10;LmTBUnKUSY4WcM186mJ+jLqYT38zfMx1MYO6mE5dTEP3VPqYhF/jYQyM4vhVzr9MXQzHx+Ex6mI4&#13;&#10;/Q32Ca6LbyJ18cMF1MVB6iLmWsKOsZawWUvwzDjMM+EIz4TjzPkn4Ds4zfFZzv9qs5ZAz+92jLWE&#13;&#10;bV5LnLNZS9isJeBHm7UEnAHTM+akbV5L/MdmLQFHbNYS2MffTYYYawnkeh7Xa+OfiWXMtYQdYy2B&#13;&#10;/De7CbCW8GEtYbOWoK5+o55/oY5+ooZ/oKZOwddwjOMjyA5zzWHq65AdYy2BvAvzSUfQLz3vl+bE&#13;&#10;HnTtZcweZAwfYT74mnF6Cn6E3zi+OMxaIsxaIsxaIhxjLRGOsZYIs5bwYS0RZi0BpSExQhlaxRUR&#13;&#10;THm+IhxjLRFmLQGl4XIoBSVBwCXce1GYtUSYtUSYtQR1e85mLcH64qzdXXzPeuOkzVoCDsN+xuZe&#13;&#10;ZLuo8Z3U/k7qgb9xzTFrCWpzP+P7sM1aIjK3JOlA0+pYM2wTfibf0XV0ijqKtZZQ+VDoe6OfGf+N&#13;&#10;zA3qt1fp9BPPWqISX9jG+i6vUrisqO6TIuqEFbU5Vpi/y6tOXVQn7zWgZvhecQ3UilCbVnEt1Ilg&#13;&#10;ynudSN6D6vla5LWhFnm+BmpCDfAgifNVyXvl8H2iEn1VCpu/y6uEb2GfFK5VBH+Xp36/pD7rJVwc&#13;&#10;fw46k4OuMT7rdWZsqPE8RPUVeekaq8BxF+TdiPMD4TtFWvg20TPcDm6GphxfL7ozhruF64gu4Vqi&#13;&#10;M3SAtoztVuH6ogXy5uEboRXcwnEnzt+FvAvXdeV68/peyXWN6nnyDnzS9Z2kDabVNqtxcUeYtSNt&#13;&#10;kE/3Iu8eri4eDP9NPBpOFf3CjaAFdOD4TtGbXKaFu4uu4Z6iE7SDFhzfyNi+nhxfF74VWkFjjutx&#13;&#10;vpa4GX3t0av6NtWbkkf7pPKkfQraR+nMfQp9b/SYVXUyEp/lBdTLYOyItf4fTN2+5EPO6S9o3Ayn&#13;&#10;zl8hviPDNcTrXJ+O7W8WYQLvFRNhUjjZGLNJ1JOpr4nIFRMivEmrGAOjyO+r1OLL4YZiOPkaHjav&#13;&#10;44czpgf7BK+dLovEWv296njX1FuKxDoo51uI28egfA/6/mB7uKbYFq4r3g83E5vD7UVe+A6xgfG1&#13;&#10;KtxHrAwPFCvCT4pl4WdEZvhZ8TbMg7kwB2bDWzALTDU7K/yY0YbZ4QHoG4DeAehXDKSvgWI+LOB4&#13;&#10;ISxCR2a4P/TzWRx+VCwJPyyWhntjXy+xnDGmbKgF+qXH9KWcmEoc3oYc5n4VFz0O9LyQ8xfGUA61&#13;&#10;ptD3Ro8hlU81hizacbTxPPdWhPh/oMeYc1eEFvrxbEAf+qV9Vd9PrUK+PpTJHuBS8V5ohfgg9I7Y&#13;&#10;GtpozNFG5KY5b2NoLTpXibWhXPYSs9njzGLPMEtkQkYoR8wNrROzQ3mwBT6Ej8Wc0GdiXmgP+4Zf&#13;&#10;cN0B9k8PsP94QKwK7RdrQnvRt4c9wc/ExtC/jLZtRW6q4Q/QswW9+aFD7HUeZZ/zOH0dFwtgdugI&#13;&#10;++kH2Affwx74J/Ah5HG8ivNZ2L1Y8Lcp8GWh0QYl13nXNbMs9GeugsbgMu5T6Huja2YND5xJ5CyP&#13;&#10;diZtPDXzE3ZkRmomyI6fqIdLrUxjHC+xlokEaxX7mFvY39zBfucucYpcnQidFEdD/xVfhX4Rh0K/&#13;&#10;if2hBLkbdsJn8G+f3wX/r13xCZjmgk9CZ402fIr8M/pS7IRdEfbQ7kW2z+cH8UXoDHYoTrO/+b04&#13;&#10;GPpWfBk6gX3/geO+DUFzQSGx2A3HqUEVF50bnVe1j6zHYFA8j5NThb43Oq8qnyqvat/xLdp48nqF&#13;&#10;xbwVyev16NAvPdYv48QV1lRxlU+m8MivZ2VzrNjjx7mjvolW31ea91dZ+0RF6wtRydovKkMVqAZJ&#13;&#10;ERxahQsemHLqWUeNfbnIk6xj6D/Gfugx+jpGv8dEOQgjs6zDImR9Ka6gnyusz/2+Uouxm1Dgbzb7&#13;&#10;vIpMrlVMDcyBiv0E7lH7rPGOrdbk4GAkB0nF2ITqhNbWQd//IcXIK3CuA/JOxPpOa7e42/pU/N36&#13;&#10;CD6ATRxvEHdZa9hXzREdrSzRGppBY2ulaGStFtchr29thgL4mOPPOL8H+Rdcd5DrDxpzo+S6RnV9&#13;&#10;K590fScVY/N5n84/Y4J8utVaiD+Lxb3WCnG/lSt6YGcPfOqBjQ/gZ1frAL4dEbdZx0UraArXcZyK&#13;&#10;PX8jxzWJQ018qmnlcbxK1MXnhui7Eb2twVRvSm7yKWjMqvuK3tsU30uA/jt5BTiuxuwO2njrpR+x&#13;&#10;nRCpl07o0i899hI50c+awN6v4l32nDPFDHjFyhezGAvj4AVrK7IdcJQ9YcWEP/yNtvljbFU1/hnt&#13;&#10;DNoUKA28hur3iIy/f8rAZv38SFV3Rl7aZtxJyMDGFT5HRQY2qePoHCg92vdUrYT2/9YzAT2Kt9Ch&#13;&#10;CPZtJ4Yr33bRxutbXhHfahRj0yWcy8OXAp9s4zxWaC0XO6wl4hPq9DNrEXs3i9j3WsSe1yL21ZaI&#13;&#10;b5mXvmMsnGI8n6KuVQ0H9XmKGB71yff77FWMbTbnjjKujlhr2atbxT5dDvtE2eJz2A074TP4hLli&#13;&#10;B/1+xDWF9P2htQ424lM+vAsfGG0pwI48n//N6S7ip+eKoHG1i3Gl0PUQXaO7yZ8aV/svII9XEYxF&#13;&#10;FKJpXrjKXmTMXxXkrp0pqttL2Fdaxr7SCvZNVrK39I6oZ69lH2UjbBIN7Pdgm3EOKoG8Cz51LCZv&#13;&#10;avyVsP/FXuFO9g4/Zy9yvwjbB0QFqAouxymcv9rezX7NTlHT/tTYV33kqq8hxfRVgXP17c+wf7dI&#13;&#10;tffizxf4xRxrf4nur9gD4tlr88y1j4tKUAFCUMo+wj7mQfYt97Jv+SkUQB7HqzmfjXyJsIiXimms&#13;&#10;mOu86+dLTXL1boxc1bTfNcavpp2H/evI1Rp8yBHV7CxsyRJlIUTOEslZKXJWgpyVQJfJRtVXtI0V&#13;&#10;sDFWXVewFxKv4Lo+EKnrI7TxPi/aYMenMWLVJpL/oDmijb2L/cU97DXuZc9xv+hEXv8OXaEb9dad&#13;&#10;muhp7xO9uKYX9dYLfT2pzx42z2p7h7jP3s5e6UfGGHaK1HuQDR3sD7Fhq2htfyCa21vYo82HdfAO&#13;&#10;x1ns0y5jjzaTfdGF4m64H3rZi9mXXcF+bI7oa6+CdUYb0pCrcRBkQxq10gM93e1c9Gfjfxb7wFnE&#13;&#10;I4t94Wxis5IY5WLHKlgD69kz3ig6Umu3YW8nxv6d9majDV0jdRtkQw/mjt7EoA+x6EvM+hPf/ozP&#13;&#10;/oz3vuSij30Yv49i33HicJy+j7N/fVTcbB8SzcjdjeSoaYz5QNVDdD3f/RfqWcVdoe+NnqdVHat5&#13;&#10;+sQF1PNK7Bgfo55X2uONY3+pPYs90vliIfWRQW28bW+ArfApx19w/ijyE2KZfYb9XPPnzaXITTWz&#13;&#10;wD6L3lPsGZ8Uc9A5m3zMYt6cQS6mM6dOsz9hP3UHFEIBbOB8Dtcs5voM7JnJ3vJ4Y80of4Ni/h2x&#13;&#10;nkDMT9O+RZsC6vnB6y+v304Q8y2RmNc6f6//X73uupSjE4zJ/fZs8S9a9V7bo+fs3ejQa7fmxego&#13;&#10;ybnd9gT25CaIS8NH2Y87Kr5lztgO7/F+DSh5tN79RfQmF6P3Ys7t5z6Fvje6LlVsVIx+oZ1BG0+M&#13;&#10;LL7f0/6lokO/dIwIX4IVnsBejOKosHyCbVL7K8qm3y7AJvW9/Tg6Nj27OofH+fXbQBtMq21W3/X9&#13;&#10;A3lPbH44PE08Fn5LPB7OEE+ElxjrsQ9y03riofAC0Ss8jz2O2ezNzGRvZjp7B9PZn5jOPsUs9ive&#13;&#10;Zt9ikWgYzoaNsJXjHZz/jH2Ovex37Od6vjOABzjuxXn+zbroE/4IO7cabXsSuWm8PhH+GD93i0fQ&#13;&#10;3TN8hD2W4+J2aAM3cdwofJB9u93stRXCeljBXt580QC7m4QnidbES8U0Vsx1LerxcXuRXAXV8e3o&#13;&#10;Veh7o+v490jNqO//410vDMGO32PUzJDw+TmvYzE1U5pzw8Kn2Vv5D/saX7G/sY/9lU9hK2wQr4VX&#13;&#10;ihHhTPY7MsQwcj8kbJ7bXkJuytdIaub18Bwxmnoag8708EIxlvobH85ivyUX1rL3kgfvwgfwCef2&#13;&#10;cc0Rrv8ae86wX2Se45W/QTEvQazVOFX/1vst2hRQMeA1tDH/Ue/V34HV59V81ARKgM59k2qssZlE&#13;&#10;Vc2kgn7pcSg40aRa/UvXJCnKXD6usiKU2JTzSk9zqABfo7wH7TOX8LfoqQXdJ9/jDdXvOW38rD6u&#13;&#10;ckJCy8TztgTNCeMqt0wcUDkhUdmQ7bcted8yMShGZ7HrH3R8jjatiF2Y8oddiP4nLv8/bWmOfhWj&#13;&#10;o3TUERtKE6OBRWz5f4nR3Q7/nyySovLVCfRL54vwJdzt9Be9fdLFK7TTYbCTLmY6+eJV6O/MQP42&#13;&#10;5Iu7ffoH1tiz2DoWnS/STqHVueTtH/HDFWNec7F5eMTmoPkl1xkucp0F/njriD790n6pWs51Fot3&#13;&#10;nGVilbNcrHayxTonR+TBe7CV4w+dpWIb1xQ6C+Ftfx5M1YpotS5MSSikv30++eIjYvCRs8o41pW8&#13;&#10;0FkNa+hjLX2tEwXwgbOB/vPEZnTkO5vEBlgLWbDY2SgWct987MvA7gz8U3kLikGGH4Phf+RCj9FN&#13;&#10;xG9YjPhtcoYJRdA4UPkbT98jaKfSxpPH8m5CwpyIHUno0C8dV1UH5d05fhyHaCGtlqsxUN6dIcq5&#13;&#10;U0RZd6Kw3XGijJsuSsIl8LszXpxzJotfnWkwC+ZBJueWi4vcbK5ZKaSbw/U53JcjLM6F3eXoWyzK&#13;&#10;uwtgjvHZp+Q6Pjq2ZfBJxzapGJuVT2XcYcbauBJ5JfdlkeS+JlLcMeJqdxLMhsUcr+T8GuR54kp3&#13;&#10;k0iEkiDcfHzaKBLc9eI36ulXass0B//q7BYnfIZzreIN36agefKc8xrxfJU+XqGv4fQ5jJgNM8ZH&#13;&#10;yXV8muK3mt/198cjI/UzhnY65+Opn1uIdb8Y9XOL28/oVwfkHSPcSnsbdAIVuyTQL11zKn+d3MG+&#13;&#10;zo5aSKvlpXl/O/JboQO0h3buc6KtO0S0cf8Jz8MLMBSGwXC/r1bF6FLP2k7IO1EDbXzyRUPy3JD3&#13;&#10;tX2G814x1OhjQ2xo5D4lbnCfEE3cx0QL/FNxMfmo5EG5SydnY7FtPO0U2nhyN+Av5G4ANnRBf1BN&#13;&#10;DkT+ODwBT8JT8DSY/HqaWCidQbl7CvmT8Dg8Bv3JXT9y15fc9SV3fcldX+Ldl9z1jZG7QcgHkae+&#13;&#10;PvniPnJ3H+/v9BnOe4U5d/dhQzdy9wC5SyN3D+GfiovJRyUPyp3KmcrdpAvI3WRyNybGuJuMj6bc&#13;&#10;vYl8LHP0GHe8eMOdIF53J4tR7nSjX/OQm3TOQ8dcdL3Fc2AmuqfRh7LDFCsl17HSc7jyL9YcPpn8&#13;&#10;m+poBvI57ksig3l8kTtCLGEuX+6OFlnuWLGSZ9VKd6rI4dmVw7ye48432jgKuamvUe4SYriCeGaL&#13;&#10;8TzHJrq5YgpMh1kcz+b8HJffb3DNPHeZsa+VyFVfvUC/9Nxmc2IlerLQu5Rn0EKeQXPczcR4M31v&#13;&#10;Fq9xPNxdK55H/py7FObCZI7TxUv4/yqxGENcVOzMOfnzuaFzMqVITpK1YbTatot5PwW9Cp3Pppwr&#13;&#10;AfqZM5maH8/xTNp41ywHi9iRhC790nao58NBbFAxDJq3lPzLKA5xbIrJIcaJqQa+pOYPwoEI+2kV&#13;&#10;u+BT903xL9ZIO9xpMAvm+n2lauNptf0M64QdzFN5PsPFduao7dStyZ+Pye0n1Pi/WRvsoub34ovy&#13;&#10;0eSPkgflaVYkT3Nop2BPPM+Xuh73xpij6npTfL+GFBOHCpyr600Sqd4EUccbL2p7Y8U1XrqoDg5U&#13;&#10;8caJSt5kUdGbCjNhLsyHTM4vRZ7NdTlcn8N9Ody/UlzrZaFvuaiLvC7XmeLTArmKeZBtLbxlohk6&#13;&#10;m3qrRCNvI3o309dmURmu9PJEyFsjLkde0lsCc2GKKI0PljdKlPNexr5hXD8Mm4aJBt5wcYM3QtyE&#13;&#10;rAXXtOBak20qbjp3enxWJ956zgwan6o/hb43enxmRPK+mDbe8fkgdsR6Nj3omZ9NPZDfT47vI+9d&#13;&#10;yf+95LmLZ342DURuGiMD0TEAXf2om0fR3Yc+lB2mOCu5jpWOs/JPxzmpmLpV88+DxFjZ0rEYeWnO&#13;&#10;PYK8v/eSeJw6GETeB3uviX96o8UL5P5FbyJMFcO8GTAbzM+mLshNfXWh/rp6/O6F8dCdcZDm5Yre&#13;&#10;8DD05bg/5x9jXAzgmoHUtCkeLyJXfQU9m15EzwvofY7af5ox8Bhj4UHoBvdw3NlbKzogb8f4a8eY&#13;&#10;aEdObiEXnfD/bmJxH3FRsTPZoOTROeldJCdBtd+b+xT63ujaX0LNj8e3bNp4a38GduRH5rxUdOlX&#13;&#10;0bl9hpcv3vDpL2Z4ivxAm1Zii1or5tJOoY1nHl7/F2xajw1LfPqL9dikjoPitCpi0+oLsEk4rAvY&#13;&#10;EDDlWTgljP+PZiXXSN4rLgOTzsucq3ydQeNSIhdwKVwS4WLaX5Oukv9NqiR/SKomzyQ58nRSClzj&#13;&#10;95Wqk0xbNM+nk9rKQz6l5PdJirJGf35ICtFHGflTUmn6KyUTIv6Z/FH+B+WpH/mZjU0DaefTxlM7&#13;&#10;NcjTlTHyVMO50uhXCnLXKS+TiGNVp5Ks7FQF15in65Cb5vIG6KiPrrrorOOUk7XoQ9lhipWS61jp&#13;&#10;uVz5F6sOaxBj0/xaG3k9p6Rs6FwuGzuJ8iYnJJs7ZWVLp4Js5VSWrR0HkqEG1DbaWAm5qa/KTn1i&#13;&#10;2Eg6TmPpOU1kdaeprAm1oA7HdZ0bsOV6YtNINnCuM/bVGrlpLm+FrpvR28xpjl9t0NuevtrTd3tZ&#13;&#10;0WkryzotZBnklzsNoCZU5bicDDuWvIpYJBEXFTtzTv6sX52TmkVyEjSX10SvQuczei5XNa9qfxDt&#13;&#10;gjhr/xHsaBKj9h8h5iqGQ0C/9BxQgRMDkD9JHJ8mRoOcuvIZ8vsMdfCMk8Kxw/mqyK+SA4jbI9Ab&#13;&#10;elI33ant+5F1czyoCbWhLucayB7o64Ve1bcptkqu46Nj27tIbJO0wbTa5ot435u4Kp8aFCNXe7iP&#13;&#10;In+Men/cKY3tifgQwp+wb0tqMffwOEx4xiklR/g8wLWKZsbae9q5Gd2t5EDq7jGnnXyUmusND8C9&#13;&#10;nLuLmrwd/zoyHjo610ASx+U5byG/nOtKcL259pRcxye6ftSel6qf52kX0cYzd2YQa2Zx/xkXVMcZ&#13;&#10;xCTDqePHIuiZlOHUk/MZqwsY0wsZ94vxeznkwmpqYS2y9VyzHj3rnb8Z87Ce/gp92soNjOENzk3G&#13;&#10;PGwgT+t9mst1jPe15GUNrHJa038bmY2OFeRnKWTCHJiObAr3TMK+iU5DqOPbFBSDiX4MSv2RC12r&#13;&#10;WUVqNejeLHKoCMrj0EgeX7mAeeAb7Lg4ksdUakG/9JhR9f2Nc7Hc53NGfOMoLv7DJu3PviL1kKqV&#13;&#10;0BbVs49YfOPTFn2KP+MSXaMj8GkW96vv8eN9vlflu5RYz7+qrnk+UPJqUSRxbJqbklzzOqwa8qpQ&#13;&#10;JUJlWsWVYLmV5BVuNZnoOpAC5nVYottWniOW54hlaVdhXoeVcUP0UUbabmn6KyWvwhflo8kfJQ+q&#13;&#10;wVGRGhx9AXm6mTzFWofd7JrXYTchb+KWlzcQw0bEsKFbVV7nmtdhtyE3PQtuQ8et6LoFne3ccrI1&#13;&#10;fSg7TLFSch0rPTaUf7Hq8GZirGwJmifbIu/glpS3u5fLu9xEeQ957Equ73MryPvdyuDIB9xkqAHm&#13;&#10;ddh1yE19XefWJ4aNiGdjeaPbRDZ3m8qW0Abac9zBvUF2dK8nNo3kba55HXY/ctVXL9AvPSfYnLgf&#13;&#10;Xfeht4vbXN7ptkFve2LcXjaGBtT2tW4LWQN5itsAakJVeTW5qO1ash6xuIG4qNiZc/Jn/eqctCyS&#13;&#10;k6D5tyV6FTqf0XOU2lucjQ8TaBfQxvMcfRo76sdYhz1NPlQMF4N+6Rgq2592G8pB5OMZ8jWYWD3v&#13;&#10;3ihfgldgJMejyNkbyEYT69HkbDQ5eYN4jkLva249OdxNlc+518on3VryMeabvtTQw8w9fRgffdwq&#13;&#10;UF4+4tqyP/PGE8wZzxKTF2EkjOH4TepxCvU4jdqfTi2acvE6cpMvr7sVsesq7KqA/ivxoSx9lcWn&#13;&#10;sth4Jf6Vw8/yUAEqQmWowvmqcgjz5otuEve7cixjYaJbHbtqYlMtORMfZ+LzTGIxzeX57baU46iv&#13;&#10;UdTZMHgGBnLcj/N9kPcmXr2Jj8kXlRddG7quhv2FuhpG3BT63ui6UvWk6mraBdTVAew4zcPbZP8B&#13;&#10;97TxO8WDyL+EQ3DYPSO+giNg0nnEvcg4t3yF/DB86SZIbJRf8H6fy/rCvUTudS8FARJKQCk//q10&#13;&#10;0dPqui/F+6PIj1IPe33aym3kbxvvN/uU4r1C+vY0KEaHWu9vw4ZC9xf2IH5iD+MHsRNfVVxMPip5&#13;&#10;UO7U3oJat8yljXfdkuDFXlsneKy+PfPaOsGrxzXXyYu8RvISr7EUXhNZCq6AsHeDvBJZOa4pj57y&#13;&#10;nnltXZ7+rvZpy7UK89q6vNeMa5qhvzn9tICbZVmwvNb030YmoqOU106WgEvhF7ed/MFtLb9n7H3H&#13;&#10;GP2WOe1b17y2/pb8qjjoXOgxeDnx08/boLn9cq+EVOh7o8fgPPKnxuAi2njn9nuK2JGELv3SNXwR&#13;&#10;J+7BBjUfBtVnFyUvwr287wqm+uzqmdef9yo53AN/h7sj3E57i1dJtvOqybaeI9t4KWBef7Yhjw19&#13;&#10;SsnW5KK1Z15/tvNC9FFGdvRKy9u5/k58UTEw+aPkQXnKjORpGW28460beSoXeQYHzTXdvHKyG/Y+&#13;&#10;6POTeMpTlJIv+JSTTyF/ymtonPueYsw9xTh8mvE3CJ71msohEf5Jq3geXoigYhJUvy8wZgaBqXYG&#13;&#10;IH+U3PTxWsnejL0HGY8P0q9J74O+n+UC463irOY3tY8Q77jIJN56fCahS7+KjotMcq5866iFtFpe&#13;&#10;mvfLkGd5JWUO8V/tXS7XeolyPbW10bNlnncllIeKMt+rCp7vc41idOFGQj4xWu5z/vNAUJ/L0bXc&#13;&#10;qyyXoXcJ+hcRqwyYA7M4nsH5aV4VOYWxM8Wr7veZWkyf6jP1FPob6fODmOIpbGMupzNmZjJmZuPv&#13;&#10;2/i9AP9VjEzjRsmDxo3ae1F5XEMb77g5Rh5jfW47Ri5MNXoY+UFit5+5Zx9zz15i/Lln/tx2BrlJ&#13;&#10;5xl0nEbXd+g8SW6+pg9lhylWSq5jpZ8jyr9YdXqMGJvq9Bvkp8jXWWr0Z2r0HDXK/2RHXpxcQV6a&#13;&#10;XBkcKZKToQaYP7d97pk/t33u1SeGjYhnY3mIcX6EeeQ4nIBvOT7F/PO9dz2xaSTP8Ow3xePSZPPn&#13;&#10;tkuTb8CHpvI3nu8/8Tz/3mtPjNvTd3u5h7r+lGf+R/T7odcAakJVjsvJTzxL7iIW+4mLip3JBiWP&#13;&#10;zsnxIjkJmhuPc59C3xv9bF9Lzatnez7tAtp4PrfVpfNYtVE3+XxtNKAP/dJzmFp7KrmiXhHq894U&#13;&#10;k/rJ5md7PeR1ITVCHdproQYkJ1eSTnI1mUTNJSWngPnZnpTcVoZ8SslqyQrzs91JDkkvuYxMSS5N&#13;&#10;f6VkrYh/Jn+U/0F52hTJ0xbaeOeoKg5zXIzP11WcNf4YXqyTRKvzpGqsirOefamNspqTx/7QJpni&#13;&#10;bJbXQG1Ihbqcq+/ksye1EdbDOljDntJqZKvk35x3uG8l+0rZspyzgj2kpTLkZLKftADmwgxpOZPl&#13;&#10;lc6bXJPO3tJo9pZGs+c1mn23dPanxrNPNZH9qmnsu8011wdyNR8F+VLfmY1ds7BrJvqns7c2jb6m&#13;&#10;4dM09jGnYed0/JyBv7PgLZjD8VzOz0P+NtdmcO8Ceb2zSN7oLGYvcBk2ZbEXmAtrIR8732OfsEDe&#13;&#10;4BTS13b2srajY7uswHHY2SqvcLbIRGKZSIxMtaHyomtDz8lq/2x0JJ9B478mcVPoe6PH/+PU0zJi&#13;&#10;pPbPcmnjGf+3YMf0iB2t0KFfum7U59NbiOUtzlh5p89QmeYoxsq+PtN5r1hnfH6kUVM9iVVP4tqL&#13;&#10;OusND8MjER6lVfSNoOIZFJe+zkfyQTA9O7spOXm6m/zd6XwA78EmP09Beu/0/ZweGG+137QEu567&#13;&#10;gHiPIN4jI/FORZd+6XirNdUIZyT7jorB7McpRv5hk66fQehJj6FnEGNuhE8huhTpf+iJrqV/RnxT&#13;&#10;e2k52BBPLX2OTWMiNiVpx2i1bxfx/nNnjLFOvkB+AA5h6xHq6xhzxn+YM04wr3zDuD7JeD/JeD7J&#13;&#10;WD7pzPfzWaOYvnAj4SQ+f+GTEaPPeezhzIHZ8nP076YO/g07oJDjbcg+ZN4oYM4ocBYa+yygvzU+&#13;&#10;C419rmEOWoMPq+lzFX3k0NcKWAILOV7A+fnI53PdfOYpNR5Si/FT1ct8+pvok84+pWKK33evYq63&#13;&#10;ObeAeC5ijl7sjJPLuD6beK+CdZDH8WbOb0H+Ptd9gK4C2kLysIN8fIJ8J9epPJrmPCUPmrfUfp+a&#13;&#10;t9SeWLy1lsj3grr+g8ZzopvOvlOOMQ+J7iquWSvLuOtlyM2TYTdflofKkORulC4yj2uS0ZPsrjDm&#13;&#10;IZn+GvgUcq1iizEPSq7w3Pfgffr6QDruVvaxPqT/QlkRyrsfsb+1nX2u7bIEXIzsd54755hHzzHn&#13;&#10;nnNyfJuCYnCOfKk46Fzo+aMC8Yv1/KngjpYKfW/0nDEqksd02lzyGc+ccRd2FMaYx+4iDq18nmPP&#13;&#10;SFEYaNM4bFFz9JsXUFsvY9PyGPPYy+5yP7cN6Eu/9DzHrQnDkb9EvQyDF2Gom8V3/1nGMTPYzTbW&#13;&#10;yyDkT7or2bvIkQPcXPY4VsM62MhxPt/7b0K2WT7lvss+yrvsJbxLn5vpPx9bNsqXqeWXudc0bpVf&#13;&#10;Ot+6Vp4jHgtixOM5d4HR9ueRD3XnE4/57NNkYMc8mANvcTyT8zOwczr2TmN/ZBr2T8PX6fgzUz7O&#13;&#10;NQO5diD3mGzvgVytCTrqhNDqnJTmfQ93luzpTmU/ZBL7QGPRN4a+xtD3GPkqY+QNdzx7KRPkBK6Z&#13;&#10;QH+mvia4G/y+mhfTV0nOTWAumUA+JjC+JzC2JzK2JzK2J7kFPpMZx0p/0LidTI2PAOXPkGL6qMC5&#13;&#10;Ee429pU+hALYCu/De+R6K7H8kFhuw7+PiOV2YridPaHt7AmxduL6Hlz7ALXxAPPeA9REGnnv4y6R&#13;&#10;j7qZ1NIi+bR7/jmXVEzf6jmu8h1dJ0P+wpwyhPlEoe+NnlPUnpF6Nky7gDllBnbEWtPOoLZmUAMZ&#13;&#10;PkNljqsYKzf6TOe9wrymzWFM5ZLnXMbXO+R6NayD9RE20Co2RjDleyN5WQUq30FzynLkmdTEAvKX&#13;&#10;QT1lkOsMdJv0Zvh+Bq9pVZzVfKn2e3Jp45nD9xDvWGvaPe5IWeAzWO5xFf+7pi1Aj36mp2KLfukx&#13;&#10;rNY6BYzTPT6F6FP8+WyLrqW3Ir6pfx8T7zpDeAkJm2LMfcLbZBynpZAnenky5K2XtreG/aMcWAYL&#13;&#10;OZ7H+dnIZ7CPNJ29LSoXzjEf/uzOlj8yp51lLJ51l0EOx2s4vx55Htdt4vrz+U/SwaLV8VLjVMn1&#13;&#10;WNPzeTI+LYvhUzL2meaeZG+VdL2Nsor3nqzgbcOH7diynf2v7fI0885JavMY4+MIa6cj2H6EOf8Y&#13;&#10;c/lJdzLysVw3mutHcx9rDG8seiajb6ZM9jJgmXHuVfJon1SeYq1nVH8KfW90vai9TjX3LKSNdyzc&#13;&#10;gR2xPgPd4Z3/DBQ0zrsg7+alyx7em+xzTJIPUQ8PUSdqnNcA/dJ5xtyEh7xC9p8U55/DHfVFtPq6&#13;&#10;0ry/x3uba+awXzZb3kW8O6P7VmgLrTi+2ZsrW3BNc/Q09xb7faYWo0uNxeb0l+qTLpthbzPv/OeO&#13;&#10;IL9u9ibKlvjU2hsn23P9rfipYqH8SiqmD1W/Sq7zpeu3IzGOleuO5Fmh743OdSZBU7leThvv3LAE&#13;&#10;OwbHGEdLvMHGOX0p8mWwPMIK2mwwxSTbG+HrDMpxFvIVsBQWQyYs8l6VC72R8BqMgjdgNIz1+2pV&#13;&#10;TPzVdz/ZyLOpjYU+hewHKabLdJ+xvFe8YfRxiveKnPp/2DvvKCmK9e/DVkGDJEHidPewM7NIhkXJ&#13;&#10;OQooksQFVIICckUMoMgVUbgEBYUfKBhIKpkFYcm4LDnn4BKWsJgAL1dfrl6vJFF/n2qmdM+8TA1n&#13;&#10;95/3j3fO+Z6aqqe66gnf56nenhZDo/LODI3gt5/heedhn/KLyUYljxa7NcRsKbqp/8Ylu7HLIHax&#13;&#10;6noGtdNUAzORf0Vd/5a6foG6/h11/Ttq03fU9Qvk67fk2FfU9Ux8lQHSwRH6Bxnfj3wv8/Yyfy/X&#13;&#10;7ef6g6xzhPXSWVftbfKPkmv/6Ly4ik2x6vpV9jPZdJW6/gt1/Ufq+r+o699S0zPAIbCL/lbG05Cn&#13;&#10;Mi+VtVKp12nUja3U711w4RCcygDfgn/R/5HxX5BfZZ7a22STkkfapOIUK9fVfgr62shcT4UnKtc3&#13;&#10;02a3rickxK7rCQnmuq7k5bLgXr4rmHxyb8InxlwvhzwhjBBtMAybtlTC7LwlEubnvSdhEVgClnt7&#13;&#10;JeIL/dFng6rn9yQczCs8TM5bLEFhhjGviyd8yB5T85ZOeC+vzfyy2KJsNNmj5NHitCUcpx202c3r&#13;&#10;0gHun61b74tV0UbSajsl30sHalpVQShQ3FLftT46j8qwRu7wGk1vs0Z+xsoEcrNGbuvBQBerLrgv&#13;&#10;0MIqDgrz/WZ8F0vJI9cNZVkXOv350brFMRLiOgV9bSSXX8Q3acxTz6K305YDBQGfkfq7OjfvAWpc&#13;&#10;rdkA5APavn7o0SVsXyLj+qP1UFzohx1dPOS2+qGP6mud9DpPsM4f4fMvmj1PBP7Iq6CvjbTn1bA9&#13;&#10;r+XAnkHoUTlsT7w2hlbbo/wxKFDZUnWv3W3kyk+DAo41JFDUej2Q3xoTENYEdP4QzAcpAWmtCRSy&#13;&#10;UgPFrLRAKeBYJo4vRm6qsYsCpa2FgRLW/MA91pzA3dasQGHrQ/AumIAO4wIlrbEB2xodCILKoCb9&#13;&#10;Btb4QFNrYqAV81ozvzXXteb6VqzTjPWaWIsCDa3FgTpG3dKQm/yQyh5rAm2slMDDVnLgEWt2IMn6&#13;&#10;CEwAowKdrdcCD+KnFtagQF1Q2biXkuu4a858QKx+j8GZDwK/8zz796icGR7mzBjaHcRO856vd5wD&#13;&#10;Rflbs1YMzhQN1jLGsWgw0bo7WMUqHKxgFQiWs/IFQ5YAvwVC1vXAvdZV7L8SqGb9ErgP1AaNGWth&#13;&#10;/UrM+G8drFzBNsxvw3VtuP4Bq1CwBes1sYoGG4BaRt8qeaRv82FTiRg25QuW8Gzqe5s8KMZYEeQl&#13;&#10;gqUtX9C1ygaDViBYCdQETei3Zvxh5I9YRYKPWhaIA79TG36FG9cDHa1rgfbY3M7TPfE2e6jaciUw&#13;&#10;0LrooSRzFcp6OtW8zXyokutqwGVtmz3KWH8wX6CjssOUg0qu/RNZc8bBm42sq/5bj1202eFP+zvw&#13;&#10;dXt0ULkWzS4l75AFHfmuYLKrIzwz5W8H5O3DeJi2XRitaJsFy1tNgpWtxsFqVqNgDVDbGKdGwS5W&#13;&#10;VQ8lrYZBhYDRniZwplnQZ7UIlrEeYH5bbFE2muxR8mhxmhyO0xTa7dmM0xDi1CZGTgwh/0z1ehjy&#13;&#10;1+H+SPJzVLCpNYb8HEP+jQlWp1+J8fLIE6xh5MsQMAg8R38A439D3p95/Znfn+v+xvUDWOc51hvE&#13;&#10;umpvk3+UXPtH19D3sSlW7Xqf/Uw2vR9sbL1HzZkYbGeNI59HBpPQJcl6FvSh35Px7siTmJfEWknU&#13;&#10;ue5wqGfQj7w084ozvzjXFef60qzjZ71y1vvMU3ubbFLySJtUnHTtSiDW+qPP8DgGhsAVBX1tZF5P&#13;&#10;DfNlOu0O5mcnr9dl0SNeK0Gr9VD3EuvQwZTX65Fvgv9bg6Ws7eTCrqBt7cE/yieJQH/0mqom7gnm&#13;&#10;tjI8dGGuwkPeHn31ZFo9vxjfdwU7sHYnawux2kgNXg/WgmVgEWNzqdOfwLGZ8G1msA6oQj+BcT/y&#13;&#10;0lYKOio7THFScu1rzb31+CdWPq2HsybubUa+DW7tIA92o98e8mIPtWgPdWlXsCKye7ErAbtC2BXC&#13;&#10;rpC1Em4t55xdhh1LOXeXwqGlXLeM65ezzkrWW8u6am+TTUqubYrkj3oWnoZvZ+eAP1fwT8lwvYnG&#13;&#10;4ytw4wq6Kx+1A/qj41uQgSuct1eDzaxr2HYd226id65QGysvyB96wCoQamYVDDWxCoUagrpGbhUK&#13;&#10;lbRcD12swiEFM7cKIS8UagceZo/27NXeuivUwcoX6mTlCT1iCdbIHeLch2u/gv+AH4KdrUtw9jv0&#13;&#10;vBhsDhp4OkXzwUXPByX/jIXmV1wodh2IC5WwFKLFcS7x24gPk3MQx07oUSXGudEpVMXI806hSlbH&#13;&#10;UAWrQ+he6+FQgvVgKGi1Bs1Ao1A5qyHy+qGqoAaoDeqDxow3Q/4A89pYD4AHwcOh1lb7UCvWa2F1&#13;&#10;Qt4p1MjI8yeRm3LwyVBzqxdrPkGsu4Y6s24SeyWxd5JVixgnEvsqyCuGmoLaoAr9BKtGyG/VDpVG&#13;&#10;vxLM53wHXUKlrO4hn9UT2ZPMeYq5phxUftOx03F/4A7irvZT0NdG5u/icNyX5yDuT6NHMBz3ljox&#13;&#10;aXVuqmeiTxO/p7H5BQ95rREhhVLWeA9Bviu0MOb3CGI5Av+O9NDGGkWM3wzjLVqFcWGMp1X+jJZL&#13;&#10;48nHfwDTmTSMfH2ZuA4OdbReJJdfIL9fiLHuC56dcJW984FIfys/q3q5Ogf+noe/i4T9ncha+qP9&#13;&#10;rc7GeaEi1hQPuSzmgyJ/6qT5M4V1dN1N1IvQZl1nCjVwnocurKfwV/2JtE09Y1a2raPdTpude4lD&#13;&#10;6BTrrDxEDEx5mo78JBw5BZ/OkouZoQagFqhOvxLj5ZEnWOnE6hDYB3bR38H4VuRbmLeF+Vu4bivX&#13;&#10;72CdXay3j3XV3qY8VXIde+3ny9gU697zMvuZbLpMjfue+nYRDn4NJ09Rcw6DHWAD/XWMr0SewrwU&#13;&#10;1kqhXqykXq6jvmyg9uwIFWd+ca4rzvWlWcfPeuWsy8xTe5tsUvJImw5jU6x7z8PUHQV9bSRfPhe3&#13;&#10;zpxNtDuyyRebBNd6xLOG/mgOq3tPO8F87xlEXj6hlFU5wWdVT3CtGgkhUMnzSQW9IK1eE3V5f7+L&#13;&#10;Fe+hmrFmxSdUZl5Fq2xCecufkGDZCUGrJCgKCiWUswoguyuhipU/oTq4z9sz8TZ7qpzOz37XycHr&#13;&#10;5GD+BAXzM4ACCQ57+KwiCWWsYswviZ3KF6ZYK7mOl+ZviSw+jlZPS3Cdgr42Mtbqd4SN2LCTdjtt&#13;&#10;1tqgfFwQqFiVB6XD32mUz1Xz53w15x6g5seBBiAf0Lr28/FvjCIw1f5+viNxX/iPxHXjuppAf3R8&#13;&#10;1fOTfyO3yp6Oc8pejkssK0SDsg6oJ0y+a1A2ZPxvqhuUbZonsWz3PE7Z5/JYZUfl+bd/Qp4vgGnN&#13;&#10;fr4JxjXbIK/uG5XH53suT15f9zw3yzQFIeOaN8vUEybbb5ZxRF6fED7f5bjqvtNxbfCX8plZzyNx&#13;&#10;0WK/hng8hE+bEfuptFljX5++iqXMMv7/48oZ+P9wXJsSK5WjKQSqFW1r4jqdVseVW5ORFehHy2lE&#13;&#10;3kfPj5XTRRyef4dzumP4WtXofC3E9yLO73HxHgKiKW1XUMsJiG5OJ9EcVHSqininNugkinj4PSpf&#13;&#10;f2Cvjqz5X1qVJ1pPvo7U32Pp3AudK+IXU870cip6ediOhfVH26R818vxiT5OETHAscQgJ5cY5vwW&#13;&#10;Nwa8B2Y6ucVcp4BY4NwtFjklgM9Ymz5ErmwZrjei1XupWH7glBRTnXvEFKeomOQUEu84BcVY8AZ4&#13;&#10;1SksXkE22CktXnTKgorgPvr1GG+MXs3FCKcV81txXSuub8E6TVivofiAOR86tYy6LUKudIvmh4Xs&#13;&#10;MZd1ZzkPsV4n1u/CXl3Qqwt6dBTPOG3EU05T0Yv4Kp/G8rmuU/rMGO3kynUzzK9o59to52acgr62&#13;&#10;IfrmA/rf//4lzBm9juYJU+6YM2vQo0yYM9H0WOOUEWuIh8lf65FvBJuJ4zbitxOe7Hbyiz3waK+T&#13;&#10;R+xzhNjvxIHcIJfnr0QU1R/NizwMZCDPwOd7PKi9y4hoPlA52pFrcmOD0i87Prh8Bz64jA6XY/jg&#13;&#10;Z+RXwXV8cBMf/IEPcrv5RZxrCeHmEdIVIE7kcXMDsw+KIS/mduJ6BbV3dB9IbFc+sHLgg6Hcw4wN&#13;&#10;80CtpT86LqreDfWNFaM8LBWLaVPBh74FYr0vQ3wGJvmWIU8DGWKoh7FR47aNuPVkzb20/WmzE7cD&#13;&#10;6KyeBarci8bdA74Z4oBvu5G7B3y7xEHfXnHIt18c9h0S6b4jIgN8Cc77DoqLvt3iO9b4p28zSDVy&#13;&#10;95/s9x8PGeISPrjkO2zc+5++o6yfzj7HxFfMP+M7JU6Ag2CP74TYgXw7OmxDv22+Hd7e0Wzd5tk6&#13;&#10;40+f61pzGj+pZ+0mP532TRcK0fJsH3HqjZ8P5yBeDgodDesRz1r6ozmmzjfHPur5a7gW0mp5ab7H&#13;&#10;I0+wD4vy9n5Ryd4tqthbQSpYLSrbyxlbimyBCNpzhQNKgLvpF2K8oL1CFLDXgg1gC/0djO9Gfoh5&#13;&#10;R5l/1FjHlVz7R/s2N19mhm2qcBudEeXKbc9kP4V5RtsK2bNFEfsTUcyehT4zRBl7uvCDcqASY9Xt&#13;&#10;OaKmvVDUtpeBz8FOcT++qGIfExXsDBGyTwsXlAYl7FOiqH0S246LwsgLhG2LpmMB+98it4eZf9oY&#13;&#10;ed6ov3F6Y88J2mdos5OzrfCX+m9/TOdlK/s9Y860sv9HPGC/I1rb40Vb+03R3h4jHg0jiVahK+gG&#13;&#10;uiugazzQH80nxbfu9kTjXt2Qdw0jiVbhUdAZdESPjvYk0cF+F7wPZnp7tdQb0eq97vL2Qg4HOnjI&#13;&#10;EK2IWSu+N/Qwk+8K70X1v/K7qpmncpCDfe7A/31i+L8PdvfF//3wf3/8PxAfDwYvgZfDGEL7ChgK&#13;&#10;TP4fih/Vud0O6I/2WUEGXkE+BLycBS/x/UXwPHo8j/+fw//P4f/nYvh/KPKh+Po5DxmiD/7vw/fH&#13;&#10;PMzku0J0/58O+z8zB/6fhv91LY7XBtNqmxUnp5HvJp/MQj6H+rCAmrCYerGUupBizxcr7EVipb1E&#13;&#10;rLJTwEqx2l4HNhr9Pw65aa9x9nYx3t4jJlBvJ1FrplBHPgIfgzn059sHxEJ7n1hEHU2mHplivQq5&#13;&#10;2itabV/FGivtvWI5a6aw9lL2WGKns/YJMY9YfUpNmwVmUN8+ApPB29S4scwbwTWvU89ft9PACvrJ&#13;&#10;jM9FPku8i7+UT026KXlkbU8mVur5sum6ZHuN0X/JnEmLOHsW2IuxYb74BJ2mgalgMv2JxOxtYjaO&#13;&#10;mI1jrVh7Rer4URY+Rbsv+AjbFPS1kXVd8bk3cfk2B7zegh76XqwCa+mP5jVuzLUFzu7zsMDos/3k&#13;&#10;40HOwiP2xyKd+SfQ/TQ4kwVn+Z4JzgGTz87hYxO/M5GfDeMMrcJpcBwc5b7hMHE7QPz2wal94fhE&#13;&#10;s28fHN3i4a97sEhfnw/7Wv2/TrN731vZyZVrdAxeVnZGe3bX1IGg1bFQzxprIW/kvClaOO+Its67&#13;&#10;op3zIfjY6MvmyE3529T5SDR2por6rFfb+R9Rw5kgKoMQcJxJopTzvijmzOBZyDyQAlLpbxUlnd3C&#13;&#10;dg6KgHNEVAL3g3r0Gzm7eK6yXTRzNvM85dZ9d/xt7FE182HkSre+t5EXY6ydsw0794qWzmHWPSFq&#13;&#10;Oqd5PnNalAWlnJOiqHNU5EMunY1gKZgtLHxSGL1LOG8JP/5SPjVxTcl1jpEOue4GFbLEKlp+VuA6&#13;&#10;BX1tJGe+hyvq3P85B5x5CT1inTsvOeZzZyjy14jfCGeWGO18It505ohxznzxtrNITHCWgBQx0VkJ&#13;&#10;1gHzufMkclNePknc+zh7RD9nv/gbMRtIfAaDoeA1+m84B8RIZ58YBXdGOeZzZwJyE28nsMY7xP5t&#13;&#10;1hzH2m+yx1gnnXVPsE8Gz3xOse8p8TJcGQQGgD5wpifzunNNkrMDpIEV9JMZn4t8FvOmC+VTE2eU&#13;&#10;XMddc0Y9G4p17ox2zOfOKGe5+Ac8HuksFq8To7+j02DwHHiG/tPErA8xe5KYPclaJh3VXpE6Ds7C&#13;&#10;p2i8HoxtCvraSF6rZ5294fWNHPB6Onro5xaJrKU/utap50nTnbFinocMMZ14qn40nX4N55p6ppbd&#13;&#10;+rzqDnRahQ6bPGSIVeik+tF0+i2s0x850CmvG/tv77yu+W/vAsiLuId5LrVflHB3i1LuVpAKVouS&#13;&#10;7nJR3F2KjL+13bkiL/gDrt1wFohr8PAKuXHFWQs2gC1gB+O7kR9i3lHmm//2VnLtH50nP+DnWH97&#13;&#10;/+DMZC8F89/e16j3N6hpN8nbXO4MntNNF/lAEVDCnSV87hzhdxeKgLsMfA52ChdflHKPYXMGNp8W&#13;&#10;FhDgD2rFTerDDec4Nh5j71u2VdDkpNX8VPdFV5x/ix88RP/bWzCxN3Pz0z5Dm52/vavCgVj3aFWx&#13;&#10;vY4H8z1aHXeeqOfOFg3dj0UT5rfAT62zoA3fFdqCB4Gpvjzomu/RlLxtGG1oFVqD5qAxfGvgLhZ1&#13;&#10;4V4ddwW4Vcui+boOsarqIfo92l1hXxeizW4NePYO8u3ZGPk2GPkr7iHxqrtXvObuEMPdzeBzsAos&#13;&#10;E8PcJWIoPhgMN58F/UBv+j3xx+PIu5OX3d00sJX+Lsb3Iz/MvKPMN+ebkkfmm7Ip1j3Es8TadNa+&#13;&#10;hHyYO1OMgDtjyKe30PMtbHrL3SbGuvvESPcItp4UL5NHA8BT4HH6SejTyT0gOuCHDtjUgVh3cpNF&#13;&#10;V+rME+RnH9ZVe5t4puQmm6KdY+q6rNdGnmOFw3wpngO+TMO367nepP80d73Rt9OI8wzi/DF+/JQ4&#13;&#10;z8dnS0AKWEV/LfFPpW6nMS+Nup3mrqT/GePJyOczby7z53LdXDGb/seMzyCvpsE3tXcs3SJ9m3wH&#13;&#10;fEnGt4ovNYH+6Nqo/k5ZinwF9WU1MV5Lrfnc/VSsRz+lS6K+gFZfo8779e5YscNDBjYq3HoG3/c2&#13;&#10;84sxluqms/YJfHASH5wSn8G5RWA2mMHYB/jvXbg3Ce5NgnuT8Nu75Nj71MDp6PQpOio7TP5Rcu2f&#13;&#10;SP4o3qj7e18O+JOJr3Vtj8bjTPyY6Zp/C8mEP+eoN1/Cla+oPefJx0vgR/CLe1BchT/XWOM6teg6&#13;&#10;HDLF4Tr7Cb9ChrhBHG6E49DuNnEoyNh1/HyVWPzCmfoT838gFt+BcyCD+BxHfgwd0tEvnViovaPZ&#13;&#10;mu7Z+leN1/cM32fhZLRrvydWCtHiZROn3uwdn4N4VfLHrqWV/ObcqIG8Dv5t4P9ENPHPEc39i8By&#13;&#10;Iw/rITfV57r+z1gzWdTyLxD3+eeJ6v65ohJIAGUZc5DbrOHzrwFpYCv9XcLv3yfi/YeZd5T5R0U1&#13;&#10;UIN+Tf9BURtZXf9uUc+/zahbc+RKt2h52ox1mviPiPr+Y6x5UiT6T4mKIABs/wlRkj2L+veLIv4d&#13;&#10;IA2sEMXwSSl84/hniSD+Uj415amS67hrzlTMEqtonKnIdQr62sgcD4Y5Uz4HnHk6ix7x+El/dO1T&#13;&#10;z0GeRgflw2g5NgD583BmMP54Bd68im9e888Xr+OnEf4lIEWM9K8E64D5b/guyE17dfFvF0n+PaIb&#13;&#10;MXkcLvQiPv3AAPA8/cH+A+IlYjoEbgzxm/+GH4HcxNsRrPGGfy92HMCew2IYe/zdn866J8Qg6s9A&#13;&#10;ODIA9PefFn1BD5AEhzoxrx3XtIUzbeFMWzjTDv53gu9J+KgH/lI+NXFGyXXcNWdeIVax/oZ/hRwy&#13;&#10;+W8Iefayfyk+WixeJEYD0akf6A160O9OzJKI2aPErAtrmXRUe0Xq2C8Ln6Lxuh+2KehrI3ldIczr&#13;&#10;qjng9RT02Mn1Jv2nhOMfrTZMgWdT4dn7xPIjasRM4joHLADJ9D+DEynUohXMWQFXVrBeCvxcSv36&#13;&#10;DCT7t4j5/s1GH870b/DiFU2HD+HPVP968a7/czHRv1a8Qx69Q/ze8S+kP5fxT9BvppiOP2eDxWAF&#13;&#10;/TXk4DrimQrvUplv8kMKcsWZaDqkwJVl8GIptXox9XsBa88Gs8B0dPiIfT5A9j5z3mfu+6z3AfyZ&#13;&#10;Bu+no+9M8Il/lVGHBWHeRtNhKbVjJT5Ygy9SqRFp+DeNMyIN36cSi9XU7+Xk5GJycA6YBqbQn8T4&#13;&#10;O8jHM298jHqg+KA5qXNuzh3weQ4+V9DXRvK5WpjPNXPA55Io1F6a+VzSbi9NuV/S7iRL2Y/IMvaj&#13;&#10;0raTpN/uKuNBAihPvzLjiXZneT/r3G+3libO3G838faqqQ8MWn1mqHvs++ymrNVMVgNV7Oas3VxW&#13;&#10;BKY1Q3YL45pl7ZbSAT67FXa0liXtB0F745pKruOiY1qNL/Vi+LKaXc/TJRofE5HfZ9fFT7XDqEl7&#13;&#10;P6jOeFVsryyr2pVkJbuiLAfigUPfh6wMc0rbNUBNo+6FkZviWZi1itrlZQm7HOsGZVk7Xt4LqoL7&#13;&#10;6NexE2QD5I3QpRH7mXzfCF6Y9moENxp7SKLtKpuAZmE0p1VoEUZLWtNeLe2e3l5Tb8Md0i1Xc7sX&#13;&#10;a/eSTcNoTNsI1Ad1uLaW/Th4TNa0u4EkbO0uqzNW2e4Bj3vJkN0bbvfGz71lcebfjawQOhXAxgLw&#13;&#10;oYDdhn5Lxpshb0wcGjK/gVFnxYdIHt0Lj+LDPEq4jS08Ws2l4qGgr42sDUeZ9DzzTtIOoc3OM7j2&#13;&#10;6BEM61HhNnpQdnK1hw/dPFQyxvkx+NID3jxph2RfOyD7o/uz4GXwKmPD4fEbdhU5Aj6NsOt4Pou2&#13;&#10;5wh8P8RDXW/PvrfRTf2tPASev8x6L5EXg+Dq8+zxDOgP+pEzfcCTjPeE708w5zHFZXKtu10Lm+qA&#13;&#10;+qCxUZdu6NHeQ/DPWOh68PQdxPFp7FeIFseMcBzV797ZjeNk9CgajmPd2/jKYmyyXVRO9xCU84jn&#13;&#10;PHwz3UMnY1ynw/0Z5O9MMIuc+Rh8CmaHMYdWYS6YB0z5Ow8/mmrFXOSzwafk4ifgYzATfAimMv4e&#13;&#10;+fguOTuZfSZz3qi9Em9jr3ruMhnbxnkIMlehaNQYnMP3A7nm6xzEYFmWXIqm0zL0+NxDT7kMe1Rf&#13;&#10;80JzSq1TIBzL6OsUYB2FUqyhUODPdSLrxDdh29T7FNnl10500udeNJ12Uue+9tBC7uQ8Vn1tW6RO&#13;&#10;F9BlEP7+J+1g2uzUrst34KfL+OWah57yMv5W/Wg6XUIXxYF/0WbXT/HOX3U9nrX0R9/fqL+J4514&#13;&#10;Yw6UQ17RCciqTkjWcMrJmk4FWdupLOs61WQ95z5Z36ktGzh1QSPQwphvRZCb8q2I01be7bSX9zid&#13;&#10;ZUnnUelzuK8D5UBF+lUYr+Z0lNWZk+g8ZNyrPnK113BtNK22uzTf6zsPo39HWYc1a7N2Tfa43+H8&#13;&#10;dZ5gn56yvNOLfXvLICgLSoGiTg9Z0OkmLa6RrC+dZqAO/eqMV0QekqXxl/Kpqe4ouY67zrMaxKpB&#13;&#10;OM/ib6OzilUNp4HRf4noUt25Hx8lyspOFXkvOsUDG5QiZsWJWVGnhixCzIqwlklHtVekjmWz8Cnh&#13;&#10;NjpC1VxlsU1BX9uQsXygMVB+V+9rqPuEn3LA69booe8TEllLf3R8Vb1t7QRlZw89ZWviqfpaJ+1z&#13;&#10;tU6s2tbaKcA6CqVYQyF6zv4Hmwayt3oXJbs52x+dHorBg/5hbvfVhtNq24vxvT/58TenkxzgPCIH&#13;&#10;OknyRTg7FLwG3oDn/4DvY5CNZc5Y5o5lvTHk3iinjRzptJavOw/IV51WRn4MCudyNB0GOs3Roans&#13;&#10;5zSRTzoNZS9qRC+42cupSp/7IWrJM8TkBbjyChgBxpI/46kvE+DqRHJqIvNNHB2NvBv2RtNhNFwf&#13;&#10;xTr/YM8RTiXsryiHgEHgeTCQfQaQJ8+QF88w9xnWe9apJZ8jj15A30FOPfkyMOkwLJyT0XQYRV18&#13;&#10;Cx+MxxcT8dkk/DvJaQc6009i/DHs7ol+vfFDb/buLfvT78N4b+Q9iVEP4mPSQfEhktuvwKNY9/TK&#13;&#10;7wr62ob4Mmuuqv+GSuWqegclu3yegR46xyqwlv5ovqp7+hnk1HwP5nv6hU55mQxvlsCTZZxJK9F9&#13;&#10;HdgCdjG2l5juJ9YHiOUBYqh8Fm3PA/h4q4db9/TttGK0WreCfN8KJ7ZSTzfDkU3wZT17rAErwFL6&#13;&#10;ixlfgHw+NXW+Y753n89+MzxEryHqHZuBShcck12fn8Hnuj5Gs/8MuXfBwy2fD1d7hj/a/tL0v8Pn&#13;&#10;l/D5906CvIzP/4Ovr4BfwR/049wEKd1yMo9bXuZ1K8n8tAUYK+yGZFE3IEu48bIMCIB7GavoVpSV&#13;&#10;3SqAM8qtbYxRZbcn1ymYnx8EWCverSr9rOuggw+UAveAIm5lWdCtJu9iTj63Frh17kXzSz72+50Y&#13;&#10;/Q5/umF/O+0UWu2Xgnz/nXuf36gtN4n/r/DgGnz4L/gR/ED/EuMX4eEFeHEhBi8usN8ZD3+dUQ3Z&#13;&#10;Ix/Q52YcfFC5qN6/yC4vmruxn701d83P3pq7nWQL9xHZyn1UtnGT5INuV/kw6AS60O/KeA+3s+zN&#13;&#10;Or1d87O33q752VtPtylrNZOPg+5uc9ZuLh8FplrYwTU/e3vIbSnbgtZuK9kS/Zq7DwLzszcl1zVS&#13;&#10;3zs8ji/13yDxxEV/NEfU/drjrvnZWw/kvVzORfKgt4eatPeD6ozxjADuPgaHk8iZzuBh0JZ+a2St&#13;&#10;mNPKrYEN5mdvDWLkTgPWakTONieHW7tB2Y487Qy6g170+5DLf0M+AF0GsJ/J9wPghSlnBsCNW0iS&#13;&#10;z8KXgeA58HwYL9AqvAgGAdNeg8hTtddU7Xha7Xs/319we7FuL9bvxT692K8Xe/eST4O+XPuU+7h8&#13;&#10;0n0MdMPfnLNud3j2OBzrAY97yQ5ub/kQaAWaMr8RsnroVBcb68KHum4b+i0Zb4a8MfMaMt98T634&#13;&#10;EMmjzvAo1jmt4qGgr42sDQXCtaFoDmrDMPSIdWYMgw9jPJjP6bfgy9vwZiL1fjJnwFR0/wh8ChYw&#13;&#10;lgyPl1Crl8CnJa75nF6C72d7MD97mw3PZ7Pep+TFx3B1Bnt8AKaAd8mZyWAi4+/A9/HMeYu5b5Jr&#13;&#10;YzkTxqLDWLc+MJ/fY9FjmIe/6rSuB+/dQRzfw36FaHEsFo5jqRzEcX2WOCbeJjfyMLaeGO700FOu&#13;&#10;xx7V1zppe9Q6+r4t+joFWEehFGsoRL+vUf8d/UD2Vu/xZPf8OotOsX47OktummrQWc6vTHL4S2rR&#13;&#10;1+T9eXL6O/AvcJn+T4xf5fy6zjrXY5xf12OcX9c4v65SH34BP3Nu/QT+HeP8uhTj/LpAzfkGfMX5&#13;&#10;lYl+Zzm/lM2mWqnkkfH9L76MdX79N8b5dRX5Nc6v65xdCjfIwRvk1A3y6xp5doV8+5m8+5Ec/B5c&#13;&#10;BN/Q/wrZl8w5Rw6ei3F+HYtxfh1nrZPUm7OcX1/B44vk1w/gZ3CN/m/Uodz+8lL4KwPz+SX85vNL&#13;&#10;+B+V0kOSzOPv6sGiVcgXRn5ahbuAKSZ3+c3nV35/L9a9hby0eYAAucBv5OxNzqNfOb9ucH7dgLfX&#13;&#10;OL9+Yewnzq//w/l1iXPrPPgSnGb+SWTpcPwo3D8KH45yfqXDoxNw8zR170vOr/Mxzi/Fh0ge/QCP&#13;&#10;Yp1fKh4K+trI80u9M6bubQM5qA3FOfRj1avi/gLS76GnLI7/VT+aTuqdJFWvQjnQKYV/W2CBNP/W&#13;&#10;neJb4NWrmuylP/o+Rv3+vAZ5mm+R3OxbIrf7lsldvtVyt2+DkVsbkasaOFwvSKvXLM33Db7PWXON&#13;&#10;TPWtkut8y+UqX4pMAYvAPN9KOduXKj/xbZQf+7aBPeAQ/XQ5x3dSzvedkcm+TLkMrARrfWfl575T&#13;&#10;cj2yDczZ6Dts1G03cqVbtOclu1hnO+tu8n3Fmuflat9FuRTMB5/4vpXTkX3AnCm+I2AP2Eh/jZyB&#13;&#10;7p/6kuVC/KV8aso9Jddx1+fd0iyxSriN3/izPNdSrlPQ10byeCeTlM/30Y6mLQcKAj4j9Xf1d8E9&#13;&#10;QI2rNRuAfEDrcQk9zsXgzCXfOWN8f0T+X+J01XdCXvcdlTd8+8FOsBmkyWu+dfIX4vwjPrsEvgXn&#13;&#10;fCvkWd9aeQr5Sd9WsBscop/O+EnkZ5h3jvnnjL5Vcu2frDbFyoNL+NXE2Z+QXyO+v5EDcfYqmcdO&#13;&#10;AzvBISnsE/J3eHEdfvwHnvwTfAVO0T+GPod9GfIgfjiITQfhyxH4chybT7Pe16yr9jbxRclNNkXj&#13;&#10;i7ou67WRfNkf5ov67Ty7fCmKkxeF+VIBHumPznfKV66i9iLek1FYbvSxay/j/Y4lMmgv5l2PRbzn&#13;&#10;spB3MBbyXsJCWZt+XcbrI29oL+U9huW8O7GU9yUWy1Z2smzDnIdAB9AV9GC8t53C792r5FP2OnCr&#13;&#10;ZkXT8Sn7PNcprPd0bKcNodW2qJzpaq+VSfZq2cVeKTvbK2RH9HgYtAUP0G+BrClzmsCPJvZWL67R&#13;&#10;9mzCfjU9bDTuWdNOZd5a3olZLWuwRzX2qgTuBSH68Yy72Ghjo23vMO5ps19RD4v+5FQkL74I8+I0&#13;&#10;7Shs1rWDr3dcR96GF5kx6sjbdqaRD5OQT7HPyA/sk3Kanc7v7ofALrCV3+o3MpaKbBW/gafIt8Fo&#13;&#10;MIL+cGL4mr1JDrO3gT3gIP2jjB9Dfpp5mczPNOackkfm3It3wPUX4ekwD2auD4e7b8Dlf8DTMcwf&#13;&#10;Zy+QE8EUMA0+f0wuzCWu8+HRfOrMfPsL3is4g+1f8/v/eWy+KCeAt8Bo+4IcaX/Let9g41fsf8u2&#13;&#10;aLwbZt+UL3qIzoGzYQ6odwDGZpMDe/FXrLNkr20+S44gP4bdJ6mxp4jhaXs/2Ak200+TGfD+OLl4&#13;&#10;hNjvBdvBJnIijXxJRb4Orqyzd4ND9NMZP4n8DPPOMd98lih5JAeUTbHOkr3EsBs+Gw70R9eQ0gzw&#13;&#10;bxegd7LMJMbfwNcL6HkBmy6g47fYeY74nSKeXxDbPWALSKW/Gn1S7AzJv70BdoON9NfINdi8nvW2&#13;&#10;sq7a23SWKLnJpmhnibou67WRNUO9V6HsVe8wZPcs+TVLfkXT41dy5Vf7iLFe/kqcb9rH5W/E+ndi&#13;&#10;Hedk8ht5piwMijmnZQknnd/3j/Cb9H6w0/NXog4UrY5VHr6XchbJgIfz/LaucMa4d0n2KOF8yTsE&#13;&#10;X/Mb93l5l3NR5gE3ieEVYvgzsf0PNegn4vwTcVSximbrT56tf+Uo7vH+3YL8zl8cjHZtfmeBVNCx&#13;&#10;joyXer9DxetyDuKl3hmIdfbXwHcNPNyqh+3YU3+0nwsy0MhZKps6i2VLJ5nfuBfKB0F70BX0YLy3&#13;&#10;s5zfbTnLHc5yZ5Pnt2j17Sn83s3DJi9WffWGtHrPYnzv5qSx/ucyyVkjuzgrZSf2aAceBG3AA6Cl&#13;&#10;s0I2Y98mzGnE3g2dVLABmzaBreAWf6Lp0gA9anj4v+PYFv/pWhItjm2JoUK0OP4YjqP6rXQUNmXn&#13;&#10;rB6KHrul+e/Eoc5uY00b6hzkN/t0Odw5yW/8Z+Ro8mA8mAjepT+V8Q+RT3MOgV1gE/1UxtcgX8m8&#13;&#10;5cxfznXL+S16JeusZb1U3hvYDHYba5qSa//oHHkLmxbGsOktuKXqdE2gP5of6m/fd5BPgrvvwb+p&#13;&#10;zhL5ARz9CP1UzibqC2j1NapefOS8K+d4OI+NCmeNHPyQWjHV+QYfnMcHF+Tb1Io3wQjwqvMtv/+f&#13;&#10;412ADH6XPwp2g83018mX4OXf0esNdFR2mGq+kmv/NETHfKAxKA2uwJthtOrfVMhu3V6Hr4/G8PU6&#13;&#10;9Fe+7gv0R/utGAPrnOPycziy3jklN+Czrdi9G+wHh+DQUTh0jNp9nDnHnWPgKP3D8gv4dATuHXQO&#13;&#10;8Pv7fqMftjp7jTpscPagwy65lpxe4WyTKXA0BQ6mOKvpp/C7+2cyFT5sJh93gcPgOPXqlLNMnoWz&#13;&#10;mXA5k/mmWKQjN/khndh+wTpHqTmH4dp+9t0JtoJN9DcQ9/XIUpmTytxUZ71Mox5tdDai1ybmbZY7&#13;&#10;nC1GHfZRt0w6fOFslyfxwSl8kYnPvsS/X5K7X8LDTGJxirPtOHw9DEd3gY1gHf1VzldyObFbRoyW&#13;&#10;Eh+THxQfNCd1zu6CR7HqofK7gr42ks/q3+MYDp/U79XZ5XM5l/dlY/C5nDvZ82E7TWZazeeCfC/r&#13;&#10;zuRdgHm8C5DMuwArZUk3DewCR+mfYfw88ku8N/CTLOfeNPqqLHJTvMq4P7PuZVnc/Z53Di7JYu5F&#13;&#10;ebf7De9AnJWF3BO8f3CEdyIOgn1gN0hjfCVzkpk/F31m/C975x0eVbEH7AB73FkNiIAazplziAWN&#13;&#10;ChgRIRQVBAQEJCKCUhJKqKFJVQjSBEMvoQYFuSq2awEbV/QiCAiCgCAWEERKpCq9g987hx3Nk5ud&#13;&#10;9QnfH98f3z7Pm9kzM2fmN792ZvfsbvjswmSjDGq9kXSufttW5RD1+xcFfa3QBp0vD+u8XD46pSmm&#13;&#10;jbs8kOzO5f7/cu7LL/9LHu0/jzDG1PAYNfMZI0TdI+5U7rFODfRH/12hrbuW+6drA1V4fheodr1O&#13;&#10;PW5yrnFvzWdcXC4mmfMU+twa1AnQeVZ9bkLpSN1jG0FZkOv00FxyJDGGfmi/U59rH4oMY322Bj50&#13;&#10;FXsCQ30iy1YyLFvcFci2C9kmhXUfrwWj1LKp9x13uZN8P66UT7u63h6i/QSyn3NncZ/hJe43vML9&#13;&#10;jreMfnnWfcsfMyOfMeOoO+O+xn2J+dyXmMv9tTncl5jNPaDZ3HOYzf2HFwPr3X8F1rivB75y34fP&#13;&#10;YBXH31C/ObDJ/SnwEzG0Cw7AEY5PUn+aeDqLz5yjrynHWd4qY9wGvPWs83vuo/zMundzj4r3DeEH&#13;&#10;2MDxandH4Avidwlxu8Qlz7vvBpaSU1Yi9zp3GvdOJiHbJKMMql37pPbnnblsFcmfd3KeQp+b15/V&#13;&#10;/VTlz+qeyUjKgvhzUe6ZXIjiM0W9y7mvUT72jaWupHckcKP3W6C0tysgva0B1/sWVsGSgOMtDMR5&#13;&#10;bwRuwI9KenMCRT1zjitFuynP2t5sxp0XKOPND8Qz5k3egsDN+Oet3nuB27wPYXHgdu9zWAYrYSN1&#13;&#10;W+mzm/77kOco93zMuV6tN5LO1T0hpfNbKQuaZ59G54ui6Pxpb5Expvqx3oHeO4FnvH8HBnlvBgaj&#13;&#10;h8HoYzB6GYR+niV2B6Lv/l52oA/0hHTvxUA3b26gq/dyoAv9utC/i/cax69T/1agO2P19N4NqLlN&#13;&#10;MaXatX60P/dkTdHea+zpXX6vMVLu6UP7AO9nZN8ayPB+DDxHXA7zvjPK0gNbK3+J5Jtd8IM078tA&#13;&#10;B3yhrbc6kOqthQ3wXaCd9wNtWwOdmbMbcyv5TOtW7XnX3Zl1fxzFlp29j422TEOf7bFnW/Sfii1T&#13;&#10;sUeq9yrMoy4bGWdipyzsMxVbTsXmUwNDOB5G/UjaR2HTUd6/4A2O/039++huEX7wEfpcbFzTKO9r&#13;&#10;X7ZINhntfRV4Ad29gA5f8JYHMr0v4HPjmFPDNok05hTGmowtJnrrAuPJFeO8zbDJHzMhnxxDqMVk&#13;&#10;e7w2g1He5fd+0vLpp17DjPB2BIZ6O9HPLvS0N9DXywn0gI6QwvmtvF8CLbD5E94W2ABrOF4RaMm6&#13;&#10;2iB3O+9T/OFj4/pUu/aDGswp4AGIgzvC+SGRciTHBcnJS23Gs8zvBSy1H/D/B1Ekv19J+xr7fmud&#13;&#10;Xd3aYCdZG+374G64w1pvl7W+tm+xVts3Wyvtm6xloPw+ku4X0L6A8dScet067rORNS4s662MoR96&#13;&#10;z6H2Zdl2HHPE+fJGsttXtK+zSyOfY/1oe9bPyPizXQHutbbZVayf7GrWD6znO7smfR6yNtu1re/t&#13;&#10;utTVo62BtdVuDI8Z/8fSVru18f82bbPbMld76MC8naztdhfrF7urP2aktf1id7O+hSdZZyW9eEq9&#13;&#10;frWnUu0bGWcj4220O0MatDPKusF+3DjmBvtR6xv7EWzcwPrKrm+tQA9LQdmxXD5yBKhbQPsCZMn2&#13;&#10;ifvLlnl9eBVGy6T/N5STKQviwwEcpHwUHw445f01RvJhQXusU8Eq7iRapZyK1o1OJau0k2Q5TnXL&#13;&#10;dR6AhyzPqQsNINmoz2N2snGuY3Zz64Tdyjptp1hn8YGL2KiIk2YJKOq0R4ZUq4TTxirptESWJ41z&#13;&#10;ebQrf8gA/dD+EEeFyxjSac06UllPeyuOOW5wOjF2V+taJ926xunOvN0ty+lhFYbz/B+xE9jsD2Q6&#13;&#10;YKdav9ktoDHU4bgG9ZWtk3Yi/cpbSqema5hqzxvDpbBV/Si2KuXUN+qvlFMb+Wta1zn3W8Ww0dVO&#13;&#10;ZfRX2foT2c4Tv2fIQyfIH8eJ3eP4q0lGNVdeGYvk8qdIsViEtSn0uXn9ej3+PBb9b6acQlkQv34o&#13;&#10;lxzxjKEf2r7qNdZDyGDKBw1ofxS/fty5x2rh3Gc95VSzWuLLJp0k027yqWTnQcasYTVyqlqPOFWs&#13;&#10;euj+IagBVairRHtFbHQPur3HeRSaWfc6T1n34dNJTjv6dbBqwcPQAJ9s6LRlvDZWE3w12XnCKFtL&#13;&#10;2pVsaVoZlFofJXj+FOM0Z9ymTmersdPNqo9v14KqUBGfr4D/3+GkWLc7LeBRqM1xdervQ+67rWro&#13;&#10;S+nUpB/Vru2Oifx7NDVz2SqSz9TkPIU+N6/PfBf2GXUfvqA+0xE5KoTjKyEfHan9TUf8oadPVWOc&#13;&#10;9cK2T5MH+Y0BayD9ByP70FwM47liOIwAk85GEKfKbpHy73DaFcPCDKVUPAsD8Km++FtvYr6XUwcu&#13;&#10;x3Sk9fXC7h19KkTU9bawrtV33ycjV0Hic3ouXUey+XT0Nt1pblz7dGJjOjl6Bn45i/iYg/++DK/D&#13;&#10;v4mN94iL9xljodMUGvl6TkRm/dD+j9ljFjLfEp9u9FW0N879PvHwLteDd4iXN+n/KnEyD2bAZOJl&#13;&#10;AjKMQ4axyDeWmFE2jrTWsf5a/9a5jo1X/kFsvIL/KCLFxi9he+25gthYixx3h2MjUSuPMrf+1pID&#13;&#10;tvh0s9aiD3WsZdLrUePofWjkceIYR3ELYygi74HU7wFkIkfOFfhiDjK54bUl5bM29V5hjuNaR30q&#13;&#10;WOew1Tny9VGfFKOPHMX+R/HL4/iS4iQ+cTrMGUrFWZ/2jNnemAfOoVNTHjjLnuQMnIKTcAKOwe9w&#13;&#10;kHP3O12s35yOVg7z5BAvyh8T81mvioUc1rbDpwJ9Fe5ftsybe9X/gFA2OHAF/hWQ0XNvQFawivlU&#13;&#10;8fWQkY/scdRdJytZJWVF63qZaMXRX8ryVjyUhTs4Lkd9edrvpl+irGxVlPda98l7rCR5t1Wd9gfp&#13;&#10;9xA8Asn0fZw+zWRV6wl5P1y+/ifkM7e6Pjwhu1kNfWoZbdWQsR6R1az6Msl6WFaxajNHTagBVTmu&#13;&#10;TNu99Kkoa8Hl1wuR5qzIfAk+tY1zJsgHrdtlDes2xi7LHDczlws23MBxSeqLM2cxWRse8f0j0pzF&#13;&#10;mC/g83fOyusX6vcD1D7uxBXE5hD8ItrrkyHY6UnmaZSPTWKp4zvl1mjsOhZbTsTuU7B7FnqfLqtb&#13;&#10;M+QD1kxsOlPWtWbJBmB+fdKddtNcfIff6iFbWb1litVXtrcGyjQrA0bAaI7HyFRrnGxjjZctrQnS&#13;&#10;/PpkJu1qrox81hVH3UzGmCFbW9MYM4uxpzDHJNmJsbtamTLdel52t4bDUNkDGXpY/aAnNutKvw6c&#13;&#10;0062gMZQh+Ma1FemPdHqj76UTk17EtWeN7dPwFbRXp9MkObXJ3zvHvlrYqv7WUOSNRKZhsAz0A8f&#13;&#10;fRqb9cRm/GYBmF+fqLnyypiBjNqfIl2LM1ibQp9bA10L0O8dqc+PKL9W3/8u6F7zVeSIttd8FZ99&#13;&#10;1+dyvmvEnPqhr7uxVCwkf31I/vqE/PUp/f+L7Mvga9iIPTeju+/IX1vQ2xZsreyaoAei1GOp/LUF&#13;&#10;/1jrU8f3vbR8+pWgbi156WvGW4PffIWdVjDHF/A5LIFPsdUn1H/IvIvos5C+72PX97Dbe8jwLjnt&#13;&#10;XdnQKMu7yPGqz985Ru8jPkN/0ez4GetXRLKj+hyHsmMhFj6ZsiwoffIYpp+r14klQdXT/X++A5CD&#13;&#10;HFH3DtK1jviwb8A+59DPER/z3uGIZO8g2TsQ24qTsoN1Ck6HOUN51oe9A+2meD2HHlUuaQT6oe2u&#13;&#10;1naWfHEGTsFJOAHH4Hc4wLn7JXsHyd6BeXLIbca9A2vb4cO+gfXmsPZINlCfPchkfouyoLF0u/v3&#13;&#10;nrK+XhylXt81PL/djbPa+txsVXQV1a2WPnV5ruhm3e4Tea+p7ksrWa+lnEypfYSn/9hf+iBrSzZY&#13;&#10;Jlv1cVsabdXHbWP1ddta/d121jNuB2uQm2YNgeHwPMcvUD/BTbUmM85kt5nRLya7jfy5KrEI/dB6&#13;&#10;U++JTnQbM1Zja5z7qDUGXnCbWKPAJP9Q9/I1MtKYg2l/1n3MGug2tfohXx+3BbQ0jqnatQ/pHDAO&#13;&#10;XT4cRZfj3IeNeWwC7ZOw/yS3Nrp6CGrBg1CDuqrWeDfJGutWtka791kjYAg861ZB9mrovzo8wBpq&#13;&#10;GWVPp90Ue+nM08OthA54r8CtYGW4vCcAY2ASx1nUz6I9G1my3fuNc2XjF6a5svGNbLc9dLDmwIv4&#13;&#10;zEswN8w86hQvw3ww2Xm+m+7PNU07DqX2HW63xcyjfS685HZnnu7M1515eX0M04i1qW4Xa4rbGTqi&#13;&#10;7/bWRMpxHL/gdsWP062h9BsM/aE3xz1o64qcXVhjF7cVPMHxY9Q/SntD+jWgv3lPoPwhrx+NwI+i&#13;&#10;XUuUPRT63BqsT4DeExQnJ6hryQ2UBc1jy3PJEc9Y+qF1qq5Fy5FB2TdSbK2mfT0+swmf+R5f/Qk/&#13;&#10;3Ypfm+y4kXY1ZoaekFLPGcfzDcTDeuJhHX76Nb6/inhYDkvgE+o+pH0R8bMQ3S/EFguJ6UXuU9ZH&#13;&#10;5KnF+Ntn+NEyWAmrsfNa7PcNbRuI6Y3Y0CTbVtqVbGn5yKb2IT8xzveM+y2+8Q0+9RW+8gUshkX4&#13;&#10;0Tv4y5tuirWAHLMA2RYg55vE7bvo5gOX/RL6Ujo1yaDatd117vkil61uzUc2tVf4gvMU+ty8PqN+&#13;&#10;O0D5jLwCn8lBjqj7D5f9hw97D3zjHHY74hNl/4GdjmK/Y9jsOJxAz6fgdJgzlIqztJ0Dkw7PYRtl&#13;&#10;x0b56CqWurPE92k4BSfhBByDw3CAc/eTK34jP+QwTw72VHMl5jMWl4OYHNa2w4e9B+vNYe2RbOCi&#13;&#10;+0zOUf8Do6BxK0l2aVGuQ9JLM8bYLbTf7rWz7vRaW+W8FlZ5ryk0hIc5rmXd5T1gJXhJ1i3efZaE&#13;&#10;G+A6jot5NaxY2q/26kFjaMbxU9S3ob09/dLon2a0jWrX+tH+rdakc2J8PnpWuUh6l3NRpLxxK+13&#13;&#10;eXdbiV4l6z6vqpWEnEmsKcl7wqqMfPd4HVhbV6us18NyoCTEet2sIPIU9lKtGPQQ4z0KdTiubgnW&#13;&#10;XNTjHiPjqrlN/qbaTWuKFLPqvNzn5o1Z5ScqZm+7An+pg26jvfar41WwHvUx32do4lWxHkO/zTzu&#13;&#10;UdG/JfKnhEmlVLQN057SpLP2+JMpRtvR3jZMKqUiBZ6CJ7BvU3wx2auJ3HXg8nU4IR/fQXUxj2Ln&#13;&#10;Oj5/v7bLq2v1P0aUru+knExZFlSu4PGP99u90fWTUWKzt3f5fZZI15invVZWH/y1Lz7ZH58dhH8O&#13;&#10;g+fhBY7HEmcTvLbWRC8FWsKTHDe3xhGLY7zH6dPUGuGZP/MwyGtivM71Jw6eJr57ET/p6LaLVxdq&#13;&#10;QjWrG3HR06uIfBWsZ7DxUMiEScReFm3Tsc8MbDOD/ib7T6Bd2T+SHiZ491vjicOx2DoTv3uesZ+D&#13;&#10;QfCMV9kawDz9aOtLn7707ct4/byHqK9De1361bWGkM9MMjzP2kwyjPMaWJPRwVR0MQOdzUK/s8h3&#13;&#10;s9D9DGwx1euM/tORrwc26mENhN4c96C+K+2d6dcZ+5hkUP6QN3cMzZUPI+UOpXeFPjevP98V9mf1&#13;&#10;maO815pq6F359tWg/Ty/9xvUbzQ24YaEkj+SHHNkk+AcucbS89ekbxwcYsBxlOp17CZKPQ/D/eN4&#13;&#10;UvPPDMdTJcbQD71fVK8Z58iZvA+01VIyDPLLmTyfGVEvZ5BrOuep/wv6IqWWi6d/yUXT/7z38n9T&#13;&#10;lpqMr3Skvus3mlL9L7y3KbUsSkcJHMeCuvbdDqq/eq4erN8vdX9VXxJU//xkb2pHt2NTu0lwj9ck&#13;&#10;+CRjRNL1BdqLl2kRvKlMl2DFMs8Gq5eZAK8FTf5dvUxSyDRm9TLJoYpl0kI3lekfKl5mdOiCNzG0&#13;&#10;B0xjNrUnGsesRvtt9ujQ9Xb/UMBOC10onQxJxjEvlH7NvPbSE4IB+9ng9XaX4G12i2A19KV0Zpaz&#13;&#10;STBSfH6Eob5E17WwvbKmtiVPh+n4DOSq//925be5/x+2a01spWL0PQz1OWU97GoRmNqu0WKaU/yH&#13;&#10;7h8tpmPJjcsYVPlf8uVT/b86NxblKFYuC7o+u4P3UzaDinJ38AlZUjwIt8k/aD8DJUWsz7KI/qry&#13;&#10;+QbGVPfXfqDUcvJ0mH4eTeZWyHwwLHM8J+qHllmd30oe9OOwkW6k1O0qv7WSPwdT5bfBznJNsKdc&#13;&#10;HhwglwaHwySYLVcE58lvgq/ITcHX5A/wszE+p9GuclNGPnMpW2bJH4NT5BbG3hwcLzcGM+X64AgY&#13;&#10;DAM47ktbL7kt2EPugoNwguPz1MeIgTIgMmRQjIBMGC8tMUkWElPkn8EseSE4TZ42yvYa7Uq2SHp4&#13;&#10;hTlelkLMlkVFFrYbJ29grhvEAOghS4hO8mqRKouIVthX6dSUp1S7zlP6NdkwGRPz37CtIl37h8n/&#13;&#10;BhX63BrIK+ABUPpTvqJ8Rt37+JFS+wlP/7HPLESObVHkWIgNFmIPk74+pv1T+ExuCC6F5fjJCrk2&#13;&#10;uFJ+HVwlVwe/kithRXC1/BKW+/pKRFD90D5oUbGF9i3ofKWPmntbRB2o7z0qHaj7PgWNm4vo4FCU&#13;&#10;uLkoDxl9+aI8GbyE38W4hUQh9yoRcIUIQTG4juMS1JdyLwSvd0/CIdgVLOVuDZZwvw9e534bLOZu&#13;&#10;CIYgAIU4jqH+ktwavIjvq7lN/qXatY9o/wq5f+eveK1kSq1nlQtC7jLjmkrR7rgrg2XcdcFb3O+C&#13;&#10;Zd0dcAjOclxElHGvEY5bgnVdz1qvF3/K68VpYuO4vEb8QWwclmeDh5HtsNwR/EN+Fzwu1wVP4wd/&#13;&#10;kifV3KY1qXa9prx+H8DWyubqe5cF9fvy7NnqCXN+L2/XE0k+vURbyt7Q2O4inrazRXuoa/emfQhk&#13;&#10;i/I+9UQkmT/FT7cj8zLKvZQFidWRyJwSljlSzhhpp4iR9ihhitWR9hj6jBPP2xPEaHuKGGNPFRNh&#13;&#10;OmTbk8RLtM+1R4t59nAYLJSdEkE/tA+pWJ3HfG/6ZNNXMcU491w7S7xoTxdz7JliJv2n2nPEeHge&#13;&#10;nrNnicG0P2tPFs/Y42G0P3ektT7jrzXlL51r35+CnlpH0dMUu7VQRLLXcuz0C+v7ijKHsiD22oQc&#13;&#10;WWE54hlDP7T+VAxuYr3KVhm6kVK3x/H8B9q3odMd2OpX7LLbHgmDYYDYZfcRO+1etHURP9kdxSZY&#13;&#10;C6s4XkH9crsvPAPPwQgYTf1Y2ifTL4v+Wb5+4/OZW8um9aN1uziXDybkcx4hGbMYuyz36WRc2wq7&#13;&#10;A7K0E6vtVLHObiM2Yo/vYBv8Sl2OnSYO2F3FYftpGAQviP3oYrc9gzVns+YXxWbYAGvxn9X2bMab&#13;&#10;xRpnMP/ltUWScbm9SCz2+dt/8uaZNWEfUJ9h38e6CuID59FXM2G+R3zebmaMmfN2srhgNxYX7YYi&#13;&#10;xqkvAs7D4hqIDVOUsliYaylNefVap4lxrmK0K4qGiaVUhCDoJIurnKbwuLCcFpDiz1UnHz+4mrpr&#13;&#10;ab/W6UQ/RbY4j83O253EcZ8UniuaRYzBDehd5Uz1u2x7C6j/0jhuNP2Xdsz6L826baexcJyGwkP/&#13;&#10;N6PjO+DOMHdRlgtTntKk//Lo8UnW0gj0Q8d7LBXlaL8rF3fyXHE7lEWOW9H/rej/FvR/SxT9l6e9&#13;&#10;PLq/xSdblMYGpXl+nU8KzxWR9a/0rvS/5Qr0n4z+dS6O1wum1GtWeSbZaW3USTPV7rQRrZ1U0dZp&#13;&#10;Jzo4aaKj01l0drqJrk5P6CO6Of3gWRhq1P8DtJv0/4AzStR0xoqHnImirjNFNHCyRBNoBk9y3Jr6&#13;&#10;Ns54kUqfVOcF41xdaVdzRcrtXZ0xogtjdWbMjoydxhztnemMO0u0wlbNnTnM+6J4DB6FelDTmS2q&#13;&#10;O9NEZc65l/HvdYZAX47Tqe9Ieyr9WgulU5Mfqva8ub0tthoYJVe1dQYa9ZeKLVKcXuiou2iJjZoj&#13;&#10;UxN4BOpxXBub1XR6iAfp9wBjmWRUc+WVsUkuf4q0L2jC2hT63Lx5Xfmzurar7z4U9No+EDn0XiyB&#13;&#10;sfRD+7W6Dg4kvob7dDHqbDjxONLpIEbj22PoPwHZp+RiKs8VWTCNODDpbBo6Nvm3as8KM5VySpjx&#13;&#10;lJlOVzEKu43AfsPxqeFh+0Ra33B8dKBP5Guo+n+WStc7ryCH/Iqu60bxy1+duv66K2lDUGpbqPex&#13;&#10;D9F+gtx9ljz+J/mzsHxKFJFtjbo847T1x4wUv6edVozZXBxlvMPk5n3k6F/hJ9hMnl5Pjl6DvVZh&#13;&#10;31X4+ypnsFjtjBTfEPffOpPEj85U+k8V++EPjk9Qf4r8c8YZjpyX993x+axH5cyAHOzLlpZPewnq&#13;&#10;isjnRYwcJ86RV06QTw6SO3bC97CeHPIVuWapM04scYZBb+gg/us8JVYg91qngdiCvpROTb6m2nWM&#13;&#10;YSL/+1+/5LJVpPj8hfMU+ty88am+27Kd8dRnzgsan3fI6NedO6T5ulOe9oqyjagsU0U12U7cL9N4&#13;&#10;X6+zqCW7iYdkT1Fb9oF+oo58FszXnTjaTXEZJ0eJ0nKskHKiKCOniFtklkiAClCR4/uoryLHiyT6&#13;&#10;VJXm605t2tVckfy2thyD/ONFTcZ8kLHvZ47qcjpjzxKVZLZIlHNEefmiuAsSIB5sOVtcL6eJazmn&#13;&#10;KOMXlUOgL8fp1HekPVXchL6UTk0+o9q13bXPVMVW0a47VaX5ulMVWyTJXtiqO2voLO5GpjvgVojn&#13;&#10;2MVmtuwh4ugXx1gmGdVceWVMyOVPkfw6gbUp9Lk1sAFp66/369R7vCoXHrsCv05GDv2+RSJj6YfO&#13;&#10;deo1ebKsx/uSimyR7BP5fQn1PxNVrKn3Egu6x+72D2Tqhjz9fLJFN2RSx5H0pH6bT8l0+gpkeguZ&#13;&#10;MqJcM96SGcY4eUuOFG/LTPGunCDeJ04+Ik6WwBfwJcerqF9DLK2l31rGWksuWENeWEVMfInPLcX3&#13;&#10;lsDHsIjjd6l/Gx99S/aHDKMPqnatHx0n/2FNbaKs6T/kKxX7ka6Dn9O+DFYQr6vIaatlB+Tu6MuS&#13;&#10;yHn6kduf1mKr73yy6au4/B5PpGvPGnLJKnLJl+SML8gln5E/FsNCeJu6BehvPnlknuQ9JvLIPPQ2&#13;&#10;n9hcIDuhl7b0ayPUOkwxqtq1fmogdO44U9/lUP6j3hMu6PXjArqO9rrlArGudN1IK41S6y1Wze+2&#13;&#10;FpbbhvdGU0VRt50o7qbxPnBn3i/tJq53e4ob3D7iRrcfPAvm68fBKNePg1w/DnFt+AO9HsM+p9Dx&#13;&#10;BSjkZiHDFCHcieJqd7y4xh0rYl3z9eMG2tW6MvJZVxx1N7hjkH+8KMmYJRi7OHMUc6cz9izmyRZF&#13;&#10;3DnM+6K4hL3Pw3E4jN33cf3YhXw7uX7sxO47uX7sJib24X+H8ccT6FPp1GR31a7truMi1o1+/Yh1&#13;&#10;zdePWGxxjdsLHXUXQWxU2O2ILB15P7sj8ncWR7h+HMZHD3L9OBjl+qHmyivj+Vz+FOn6cZ61KfS5&#13;&#10;NdB1br9W369Q1w9xBX5dFl01ZlCl4yTQD+233AaJKes2Fok+KaKqq+jEsWKC0d8T3Un0mSIq+kwV&#13;&#10;ldyponKYKpSKpDBVKU12roofPYksjbSAlFrGWJ4n0V4F7oNK+Nu9cA+Uhzvd2SLBnSluwyfLIktZ&#13;&#10;/FTNlQj6ocdS18uyrM31SaGvonFEG6h7Dts5R/3vt4LmltbYIFpuaU3uMK2/He0dyS1dyS09yC29&#13;&#10;yS198Nt+5Jb+5JYB+PNAcstAcsvAKLmlIe2muRq6o0Qj8kYT9NgUfTYn3ltDO+jIcRfqu5EP0unT&#13;&#10;PUpuGRAltwwgt/RnrL6M2YexezNHT+yYTm7pgq07YN925JYUaAWPQ2PsXd+dJh7inJqMX9MdAn1F&#13;&#10;bTed+o60p4pm6Evp1ORzql3Hns4t3bFVtL1p9yi5pTu2SCe3dCO3dMZG7ZGpNbSAxzlOxmaN3R6i&#13;&#10;If0aMpZJRjVXXhnV/8TU/hQpt7RibQp9bt7cEhvOLep3Ogvq19m55IjXgUapY029bs1GBuVrkfYn&#13;&#10;82l/Hb9+G59+D59ehG4+QC8mnbxJuxozA/RDzxlHxRvEw+v4wmtuV/EKcT4PvWfDNJjkdhETaB/H&#13;&#10;GGPR7Vh8Z6w7kuMxYiL5bjI+OA0fzIa5MJ+89Sp5bgE++gZ93nSfN8r2Ae1Ktkh7pUWM8x5jvuXO&#13;&#10;YMxs8TL+PRumwDj8ejRzjkCOoe5oGAJ9OU4XLyD7ePw6C30pnZr0o9q13bVfz85lq0g+M5vzFPrc&#13;&#10;vD6jfj9VXY/U76cW1GeWIke069FS8vEanxSxmfy8GRuu8TFfj9Zgp6+x31pYh46/gQ2wMcy3lIpN&#13;&#10;sBlMOtyMbZQdG4F+aB+LpWIT7RthA6zHdutgLayCL7HjMq5HX5DHliLLUvKUmitRD0Spx1LXo6Ws&#13;&#10;7ROfFPoqIl+P1O+Rbucc9b/cCmqD3djgBWG+R7U7nLcj+fFucv8e/HQvOt+HLg/ht8fhFJyDC6z7&#13;&#10;T9oKeRNgDDCjN0pcJD4uEG9n3RHipDvcaIPD4etUJBn2ER973AzxqztIbHefEdu4/m0j724j7rcT&#13;&#10;L7+SU/aiz4P49FE4D4W8VGF5aUJ4nUXIS4deRhn+ZDxTPP9JHr9EfF5kznPY8BTzHoXDcAD2ke9z&#13;&#10;yDl7yWt76buX8XLcp8V+4voA8h52+4sjYPLFU+HrTSQ9XOKaX9gbxLoyWM9QcY03EjJhIsdTqZ/B&#13;&#10;urOR70VxDPbDbvz2F3LQNmz3E3b8Kcp1XPmDzgs6pxzDj6Jdh46hc4U+N29OUd+fUjnlpivw56p8&#13;&#10;vlu/RxIpt1X16okUMMV0R9rTvQait9dY9POaigFeC0iFjhynU99bdPf6iU7eQMa6fN0uh+z6oWM6&#13;&#10;QEUd2uug86o+f7/3oXWXjsypUWIwnbmVvJX0BJR6jqt4nu49Jbp6T4g073HR3nsMmR4TLUH5UkI+&#13;&#10;56Bi5HoMuXrQr4dx7FTaO3jdWWs30c3rgl7SINXop6o9kp3Vd262M385yoK+7zQSnUW7BzPS436K&#13;&#10;j/kezESvk5jsdRBZXjsxg/6zvdbiJZibi3k8fxnme+b3JuaTS0x+9TLt88LMpVS8BLNgmtdVTEXP&#13;&#10;k8hDE72+cNmvItlvIv7E79FC5HswFdCxiql7rkDXy9B1tM+yLPPMn2VZTfs33hSxwRsvNpH/N3vD&#13;&#10;YTD057i32IiPfYMOVhNfy2AJfMLxh+hjIe3vewNgCIzkeAz1E2ifQr8s+ps/y6LatS/qmFvOmnS+&#13;&#10;ikc/+qFjSu1Xl2NvZcsM3Uip2+N4vob2jeh+C/GwDdttR87t5N7t3vMcjxffk283ebPF196L4gtY&#13;&#10;DIs4fsebJt4gH7/mjYYh0JfjdOp5r5C4+Q/jqrlN1wHVnndNyk56TZFy3zLOU+hz8+Zg5SfKX6pQ&#13;&#10;FnRP8Rty9BOX9xSJjKUfWndqn/MbubNIGcVQ8RvXKXUcSaYkZPmVc6pT7qYsC7HAY5h+ruxVElQ9&#13;&#10;bwH+z3dM6vNZnPVRZKpvrxfNfOJD9W3F+ogyfc4kB5nnv5THKbUcPP3HMqUh056wTAmcqB9aTyw3&#13;&#10;Js3eI3r6HDLmlaft/aKfnSMG2nvFIHs3n6fbLUbAWJhMfZZ9kM/4/QHH4azxujCdtY/zOefPmaYF&#13;&#10;o9SyleD5OPuUGMd4Y+2jItM+LEbZh8QwGAKDYRAMpL4/8/alz9P07W2fFL3s03AOLkIh/7sjkdbf&#13;&#10;CznSfPb8ZQsdwxnob1dYf5H8PcPeJRSRfOsL7HeYtay8AjtuQI74kNnfN7CGlT7r+cyaIj6kZdLr&#13;&#10;WZhrnKR8dK7en1vIea/7HOLzloo94nWfn4z+8bq9RbxhbxJv2xvFu/Y3YpG9TnwMn8Bi+E+YT2lb&#13;&#10;Aqbcs8T+3jjXp7T/J8xiSs1HPP8AFtk/ioX2T7ANtvtzJeazXpUnFrK2JT6H6Kv4W295c5f6HWUV&#13;&#10;k2uvwJY52KB42Jbx+cik8kyOXdz/jlSjfNpV/smxS4Z+s68P7bdvDB20S4d+h6NwAs7AeeoLOaVC&#13;&#10;RZzicLXxu1NFnELG72MVdgqHeAEY+tMuErpoBxg7EDoLJvsdty3jmH/YV4UO2cHQAVuwjlAox46F&#13;&#10;4sYxVXtef76ELi+E4zM+H10pXV6yLxhzTCHnvCjsnBNFnLNwhs8/noKTcJT6P/hM5GE+G3lInCO/&#13;&#10;nYQjcIjjA+Sc/eScfeScfeQpkz520P4kskSy5w7G+tU+wGdSf2PcPcyxS5yCi1DY2cNnI3P4TOZ+&#13;&#10;Pjd5GI4b5yrq3GD0naLOjaFiTlyY0qFrndKh68KUoFSUDFOK0rSuUk68P9e0fHTPJTqmpHMTY1+m&#13;&#10;OOW1UBSuhiDnXuV4IcuRoYBjQ1yosOPgZy4+ViZ02r4pdNy+Gd++GT+/ObSHuPyVtu22HdqG72/D&#13;&#10;H7bZ13B8VWgnvrnHjgntsy+J38Eks/KHvH50Cj+KlueVPRT63Ly5YV04z6vPNZ5g7QW5Xnsk6mjX&#13;&#10;aw9/SPC5fL3OyEf3cdTdib+Ud34Td+M7Felf2dktqsGDUJvjutTXo70B/R5xDolGlE2oa+rsFU/Q&#13;&#10;50loDWnQjboezkHR0/ld9ML/ehEnSscJ+cyt9hS9sG2aj9nv05xjfN7yD9GOcVORoQ20hObwOL6e&#13;&#10;7BwRjenTyDkNF41zNmK+Wj5njbFWi9iuxZg1GfsB5qjOXFXgXkjkuDz1d7LGBNaY4MT4/h9pnQnM&#13;&#10;5/n8vXfI6xfqt8kPo5Ofr+Ca8dw/8IvnsGmmj9kvxmLn8dh9IraeSv8Z2Dcb5sG/OH6N+tdpf4N+&#13;&#10;b6GTf1O+R90ifOAj+iyGz2AFfE3dOvxiPfbbgM42RPGLDehqhY/ZL1Zgny/xi2WMuxQZPodP4WP4&#13;&#10;ABu9j43eoc/b+MXbUfzibeab72P2i/n4xXzGfJmx5zLHHOaaCVkwmeMJ1I9ljZmsMTOKX2Qy33M+&#13;&#10;kf1CfXZR+YX6PeKC7u/V7xFH3UuwBzBde3Ic9hIOewmuCwfJ94fhCJyA03Ce+hjJXkKyl5BR9hIy&#13;&#10;yl5CspeQRUKX2E9ccAKhc3AWTPn6mBNlL+Gwl3DYSzjsJRz2Eg57CdZsGlO16zyOCv3PFl7iSdS9&#13;&#10;hGPeS8RI9hKSvYRkLyHPwCk4CewlJHsJyV4CfzpHzJyEI3CI4wP4+n72G/vwr33sP0yy76DdZM8d&#13;&#10;jPWrc0DsJYYPEM9/OLuYa5e4AIUlewnJXkKyl0CWojLKXkJG2UvIG0NFJXsJH/YSkr1EmBKUipJh&#13;&#10;SlGa1lVKmvcSJST7CCgO10IxKAohCHIuP8YD7CUkewnkKSzZSzjsJRz2Euw3jjvsJWAf7CE2d9K2&#13;&#10;nX3HNnx/G/6wzWEvgS/txDf3EN/7HPYSYJL5Ev6Q149O4UdR9xLY4hToc/NeM9TvZKvccJiyoHuJ&#13;&#10;eMn/xRDmz2LEy83iTp89fK5RcYhjRUljzrhTXh+6C9uXQ8/loQIkwj1hKlIq7oVKYNJhpbDdG7Fe&#13;&#10;/dDvAcRScS/t92DjRLgbykM5uB1upe1m6YZuwtbxzBNPnlJzJeqBKPVY6rVePGuL89nD5zYVmyPa&#13;&#10;QOn+IOccuQIbNMcGpUPme1/NiQsVzxmgH1rmOCpa094OXXeQJUKdZNFQZxmEQnCe74mfFmnEcHv5&#13;&#10;u2gjD4rmkAwNie368pioS3sdeQGKhOrIUKiuvDZUH9s2ZLxkxlVzm2yj2rWP6jyp1qT9O14LTKll&#13;&#10;Vq+5mstdfo6KtKYU2tPkXj6neUD0Ii/2Qc4+rKkP15derDOdeTvJMqFUeXPoCWgED3Nci9iugY2r&#13;&#10;oYdqrKkaebYGubUWa67HeI0ZV81tXtPfcZffmiK9z6PGVWh91GCdhNdfn789Go5Z9bnSgsbsc+g2&#13;&#10;2v7/Ofw20+d343UgEz8fi34nyN/43YI9YprcLWaFmU2pyeb5HDDpbA7+pHy0EeiHtncsFao9O8xs&#13;&#10;SsUsyIJJ2Hc8vjiW62Am9sqU5n18JjH9nE/kvZP6HSCVH9VnMQu6d/o6l64j2fxr9Mb/ZPbXnqYX&#13;&#10;TqnXXoLnm+U+sREfXCsv8XnXUGilvC60nFz0mbw9tFgmhj6WlUIfyCqh92TV0FvwBrwOC2RS6LUw&#13;&#10;r1Ca9P+KvNvPEZFkeI32BfA6870Bb4Z5m/Id6hX8PjgylA+971OO8q7QIpmAbGVDH8pb4GZfhnL5&#13;&#10;rDNA3Vz08CZ8Su5Xevk/7J15eBVFuocjipxGAhJOd1cFuglJMAECBIlKIHFQ9pBgIBCzgMoYGXEB&#13;&#10;HMUV2QRXVPCKOGyCItwBr47jcGViZjFsI4zODAGdGRVBhGfEbdxwZbhvNae4ufF0HR5y/7h/3PM8&#13;&#10;L326v+6qr77vV1/1OaeNeh7oOaSeH9Z1ISyev2b+KPS1BbTbeA6pfKq8qmdrj7A9lc/Q6R7fz9Go&#13;&#10;KZ7p3s4gp3n0oV86p+q3zhzsed5rkf7ebp71+hvPer0TGewdMs6RfOxqjszQDbLVbQre9/P28zzh&#13;&#10;2zxH+PdIL++NSDdvTyQdUqGD91eecd3Ls7wHeD70Q/gaTrMsz7Laeu2sFM+2pCesdOgOueyfx/EL&#13;&#10;vLOsfl4rq7/XwqifIdiVb2H6Gey1tgZ6KdYA2s7zOls9vHQrDVxox37EYxXD/l2nM+EIz5Ee5u8x&#13;&#10;7OPZ37/yvO+fedZ4J2PZaYyPsuu8a82kNcpVmGbSuE6hr22qGfX3wD9gbMlsv2B7Kpq5GT903Q3z&#13;&#10;42bvPZ6NMteC2d4/Ind6n0Zu9f7Fs5KWdYPX3ppKTCd7WdZVXq51pZdnXeFdYI338q1yGAdjoczr&#13;&#10;Z42B0VAKJu2WeuZaMAZ7GYylv3ExytlWQCXHq6Da64UPPWPkWBO8HtZlXrZ1udcV/zKsieRd+ZAD&#13;&#10;+qW1fAYHRhKHcpiEDlVcdG50XicRz0S1YJL3LteH1wKVz4/oSz0Hdqq1YAF+JLoHXuA1RJYEvMfz&#13;&#10;cQo+9weY74GXMPYlnmv9jPwuhWWwIsZKtoonYqxia8rpKu/4Z59iHWy2Ot5teP8E9pVeF9rvQj9d&#13;&#10;6K8L/XaxHoVF2B72POtBr6O1gH4WeOZ74AWMbV7Aezzjpwi/B1axV3NL/a3qU51b6m9VJ7oHrqe+&#13;&#10;mGrnK9hfI9Z/pgbt8pKt3dS83dTH3d53PFv3Fc/Zfc5zcR/z3N4HkXqog03eR5GN3mc84/lV5Hnv&#13;&#10;ezjdep45+Uvq5kavg7WJ9upoV/Vtyo2yFxKDCGh9b2ZMWt9pHNcvnTN1D7wZbZvGtAP7X7yDkde9&#13;&#10;w5G3vE8ie/FzL2PaSy1+i3G+Qb8N1N6dzMWX4dfwS/af9VKtn5PjtcRhLWNa633Dc6KfRp5lzC/Q&#13;&#10;Xi3tqr5NY1L2pmNSedJjCquB9Vyn0Nc2rcVubM6qv5V8qno5jB/6d/RSHVi2OrbJvD/M2vxFwNFI&#13;&#10;W/+9SEc4w/820slPs9rB96x3X5DrL5gbhwPCf2f3YxrPYPs5bZ/K+pHJjx16/cilDf3SPqvPnpn4&#13;&#10;2CsgzcrER7Wv46h1pdrRY8/VjbD9n+28RjuKv0UyA8LHpv6f5mr+dm3G2AobjS07jk80nVTIWIYF&#13;&#10;HP/uOayOFfnvR0r8Q5FS/2CkzD8QuRSq4UqYzPHrfH5j8D+JTPX5jcE3P0MwlRjWBJifIajxj/DM&#13;&#10;2uf08Wlkov8Rz619GKmEchgLZVDK8VH0W8w5RZw7wv8yMtz/Cr6Fo2B+hmA4fhQG/DCn44hfonk1&#13;&#10;zn83otB6aDqvsgjyR8RZPc/2uconqHWB12z9XtWcDqCOcxv9g+dTluDHAYqYqS4sIQ+qZoXlbxn2&#13;&#10;J8jzU+Rqnf+PyHr/cOQZYves/8/Ic/4XPDv1Nc9OfQfHoKWxrs7Hbuprvn+WdY9/tnWfH7UW+MJa&#13;&#10;6EvrMVgGT7D/JMfX+CnWWs5Z6ycb+/oFdtXXDNAvPacEB37ht7Oeo61nfdt6xnet9fTxc78j7fr0&#13;&#10;k2at8Fl3/XTrcVgMD8I9fmdrrp9q3ck1t9P+7f7p8E3kTv+zyFw0dQ8xeoh4qZgmirnOu64D68jV&#13;&#10;0Yg5V+vQpSl+a/HlaXS8Bj2v9j+OLGduPQaL4EFydj85u4eczSdn82nL5KPqq6mPj52Erh9D0wp9&#13;&#10;bQGxZlgnvjPpGdN1X7anul5swY9kyxyrLbH81+jks9X5V5/ht/jtra1+B2sbuXwFbb1KXhvgDfg7&#13;&#10;WngbTezzHWs/5+xHb/tpbx/63Ou3xmZxTsTa47cyavDVmN7DfPiDf4a1xW9h1VNrfuv/K1JH7akj&#13;&#10;f3Xk6bfkrJ75to25t5N47oI34V3q6CHm4D/I72Fq1/ucb8rjPuxKM2E+7EMr79DO29TCN9HwG/T7&#13;&#10;F3gNdrL/CrrZjm0b52zj3G3U1u3oZwda24m/rzL3/+x/b/ThjZhuw3zYS+04QAwOEYv3idkHxPcD&#13;&#10;5ucHzPf3ycVBvxPxT7PeZA42wA7Ywv7vOV5H7mrJUS35McVB6UFrUs+5XSehZxV3hb62qZ7zYnrO&#13;&#10;j6Pn/sS9DbQGXbPj1enlDt9fuMf1nM25+qX1StNJy52d7nKnzl4arbO1DwM5LsCh0fPgGrgfdF88&#13;&#10;23XSa8XV0aSkOvu4D3m0qV/aB/UdydX0vSG6NPBhQ/RtW+0rwmKThi8DIQuGNfKLpk74xeEfrFv/&#13;&#10;m74MpH0Vo/Z01AfOh3JoHCMVc5UntZ5mgTpfvVcvxh9s9fmJ1twy4qhzmRlcefwfHUe6TiqL7nQP&#13;&#10;iZ1uBe/DYn0Ue4rc7WbIg25fecQtkK1FgUwXJo0XyI3S1GaB/KPsK/fLDPmZTJEtUo+Ks1IPganN&#13;&#10;suhZqaY2B2DPirZIdaKfyZbR/fJohz/CRmlq82iHdGFq82iH1qJl9IjrRA+6WdHd7gDipWJmalPZ&#13;&#10;w3RoE/Q7YDW8CDqXhH+2nqNnsKOPc8oPNPn/ef2/k9eB5EdAOxI1HdaBenZa50/VvWzsYXMaU/DS&#13;&#10;5yea08nU59l0qPRXevzS4F89p5PZS3Zmi84BT4oL2Y6Dvs6T4lKnQQyELOc57C9Cg0gOmC3C9FrM&#13;&#10;WB6EsfBYo3HRzeyT9XkCPq+P+ZwWeHv8H+2zGvMEZ30wD4vj2FXsJjjLxURnkbjauU9MdeaKW51Z&#13;&#10;Yi4shKXOXWK186BY4zwi1jpLYLmxNi3GXkGbM+L0hZtJjzqPi0ecxWKR82/iIedhcZ/zkLgLZsAt&#13;&#10;zkJxE7ZpzlIxxVkNG+BX7L/E8d/j1xZxp7Od87dz3XbxoLOVdl6mvd+KRzlnMXE31Y612JVvYXF4&#13;&#10;mj5W0+4y51XaaqD9PfS1B7/24Mcu8RNnh7jCqRcTnE2w3tiXsuu86/uQueRqZixXYWvGXGcmsZ95&#13;&#10;4toC/I3AhaDip7SiNDO+GZp5AT+WJfDjBWeZeIF8VNBnWLw2YX8JfkMeXyZ/m9HJVucBsR0d/cG5&#13;&#10;B+aLV5x5MDdA5SYX9EtrtCUHXuec14n5tgDV97LQGExg7A/BxGbEIIv7sPpYDMLGl+XWCz+gQbR1&#13;&#10;FfXiY/L/MZps487FptgosgLqT/ir892WPjbG+sjRg2arx63WorZc29Z9RHzrqO3GE200zXtNbMzq&#13;&#10;3u9Ua8WUaFJSK2mub1OireRtAb3larbPw8PRbPnLaKV8Cu6O5mIvhEo5JaCV1Dpv6nMXfF0O2bAG&#13;&#10;dE1j2Cdd37bgsxfzOWzObIl6ckt0SHBPFJbLLdHhnDNSbo2WyO3RUrkjOkb+CV6HN6OXyL3REfId&#13;&#10;2tgXvQgGBPc1uTiqXzpnSqv76O9wQCXnVsr90dHGvt+JltH+OPlWtFz+lfMbotXyNdgKv4tWyDp8&#13;&#10;qMWHWvyrjQ4N+g4ba20wVu9EzLXWdhGnTgnitIsHtRRh+epGjlZCr2bkq4PNfW/MjzQdPLY6fsEa&#13;&#10;bJcF8ZoRx850SRLYO9mjZWe7RKbbI2SmPQgGwPkywz6XY72xZctUu6vsAG2gFfstOX663Rf6QSFc&#13;&#10;DEM5PgJ7KeeVcX6Z8Z5V2XV8dGy/IbZ+bEzZcXxWn9u+ifr0pTjHOLaWdga+dJGW3Vkm255sb3eS&#13;&#10;NnSCdK7PsjNljt1N9rJzoT8Mkz2IRaZdzpirGHM151fLs6EN+5ZdQXuXMsZx9H18bGE+nm7fIL+J&#13;&#10;KvwTY2w6Z3vHNKA+Z6r7rVOZswVoIJpAAwV21DhnCuyzZaGdLH9knyUvsiNyiH2mLIaSGKPYXgKl&#13;&#10;MSrJQVqc3Ci9ldrtjH1dgl0xKkYJW0URDMePYXZ76CCH2i74gX4Gx+lLff4vxV6KBoYGVMoCW3GO&#13;&#10;zAvwea+IhsZffW5dBv3gVGtm1UnEvypB/KsYdzXxH0/8Lyf+VxLna+DaGNexvR6mxDDFfwpxrCA2&#13;&#10;YbX5euyK62Jcy1ZxNUzCj6uI/1XEv4b41ySI/xTsU4h1TUClrCL+VbwfE+DzXhEe//xY/AuaEf9F&#13;&#10;xF/X4rQ4OlGaXMR8N8VkMfafUR9WUCdWUy/WUBfW2lny3+3ucr3dE/rIDXYe5MOPjDVtFnZTX7Ps&#13;&#10;IXKOXSTnUW/vptbcTx1ZCIthKfsr7FFypV0sV1FHV1GPTLlej131FVbb19PGz+2RjGMU4xktn6aP&#13;&#10;p6hdq6hjy6lnS6hri+ERe7x8GO6FOeRwBufdwjU3Uc9vorbfRJ2/xe7B8a7YO3NeJ6liavJN2ZvW&#13;&#10;9tXk6gJ5/J4oLFer7QuM8VvFmrSKtWelnSOXkaMl+LQQFsC96G4eOZtDzmaTs1m0ZfJR9dXUx4WN&#13;&#10;9BR2X7CQsSn0tU3rutKzWtsvboauN+GHvhfLjqNrtQ5uQrP1AdnGmNUTly2shdvtNLmD81/D910x&#13;&#10;GthqdvN+D5hitoeYm/St7LtjNLBV7IJX4RXuG7aRt83krx5N1cfyEza+erS4KeC/78GaxnpQLNZD&#13;&#10;mxHrdD6jtUygy3SnZTDuvDi5OJNjPbGf57SS/Z1kOdBJkYMcKQc7acZY5mM3zd9+TiptOvJcp4Ps&#13;&#10;5ZwtuzltZTqkQtRpL9s5rmzteLKVwz2Z0wcGSMsZJNs6I2SKc4mUzhjOHyO7Qx/2z3OGywucITLf&#13;&#10;uQg/j993p8UZj6qZQ7Ar32ri2FM4NtgZLC9yRsoBzmjarZA5znjZBVxo51TiB3em2L+nHn5Pvr9H&#13;&#10;f8dsKVvidxvHkg7xUjE1aU3Z9RzT94dpjXIVNj/TuE6hr22qmSK0otb9Mc3QzDX4kWjducYxrztT&#13;&#10;sN9I/m5xOss7nC5yppMpZztZcq7TXd7l9JTzyOk8J0/Od/LBvO5UYjfNy0ryXuUUyQlOibyCnNWQ&#13;&#10;n8kwFW5k/2ZnlLzVKZa3oZ3bnWHGvMzDbtLtPNq4i9zPoc3ZtD2TPmY442i7Qk53quQNTrWcAteh&#13;&#10;lckwEarRTDnnlXLNKGcoFEJf9ntwvCv2zvLHxEvF1KQZZdd515q5nVwlWndud8zrzu3Oufjfm1zl&#13;&#10;MIYsOQ2froGrYKJzjryMnFWTs0pyVklbJh9VX019nNxIT2G6nszYFPraprouQ89q3alshq4X4Yf+&#13;&#10;3iI3ztxvybFF1LnlAZVyEXlT+2E+VeGL+l6iuhk+bTgJnzbgw8aASrkBn9R+mE/qOy3l02XN8Okg&#13;&#10;PiVanw8ytz8OMK/Pn6CfT50M+QXrwVec/x05PtaIJJdKA6dBCzBpq4VrXp9Pw65IinEMLSu+gSNO&#13;&#10;tvwcff8TnX/C3PskpuPsODpQ9x+fEOeDAeHr85XEWGlyUjNincl3e4lqbSZxMdW/bOw5ridz3c4y&#13;&#10;z+0iL3AzZT4xGOB2l4VuT+gjL3TzIB/MtTYFu6mvFHeIjLpF0nFLpHRHS88tkxmQDTns57qjZB+3&#13;&#10;WPZ1R4C51hZiN9XaQtoocFmHaTOftvvRx/nuONqtkL3dKtndrabfatnVHS/ToSNE3UrZjvNac00r&#13;&#10;dygUQl/2e3C8K/bOnNdJqpiatKbseo7pWptHrhLV2jzXXGv7uufKc93exChH9iJH3fEpA3zo6J4j&#13;&#10;XXIWJWcdyFkKbZl8VH019TGjkZ7Cam0GY1Poa5vWWqVnpevrmqHrGvxI9P1dDXky5X8y9uvJ+zS0&#13;&#10;diNamO4OggFwvryJOP6UOE5zs+W1xK4GJkAF++UcH0vOx7r9oBAuhqEcH4G9lPPKON/8/Z2y6/jo&#13;&#10;/BcxpkTf3xW5Pn0pzN/flfNLfQVztQo9Xsbc/TH5mATXw41cfytzeIbbTc5yc6E/DJN3EIvpbjlj&#13;&#10;rmLM1fIqmAgT2K9iTlS4lzLGcfRt/v5urHuDLAoI//7u+pgGbmR7qt/fPUC8Eq23D7it5OKASvkA&#13;&#10;c1ft67g31eVN+KLWNvUb7ql+p7WmUQ5z49R+dQ+whvg/F1Ap1+CT2tc+aS2odhKNbQ1jeS4ghTYU&#13;&#10;4WO7JTa2W5sxtj34lGgt2YO+1JzLizP2Mzn2Fvb96PEQ2jyMBj9Egx8x10x16AB20zw+4PaizR7y&#13;&#10;Hebm28yLvzNP98CfYAfHtmPfShtbqWdbma9bmefb3OHyD6wjO5mvf0LPu+Fv8BZzYK97Ce0Vy3eZ&#13;&#10;zwfcwUbfPsKufKuJM94Ujn1IO++7Y3hqplzuI9dvMp92wx9hK3PqZfqso/7UUj9q8a0WP+uo0S8T&#13;&#10;m+3M3VeJl4qpKT7K3lQ/DY1yFVanG7hOoa9tOh9uQyuqTs9shmaO4ccIaf7e6piqm8SqOE4M23Ds&#13;&#10;GDFMEpfIFqJUniHGyFaC9ReSoT37UY6nilH852kjYJAxVp44/tk8TJ8deaopFYQolA5ExYUyBUzx&#13;&#10;byOO39OEtRnBfqYYiO8XydPw7xi5VmM2tansOi+6JgjBc3UJYinEeUY9pmLvJPLgXGLVB3KhF/Tg&#13;&#10;WLaUIku6gt+rRKZsBxacKc7B927Evzv+94Rco+9fs6aY8vk1c/Jb1qdjbhrt8h+ZiE701Yl48/sS&#13;&#10;+2kiTXYVGTILX7JEjrGvLHRh6isLbWSJ0TBGZkM3NNMdesTIYZvD8Z4xTDnpKaqCvh6No1Me3UzK&#13;&#10;wd4Duotq+uHeEbIgA9JEpewsLpW+KIexxHu07MhWcCwqKuTZXNeG8yLQAo6y5n5LzThCffiSevQl&#13;&#10;98RfUmuOuAM5Xoi9P+f143zzPZzSQ1MdtUNHuo6H1QaVD4W+tmltmBWrDfObURvy8SM5pud+cWLa&#13;&#10;imP5IlkODvBkCdooQYuDA0qMeR+MLgaT+6HEeRgMJ79FMUayVRRDScBoo8ZKyJ1JY8XkbiQUwXAY&#13;&#10;BkPhIriQawvIcX9ynY8f+aIk6Cs3znjVvUE+Y+sT4HGuIjk0Byr26n7l3mbkYFojLaTF8Ul9nzkN&#13;&#10;HZjGPx37bfh6p+gs54guch41427m7r3Ui/uoF/dTZx6g5jwg8sH8+fDyWC0NWwsuF0PkFaJIXkkc&#13;&#10;JxHPa5i/02A63Mb+DNaBmaJYzmItmC3Mnw/vx67GNSPOuAlL0v20cZ8YKe+hzbtpex593CXG0XYF&#13;&#10;/VTJW5in0+GnYrycCj+BieR7POddyjVjxVDg84Hoy34PjvN9FzG6mnipmJpqjbLruafr/xycSvT5&#13;&#10;cA71wJSr2dT9WaI3McqRd5Cjm/FpGlwLP0F3NeRsIjm7nJxdnqC2qL6a+jgVHxPVlqmMTaGvbVpb&#13;&#10;7kPP6r7j4WboegV+DEuwVq6I5b8mTv5TOLYSnT2BzlaRyyepE+vI63/A8/Ar9l9EE7XUmZc45yW0&#13;&#10;8hLt1aLPTazx/wm/EhfL51j3TXlex72FyleYD0+in5XcjywX/eXjxHsx82gx+VvMeryEnC1nvq1i&#13;&#10;7j1NPJ+BjVAnfPl75mA9+d2M7jZzvsmHWuwmH2rRyq/RxYvcH2xEI8/T9gZYB0/jw1P0sxrbKs5Z&#13;&#10;xbmraG81+lmD7p/G33WwnnXI5MPzMd2GxWETteM3xOB3xGIzMdtKfLeK4VDC/hiOlxP/KvwbT47G&#13;&#10;0/d4uYL9pRx/DPujnPdognqg9KA1qefcMyehZxV3hb62qZ4XxvS8OI6eB5D7COj+eBu8VKxyYu/V&#13;&#10;Rj+XdMaJY20ubOihSErS/Q3C1gbUOpIde0+XJ96rWt4WoqBeZ4N6/18AAAD//wMAUEsBAi0AFAAG&#13;&#10;AAgAAAAhAKbmUfsMAQAAFQIAABMAAAAAAAAAAAAAAAAAAAAAAFtDb250ZW50X1R5cGVzXS54bWxQ&#13;&#10;SwECLQAUAAYACAAAACEAOP0h/9YAAACUAQAACwAAAAAAAAAAAAAAAAA9AQAAX3JlbHMvLnJlbHNQ&#13;&#10;SwECLQAUAAYACAAAACEA8lz+yMkEAADEDgAADgAAAAAAAAAAAAAAAAA8AgAAZHJzL2Uyb0RvYy54&#13;&#10;bWxQSwECLQAUAAYACAAAACEAjiIJQroAAAAhAQAAGQAAAAAAAAAAAAAAAAAxBwAAZHJzL19yZWxz&#13;&#10;L2Uyb0RvYy54bWwucmVsc1BLAQItABQABgAIAAAAIQDbFh0Y5QAAAA8BAAAPAAAAAAAAAAAAAAAA&#13;&#10;ACIIAABkcnMvZG93bnJldi54bWxQSwECLQAUAAYACAAAACEAwv4DlAYcBQDsnQwAFAAAAAAAAAAA&#13;&#10;AAAAAAA0CQAAZHJzL21lZGlhL2ltYWdlMS5lbWZQSwUGAAAAAAYABgB8AQAAbCUFAAAA&#13;&#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95" o:spid="_x0000_s1027" type="#_x0000_t75" style="position:absolute;width:67417;height:7940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bRPhXyAAAAOEAAAAPAAAAZHJzL2Rvd25yZXYueG1sRI/dasJA&#13;&#10;FITvC77DcoTe6SbaH42uIgbBeqftAxyzxySaPRuy2yS+fVcQejMwDPMNs1z3phItNa60rCAeRyCI&#13;&#10;M6tLzhX8fO9GMxDOI2usLJOCOzlYrwYvS0y07fhI7cnnIkDYJaig8L5OpHRZQQbd2NbEIbvYxqAP&#13;&#10;tsmlbrALcFPJSRR9SIMlh4UCa9oWlN1OvybsXjHdfabT2bm9d5fsfIiryVes1OuwTxdBNgsQnnr/&#13;&#10;33gi9lrB2/wdHo/CG5CrPwAAAP//AwBQSwECLQAUAAYACAAAACEA2+H2y+4AAACFAQAAEwAAAAAA&#13;&#10;AAAAAAAAAAAAAAAAW0NvbnRlbnRfVHlwZXNdLnhtbFBLAQItABQABgAIAAAAIQBa9CxbvwAAABUB&#13;&#10;AAALAAAAAAAAAAAAAAAAAB8BAABfcmVscy8ucmVsc1BLAQItABQABgAIAAAAIQBbRPhXyAAAAOEA&#13;&#10;AAAPAAAAAAAAAAAAAAAAAAcCAABkcnMvZG93bnJldi54bWxQSwUGAAAAAAMAAwC3AAAA/AIAAAAA&#13;&#10;">
                  <v:imagedata r:id="rId61" o:title="" croptop="1819f" cropbottom="18592f" cropleft="6761f" cropright="4528f"/>
                </v:shape>
                <v:rect id="Rectangle 48" o:spid="_x0000_s1028" style="position:absolute;left:29672;top:36413;width:6722;height:9325;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ZrKHEyQAAAOAAAAAPAAAAZHJzL2Rvd25yZXYueG1sRI/BSsNA&#13;&#10;EIbvgu+wjOBF7EYjRdJui1qEXjzYluJxyI7ZpdnZkN0mqU/vHAQvAz/D/818y/UUWjVQn3xkAw+z&#13;&#10;AhRxHa3nxsBh/37/DCplZIttZDJwoQTr1fXVEisbR/6kYZcbJRBOFRpwOXeV1ql2FDDNYkcsu+/Y&#13;&#10;B8wS+0bbHkeBh1Y/FsVcB/QsFxx29OaoPu3OwcDHpSy3w115Gg++bPyP/no9umjM7c20Wch4WYDK&#13;&#10;NOX/xh9iaw08ycciJDKgV78AAAD//wMAUEsBAi0AFAAGAAgAAAAhANvh9svuAAAAhQEAABMAAAAA&#13;&#10;AAAAAAAAAAAAAAAAAFtDb250ZW50X1R5cGVzXS54bWxQSwECLQAUAAYACAAAACEAWvQsW78AAAAV&#13;&#10;AQAACwAAAAAAAAAAAAAAAAAfAQAAX3JlbHMvLnJlbHNQSwECLQAUAAYACAAAACEA2ayhxMkAAADg&#13;&#10;AAAADwAAAAAAAAAAAAAAAAAHAgAAZHJzL2Rvd25yZXYueG1sUEsFBgAAAAADAAMAtwAAAP0CAAAA&#13;&#10;AA==&#13;&#10;" fillcolor="white [3212]" stroked="f" strokeweight="1pt"/>
                <v:rect id="Rectangle 49" o:spid="_x0000_s1029" style="position:absolute;left:25609;top:38523;width:13993;height:7582;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24ARfyQAAAOAAAAAPAAAAZHJzL2Rvd25yZXYueG1sRI9BawIx&#13;&#10;FITvhf6H8ApeSs22K6VdjVIrBS8etCIeH5vXTXDzsmzi7tpfb4RCLwPDMN8ws8XgatFRG6xnBc/j&#13;&#10;DARx6bXlSsH+++vpDUSIyBprz6TgQgEW8/u7GRba97ylbhcrkSAcClRgYmwKKUNpyGEY+4Y4ZT++&#13;&#10;dRiTbSupW+wT3NXyJctepUPLacFgQ5+GytPu7BRsLnm+7h7zU7+3eWV/5XF5MF6p0cOwmib5mIKI&#13;&#10;NMT/xh9irRVM3uF2KJ0BOb8CAAD//wMAUEsBAi0AFAAGAAgAAAAhANvh9svuAAAAhQEAABMAAAAA&#13;&#10;AAAAAAAAAAAAAAAAAFtDb250ZW50X1R5cGVzXS54bWxQSwECLQAUAAYACAAAACEAWvQsW78AAAAV&#13;&#10;AQAACwAAAAAAAAAAAAAAAAAfAQAAX3JlbHMvLnJlbHNQSwECLQAUAAYACAAAACEAtuAEX8kAAADg&#13;&#10;AAAADwAAAAAAAAAAAAAAAAAHAgAAZHJzL2Rvd25yZXYueG1sUEsFBgAAAAADAAMAtwAAAP0CAAAA&#13;&#10;AA==&#13;&#10;" fillcolor="white [3212]" stroked="f" strokeweight="1pt"/>
              </v:group>
            </w:pict>
          </mc:Fallback>
        </mc:AlternateContent>
      </w:r>
      <w:r w:rsidR="002D2824">
        <w:rPr>
          <w:noProof/>
        </w:rPr>
        <mc:AlternateContent>
          <mc:Choice Requires="wps">
            <w:drawing>
              <wp:anchor distT="0" distB="0" distL="114300" distR="114300" simplePos="0" relativeHeight="251243520" behindDoc="0" locked="0" layoutInCell="1" allowOverlap="1" wp14:anchorId="7A2FBB6D" wp14:editId="5A749396">
                <wp:simplePos x="0" y="0"/>
                <wp:positionH relativeFrom="column">
                  <wp:posOffset>-410877</wp:posOffset>
                </wp:positionH>
                <wp:positionV relativeFrom="paragraph">
                  <wp:posOffset>7980049</wp:posOffset>
                </wp:positionV>
                <wp:extent cx="5893648" cy="959188"/>
                <wp:effectExtent l="0" t="0" r="0" b="6350"/>
                <wp:wrapTopAndBottom/>
                <wp:docPr id="496" name="Text Box 496"/>
                <wp:cNvGraphicFramePr/>
                <a:graphic xmlns:a="http://schemas.openxmlformats.org/drawingml/2006/main">
                  <a:graphicData uri="http://schemas.microsoft.com/office/word/2010/wordprocessingShape">
                    <wps:wsp>
                      <wps:cNvSpPr txBox="1"/>
                      <wps:spPr>
                        <a:xfrm>
                          <a:off x="0" y="0"/>
                          <a:ext cx="5893648" cy="959188"/>
                        </a:xfrm>
                        <a:prstGeom prst="rect">
                          <a:avLst/>
                        </a:prstGeom>
                        <a:solidFill>
                          <a:prstClr val="white"/>
                        </a:solidFill>
                        <a:ln>
                          <a:noFill/>
                        </a:ln>
                      </wps:spPr>
                      <wps:txbx>
                        <w:txbxContent>
                          <w:p w14:paraId="3436004C" w14:textId="2AA8697B" w:rsidR="00F61130" w:rsidRPr="00CB55EB" w:rsidRDefault="00F61130" w:rsidP="009A7895">
                            <w:pPr>
                              <w:pStyle w:val="Caption"/>
                              <w:spacing w:line="360" w:lineRule="auto"/>
                              <w:jc w:val="both"/>
                              <w:rPr>
                                <w:noProof/>
                                <w:sz w:val="20"/>
                              </w:rPr>
                            </w:pPr>
                            <w:bookmarkStart w:id="423" w:name="_Ref518571892"/>
                            <w:bookmarkStart w:id="424" w:name="_Toc525227220"/>
                            <w:bookmarkStart w:id="425" w:name="_Toc536814159"/>
                            <w:r w:rsidRPr="003B2D5F">
                              <w:rPr>
                                <w:b/>
                                <w:sz w:val="20"/>
                              </w:rPr>
                              <w:t xml:space="preserve">Figure </w:t>
                            </w:r>
                            <w:r>
                              <w:rPr>
                                <w:b/>
                                <w:sz w:val="20"/>
                              </w:rPr>
                              <w:fldChar w:fldCharType="begin"/>
                            </w:r>
                            <w:r>
                              <w:rPr>
                                <w:b/>
                                <w:sz w:val="20"/>
                              </w:rPr>
                              <w:instrText xml:space="preserve"> STYLEREF 1 \s </w:instrText>
                            </w:r>
                            <w:r>
                              <w:rPr>
                                <w:b/>
                                <w:sz w:val="20"/>
                              </w:rPr>
                              <w:fldChar w:fldCharType="separate"/>
                            </w:r>
                            <w:r>
                              <w:rPr>
                                <w:b/>
                                <w:noProof/>
                                <w:sz w:val="20"/>
                              </w:rPr>
                              <w:t>4</w:t>
                            </w:r>
                            <w:r>
                              <w:rPr>
                                <w:b/>
                                <w:sz w:val="20"/>
                              </w:rPr>
                              <w:fldChar w:fldCharType="end"/>
                            </w:r>
                            <w:r>
                              <w:rPr>
                                <w:b/>
                                <w:sz w:val="20"/>
                              </w:rPr>
                              <w:t>.</w:t>
                            </w:r>
                            <w:r>
                              <w:rPr>
                                <w:b/>
                                <w:sz w:val="20"/>
                              </w:rPr>
                              <w:fldChar w:fldCharType="begin"/>
                            </w:r>
                            <w:r>
                              <w:rPr>
                                <w:b/>
                                <w:sz w:val="20"/>
                              </w:rPr>
                              <w:instrText xml:space="preserve"> SEQ Figure \* ARABIC \s 1 </w:instrText>
                            </w:r>
                            <w:r>
                              <w:rPr>
                                <w:b/>
                                <w:sz w:val="20"/>
                              </w:rPr>
                              <w:fldChar w:fldCharType="separate"/>
                            </w:r>
                            <w:r>
                              <w:rPr>
                                <w:b/>
                                <w:noProof/>
                                <w:sz w:val="20"/>
                              </w:rPr>
                              <w:t>15</w:t>
                            </w:r>
                            <w:r>
                              <w:rPr>
                                <w:b/>
                                <w:sz w:val="20"/>
                              </w:rPr>
                              <w:fldChar w:fldCharType="end"/>
                            </w:r>
                            <w:bookmarkEnd w:id="423"/>
                            <w:r w:rsidRPr="003B2D5F">
                              <w:rPr>
                                <w:b/>
                                <w:sz w:val="20"/>
                              </w:rPr>
                              <w:t xml:space="preserve"> - Domain activity diagram describing the behaviours of a Kupffer cell (KC) during </w:t>
                            </w:r>
                            <w:r>
                              <w:rPr>
                                <w:b/>
                                <w:sz w:val="20"/>
                                <w:szCs w:val="20"/>
                              </w:rPr>
                              <w:t>h</w:t>
                            </w:r>
                            <w:r w:rsidRPr="009A7602">
                              <w:rPr>
                                <w:b/>
                                <w:sz w:val="20"/>
                                <w:szCs w:val="20"/>
                              </w:rPr>
                              <w:t xml:space="preserve">epatic </w:t>
                            </w:r>
                            <w:r>
                              <w:rPr>
                                <w:b/>
                                <w:sz w:val="20"/>
                                <w:szCs w:val="20"/>
                              </w:rPr>
                              <w:t xml:space="preserve">infection with </w:t>
                            </w:r>
                            <w:r>
                              <w:rPr>
                                <w:b/>
                                <w:i/>
                                <w:sz w:val="20"/>
                                <w:szCs w:val="20"/>
                              </w:rPr>
                              <w:t>L. donovani</w:t>
                            </w:r>
                            <w:r w:rsidRPr="003B2D5F">
                              <w:rPr>
                                <w:b/>
                                <w:sz w:val="20"/>
                              </w:rPr>
                              <w:t xml:space="preserve">. </w:t>
                            </w:r>
                            <w:r w:rsidRPr="003B2D5F">
                              <w:rPr>
                                <w:sz w:val="20"/>
                              </w:rPr>
                              <w:t>UML</w:t>
                            </w:r>
                            <w:r>
                              <w:rPr>
                                <w:sz w:val="20"/>
                              </w:rPr>
                              <w:t>-like</w:t>
                            </w:r>
                            <w:r w:rsidRPr="003B2D5F">
                              <w:rPr>
                                <w:sz w:val="20"/>
                              </w:rPr>
                              <w:t xml:space="preserve"> notation of the behaviours and interactions of Kupffer cells </w:t>
                            </w:r>
                            <w:r w:rsidRPr="00CB55EB">
                              <w:rPr>
                                <w:sz w:val="20"/>
                              </w:rPr>
                              <w:t xml:space="preserve">during </w:t>
                            </w:r>
                            <w:r w:rsidRPr="00CB55EB">
                              <w:rPr>
                                <w:sz w:val="20"/>
                                <w:szCs w:val="20"/>
                              </w:rPr>
                              <w:t xml:space="preserve">hepatic infection with </w:t>
                            </w:r>
                            <w:r w:rsidRPr="00CB55EB">
                              <w:rPr>
                                <w:i/>
                                <w:sz w:val="20"/>
                                <w:szCs w:val="20"/>
                              </w:rPr>
                              <w:t>L. donovani</w:t>
                            </w:r>
                            <w:r w:rsidRPr="00CB55EB">
                              <w:rPr>
                                <w:sz w:val="20"/>
                              </w:rPr>
                              <w:t xml:space="preserve"> in the liver. KCs are resident macrophages exclusively residing in the liver and thus their activity is restricted to this site only.</w:t>
                            </w:r>
                            <w:bookmarkEnd w:id="424"/>
                            <w:bookmarkEnd w:id="425"/>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7A2FBB6D" id="Text Box 496" o:spid="_x0000_s1115" type="#_x0000_t202" style="position:absolute;left:0;text-align:left;margin-left:-32.35pt;margin-top:628.35pt;width:464.05pt;height:75.55pt;z-index:2512435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PoqI1NAIAAGwEAAAOAAAAZHJzL2Uyb0RvYy54bWysVFFv2yAQfp+0/4B4X5x0bZRYcaosVaZJ&#13;&#10;UVspmfpMMMRImGNAYme/fge2067b07QXfNwdB9/33Xlx39aanIXzCkxBJ6MxJcJwKJU5FvT7fvNp&#13;&#10;RokPzJRMgxEFvQhP75cfPywam4sbqECXwhEsYnze2IJWIdg8yzyvRM38CKwwGJTgahZw645Z6ViD&#13;&#10;1Wud3YzH06wBV1oHXHiP3ocuSJepvpSChycpvQhEFxTfFtLq0nqIa7ZcsPzomK0U75/B/uEVNVMG&#13;&#10;L72WemCBkZNTf5SqFXfgQYYRhzoDKRUXCQOimYzfodlVzIqEBcnx9kqT/39l+eP52RFVFvR2PqXE&#13;&#10;sBpF2os2kC/QkuhDhhrrc0zcWUwNLQZQ6cHv0RmBt9LV8YuQCMaR68uV31iOo/NuNv88vcWO4Bib&#13;&#10;380ns1ksk72ets6HrwJqEo2COtQv0crOWx+61CElXuZBq3KjtI6bGFhrR84MtW4qFURf/LcsbWKu&#13;&#10;gXiqKxg9WYTYQYlWaA9tImU2H3AeoLwgfAddC3nLNwov3DIfnpnDnkHEOAfhCRepoSko9BYlFbif&#13;&#10;f/PHfJQSo5Q02IMF9T9OzAlK9DeDIseGHQw3GIfBMKd6DQh1ghNmeTLxgAt6MKWD+gXHYxVvwRAz&#13;&#10;HO8qaBjMdegmAceLi9UqJWFbWha2Zmd5LD0Qu29fmLO9LAEFfYShO1n+Tp0ut6N5dQogVZIuEtux&#13;&#10;2PONLZ3E78cvzszbfcp6/UksfwEAAP//AwBQSwMEFAAGAAgAAAAhAAkRbr7lAAAAEgEAAA8AAABk&#13;&#10;cnMvZG93bnJldi54bWxMT8FOwzAMvSPxD5GRuKAtpZSs6ppOsMJtHDamnbMmtBWNUzXp2v095gQX&#13;&#10;y/Z7fn4v38y2Yxcz+NahhMdlBMxg5XSLtYTj5/siBeaDQq06h0bC1XjYFLc3ucq0m3BvLodQMxJB&#13;&#10;nykJTQh9xrmvGmOVX7reIGFfbrAq0DjUXA9qInHb8TiKBLeqRfrQqN5sG1N9H0YrQZTDOO1x+1Ae&#13;&#10;33bqo6/j0+v1JOX93VyuqbysgQUzh78L+M1A/qEgY2c3ovask7AQyYqoBMTPgjqipOIpAXamVRKt&#13;&#10;UuBFzv9HKX4AAAD//wMAUEsBAi0AFAAGAAgAAAAhALaDOJL+AAAA4QEAABMAAAAAAAAAAAAAAAAA&#13;&#10;AAAAAFtDb250ZW50X1R5cGVzXS54bWxQSwECLQAUAAYACAAAACEAOP0h/9YAAACUAQAACwAAAAAA&#13;&#10;AAAAAAAAAAAvAQAAX3JlbHMvLnJlbHNQSwECLQAUAAYACAAAACEAT6KiNTQCAABsBAAADgAAAAAA&#13;&#10;AAAAAAAAAAAuAgAAZHJzL2Uyb0RvYy54bWxQSwECLQAUAAYACAAAACEACRFuvuUAAAASAQAADwAA&#13;&#10;AAAAAAAAAAAAAACOBAAAZHJzL2Rvd25yZXYueG1sUEsFBgAAAAAEAAQA8wAAAKAFAAAAAA==&#13;&#10;" stroked="f">
                <v:textbox inset="0,0,0,0">
                  <w:txbxContent>
                    <w:p w14:paraId="3436004C" w14:textId="2AA8697B" w:rsidR="00F61130" w:rsidRPr="00CB55EB" w:rsidRDefault="00F61130" w:rsidP="009A7895">
                      <w:pPr>
                        <w:pStyle w:val="Caption"/>
                        <w:spacing w:line="360" w:lineRule="auto"/>
                        <w:jc w:val="both"/>
                        <w:rPr>
                          <w:noProof/>
                          <w:sz w:val="20"/>
                        </w:rPr>
                      </w:pPr>
                      <w:bookmarkStart w:id="426" w:name="_Ref518571892"/>
                      <w:bookmarkStart w:id="427" w:name="_Toc525227220"/>
                      <w:bookmarkStart w:id="428" w:name="_Toc536814159"/>
                      <w:r w:rsidRPr="003B2D5F">
                        <w:rPr>
                          <w:b/>
                          <w:sz w:val="20"/>
                        </w:rPr>
                        <w:t xml:space="preserve">Figure </w:t>
                      </w:r>
                      <w:r>
                        <w:rPr>
                          <w:b/>
                          <w:sz w:val="20"/>
                        </w:rPr>
                        <w:fldChar w:fldCharType="begin"/>
                      </w:r>
                      <w:r>
                        <w:rPr>
                          <w:b/>
                          <w:sz w:val="20"/>
                        </w:rPr>
                        <w:instrText xml:space="preserve"> STYLEREF 1 \s </w:instrText>
                      </w:r>
                      <w:r>
                        <w:rPr>
                          <w:b/>
                          <w:sz w:val="20"/>
                        </w:rPr>
                        <w:fldChar w:fldCharType="separate"/>
                      </w:r>
                      <w:r>
                        <w:rPr>
                          <w:b/>
                          <w:noProof/>
                          <w:sz w:val="20"/>
                        </w:rPr>
                        <w:t>4</w:t>
                      </w:r>
                      <w:r>
                        <w:rPr>
                          <w:b/>
                          <w:sz w:val="20"/>
                        </w:rPr>
                        <w:fldChar w:fldCharType="end"/>
                      </w:r>
                      <w:r>
                        <w:rPr>
                          <w:b/>
                          <w:sz w:val="20"/>
                        </w:rPr>
                        <w:t>.</w:t>
                      </w:r>
                      <w:r>
                        <w:rPr>
                          <w:b/>
                          <w:sz w:val="20"/>
                        </w:rPr>
                        <w:fldChar w:fldCharType="begin"/>
                      </w:r>
                      <w:r>
                        <w:rPr>
                          <w:b/>
                          <w:sz w:val="20"/>
                        </w:rPr>
                        <w:instrText xml:space="preserve"> SEQ Figure \* ARABIC \s 1 </w:instrText>
                      </w:r>
                      <w:r>
                        <w:rPr>
                          <w:b/>
                          <w:sz w:val="20"/>
                        </w:rPr>
                        <w:fldChar w:fldCharType="separate"/>
                      </w:r>
                      <w:r>
                        <w:rPr>
                          <w:b/>
                          <w:noProof/>
                          <w:sz w:val="20"/>
                        </w:rPr>
                        <w:t>15</w:t>
                      </w:r>
                      <w:r>
                        <w:rPr>
                          <w:b/>
                          <w:sz w:val="20"/>
                        </w:rPr>
                        <w:fldChar w:fldCharType="end"/>
                      </w:r>
                      <w:bookmarkEnd w:id="426"/>
                      <w:r w:rsidRPr="003B2D5F">
                        <w:rPr>
                          <w:b/>
                          <w:sz w:val="20"/>
                        </w:rPr>
                        <w:t xml:space="preserve"> - Domain activity diagram describing the behaviours of a Kupffer cell (KC) during </w:t>
                      </w:r>
                      <w:r>
                        <w:rPr>
                          <w:b/>
                          <w:sz w:val="20"/>
                          <w:szCs w:val="20"/>
                        </w:rPr>
                        <w:t>h</w:t>
                      </w:r>
                      <w:r w:rsidRPr="009A7602">
                        <w:rPr>
                          <w:b/>
                          <w:sz w:val="20"/>
                          <w:szCs w:val="20"/>
                        </w:rPr>
                        <w:t xml:space="preserve">epatic </w:t>
                      </w:r>
                      <w:r>
                        <w:rPr>
                          <w:b/>
                          <w:sz w:val="20"/>
                          <w:szCs w:val="20"/>
                        </w:rPr>
                        <w:t xml:space="preserve">infection with </w:t>
                      </w:r>
                      <w:r>
                        <w:rPr>
                          <w:b/>
                          <w:i/>
                          <w:sz w:val="20"/>
                          <w:szCs w:val="20"/>
                        </w:rPr>
                        <w:t>L. donovani</w:t>
                      </w:r>
                      <w:r w:rsidRPr="003B2D5F">
                        <w:rPr>
                          <w:b/>
                          <w:sz w:val="20"/>
                        </w:rPr>
                        <w:t xml:space="preserve">. </w:t>
                      </w:r>
                      <w:r w:rsidRPr="003B2D5F">
                        <w:rPr>
                          <w:sz w:val="20"/>
                        </w:rPr>
                        <w:t>UML</w:t>
                      </w:r>
                      <w:r>
                        <w:rPr>
                          <w:sz w:val="20"/>
                        </w:rPr>
                        <w:t>-like</w:t>
                      </w:r>
                      <w:r w:rsidRPr="003B2D5F">
                        <w:rPr>
                          <w:sz w:val="20"/>
                        </w:rPr>
                        <w:t xml:space="preserve"> notation of the behaviours and interactions of Kupffer cells </w:t>
                      </w:r>
                      <w:r w:rsidRPr="00CB55EB">
                        <w:rPr>
                          <w:sz w:val="20"/>
                        </w:rPr>
                        <w:t xml:space="preserve">during </w:t>
                      </w:r>
                      <w:r w:rsidRPr="00CB55EB">
                        <w:rPr>
                          <w:sz w:val="20"/>
                          <w:szCs w:val="20"/>
                        </w:rPr>
                        <w:t xml:space="preserve">hepatic infection with </w:t>
                      </w:r>
                      <w:r w:rsidRPr="00CB55EB">
                        <w:rPr>
                          <w:i/>
                          <w:sz w:val="20"/>
                          <w:szCs w:val="20"/>
                        </w:rPr>
                        <w:t>L. donovani</w:t>
                      </w:r>
                      <w:r w:rsidRPr="00CB55EB">
                        <w:rPr>
                          <w:sz w:val="20"/>
                        </w:rPr>
                        <w:t xml:space="preserve"> in the liver. KCs are resident macrophages exclusively residing in the liver and thus their activity is restricted to this site only.</w:t>
                      </w:r>
                      <w:bookmarkEnd w:id="427"/>
                      <w:bookmarkEnd w:id="428"/>
                    </w:p>
                  </w:txbxContent>
                </v:textbox>
                <w10:wrap type="topAndBottom"/>
              </v:shape>
            </w:pict>
          </mc:Fallback>
        </mc:AlternateContent>
      </w:r>
      <w:r w:rsidR="000C331D" w:rsidRPr="008B3AD6">
        <w:br w:type="page"/>
      </w:r>
    </w:p>
    <w:p w14:paraId="3B0C14E7" w14:textId="683E2A0C" w:rsidR="00406E0D" w:rsidRPr="008B3AD6" w:rsidRDefault="002D2824" w:rsidP="009154C0">
      <w:pPr>
        <w:spacing w:line="360" w:lineRule="auto"/>
        <w:jc w:val="both"/>
      </w:pPr>
      <w:r>
        <w:rPr>
          <w:noProof/>
        </w:rPr>
        <w:lastRenderedPageBreak/>
        <w:drawing>
          <wp:anchor distT="0" distB="0" distL="114300" distR="114300" simplePos="0" relativeHeight="251248640" behindDoc="0" locked="0" layoutInCell="1" allowOverlap="1" wp14:anchorId="0413AEF1" wp14:editId="454EB94F">
            <wp:simplePos x="0" y="0"/>
            <wp:positionH relativeFrom="column">
              <wp:posOffset>-117817</wp:posOffset>
            </wp:positionH>
            <wp:positionV relativeFrom="paragraph">
              <wp:posOffset>537</wp:posOffset>
            </wp:positionV>
            <wp:extent cx="5811520" cy="2950885"/>
            <wp:effectExtent l="0" t="0" r="5080" b="0"/>
            <wp:wrapTopAndBottom/>
            <wp:docPr id="498" name="Picture 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8" name="Picture 498"/>
                    <pic:cNvPicPr>
                      <a:picLocks noChangeAspect="1"/>
                    </pic:cNvPicPr>
                  </pic:nvPicPr>
                  <pic:blipFill rotWithShape="1">
                    <a:blip r:embed="rId62">
                      <a:extLst>
                        <a:ext uri="{28A0092B-C50C-407E-A947-70E740481C1C}">
                          <a14:useLocalDpi xmlns:a14="http://schemas.microsoft.com/office/drawing/2010/main" val="0"/>
                        </a:ext>
                      </a:extLst>
                    </a:blip>
                    <a:srcRect l="4912" t="17329" r="3693" b="17161"/>
                    <a:stretch/>
                  </pic:blipFill>
                  <pic:spPr bwMode="auto">
                    <a:xfrm>
                      <a:off x="0" y="0"/>
                      <a:ext cx="5811520" cy="2950885"/>
                    </a:xfrm>
                    <a:prstGeom prst="rect">
                      <a:avLst/>
                    </a:prstGeom>
                    <a:ln>
                      <a:noFill/>
                    </a:ln>
                    <a:extLst>
                      <a:ext uri="{53640926-AAD7-44D8-BBD7-CCE9431645EC}">
                        <a14:shadowObscured xmlns:a14="http://schemas.microsoft.com/office/drawing/2010/main"/>
                      </a:ext>
                    </a:extLst>
                  </pic:spPr>
                </pic:pic>
              </a:graphicData>
            </a:graphic>
          </wp:anchor>
        </w:drawing>
      </w:r>
      <w:r>
        <w:rPr>
          <w:noProof/>
        </w:rPr>
        <mc:AlternateContent>
          <mc:Choice Requires="wps">
            <w:drawing>
              <wp:anchor distT="0" distB="0" distL="114300" distR="114300" simplePos="0" relativeHeight="251249664" behindDoc="0" locked="0" layoutInCell="1" allowOverlap="1" wp14:anchorId="33DFFB02" wp14:editId="7827E10A">
                <wp:simplePos x="0" y="0"/>
                <wp:positionH relativeFrom="column">
                  <wp:posOffset>-117817</wp:posOffset>
                </wp:positionH>
                <wp:positionV relativeFrom="paragraph">
                  <wp:posOffset>2974952</wp:posOffset>
                </wp:positionV>
                <wp:extent cx="5811520" cy="1222375"/>
                <wp:effectExtent l="0" t="0" r="5080" b="0"/>
                <wp:wrapTopAndBottom/>
                <wp:docPr id="499" name="Text Box 499"/>
                <wp:cNvGraphicFramePr/>
                <a:graphic xmlns:a="http://schemas.openxmlformats.org/drawingml/2006/main">
                  <a:graphicData uri="http://schemas.microsoft.com/office/word/2010/wordprocessingShape">
                    <wps:wsp>
                      <wps:cNvSpPr txBox="1"/>
                      <wps:spPr>
                        <a:xfrm>
                          <a:off x="0" y="0"/>
                          <a:ext cx="5811520" cy="1222375"/>
                        </a:xfrm>
                        <a:prstGeom prst="rect">
                          <a:avLst/>
                        </a:prstGeom>
                        <a:solidFill>
                          <a:prstClr val="white"/>
                        </a:solidFill>
                        <a:ln>
                          <a:noFill/>
                        </a:ln>
                      </wps:spPr>
                      <wps:txbx>
                        <w:txbxContent>
                          <w:p w14:paraId="4393F19F" w14:textId="0FCFFB7A" w:rsidR="00F61130" w:rsidRPr="00980A37" w:rsidRDefault="00F61130" w:rsidP="009A7895">
                            <w:pPr>
                              <w:pStyle w:val="Caption"/>
                              <w:spacing w:line="360" w:lineRule="auto"/>
                              <w:jc w:val="both"/>
                              <w:rPr>
                                <w:noProof/>
                                <w:sz w:val="20"/>
                                <w:szCs w:val="20"/>
                              </w:rPr>
                            </w:pPr>
                            <w:bookmarkStart w:id="429" w:name="_Ref518571967"/>
                            <w:bookmarkStart w:id="430" w:name="_Toc525227221"/>
                            <w:bookmarkStart w:id="431" w:name="_Toc536814160"/>
                            <w:r w:rsidRPr="00980A37">
                              <w:rPr>
                                <w:b/>
                                <w:sz w:val="20"/>
                                <w:szCs w:val="20"/>
                              </w:rPr>
                              <w:t xml:space="preserve">Figure </w:t>
                            </w:r>
                            <w:r>
                              <w:rPr>
                                <w:b/>
                                <w:sz w:val="20"/>
                                <w:szCs w:val="20"/>
                              </w:rPr>
                              <w:fldChar w:fldCharType="begin"/>
                            </w:r>
                            <w:r>
                              <w:rPr>
                                <w:b/>
                                <w:sz w:val="20"/>
                                <w:szCs w:val="20"/>
                              </w:rPr>
                              <w:instrText xml:space="preserve"> STYLEREF 1 \s </w:instrText>
                            </w:r>
                            <w:r>
                              <w:rPr>
                                <w:b/>
                                <w:sz w:val="20"/>
                                <w:szCs w:val="20"/>
                              </w:rPr>
                              <w:fldChar w:fldCharType="separate"/>
                            </w:r>
                            <w:r>
                              <w:rPr>
                                <w:b/>
                                <w:noProof/>
                                <w:sz w:val="20"/>
                                <w:szCs w:val="20"/>
                              </w:rPr>
                              <w:t>4</w:t>
                            </w:r>
                            <w:r>
                              <w:rPr>
                                <w:b/>
                                <w:sz w:val="20"/>
                                <w:szCs w:val="20"/>
                              </w:rPr>
                              <w:fldChar w:fldCharType="end"/>
                            </w:r>
                            <w:r>
                              <w:rPr>
                                <w:b/>
                                <w:sz w:val="20"/>
                                <w:szCs w:val="20"/>
                              </w:rPr>
                              <w:t>.</w:t>
                            </w:r>
                            <w:r>
                              <w:rPr>
                                <w:b/>
                                <w:sz w:val="20"/>
                                <w:szCs w:val="20"/>
                              </w:rPr>
                              <w:fldChar w:fldCharType="begin"/>
                            </w:r>
                            <w:r>
                              <w:rPr>
                                <w:b/>
                                <w:sz w:val="20"/>
                                <w:szCs w:val="20"/>
                              </w:rPr>
                              <w:instrText xml:space="preserve"> SEQ Figure \* ARABIC \s 1 </w:instrText>
                            </w:r>
                            <w:r>
                              <w:rPr>
                                <w:b/>
                                <w:sz w:val="20"/>
                                <w:szCs w:val="20"/>
                              </w:rPr>
                              <w:fldChar w:fldCharType="separate"/>
                            </w:r>
                            <w:r>
                              <w:rPr>
                                <w:b/>
                                <w:noProof/>
                                <w:sz w:val="20"/>
                                <w:szCs w:val="20"/>
                              </w:rPr>
                              <w:t>16</w:t>
                            </w:r>
                            <w:r>
                              <w:rPr>
                                <w:b/>
                                <w:sz w:val="20"/>
                                <w:szCs w:val="20"/>
                              </w:rPr>
                              <w:fldChar w:fldCharType="end"/>
                            </w:r>
                            <w:bookmarkEnd w:id="429"/>
                            <w:r w:rsidRPr="00980A37">
                              <w:rPr>
                                <w:b/>
                                <w:sz w:val="20"/>
                                <w:szCs w:val="20"/>
                              </w:rPr>
                              <w:t xml:space="preserve"> - Domain model state diagram of a Kupffer cell during </w:t>
                            </w:r>
                            <w:r>
                              <w:rPr>
                                <w:b/>
                                <w:sz w:val="20"/>
                                <w:szCs w:val="20"/>
                              </w:rPr>
                              <w:t>h</w:t>
                            </w:r>
                            <w:r w:rsidRPr="009A7602">
                              <w:rPr>
                                <w:b/>
                                <w:sz w:val="20"/>
                                <w:szCs w:val="20"/>
                              </w:rPr>
                              <w:t xml:space="preserve">epatic </w:t>
                            </w:r>
                            <w:r>
                              <w:rPr>
                                <w:b/>
                                <w:sz w:val="20"/>
                                <w:szCs w:val="20"/>
                              </w:rPr>
                              <w:t xml:space="preserve">infection with </w:t>
                            </w:r>
                            <w:r>
                              <w:rPr>
                                <w:b/>
                                <w:i/>
                                <w:sz w:val="20"/>
                                <w:szCs w:val="20"/>
                              </w:rPr>
                              <w:t>L. donovani</w:t>
                            </w:r>
                            <w:r w:rsidRPr="00980A37">
                              <w:rPr>
                                <w:b/>
                                <w:sz w:val="20"/>
                                <w:szCs w:val="20"/>
                              </w:rPr>
                              <w:t xml:space="preserve">. </w:t>
                            </w:r>
                            <w:r w:rsidRPr="003B2D5F">
                              <w:rPr>
                                <w:sz w:val="20"/>
                              </w:rPr>
                              <w:t>UML</w:t>
                            </w:r>
                            <w:r>
                              <w:rPr>
                                <w:sz w:val="20"/>
                              </w:rPr>
                              <w:t>-like</w:t>
                            </w:r>
                            <w:r w:rsidRPr="003B2D5F">
                              <w:rPr>
                                <w:sz w:val="20"/>
                              </w:rPr>
                              <w:t xml:space="preserve"> </w:t>
                            </w:r>
                            <w:r w:rsidRPr="00980A37">
                              <w:rPr>
                                <w:sz w:val="20"/>
                                <w:szCs w:val="20"/>
                              </w:rPr>
                              <w:t xml:space="preserve">state diagram describing the different states a Kupffer cell </w:t>
                            </w:r>
                            <w:r w:rsidRPr="00CB55EB">
                              <w:rPr>
                                <w:sz w:val="20"/>
                                <w:szCs w:val="20"/>
                              </w:rPr>
                              <w:t xml:space="preserve">may exist in during hepatic infection with </w:t>
                            </w:r>
                            <w:r w:rsidRPr="00CB55EB">
                              <w:rPr>
                                <w:i/>
                                <w:sz w:val="20"/>
                                <w:szCs w:val="20"/>
                              </w:rPr>
                              <w:t>L. donovani</w:t>
                            </w:r>
                            <w:r w:rsidRPr="00CB55EB">
                              <w:rPr>
                                <w:sz w:val="20"/>
                                <w:szCs w:val="20"/>
                              </w:rPr>
                              <w:t>. All Kupffer cells initially exist in naïve state where they can either be patrolling</w:t>
                            </w:r>
                            <w:r w:rsidRPr="00980A37">
                              <w:rPr>
                                <w:sz w:val="20"/>
                                <w:szCs w:val="20"/>
                              </w:rPr>
                              <w:t>, anti-inflammatory (M2 phenotype) or pro-inflammatory (M1 phenotype) denoted as sub-states, it is assumed that patrolling Kupffer cells become infected where they can still exist in different sub-states providing the correct stimulus is supplied.</w:t>
                            </w:r>
                            <w:bookmarkEnd w:id="430"/>
                            <w:bookmarkEnd w:id="431"/>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3DFFB02" id="Text Box 499" o:spid="_x0000_s1116" type="#_x0000_t202" style="position:absolute;left:0;text-align:left;margin-left:-9.3pt;margin-top:234.25pt;width:457.6pt;height:96.25pt;z-index:2512496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4gY6sNAIAAG0EAAAOAAAAZHJzL2Uyb0RvYy54bWysVMGO0zAQvSPxD5bvNE2gsI2arkpXRUjV&#13;&#10;7kot2rPrOI0lx2Nst0n5esZO0sLCCXFxxjPjZ897M1ncd40iZ2GdBF3QdDKlRGgOpdTHgn7bb97d&#13;&#10;UeI80yVToEVBL8LR++XbN4vW5CKDGlQpLEEQ7fLWFLT23uRJ4ngtGuYmYITGYAW2YR639piUlrWI&#13;&#10;3qgkm04/Ji3Y0ljgwjn0PvRBuoz4VSW4f6oqJzxRBcW3+bjauB7CmiwXLD9aZmrJh2ewf3hFw6TG&#13;&#10;S69QD8wzcrLyD6hGcgsOKj/h0CRQVZKLWANWk05fVbOrmRGxFiTHmStN7v/B8sfzsyWyLOiH+ZwS&#13;&#10;zRoUaS86Tz5DR4IPGWqNyzFxZzDVdxhApUe/Q2covKtsE75YEsE4cn258hvgODpnd2k6yzDEMZZm&#13;&#10;Wfb+0yzgJLfjxjr/RUBDglFQiwJGXtl563yfOqaE2xwoWW6kUmETAmtlyZmh2G0tvRjAf8tSOuRq&#13;&#10;CKd6wOBJQo19LcHy3aGLrMxjiwTXAcoL1m+h7yFn+EbihVvm/DOz2DRYFw6Cf8KlUtAWFAaLkhrs&#13;&#10;j7/5Qz5qiVFKWmzCgrrvJ2YFJeqrRpVDx46GHY3DaOhTswYsNcURMzyaeMB6NZqVheYF52MVbsEQ&#13;&#10;0xzvKqgfzbXvRwHni4vVKiZhXxrmt3pneIAeid13L8yaQRaPij7C2J4sf6VOnxv1MauTR6qjdDcW&#13;&#10;B76xp6P4w/yFofl1H7Nuf4nlTwAAAP//AwBQSwMEFAAGAAgAAAAhAMpbavzlAAAAEAEAAA8AAABk&#13;&#10;cnMvZG93bnJldi54bWxMTz1PwzAQ3ZH4D9YhsaDWCQQrpHGqqsAAS0XowubGbhyIz1HstOHfc0yw&#13;&#10;nHT33r2Pcj27np3MGDqPEtJlAsxg43WHrYT9+/MiBxaiQq16j0bCtwmwri4vSlVof8Y3c6pjy0gE&#13;&#10;Q6Ek2BiHgvPQWONUWPrBIGFHPzoVaR1brkd1JnHX89skEdypDsnBqsFsrWm+6slJ2GUfO3szHZ9e&#13;&#10;N9nd+LKftuKzraW8vpofVzQ2K2DRzPHvA347UH6oKNjBT6gD6yUs0lwQVUIm8ntgxMgfBF0OEoRI&#13;&#10;E+BVyf8XqX4AAAD//wMAUEsBAi0AFAAGAAgAAAAhALaDOJL+AAAA4QEAABMAAAAAAAAAAAAAAAAA&#13;&#10;AAAAAFtDb250ZW50X1R5cGVzXS54bWxQSwECLQAUAAYACAAAACEAOP0h/9YAAACUAQAACwAAAAAA&#13;&#10;AAAAAAAAAAAvAQAAX3JlbHMvLnJlbHNQSwECLQAUAAYACAAAACEA+IGOrDQCAABtBAAADgAAAAAA&#13;&#10;AAAAAAAAAAAuAgAAZHJzL2Uyb0RvYy54bWxQSwECLQAUAAYACAAAACEAyltq/OUAAAAQAQAADwAA&#13;&#10;AAAAAAAAAAAAAACOBAAAZHJzL2Rvd25yZXYueG1sUEsFBgAAAAAEAAQA8wAAAKAFAAAAAA==&#13;&#10;" stroked="f">
                <v:textbox style="mso-fit-shape-to-text:t" inset="0,0,0,0">
                  <w:txbxContent>
                    <w:p w14:paraId="4393F19F" w14:textId="0FCFFB7A" w:rsidR="00F61130" w:rsidRPr="00980A37" w:rsidRDefault="00F61130" w:rsidP="009A7895">
                      <w:pPr>
                        <w:pStyle w:val="Caption"/>
                        <w:spacing w:line="360" w:lineRule="auto"/>
                        <w:jc w:val="both"/>
                        <w:rPr>
                          <w:noProof/>
                          <w:sz w:val="20"/>
                          <w:szCs w:val="20"/>
                        </w:rPr>
                      </w:pPr>
                      <w:bookmarkStart w:id="432" w:name="_Ref518571967"/>
                      <w:bookmarkStart w:id="433" w:name="_Toc525227221"/>
                      <w:bookmarkStart w:id="434" w:name="_Toc536814160"/>
                      <w:r w:rsidRPr="00980A37">
                        <w:rPr>
                          <w:b/>
                          <w:sz w:val="20"/>
                          <w:szCs w:val="20"/>
                        </w:rPr>
                        <w:t xml:space="preserve">Figure </w:t>
                      </w:r>
                      <w:r>
                        <w:rPr>
                          <w:b/>
                          <w:sz w:val="20"/>
                          <w:szCs w:val="20"/>
                        </w:rPr>
                        <w:fldChar w:fldCharType="begin"/>
                      </w:r>
                      <w:r>
                        <w:rPr>
                          <w:b/>
                          <w:sz w:val="20"/>
                          <w:szCs w:val="20"/>
                        </w:rPr>
                        <w:instrText xml:space="preserve"> STYLEREF 1 \s </w:instrText>
                      </w:r>
                      <w:r>
                        <w:rPr>
                          <w:b/>
                          <w:sz w:val="20"/>
                          <w:szCs w:val="20"/>
                        </w:rPr>
                        <w:fldChar w:fldCharType="separate"/>
                      </w:r>
                      <w:r>
                        <w:rPr>
                          <w:b/>
                          <w:noProof/>
                          <w:sz w:val="20"/>
                          <w:szCs w:val="20"/>
                        </w:rPr>
                        <w:t>4</w:t>
                      </w:r>
                      <w:r>
                        <w:rPr>
                          <w:b/>
                          <w:sz w:val="20"/>
                          <w:szCs w:val="20"/>
                        </w:rPr>
                        <w:fldChar w:fldCharType="end"/>
                      </w:r>
                      <w:r>
                        <w:rPr>
                          <w:b/>
                          <w:sz w:val="20"/>
                          <w:szCs w:val="20"/>
                        </w:rPr>
                        <w:t>.</w:t>
                      </w:r>
                      <w:r>
                        <w:rPr>
                          <w:b/>
                          <w:sz w:val="20"/>
                          <w:szCs w:val="20"/>
                        </w:rPr>
                        <w:fldChar w:fldCharType="begin"/>
                      </w:r>
                      <w:r>
                        <w:rPr>
                          <w:b/>
                          <w:sz w:val="20"/>
                          <w:szCs w:val="20"/>
                        </w:rPr>
                        <w:instrText xml:space="preserve"> SEQ Figure \* ARABIC \s 1 </w:instrText>
                      </w:r>
                      <w:r>
                        <w:rPr>
                          <w:b/>
                          <w:sz w:val="20"/>
                          <w:szCs w:val="20"/>
                        </w:rPr>
                        <w:fldChar w:fldCharType="separate"/>
                      </w:r>
                      <w:r>
                        <w:rPr>
                          <w:b/>
                          <w:noProof/>
                          <w:sz w:val="20"/>
                          <w:szCs w:val="20"/>
                        </w:rPr>
                        <w:t>16</w:t>
                      </w:r>
                      <w:r>
                        <w:rPr>
                          <w:b/>
                          <w:sz w:val="20"/>
                          <w:szCs w:val="20"/>
                        </w:rPr>
                        <w:fldChar w:fldCharType="end"/>
                      </w:r>
                      <w:bookmarkEnd w:id="432"/>
                      <w:r w:rsidRPr="00980A37">
                        <w:rPr>
                          <w:b/>
                          <w:sz w:val="20"/>
                          <w:szCs w:val="20"/>
                        </w:rPr>
                        <w:t xml:space="preserve"> - Domain model state diagram of a Kupffer cell during </w:t>
                      </w:r>
                      <w:r>
                        <w:rPr>
                          <w:b/>
                          <w:sz w:val="20"/>
                          <w:szCs w:val="20"/>
                        </w:rPr>
                        <w:t>h</w:t>
                      </w:r>
                      <w:r w:rsidRPr="009A7602">
                        <w:rPr>
                          <w:b/>
                          <w:sz w:val="20"/>
                          <w:szCs w:val="20"/>
                        </w:rPr>
                        <w:t xml:space="preserve">epatic </w:t>
                      </w:r>
                      <w:r>
                        <w:rPr>
                          <w:b/>
                          <w:sz w:val="20"/>
                          <w:szCs w:val="20"/>
                        </w:rPr>
                        <w:t xml:space="preserve">infection with </w:t>
                      </w:r>
                      <w:r>
                        <w:rPr>
                          <w:b/>
                          <w:i/>
                          <w:sz w:val="20"/>
                          <w:szCs w:val="20"/>
                        </w:rPr>
                        <w:t>L. donovani</w:t>
                      </w:r>
                      <w:r w:rsidRPr="00980A37">
                        <w:rPr>
                          <w:b/>
                          <w:sz w:val="20"/>
                          <w:szCs w:val="20"/>
                        </w:rPr>
                        <w:t xml:space="preserve">. </w:t>
                      </w:r>
                      <w:r w:rsidRPr="003B2D5F">
                        <w:rPr>
                          <w:sz w:val="20"/>
                        </w:rPr>
                        <w:t>UML</w:t>
                      </w:r>
                      <w:r>
                        <w:rPr>
                          <w:sz w:val="20"/>
                        </w:rPr>
                        <w:t>-like</w:t>
                      </w:r>
                      <w:r w:rsidRPr="003B2D5F">
                        <w:rPr>
                          <w:sz w:val="20"/>
                        </w:rPr>
                        <w:t xml:space="preserve"> </w:t>
                      </w:r>
                      <w:r w:rsidRPr="00980A37">
                        <w:rPr>
                          <w:sz w:val="20"/>
                          <w:szCs w:val="20"/>
                        </w:rPr>
                        <w:t xml:space="preserve">state diagram describing the different states a Kupffer cell </w:t>
                      </w:r>
                      <w:r w:rsidRPr="00CB55EB">
                        <w:rPr>
                          <w:sz w:val="20"/>
                          <w:szCs w:val="20"/>
                        </w:rPr>
                        <w:t xml:space="preserve">may exist in during hepatic infection with </w:t>
                      </w:r>
                      <w:r w:rsidRPr="00CB55EB">
                        <w:rPr>
                          <w:i/>
                          <w:sz w:val="20"/>
                          <w:szCs w:val="20"/>
                        </w:rPr>
                        <w:t>L. donovani</w:t>
                      </w:r>
                      <w:r w:rsidRPr="00CB55EB">
                        <w:rPr>
                          <w:sz w:val="20"/>
                          <w:szCs w:val="20"/>
                        </w:rPr>
                        <w:t>. All Kupffer cells initially exist in naïve state where they can either be patrolling</w:t>
                      </w:r>
                      <w:r w:rsidRPr="00980A37">
                        <w:rPr>
                          <w:sz w:val="20"/>
                          <w:szCs w:val="20"/>
                        </w:rPr>
                        <w:t>, anti-inflammatory (M2 phenotype) or pro-inflammatory (M1 phenotype) denoted as sub-states, it is assumed that patrolling Kupffer cells become infected where they can still exist in different sub-states providing the correct stimulus is supplied.</w:t>
                      </w:r>
                      <w:bookmarkEnd w:id="433"/>
                      <w:bookmarkEnd w:id="434"/>
                    </w:p>
                  </w:txbxContent>
                </v:textbox>
                <w10:wrap type="topAndBottom"/>
              </v:shape>
            </w:pict>
          </mc:Fallback>
        </mc:AlternateContent>
      </w:r>
    </w:p>
    <w:p w14:paraId="0F3FF597" w14:textId="744751D3" w:rsidR="00DE292A" w:rsidRPr="008B3AD6" w:rsidRDefault="00DE292A" w:rsidP="00BF00CD">
      <w:pPr>
        <w:pStyle w:val="Heading3"/>
      </w:pPr>
      <w:bookmarkStart w:id="435" w:name="_Ref518741465"/>
      <w:bookmarkStart w:id="436" w:name="_Ref518743315"/>
      <w:bookmarkStart w:id="437" w:name="_Ref518744282"/>
      <w:bookmarkStart w:id="438" w:name="_Ref525222144"/>
      <w:bookmarkStart w:id="439" w:name="_Toc3716108"/>
      <w:r w:rsidRPr="008B3AD6">
        <w:t xml:space="preserve">Developing a </w:t>
      </w:r>
      <w:r w:rsidR="000B202A">
        <w:t>p</w:t>
      </w:r>
      <w:r w:rsidRPr="008B3AD6">
        <w:t xml:space="preserve">latform </w:t>
      </w:r>
      <w:r w:rsidR="000B202A">
        <w:t>m</w:t>
      </w:r>
      <w:r w:rsidRPr="008B3AD6">
        <w:t xml:space="preserve">odel </w:t>
      </w:r>
      <w:bookmarkEnd w:id="435"/>
      <w:bookmarkEnd w:id="436"/>
      <w:bookmarkEnd w:id="437"/>
      <w:r w:rsidR="00BF00CD" w:rsidRPr="008B3AD6">
        <w:t>of</w:t>
      </w:r>
      <w:r w:rsidR="00BF00CD">
        <w:t xml:space="preserve"> the</w:t>
      </w:r>
      <w:r w:rsidR="00BF00CD" w:rsidRPr="008B3AD6">
        <w:t xml:space="preserve"> </w:t>
      </w:r>
      <w:r w:rsidR="00BF00CD">
        <w:t>h</w:t>
      </w:r>
      <w:r w:rsidR="00BF00CD" w:rsidRPr="008B3AD6">
        <w:t>epatic</w:t>
      </w:r>
      <w:r w:rsidR="00BF00CD">
        <w:t xml:space="preserve"> immune response</w:t>
      </w:r>
      <w:r w:rsidR="007523BC">
        <w:t xml:space="preserve"> to</w:t>
      </w:r>
      <w:r w:rsidR="00BF00CD">
        <w:t xml:space="preserve"> </w:t>
      </w:r>
      <w:r w:rsidR="00BF00CD">
        <w:rPr>
          <w:i/>
        </w:rPr>
        <w:t>L. donovani</w:t>
      </w:r>
      <w:r w:rsidR="00BF00CD">
        <w:t xml:space="preserve"> infection</w:t>
      </w:r>
      <w:bookmarkEnd w:id="438"/>
      <w:bookmarkEnd w:id="439"/>
    </w:p>
    <w:p w14:paraId="5AC4EA53" w14:textId="7965FA24" w:rsidR="0015721C" w:rsidRPr="007523BC" w:rsidRDefault="007523BC" w:rsidP="009154C0">
      <w:pPr>
        <w:spacing w:line="360" w:lineRule="auto"/>
        <w:jc w:val="both"/>
      </w:pPr>
      <w:r>
        <w:t>The previous section resulted in the generation of a domain model for the</w:t>
      </w:r>
      <w:r w:rsidRPr="008B3AD6">
        <w:t xml:space="preserve"> </w:t>
      </w:r>
      <w:r>
        <w:t>h</w:t>
      </w:r>
      <w:r w:rsidRPr="008B3AD6">
        <w:t>epatic</w:t>
      </w:r>
      <w:r>
        <w:t xml:space="preserve"> immune response to </w:t>
      </w:r>
      <w:r>
        <w:rPr>
          <w:i/>
        </w:rPr>
        <w:t>L. donovani</w:t>
      </w:r>
      <w:r>
        <w:t xml:space="preserve"> infection which can now can be used for the development of a platform model. When considering the </w:t>
      </w:r>
      <w:r w:rsidR="0015721C" w:rsidRPr="008B3AD6">
        <w:t>key emergent behaviours</w:t>
      </w:r>
      <w:r w:rsidR="000B202A">
        <w:t xml:space="preserve"> in the liver after infection with </w:t>
      </w:r>
      <w:r w:rsidR="000B202A">
        <w:rPr>
          <w:i/>
        </w:rPr>
        <w:t>L. donovani</w:t>
      </w:r>
      <w:r w:rsidRPr="008B3AD6">
        <w:t xml:space="preserve">, as </w:t>
      </w:r>
      <w:r>
        <w:t>shown</w:t>
      </w:r>
      <w:r w:rsidRPr="008B3AD6">
        <w:t xml:space="preserve"> in </w:t>
      </w:r>
      <w:r w:rsidRPr="000B202A">
        <w:rPr>
          <w:b/>
        </w:rPr>
        <w:fldChar w:fldCharType="begin"/>
      </w:r>
      <w:r w:rsidRPr="000B202A">
        <w:rPr>
          <w:b/>
        </w:rPr>
        <w:instrText xml:space="preserve"> REF _Ref518566917  \* MERGEFORMAT </w:instrText>
      </w:r>
      <w:r w:rsidRPr="000B202A">
        <w:rPr>
          <w:b/>
        </w:rPr>
        <w:fldChar w:fldCharType="separate"/>
      </w:r>
      <w:r w:rsidR="00F30350" w:rsidRPr="00F30350">
        <w:rPr>
          <w:b/>
        </w:rPr>
        <w:t xml:space="preserve">Figure </w:t>
      </w:r>
      <w:r w:rsidR="00F30350" w:rsidRPr="00F30350">
        <w:rPr>
          <w:b/>
          <w:noProof/>
        </w:rPr>
        <w:t>4.6</w:t>
      </w:r>
      <w:r w:rsidRPr="000B202A">
        <w:rPr>
          <w:b/>
          <w:noProof/>
        </w:rPr>
        <w:fldChar w:fldCharType="end"/>
      </w:r>
      <w:r w:rsidRPr="008B3AD6">
        <w:t>,</w:t>
      </w:r>
      <w:r>
        <w:t xml:space="preserve"> </w:t>
      </w:r>
      <w:r w:rsidR="00103A37">
        <w:t xml:space="preserve">in terms </w:t>
      </w:r>
      <w:r>
        <w:t>of developing a platform model</w:t>
      </w:r>
      <w:r w:rsidR="0015721C" w:rsidRPr="008B3AD6">
        <w:t xml:space="preserve"> </w:t>
      </w:r>
      <w:r>
        <w:t xml:space="preserve">these behaviours </w:t>
      </w:r>
      <w:r w:rsidR="0015721C" w:rsidRPr="008B3AD6">
        <w:t>could</w:t>
      </w:r>
      <w:r>
        <w:t xml:space="preserve"> emerge through a computational/mathematical model</w:t>
      </w:r>
      <w:r w:rsidR="0015721C" w:rsidRPr="008B3AD6">
        <w:t xml:space="preserve"> </w:t>
      </w:r>
      <w:r>
        <w:t>describing</w:t>
      </w:r>
      <w:r w:rsidR="0015721C" w:rsidRPr="008B3AD6">
        <w:t xml:space="preserve"> </w:t>
      </w:r>
      <w:r>
        <w:t xml:space="preserve">the </w:t>
      </w:r>
      <w:r w:rsidR="0015721C" w:rsidRPr="008B3AD6">
        <w:t xml:space="preserve">outcome of multiple interactions occurring between a multitude of individual cells or could be the </w:t>
      </w:r>
      <w:r>
        <w:t>result</w:t>
      </w:r>
      <w:r w:rsidR="0015721C" w:rsidRPr="008B3AD6">
        <w:t xml:space="preserve"> of </w:t>
      </w:r>
      <w:r>
        <w:t>distinct</w:t>
      </w:r>
      <w:r w:rsidR="0015721C" w:rsidRPr="008B3AD6">
        <w:t xml:space="preserve"> </w:t>
      </w:r>
      <w:r w:rsidR="000F4AAE">
        <w:t xml:space="preserve">total </w:t>
      </w:r>
      <w:r w:rsidR="0015721C" w:rsidRPr="008B3AD6">
        <w:t>populations interacting.</w:t>
      </w:r>
      <w:r w:rsidR="0015721C" w:rsidRPr="008B3AD6">
        <w:rPr>
          <w:b/>
        </w:rPr>
        <w:t xml:space="preserve"> </w:t>
      </w:r>
      <w:r w:rsidR="0015721C" w:rsidRPr="008B3AD6">
        <w:t xml:space="preserve">This </w:t>
      </w:r>
      <w:r>
        <w:t xml:space="preserve">interpretation of the domain model </w:t>
      </w:r>
      <w:r w:rsidR="0015721C" w:rsidRPr="008B3AD6">
        <w:t>would allow for either the implementation of an agent-based</w:t>
      </w:r>
      <w:r>
        <w:t xml:space="preserve"> model</w:t>
      </w:r>
      <w:r w:rsidR="0015721C" w:rsidRPr="008B3AD6">
        <w:t>, partial differential equation</w:t>
      </w:r>
      <w:r>
        <w:t>s</w:t>
      </w:r>
      <w:r w:rsidR="0015721C" w:rsidRPr="008B3AD6">
        <w:t xml:space="preserve"> or ordinary differential equation</w:t>
      </w:r>
      <w:r>
        <w:t>s</w:t>
      </w:r>
      <w:r w:rsidR="0015721C" w:rsidRPr="008B3AD6">
        <w:t xml:space="preserve">. However, the data generated, in both </w:t>
      </w:r>
      <w:r w:rsidR="00CA55CD" w:rsidRPr="008B3AD6">
        <w:fldChar w:fldCharType="begin"/>
      </w:r>
      <w:r w:rsidR="00CA55CD" w:rsidRPr="008B3AD6">
        <w:instrText xml:space="preserve"> REF _Ref518738258 \n </w:instrText>
      </w:r>
      <w:r w:rsidR="007C2CB7" w:rsidRPr="008B3AD6">
        <w:instrText xml:space="preserve"> \* MERGEFORMAT </w:instrText>
      </w:r>
      <w:r w:rsidR="00CA55CD" w:rsidRPr="008B3AD6">
        <w:fldChar w:fldCharType="separate"/>
      </w:r>
      <w:r w:rsidR="00031DCA">
        <w:t>Chapter 3</w:t>
      </w:r>
      <w:r w:rsidR="00CA55CD" w:rsidRPr="008B3AD6">
        <w:fldChar w:fldCharType="end"/>
      </w:r>
      <w:r w:rsidR="007B40A4" w:rsidRPr="008B3AD6">
        <w:rPr>
          <w:b/>
        </w:rPr>
        <w:t xml:space="preserve"> </w:t>
      </w:r>
      <w:r w:rsidR="0015721C" w:rsidRPr="008B3AD6">
        <w:t>and</w:t>
      </w:r>
      <w:r w:rsidR="007B40A4" w:rsidRPr="008B3AD6">
        <w:t xml:space="preserve"> Section</w:t>
      </w:r>
      <w:r w:rsidR="0015721C" w:rsidRPr="008B3AD6">
        <w:t xml:space="preserve"> </w:t>
      </w:r>
      <w:r w:rsidR="00703327" w:rsidRPr="008B3AD6">
        <w:fldChar w:fldCharType="begin"/>
      </w:r>
      <w:r w:rsidR="00703327" w:rsidRPr="008B3AD6">
        <w:instrText xml:space="preserve"> REF _Ref518738284 \n </w:instrText>
      </w:r>
      <w:r w:rsidR="009154C0" w:rsidRPr="008B3AD6">
        <w:instrText xml:space="preserve"> \* MERGEFORMAT </w:instrText>
      </w:r>
      <w:r w:rsidR="00703327" w:rsidRPr="008B3AD6">
        <w:fldChar w:fldCharType="separate"/>
      </w:r>
      <w:r w:rsidR="00031DCA">
        <w:t>4.3</w:t>
      </w:r>
      <w:r w:rsidR="00703327" w:rsidRPr="008B3AD6">
        <w:fldChar w:fldCharType="end"/>
      </w:r>
      <w:r w:rsidR="0015721C" w:rsidRPr="008B3AD6">
        <w:t xml:space="preserve">, reflects </w:t>
      </w:r>
      <w:r>
        <w:t xml:space="preserve">homogenous </w:t>
      </w:r>
      <w:r w:rsidR="0015721C" w:rsidRPr="008B3AD6">
        <w:t xml:space="preserve">population level behaviours </w:t>
      </w:r>
      <w:r>
        <w:t xml:space="preserve">of the immune response to </w:t>
      </w:r>
      <w:r>
        <w:rPr>
          <w:i/>
        </w:rPr>
        <w:t>L. donovani</w:t>
      </w:r>
      <w:r>
        <w:t xml:space="preserve"> infection</w:t>
      </w:r>
      <w:r w:rsidR="0015721C" w:rsidRPr="008B3AD6">
        <w:t xml:space="preserve">, this is reflective in part that most of our understanding of the domain </w:t>
      </w:r>
      <w:r>
        <w:t xml:space="preserve">model </w:t>
      </w:r>
      <w:r w:rsidR="0015721C" w:rsidRPr="008B3AD6">
        <w:t>is generated from a research context based on non-sp</w:t>
      </w:r>
      <w:r>
        <w:t xml:space="preserve">atial population level data. Additionally, a lack of quantitative data for spatial </w:t>
      </w:r>
      <w:r w:rsidR="009F02B1">
        <w:t>features</w:t>
      </w:r>
      <w:r>
        <w:t xml:space="preserve"> of the system would mean that</w:t>
      </w:r>
      <w:r w:rsidR="0015721C" w:rsidRPr="008B3AD6">
        <w:t xml:space="preserve"> optimal </w:t>
      </w:r>
      <w:r>
        <w:t xml:space="preserve">calibration of parameters for </w:t>
      </w:r>
      <w:r w:rsidR="000F4AAE">
        <w:t>processes</w:t>
      </w:r>
      <w:r>
        <w:t xml:space="preserve"> accounting for spatial </w:t>
      </w:r>
      <w:r w:rsidR="009F02B1">
        <w:t>characteristics</w:t>
      </w:r>
      <w:r w:rsidR="0015721C" w:rsidRPr="008B3AD6">
        <w:t xml:space="preserve"> </w:t>
      </w:r>
      <w:r>
        <w:t>would not occur.</w:t>
      </w:r>
      <w:r w:rsidR="0015721C" w:rsidRPr="008B3AD6">
        <w:t xml:space="preserve"> </w:t>
      </w:r>
      <w:r>
        <w:t xml:space="preserve">Thus, </w:t>
      </w:r>
      <w:r w:rsidRPr="007523BC">
        <w:t xml:space="preserve">considering we </w:t>
      </w:r>
      <w:r w:rsidR="009F02B1">
        <w:t>sought</w:t>
      </w:r>
      <w:r w:rsidRPr="007523BC">
        <w:t xml:space="preserve"> to </w:t>
      </w:r>
      <w:r w:rsidR="009F02B1">
        <w:t>simulate</w:t>
      </w:r>
      <w:r w:rsidRPr="007523BC">
        <w:t xml:space="preserve"> homogenous populations with no </w:t>
      </w:r>
      <w:r w:rsidRPr="007523BC">
        <w:lastRenderedPageBreak/>
        <w:t xml:space="preserve">spatial characteristics being described the best approach was to </w:t>
      </w:r>
      <w:r w:rsidR="0015721C" w:rsidRPr="007523BC">
        <w:t>implement a system of ordinary differential equations (ODE</w:t>
      </w:r>
      <w:r w:rsidR="009F02B1" w:rsidRPr="007523BC">
        <w:t>), as</w:t>
      </w:r>
      <w:r w:rsidRPr="007523BC">
        <w:t xml:space="preserve"> shown in </w:t>
      </w:r>
      <w:r w:rsidRPr="007523BC">
        <w:fldChar w:fldCharType="begin"/>
      </w:r>
      <w:r w:rsidRPr="007523BC">
        <w:instrText xml:space="preserve"> REF _Ref523926619 </w:instrText>
      </w:r>
      <w:r>
        <w:instrText xml:space="preserve"> \* MERGEFORMAT </w:instrText>
      </w:r>
      <w:r w:rsidRPr="007523BC">
        <w:fldChar w:fldCharType="separate"/>
      </w:r>
      <w:r w:rsidR="00F30350" w:rsidRPr="00F30350">
        <w:rPr>
          <w:b/>
        </w:rPr>
        <w:t xml:space="preserve">Figure </w:t>
      </w:r>
      <w:r w:rsidR="00F30350" w:rsidRPr="00F30350">
        <w:rPr>
          <w:b/>
          <w:noProof/>
        </w:rPr>
        <w:t>1.6</w:t>
      </w:r>
      <w:r w:rsidRPr="007523BC">
        <w:fldChar w:fldCharType="end"/>
      </w:r>
      <w:r w:rsidRPr="007523BC">
        <w:t>.</w:t>
      </w:r>
    </w:p>
    <w:p w14:paraId="00788619" w14:textId="77777777" w:rsidR="00451F5D" w:rsidRPr="008B3AD6" w:rsidRDefault="00451F5D" w:rsidP="009154C0">
      <w:pPr>
        <w:spacing w:line="360" w:lineRule="auto"/>
        <w:jc w:val="both"/>
      </w:pPr>
    </w:p>
    <w:p w14:paraId="2ABD1CD0" w14:textId="384A92D2" w:rsidR="00451F5D" w:rsidRPr="008B3AD6" w:rsidRDefault="009F02B1" w:rsidP="009154C0">
      <w:pPr>
        <w:spacing w:line="360" w:lineRule="auto"/>
        <w:jc w:val="both"/>
      </w:pPr>
      <w:r>
        <w:t>W</w:t>
      </w:r>
      <w:r w:rsidR="00451F5D" w:rsidRPr="008B3AD6">
        <w:t>hen translating the domain</w:t>
      </w:r>
      <w:r w:rsidR="009A2724" w:rsidRPr="008B3AD6">
        <w:t xml:space="preserve"> model into the platform model</w:t>
      </w:r>
      <w:r w:rsidR="00103A37">
        <w:t xml:space="preserve"> </w:t>
      </w:r>
      <w:r w:rsidR="00451F5D" w:rsidRPr="008B3AD6">
        <w:t>an environmental abstraction was made. Throughout the research context there were extra-hepatic processes defined however</w:t>
      </w:r>
      <w:r w:rsidR="00B169B4" w:rsidRPr="008B3AD6">
        <w:t>,</w:t>
      </w:r>
      <w:r w:rsidR="00451F5D" w:rsidRPr="008B3AD6">
        <w:t xml:space="preserve"> in keeping with the scope of the model</w:t>
      </w:r>
      <w:r>
        <w:t xml:space="preserve"> (to </w:t>
      </w:r>
      <w:r w:rsidR="00103A37">
        <w:t>simulate</w:t>
      </w:r>
      <w:r>
        <w:t xml:space="preserve"> the hepatic immune response to infection)</w:t>
      </w:r>
      <w:r w:rsidR="00451F5D" w:rsidRPr="008B3AD6">
        <w:t xml:space="preserve">, these were not carried into the platform. </w:t>
      </w:r>
      <w:r>
        <w:t xml:space="preserve">Implementation of </w:t>
      </w:r>
      <w:r w:rsidR="00103A37">
        <w:t>an</w:t>
      </w:r>
      <w:r>
        <w:t xml:space="preserve"> ODE system </w:t>
      </w:r>
      <w:r w:rsidR="00451F5D" w:rsidRPr="008B3AD6">
        <w:t>leads to a</w:t>
      </w:r>
      <w:r>
        <w:t xml:space="preserve"> platform representation of the liver as</w:t>
      </w:r>
      <w:r w:rsidR="00451F5D" w:rsidRPr="008B3AD6">
        <w:t xml:space="preserve"> self-contained </w:t>
      </w:r>
      <w:r>
        <w:t>compartment that is well-mixe</w:t>
      </w:r>
      <w:r w:rsidR="00574EE4">
        <w:t xml:space="preserve">d, an assumption that upon entry into the compartment there is instantaneous equal mixing of all population members. </w:t>
      </w:r>
      <w:r w:rsidR="00451F5D" w:rsidRPr="008B3AD6">
        <w:t xml:space="preserve"> </w:t>
      </w:r>
    </w:p>
    <w:p w14:paraId="34072617" w14:textId="77777777" w:rsidR="00451F5D" w:rsidRPr="008B3AD6" w:rsidRDefault="00451F5D" w:rsidP="009154C0">
      <w:pPr>
        <w:spacing w:line="360" w:lineRule="auto"/>
        <w:jc w:val="both"/>
      </w:pPr>
    </w:p>
    <w:p w14:paraId="114D0D1F" w14:textId="41219D3D" w:rsidR="00451F5D" w:rsidRPr="008B3AD6" w:rsidRDefault="00451F5D" w:rsidP="009154C0">
      <w:pPr>
        <w:spacing w:line="360" w:lineRule="auto"/>
        <w:jc w:val="both"/>
      </w:pPr>
      <w:r w:rsidRPr="008B3AD6">
        <w:t>An all-encompassing assumption for all the entities within the platform model is the detraction of an expli</w:t>
      </w:r>
      <w:r w:rsidR="00103A37">
        <w:t>cit representation of cytokines,</w:t>
      </w:r>
      <w:r w:rsidRPr="008B3AD6">
        <w:t xml:space="preserve"> extracellular compounds</w:t>
      </w:r>
      <w:r w:rsidR="00574EE4">
        <w:t xml:space="preserve"> and </w:t>
      </w:r>
      <w:r w:rsidRPr="008B3AD6">
        <w:t xml:space="preserve">signals. Abstraction or accumulation of multiple entities into a single descriptor is an established feature of modelling </w:t>
      </w:r>
      <w:r w:rsidRPr="008B3AD6">
        <w:fldChar w:fldCharType="begin"/>
      </w:r>
      <w:r w:rsidR="00812605" w:rsidRPr="008B3AD6">
        <w:instrText xml:space="preserve"> ADDIN ZOTERO_ITEM CSL_CITATION {"citationID":"ti4vf409","properties":{"formattedCitation":"(Brochot, T\\uc0\\u243{}th, and Bois 2005; Mallavarapu et al. 2009)","plainCitation":"(Brochot, Tóth, and Bois 2005; Mallavarapu et al. 2009)","noteIndex":0},"citationItems":[{"id":2756,"uris":["http://zotero.org/users/2628971/items/E28ITPUX"],"uri":["http://zotero.org/users/2628971/items/E28ITPUX"],"itemData":{"id":2756,"type":"article-journal","title":"Lumping in pharmacokinetics","container-title":"Journal of Pharmacokinetics and Pharmacodynamics","page":"719-736","volume":"32","issue":"5-6","source":"PubMed","abstract":"Pharmacokinetic (PK) models simplify biological complexity by dividing the body into interconnected compartments. The time course of the chemical's amount (or concentration) in each compartment is then expressed as a system of ordinary differential equations. The complexity of the resulting system of equations can rapidly increase if a precise description of the organism is needed. However, difficulties arise when the PK model contains more variables and parameters than comfortable for mathematical and computational treatment. To overcome such difficulties, mathematical lumping methods are new and powerful tools. Such methods aim at reducing a differential system by aggregating several variables into one. Typically, the lumped model is still a differential equation system, whose variables are interpretable in terms of variables of the original system. In practice, the reduced model is usually required to satisfy some constraints. For example, it may be necessary to keep state variables of interest for prediction unlumped. To accommodate such constraints, constrained lumping methods have are also available. After presenting the theory, we study, here, through practical examples, the potential of such methods in toxico/pharmacokinetics. As a tutorial, we first simplify a 2-compartment pharmacokinetic model by symbolic lumping. We then explore the reduction of a 6-compartment physiologically based pharmacokinetic model for 1,3-butadiene with numerical constrained lumping. The lumping methods presented here can be easily automated, and are applicable to first-order ordinary differential equation systems.","DOI":"10.1007/s10928-005-0054-y","ISSN":"1567-567X","note":"PMID: 16341473","journalAbbreviation":"J Pharmacokinet Pharmacodyn","language":"eng","author":[{"family":"Brochot","given":"Céline"},{"family":"Tóth","given":"János"},{"family":"Bois","given":"Frédéric Y."}],"issued":{"date-parts":[["2005",12]]}}},{"id":2745,"uris":["http://zotero.org/users/2628971/items/5TJMLZJG"],"uri":["http://zotero.org/users/2628971/items/5TJMLZJG"],"itemData":{"id":2745,"type":"article-journal","title":"Programming with models: modularity and abstraction provide powerful capabilities for systems biology","container-title":"Journal of the Royal Society, Interface","page":"257-270","volume":"6","issue":"32","source":"PubMed","abstract":"Mathematical models are increasingly used to understand how phenotypes emerge from systems of molecular interactions. However, their current construction as monolithic sets of equations presents a fundamental barrier to progress. Overcoming this requires modularity, enabling sub-systems to be specified independently and combined incrementally, and abstraction, enabling generic properties of biological processes to be specified independently of specific instances. These, in turn, require models to be represented as programs rather than as datatypes. Programmable modularity and abstraction enables libraries of modules to be created, which can be instantiated and reused repeatedly in different contexts with different components. We have developed a computational infrastructure that accomplishes this. We show here why such capabilities are needed, what is required to implement them and what can be accomplished with them that could not be done previously.","DOI":"10.1098/rsif.2008.0205","ISSN":"1742-5689","note":"PMID: 18647734\nPMCID: PMC2659579","shortTitle":"Programming with models","journalAbbreviation":"J R Soc Interface","language":"eng","author":[{"family":"Mallavarapu","given":"Aneil"},{"family":"Thomson","given":"Matthew"},{"family":"Ullian","given":"Benjamin"},{"family":"Gunawardena","given":"Jeremy"}],"issued":{"date-parts":[["2009",3,6]]}}}],"schema":"https://github.com/citation-style-language/schema/raw/master/csl-citation.json"} </w:instrText>
      </w:r>
      <w:r w:rsidRPr="008B3AD6">
        <w:fldChar w:fldCharType="separate"/>
      </w:r>
      <w:r w:rsidRPr="008B3AD6">
        <w:t>(Brochot, Tóth, and Bois 2005; Mallavarapu et al. 2009)</w:t>
      </w:r>
      <w:r w:rsidRPr="008B3AD6">
        <w:fldChar w:fldCharType="end"/>
      </w:r>
      <w:r w:rsidRPr="008B3AD6">
        <w:t xml:space="preserve">. Whilst the individual activities of these entities are undeniably important immunologically, it is unfeasible to represent each entity explicitly without sufficient quantitative prior data due to </w:t>
      </w:r>
      <w:r w:rsidR="00103A37">
        <w:t>a</w:t>
      </w:r>
      <w:r w:rsidRPr="008B3AD6">
        <w:t xml:space="preserve"> reduced confidence in the modular output</w:t>
      </w:r>
      <w:r w:rsidR="00103A37">
        <w:t xml:space="preserve"> for these entities</w:t>
      </w:r>
      <w:r w:rsidRPr="008B3AD6">
        <w:t xml:space="preserve">. Additionally, when aiming to </w:t>
      </w:r>
      <w:r w:rsidR="00574EE4">
        <w:t xml:space="preserve">simulate immune cell </w:t>
      </w:r>
      <w:r w:rsidRPr="008B3AD6">
        <w:t xml:space="preserve">population kinetics </w:t>
      </w:r>
      <w:r w:rsidR="00574EE4">
        <w:t xml:space="preserve">occurring due to </w:t>
      </w:r>
      <w:r w:rsidR="00574EE4">
        <w:rPr>
          <w:i/>
        </w:rPr>
        <w:t xml:space="preserve">L. donovani </w:t>
      </w:r>
      <w:r w:rsidR="00574EE4">
        <w:t>infection</w:t>
      </w:r>
      <w:r w:rsidRPr="008B3AD6">
        <w:t xml:space="preserve"> it is known</w:t>
      </w:r>
      <w:r w:rsidR="00574EE4">
        <w:t>, at least for C57BL/6 mice,</w:t>
      </w:r>
      <w:r w:rsidRPr="008B3AD6">
        <w:t xml:space="preserve"> that the </w:t>
      </w:r>
      <w:r w:rsidR="00103A37">
        <w:t xml:space="preserve">overall </w:t>
      </w:r>
      <w:r w:rsidRPr="008B3AD6">
        <w:t>hepa</w:t>
      </w:r>
      <w:r w:rsidR="00103A37">
        <w:t xml:space="preserve">tic outcome is parasite burden </w:t>
      </w:r>
      <w:r w:rsidRPr="008B3AD6">
        <w:t xml:space="preserve">reduction via the </w:t>
      </w:r>
      <w:r w:rsidR="00574EE4">
        <w:t>production of IFN</w:t>
      </w:r>
      <w:r w:rsidR="00103A37">
        <w:sym w:font="Symbol" w:char="F067"/>
      </w:r>
      <w:r w:rsidR="00574EE4">
        <w:t xml:space="preserve"> by </w:t>
      </w:r>
      <w:r w:rsidRPr="008B3AD6">
        <w:t xml:space="preserve">T cells </w:t>
      </w:r>
      <w:r w:rsidR="00574EE4">
        <w:t>which activates</w:t>
      </w:r>
      <w:r w:rsidRPr="008B3AD6">
        <w:t xml:space="preserve"> myeloid cells</w:t>
      </w:r>
      <w:r w:rsidR="00574EE4">
        <w:t xml:space="preserve"> to produce anti-leishmanial compounds</w:t>
      </w:r>
      <w:r w:rsidRPr="008B3AD6">
        <w:t xml:space="preserve"> </w:t>
      </w:r>
      <w:r w:rsidRPr="008B3AD6">
        <w:fldChar w:fldCharType="begin"/>
      </w:r>
      <w:r w:rsidR="00812605" w:rsidRPr="008B3AD6">
        <w:instrText xml:space="preserve"> ADDIN ZOTERO_ITEM CSL_CITATION {"citationID":"6ALC9hen","properties":{"formattedCitation":"(H. Murray 2001)","plainCitation":"(H. Murray 2001)","noteIndex":0},"citationItems":[{"id":1110,"uris":["http://zotero.org/users/2628971/items/57TG9NVJ"],"uri":["http://zotero.org/users/2628971/items/57TG9NVJ"],"itemData":{"id":1110,"type":"webpage","title":"Tissue granuloma structure-function in experimental visceral leishmaniasis.","container-title":"Int J Exp Pathol","abstract":"In experimental visceral leishmaniasis in normal mice (BALB/c, C57BL/6) acquired resistance to Leishmania donovani, a protozoan which targets tissue macrophages, depends upon T cells, Th1 cell-type cytokine generation and activated mononuclear phagocytes. In the intact host, initial control and eventual resolution of L. donovani hepatic infection in normal mice is expressed by and accomplished within well-formed, mature tissue granulomas. In the liver, these immunologically active, inflammatory structures are assembled around a core of fused, parasitized resident macrophages (Kupffer cells) which come to be encircled by both cytokine-secreting T cells and influxing leishmanicidal blood monocytes. This pro-host defense granuloma structure-function relationship, in which histologically mature granulomas provide the microenvironment for intracellular L. donovani killing, however, is only one of seven which have been identified through experimental modifications in this model. This report reviews these structure-function relationships and illustrates the broad spectrum of additional possible responses. These responses range from structurally intact granulomas which provide no antileishmanial function (the 'ineffective' granuloma), to enlarged granulomas which show enhanced parasite killing (the 'hypertrophied' granuloma), to effective antileishmanial activity in the absence of any tissue reaction (the 'invisible' granuloma)., (C) 2001 Blackwell Science Ltd.","author":[{"family":"Murray","given":"Henry"}],"issued":{"date-parts":[["2001"]]}}}],"schema":"https://github.com/citation-style-language/schema/raw/master/csl-citation.json"} </w:instrText>
      </w:r>
      <w:r w:rsidRPr="008B3AD6">
        <w:fldChar w:fldCharType="separate"/>
      </w:r>
      <w:r w:rsidR="00F30350">
        <w:t>(</w:t>
      </w:r>
      <w:r w:rsidR="00812605" w:rsidRPr="008B3AD6">
        <w:t>Murray 2001)</w:t>
      </w:r>
      <w:r w:rsidRPr="008B3AD6">
        <w:fldChar w:fldCharType="end"/>
      </w:r>
      <w:r w:rsidR="00574EE4">
        <w:t xml:space="preserve">. </w:t>
      </w:r>
      <w:r w:rsidR="00103A37">
        <w:t xml:space="preserve">Initially this was </w:t>
      </w:r>
      <w:r w:rsidR="00574EE4" w:rsidRPr="008B3AD6">
        <w:t xml:space="preserve">abstracted </w:t>
      </w:r>
      <w:r w:rsidR="00103A37">
        <w:t xml:space="preserve">such that a single entity, called anti-leishmanial compounds, was introduced and produced in proportional to the abundance of T cells and myeloid cells (both susceptible and infected) and degraded exponentially, however it was identified that this could be further simplified so that the amount of anti-leishmanial compound was represented as not as an explicit entity but as a function of the number of T cells and myeloid cells (both susceptible and infected). This </w:t>
      </w:r>
      <w:r w:rsidR="00007B87">
        <w:t>new representation presented a similar kinetic to the explicit representation but negated the need for an additional free parameter, thus reducing the parameter searching space.</w:t>
      </w:r>
      <w:r w:rsidR="00103A37">
        <w:t xml:space="preserve">  </w:t>
      </w:r>
      <w:r w:rsidRPr="008B3AD6">
        <w:t xml:space="preserve">    </w:t>
      </w:r>
    </w:p>
    <w:p w14:paraId="53FD2867" w14:textId="77777777" w:rsidR="00451F5D" w:rsidRPr="008B3AD6" w:rsidRDefault="00451F5D" w:rsidP="009154C0">
      <w:pPr>
        <w:spacing w:line="360" w:lineRule="auto"/>
        <w:jc w:val="both"/>
      </w:pPr>
    </w:p>
    <w:p w14:paraId="506F7190" w14:textId="15B8B576" w:rsidR="00451F5D" w:rsidRPr="008B3AD6" w:rsidRDefault="00007B87" w:rsidP="009154C0">
      <w:pPr>
        <w:spacing w:line="360" w:lineRule="auto"/>
        <w:jc w:val="both"/>
        <w:rPr>
          <w:i/>
        </w:rPr>
      </w:pPr>
      <w:r>
        <w:t>Moving for the specification of the environment within the platform model, we next considered the populations undergoing simulation. Within the platform model, t</w:t>
      </w:r>
      <w:r w:rsidR="00451F5D" w:rsidRPr="008B3AD6">
        <w:t xml:space="preserve">he major activity </w:t>
      </w:r>
      <w:r>
        <w:t xml:space="preserve">that </w:t>
      </w:r>
      <w:r w:rsidR="00451F5D" w:rsidRPr="008B3AD6">
        <w:t xml:space="preserve">T cells carry out, shown in </w:t>
      </w:r>
      <w:r w:rsidR="00D034D1" w:rsidRPr="00007B87">
        <w:rPr>
          <w:b/>
        </w:rPr>
        <w:fldChar w:fldCharType="begin"/>
      </w:r>
      <w:r w:rsidR="00D034D1" w:rsidRPr="00007B87">
        <w:rPr>
          <w:b/>
        </w:rPr>
        <w:instrText xml:space="preserve"> REF _Ref518634034  \* MERGEFORMAT </w:instrText>
      </w:r>
      <w:r w:rsidR="00D034D1" w:rsidRPr="00007B87">
        <w:rPr>
          <w:b/>
        </w:rPr>
        <w:fldChar w:fldCharType="separate"/>
      </w:r>
      <w:r w:rsidR="00F30350" w:rsidRPr="00F30350">
        <w:rPr>
          <w:b/>
        </w:rPr>
        <w:t>Figure 4.17</w:t>
      </w:r>
      <w:r w:rsidR="00D034D1" w:rsidRPr="00007B87">
        <w:rPr>
          <w:b/>
        </w:rPr>
        <w:fldChar w:fldCharType="end"/>
      </w:r>
      <w:r w:rsidR="00451F5D" w:rsidRPr="008B3AD6">
        <w:t xml:space="preserve">, is proliferation. Whilst proliferation rates vary for T cell subsets and can be altered by infection and inflammation </w:t>
      </w:r>
      <w:r w:rsidR="00451F5D" w:rsidRPr="008B3AD6">
        <w:fldChar w:fldCharType="begin"/>
      </w:r>
      <w:r w:rsidR="00812605" w:rsidRPr="008B3AD6">
        <w:instrText xml:space="preserve"> ADDIN ZOTERO_ITEM CSL_CITATION {"citationID":"Xq29czoC","properties":{"formattedCitation":"(Schlub et al. 2011; Vibert and Thomas-Vaslin 2017)","plainCitation":"(Schlub et al. 2011; Vibert and Thomas-Vaslin 2017)","noteIndex":0},"citationItems":[{"id":2775,"uris":["http://zotero.org/users/2628971/items/X58MUH4R"],"uri":["http://zotero.org/users/2628971/items/X58MUH4R"],"itemData":{"id":2775,"type":"article-journal","title":"Comparing the kinetics of NK cells, CD4, and CD8 T cells in murine cytomegalovirus infection","container-title":"Journal of Immunology (Baltimore, Md.: 1950)","page":"1385-1392","volume":"187","issue":"3","source":"PubMed","abstract":"NK cells recognize virus-infected cells with germline-encoded activating and inhibitory receptors that do not undergo genetic recombination or mutation. Accordingly, NK cells are often considered part of the innate immune response. The innate response comprises rapid early defenders that do not form immune memory. However, there is increasing evidence that experienced NK cells provide increased protection to secondary infection, a hallmark of the adaptive response. In this study, we compare the dynamics of the innate and adaptive immune responses by examining the kinetic profiles of the NK and T cell response to murine CMV infection. We find that, unexpectedly, the kinetics of NK cell proliferation is neither earlier nor faster than the CD4 or CD8 T cell response. Furthermore, early NK cell contraction after the peak of the response is slower than that of T cells. Finally, unlike T cells, experienced NK cells do not experience biphasic decay after the response peak, a trait associated with memory formation. Rather, NK cell contraction is continuous, constant, and returns to below endogenous preinfection levels. This indicates that the reason why Ag-experienced NK cells remain detectable for a prolonged period after adoptive transfer and infection is in part due to the high precursor frequency, slow decay rate, and low background levels of Ly49H(+) NK cells in recipient DAP12-deficient mice. Thus, the quantitative contribution of Ag-experienced NK cells in an endogenous secondary response, with higher background levels of Ly49H(+) NK cells, may be not be as robust as the secondary response observed in T cells.","DOI":"10.4049/jimmunol.1100416","ISSN":"1550-6606","note":"PMID: 21697462\nPMCID: PMC3771860","journalAbbreviation":"J. Immunol.","language":"eng","author":[{"family":"Schlub","given":"Timothy E."},{"family":"Sun","given":"Joseph C."},{"family":"Walton","given":"Senta M."},{"family":"Robbins","given":"Scott H."},{"family":"Pinto","given":"Amelia K."},{"family":"Munks","given":"Michael W."},{"family":"Hill","given":"Ann B."},{"family":"Brossay","given":"Laurent"},{"family":"Oxenius","given":"Annette"},{"family":"Davenport","given":"Miles P."}],"issued":{"date-parts":[["2011",8,1]]}}},{"id":2751,"uris":["http://zotero.org/users/2628971/items/9MCQUXTU"],"uri":["http://zotero.org/users/2628971/items/9MCQUXTU"],"itemData":{"id":2751,"type":"article-journal","title":"Modelling T cell proliferation: Dynamics heterogeneity depending on cell differentiation, age, and genetic background","container-title":"PLoS computational biology","page":"e1005417","volume":"13","issue":"3","source":"PubMed","abstract":"Cell proliferation is the common characteristic of all biological systems. The immune system insures the maintenance of body integrity on the basis of a continuous production of diversified T lymphocytes in the thymus. This involves processes of proliferation, differentiation, selection, death and migration of lymphocytes to peripheral tissues, where proliferation also occurs upon antigen recognition. Quantification of cell proliferation dynamics requires specific experimental methods and mathematical modelling. Here, we assess the impact of genetics and aging on the immune system by investigating the dynamics of proliferation of T lymphocytes across their differentiation through thymus and spleen in mice. Our investigation is based on single-cell multicolour flow cytometry analysis revealing the active incorporation of a thymidine analogue during S phase after pulse-chase-pulse experiments in vivo, versus cell DNA content. A generic mathematical model of state transition simulates through Ordinary Differential Equations (ODEs) the evolution of single cell behaviour during various durations of labelling. It allows us to fit our data, to deduce proliferation rates and estimate cell cycle durations in sub-populations. Our model is simple and flexible and is validated with other durations of pulse/chase experiments. Our results reveal that T cell proliferation is highly heterogeneous but with a specific \"signature\" that depends upon genetic origins, is specific to cell differentiation stages in thymus and spleen and is altered with age. In conclusion, our model allows us to infer proliferation rates and cell cycle phase durations from complex experimental 5-ethynyl-2'-deoxyuridine (EdU) data, revealing T cell proliferation heterogeneity and specific signatures.","DOI":"10.1371/journal.pcbi.1005417","ISSN":"1553-7358","note":"PMID: 28288157\nPMCID: PMC5367836","shortTitle":"Modelling T cell proliferation","journalAbbreviation":"PLoS Comput. Biol.","language":"eng","author":[{"family":"Vibert","given":"Julien"},{"family":"Thomas-Vaslin","given":"Véronique"}],"issued":{"date-parts":[["2017",3]]}}}],"schema":"https://github.com/citation-style-language/schema/raw/master/csl-citation.json"} </w:instrText>
      </w:r>
      <w:r w:rsidR="00451F5D" w:rsidRPr="008B3AD6">
        <w:fldChar w:fldCharType="separate"/>
      </w:r>
      <w:r w:rsidR="00451F5D" w:rsidRPr="008B3AD6">
        <w:t>(Schlub et al. 2011; Vibert and Thomas-Vaslin 2017)</w:t>
      </w:r>
      <w:r w:rsidR="00451F5D" w:rsidRPr="008B3AD6">
        <w:fldChar w:fldCharType="end"/>
      </w:r>
      <w:r w:rsidR="00451F5D" w:rsidRPr="008B3AD6">
        <w:t xml:space="preserve">, in the platform model proliferation is represented </w:t>
      </w:r>
      <w:r w:rsidR="00451F5D" w:rsidRPr="008B3AD6">
        <w:lastRenderedPageBreak/>
        <w:t xml:space="preserve">as the growth of </w:t>
      </w:r>
      <w:r>
        <w:t>a single</w:t>
      </w:r>
      <w:r w:rsidR="00451F5D" w:rsidRPr="008B3AD6">
        <w:t xml:space="preserve"> population via a singular density dependent process. This process is density dependent as it is considered that there are tissue niches for cells that limit the number of cells that </w:t>
      </w:r>
      <w:r>
        <w:t xml:space="preserve">can </w:t>
      </w:r>
      <w:r w:rsidR="00451F5D" w:rsidRPr="008B3AD6">
        <w:t xml:space="preserve">accumulate </w:t>
      </w:r>
      <w:r w:rsidR="00451F5D" w:rsidRPr="008B3AD6">
        <w:fldChar w:fldCharType="begin"/>
      </w:r>
      <w:r w:rsidR="00812605" w:rsidRPr="008B3AD6">
        <w:instrText xml:space="preserve"> ADDIN ZOTERO_ITEM CSL_CITATION {"citationID":"UFuZ2Br5","properties":{"formattedCitation":"(P. Kaye et al. 2004)","plainCitation":"(P. Kaye et al. 2004)","noteIndex":0},"citationItems":[{"id":1044,"uris":["http://zotero.org/users/2628971/items/U9PEUUBW"],"uri":["http://zotero.org/users/2628971/items/U9PEUUBW"],"itemData":{"id":1044,"type":"webpage","title":"The immunopathology of experimental visceral leishmaniasis.","container-title":"Immunol Rev","abstract":"Summary: Experimental murine infection with the parasites that cause human visceral leishmaniasis (VL) results in the establishment of infection in the liver, spleen, and bone marrow. In most strains of mice, parasites are eventually cleared from the liver, and hepatic resistance to infection results from a coordinated host response involving a broad range of effector and regulatory pathways targeted within defined tissue structures called granulomas. In contrast, parasites persist in the spleen and bone marrow by mechanisms that are less well understood. Parasite persistence is accompanied by the failure of granuloma formation and by a variety of pathologic changes, including splenomegaly, disruption of lymphoid tissue microarchitecture, and enhanced hematopoietic activity. Here, we review the salient features of these distinct tissue responses and highlight the varied roles that cytokines of the tumor necrosis factor family play in immunity to this infection. In addition, we also discuss recent studies aimed at understanding how splenomegaly affects the survival and function of memory cells specific for heterologous antigens, an issue of considerable importance for our understanding of the disease-associated increase in secondary infections characteristic of human VL., Copyright (C) 2004 Blackwell Publishing Ltd.","author":[{"family":"Kaye","given":"Paul"},{"family":"Svensson","given":"Mattias"},{"family":"Ato","given":"Manabu"},{"family":"Maroof","given":"Asher"},{"family":"Polley","given":"Rosalind"},{"family":"Stager","given":"Simona"},{"family":"Zubairi","given":"Soombul"},{"family":"Engwerda","given":"Christian"}],"issued":{"date-parts":[["2004"]]}}}],"schema":"https://github.com/citation-style-language/schema/raw/master/csl-citation.json"} </w:instrText>
      </w:r>
      <w:r w:rsidR="00451F5D" w:rsidRPr="008B3AD6">
        <w:fldChar w:fldCharType="separate"/>
      </w:r>
      <w:r w:rsidR="00F30350">
        <w:t>(</w:t>
      </w:r>
      <w:r w:rsidR="00812605" w:rsidRPr="008B3AD6">
        <w:t>Kaye et al. 2004)</w:t>
      </w:r>
      <w:r w:rsidR="00451F5D" w:rsidRPr="008B3AD6">
        <w:fldChar w:fldCharType="end"/>
      </w:r>
      <w:r w:rsidR="00451F5D" w:rsidRPr="008B3AD6">
        <w:t xml:space="preserve">. </w:t>
      </w:r>
      <w:r>
        <w:t xml:space="preserve">As we have previously described an abstraction whereby the non-cellular entities have been abstracted, such as the cytokines produced by different subsets of T cells, there is no explicit need to represent T cell subsets individually. Instead the platform model specifies a single T cell population, which is an amalgamation of the T cell states described in the domain </w:t>
      </w:r>
      <w:r w:rsidRPr="00007B87">
        <w:t>model (</w:t>
      </w:r>
      <w:r w:rsidRPr="00007B87">
        <w:fldChar w:fldCharType="begin"/>
      </w:r>
      <w:r w:rsidRPr="00007B87">
        <w:instrText xml:space="preserve"> REF _Ref518570392 </w:instrText>
      </w:r>
      <w:r>
        <w:instrText xml:space="preserve"> \* MERGEFORMAT </w:instrText>
      </w:r>
      <w:r w:rsidRPr="00007B87">
        <w:fldChar w:fldCharType="separate"/>
      </w:r>
      <w:r w:rsidR="00F30350" w:rsidRPr="00F30350">
        <w:rPr>
          <w:b/>
        </w:rPr>
        <w:t xml:space="preserve">Figure </w:t>
      </w:r>
      <w:r w:rsidR="00F30350" w:rsidRPr="00F30350">
        <w:rPr>
          <w:b/>
          <w:noProof/>
        </w:rPr>
        <w:t>4.8</w:t>
      </w:r>
      <w:r w:rsidRPr="00007B87">
        <w:fldChar w:fldCharType="end"/>
      </w:r>
      <w:r w:rsidRPr="00007B87">
        <w:t>)</w:t>
      </w:r>
      <w:r>
        <w:t>, specified</w:t>
      </w:r>
      <w:r w:rsidRPr="008B3AD6">
        <w:t xml:space="preserve"> as </w:t>
      </w:r>
      <w:r>
        <w:t>having a</w:t>
      </w:r>
      <w:r w:rsidRPr="008B3AD6">
        <w:t xml:space="preserve"> singular state</w:t>
      </w:r>
      <w:r>
        <w:t xml:space="preserve"> (</w:t>
      </w:r>
      <w:r w:rsidRPr="00007B87">
        <w:rPr>
          <w:b/>
        </w:rPr>
        <w:fldChar w:fldCharType="begin"/>
      </w:r>
      <w:r w:rsidRPr="00007B87">
        <w:rPr>
          <w:b/>
        </w:rPr>
        <w:instrText xml:space="preserve"> REF _Ref518634254  \* MERGEFORMAT </w:instrText>
      </w:r>
      <w:r w:rsidRPr="00007B87">
        <w:rPr>
          <w:b/>
        </w:rPr>
        <w:fldChar w:fldCharType="separate"/>
      </w:r>
      <w:r w:rsidR="00F30350" w:rsidRPr="00F30350">
        <w:rPr>
          <w:b/>
        </w:rPr>
        <w:t>Figure 4.18</w:t>
      </w:r>
      <w:r w:rsidRPr="00007B87">
        <w:rPr>
          <w:b/>
        </w:rPr>
        <w:fldChar w:fldCharType="end"/>
      </w:r>
      <w:r>
        <w:t>)</w:t>
      </w:r>
      <w:r w:rsidRPr="008B3AD6">
        <w:t xml:space="preserve"> which </w:t>
      </w:r>
      <w:r>
        <w:t xml:space="preserve">will </w:t>
      </w:r>
      <w:r w:rsidRPr="008B3AD6">
        <w:t>map directly to a single equation representing the total population</w:t>
      </w:r>
      <w:r>
        <w:t xml:space="preserve"> in the simulation model</w:t>
      </w:r>
      <w:r w:rsidRPr="008B3AD6">
        <w:t>.</w:t>
      </w:r>
    </w:p>
    <w:p w14:paraId="5E648710" w14:textId="57E1DB92" w:rsidR="00451F5D" w:rsidRPr="008B3AD6" w:rsidRDefault="00451F5D" w:rsidP="009154C0">
      <w:pPr>
        <w:spacing w:line="360" w:lineRule="auto"/>
        <w:jc w:val="both"/>
      </w:pPr>
    </w:p>
    <w:p w14:paraId="7E0448E9" w14:textId="0E88EA4F" w:rsidR="0064016C" w:rsidRPr="008B3AD6" w:rsidRDefault="00E639CF" w:rsidP="009154C0">
      <w:pPr>
        <w:spacing w:line="360" w:lineRule="auto"/>
        <w:jc w:val="both"/>
      </w:pPr>
      <w:r>
        <w:rPr>
          <w:noProof/>
        </w:rPr>
        <mc:AlternateContent>
          <mc:Choice Requires="wps">
            <w:drawing>
              <wp:anchor distT="0" distB="0" distL="114300" distR="114300" simplePos="0" relativeHeight="251256832" behindDoc="0" locked="0" layoutInCell="1" allowOverlap="1" wp14:anchorId="6A63A363" wp14:editId="2CF13891">
                <wp:simplePos x="0" y="0"/>
                <wp:positionH relativeFrom="column">
                  <wp:posOffset>-5080</wp:posOffset>
                </wp:positionH>
                <wp:positionV relativeFrom="paragraph">
                  <wp:posOffset>2562225</wp:posOffset>
                </wp:positionV>
                <wp:extent cx="5575935" cy="1105535"/>
                <wp:effectExtent l="0" t="0" r="0" b="0"/>
                <wp:wrapTopAndBottom/>
                <wp:docPr id="453" name="Text Box 453"/>
                <wp:cNvGraphicFramePr/>
                <a:graphic xmlns:a="http://schemas.openxmlformats.org/drawingml/2006/main">
                  <a:graphicData uri="http://schemas.microsoft.com/office/word/2010/wordprocessingShape">
                    <wps:wsp>
                      <wps:cNvSpPr txBox="1"/>
                      <wps:spPr>
                        <a:xfrm>
                          <a:off x="0" y="0"/>
                          <a:ext cx="5575935" cy="1105535"/>
                        </a:xfrm>
                        <a:prstGeom prst="rect">
                          <a:avLst/>
                        </a:prstGeom>
                        <a:solidFill>
                          <a:prstClr val="white"/>
                        </a:solidFill>
                        <a:ln>
                          <a:noFill/>
                        </a:ln>
                      </wps:spPr>
                      <wps:txbx>
                        <w:txbxContent>
                          <w:p w14:paraId="409AE74B" w14:textId="2B6DC2DA" w:rsidR="00F61130" w:rsidRPr="00D84682" w:rsidRDefault="00F61130" w:rsidP="009A7895">
                            <w:pPr>
                              <w:pStyle w:val="Caption"/>
                              <w:spacing w:line="360" w:lineRule="auto"/>
                              <w:jc w:val="both"/>
                              <w:rPr>
                                <w:b/>
                                <w:sz w:val="20"/>
                                <w:szCs w:val="20"/>
                              </w:rPr>
                            </w:pPr>
                            <w:bookmarkStart w:id="440" w:name="_Ref518634034"/>
                            <w:bookmarkStart w:id="441" w:name="_Toc525227222"/>
                            <w:bookmarkStart w:id="442" w:name="_Toc536814161"/>
                            <w:r w:rsidRPr="00D84682">
                              <w:rPr>
                                <w:b/>
                                <w:sz w:val="20"/>
                                <w:szCs w:val="20"/>
                              </w:rPr>
                              <w:t xml:space="preserve">Figure </w:t>
                            </w:r>
                            <w:r>
                              <w:rPr>
                                <w:b/>
                                <w:sz w:val="20"/>
                                <w:szCs w:val="20"/>
                              </w:rPr>
                              <w:fldChar w:fldCharType="begin"/>
                            </w:r>
                            <w:r>
                              <w:rPr>
                                <w:b/>
                                <w:sz w:val="20"/>
                                <w:szCs w:val="20"/>
                              </w:rPr>
                              <w:instrText xml:space="preserve"> STYLEREF 1 \s </w:instrText>
                            </w:r>
                            <w:r>
                              <w:rPr>
                                <w:b/>
                                <w:sz w:val="20"/>
                                <w:szCs w:val="20"/>
                              </w:rPr>
                              <w:fldChar w:fldCharType="separate"/>
                            </w:r>
                            <w:r>
                              <w:rPr>
                                <w:b/>
                                <w:noProof/>
                                <w:sz w:val="20"/>
                                <w:szCs w:val="20"/>
                              </w:rPr>
                              <w:t>4</w:t>
                            </w:r>
                            <w:r>
                              <w:rPr>
                                <w:b/>
                                <w:sz w:val="20"/>
                                <w:szCs w:val="20"/>
                              </w:rPr>
                              <w:fldChar w:fldCharType="end"/>
                            </w:r>
                            <w:r>
                              <w:rPr>
                                <w:b/>
                                <w:sz w:val="20"/>
                                <w:szCs w:val="20"/>
                              </w:rPr>
                              <w:t>.</w:t>
                            </w:r>
                            <w:r>
                              <w:rPr>
                                <w:b/>
                                <w:sz w:val="20"/>
                                <w:szCs w:val="20"/>
                              </w:rPr>
                              <w:fldChar w:fldCharType="begin"/>
                            </w:r>
                            <w:r>
                              <w:rPr>
                                <w:b/>
                                <w:sz w:val="20"/>
                                <w:szCs w:val="20"/>
                              </w:rPr>
                              <w:instrText xml:space="preserve"> SEQ Figure \* ARABIC \s 1 </w:instrText>
                            </w:r>
                            <w:r>
                              <w:rPr>
                                <w:b/>
                                <w:sz w:val="20"/>
                                <w:szCs w:val="20"/>
                              </w:rPr>
                              <w:fldChar w:fldCharType="separate"/>
                            </w:r>
                            <w:r>
                              <w:rPr>
                                <w:b/>
                                <w:noProof/>
                                <w:sz w:val="20"/>
                                <w:szCs w:val="20"/>
                              </w:rPr>
                              <w:t>17</w:t>
                            </w:r>
                            <w:r>
                              <w:rPr>
                                <w:b/>
                                <w:sz w:val="20"/>
                                <w:szCs w:val="20"/>
                              </w:rPr>
                              <w:fldChar w:fldCharType="end"/>
                            </w:r>
                            <w:bookmarkEnd w:id="440"/>
                            <w:r w:rsidRPr="00D84682">
                              <w:rPr>
                                <w:b/>
                                <w:sz w:val="20"/>
                                <w:szCs w:val="20"/>
                              </w:rPr>
                              <w:t xml:space="preserve"> – Platform model activity diagram of a T cell during </w:t>
                            </w:r>
                            <w:r>
                              <w:rPr>
                                <w:b/>
                                <w:sz w:val="20"/>
                                <w:szCs w:val="20"/>
                              </w:rPr>
                              <w:t>h</w:t>
                            </w:r>
                            <w:r w:rsidRPr="009A7602">
                              <w:rPr>
                                <w:b/>
                                <w:sz w:val="20"/>
                                <w:szCs w:val="20"/>
                              </w:rPr>
                              <w:t xml:space="preserve">epatic </w:t>
                            </w:r>
                            <w:r>
                              <w:rPr>
                                <w:b/>
                                <w:sz w:val="20"/>
                                <w:szCs w:val="20"/>
                              </w:rPr>
                              <w:t xml:space="preserve">infection with </w:t>
                            </w:r>
                            <w:r>
                              <w:rPr>
                                <w:b/>
                                <w:i/>
                                <w:sz w:val="20"/>
                                <w:szCs w:val="20"/>
                              </w:rPr>
                              <w:t>L. donovani</w:t>
                            </w:r>
                            <w:r w:rsidRPr="00D84682">
                              <w:rPr>
                                <w:b/>
                                <w:sz w:val="20"/>
                                <w:szCs w:val="20"/>
                              </w:rPr>
                              <w:t xml:space="preserve">. </w:t>
                            </w:r>
                            <w:r w:rsidRPr="003B2D5F">
                              <w:rPr>
                                <w:sz w:val="20"/>
                              </w:rPr>
                              <w:t>UML</w:t>
                            </w:r>
                            <w:r>
                              <w:rPr>
                                <w:sz w:val="20"/>
                              </w:rPr>
                              <w:t>-like</w:t>
                            </w:r>
                            <w:r w:rsidRPr="003B2D5F">
                              <w:rPr>
                                <w:sz w:val="20"/>
                              </w:rPr>
                              <w:t xml:space="preserve"> </w:t>
                            </w:r>
                            <w:r w:rsidRPr="00D84682">
                              <w:rPr>
                                <w:sz w:val="20"/>
                                <w:szCs w:val="20"/>
                              </w:rPr>
                              <w:t xml:space="preserve">notation of the behaviours of a T cell </w:t>
                            </w:r>
                            <w:r w:rsidRPr="00CB55EB">
                              <w:rPr>
                                <w:sz w:val="20"/>
                                <w:szCs w:val="20"/>
                              </w:rPr>
                              <w:t xml:space="preserve">during hepatic infection with </w:t>
                            </w:r>
                            <w:r w:rsidRPr="00CB55EB">
                              <w:rPr>
                                <w:i/>
                                <w:sz w:val="20"/>
                                <w:szCs w:val="20"/>
                              </w:rPr>
                              <w:t>L. donovani</w:t>
                            </w:r>
                            <w:r w:rsidRPr="00CB55EB">
                              <w:rPr>
                                <w:sz w:val="20"/>
                                <w:szCs w:val="20"/>
                              </w:rPr>
                              <w:t xml:space="preserve"> in the liver. Predominantly T cells either proliferate, providing their total</w:t>
                            </w:r>
                            <w:r w:rsidRPr="00D84682">
                              <w:rPr>
                                <w:sz w:val="20"/>
                                <w:szCs w:val="20"/>
                              </w:rPr>
                              <w:t xml:space="preserve"> population size is below a specified capacity, or they exit the system. Within the platform model, reduction of hepatic parasite is dependent on the numbers of T cells and not any intrinsic activity</w:t>
                            </w:r>
                            <w:bookmarkEnd w:id="441"/>
                            <w:r>
                              <w:rPr>
                                <w:sz w:val="20"/>
                                <w:szCs w:val="20"/>
                              </w:rPr>
                              <w:t>.</w:t>
                            </w:r>
                            <w:bookmarkEnd w:id="442"/>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A63A363" id="Text Box 453" o:spid="_x0000_s1117" type="#_x0000_t202" style="position:absolute;left:0;text-align:left;margin-left:-.4pt;margin-top:201.75pt;width:439.05pt;height:87.05pt;z-index:2512568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v/adMwIAAG0EAAAOAAAAZHJzL2Uyb0RvYy54bWysVFFv2yAQfp+0/4B4X5y087ZacaosVaZJ&#13;&#10;VVspmfpMMMRIwDEgsbNfvwPH6dbtadoLPu6OD77v7jy/7Y0mR+GDAlvT2WRKibAcGmX3Nf22Xb/7&#13;&#10;REmIzDZMgxU1PYlAbxdv38w7V4kraEE3whMEsaHqXE3bGF1VFIG3wrAwAScsBiV4wyJu/b5oPOsQ&#13;&#10;3ejiajr9UHTgG+eBixDQezcE6SLjSyl4fJQyiEh0TfFtMa8+r7u0Fos5q/aeuVbx8zPYP7zCMGXx&#13;&#10;0gvUHYuMHLz6A8oo7iGAjBMOpgApFReZA7KZTV+x2bTMicwFxQnuIlP4f7D84fjkiWpq+r68psQy&#13;&#10;g0Xaij6Sz9CT5EOFOhcqTNw4TI09BrDSoz+gMxHvpTfpi5QIxlHr00XfBMfRWZYfy5vrkhKOsdls&#13;&#10;Wpa4Qfzi5bjzIX4RYEgyauqxgFlXdrwPcUgdU9JtAbRq1krrtEmBlfbkyLDYXauiOIP/lqVtyrWQ&#13;&#10;Tg2AyVMkjgOXZMV+12dVbi5Ed9CckL+HoYeC42uFF96zEJ+Yx6ZByjgI8REXqaGrKZwtSlrwP/7m&#13;&#10;T/lYS4xS0mET1jR8PzAvKNFfLVY5dexo+NHYjYY9mBUg1RmOmOPZxAM+6tGUHswzzscy3YIhZjne&#13;&#10;VdM4mqs4jALOFxfLZU7CvnQs3tuN4wl6FHbbPzPvzmWJWNEHGNuTVa+qM+QOMi8PEaTKpUvCDiqe&#13;&#10;9caezsU/z18aml/3OevlL7H4CQAA//8DAFBLAwQUAAYACAAAACEASY3H2OQAAAAOAQAADwAAAGRy&#13;&#10;cy9kb3ducmV2LnhtbEyPwU7DMBBE70j8g7VIXBB1aGlSpXEqaOAGh5aq5228JBHxOoqdJv173BNc&#13;&#10;RlqNduZNtplMK87Uu8aygqdZBIK4tLrhSsHh6/1xBcJ5ZI2tZVJwIQeb/PYmw1TbkXd03vtKhBB2&#13;&#10;KSqove9SKV1Zk0E3sx1x8L5tb9CHs6+k7nEM4aaV8yiKpcGGQ0ONHW1rKn/2g1EQF/0w7nj7UBze&#13;&#10;PvCzq+bH18tRqfu7qVgHeVmD8DT5vw+4bgj8kAewkx1YO9EquNJ7Bc/RYgki+KskWYA4KVgmSQwy&#13;&#10;z+T/GfkvAAAA//8DAFBLAQItABQABgAIAAAAIQC2gziS/gAAAOEBAAATAAAAAAAAAAAAAAAAAAAA&#13;&#10;AABbQ29udGVudF9UeXBlc10ueG1sUEsBAi0AFAAGAAgAAAAhADj9If/WAAAAlAEAAAsAAAAAAAAA&#13;&#10;AAAAAAAALwEAAF9yZWxzLy5yZWxzUEsBAi0AFAAGAAgAAAAhAL+/9p0zAgAAbQQAAA4AAAAAAAAA&#13;&#10;AAAAAAAALgIAAGRycy9lMm9Eb2MueG1sUEsBAi0AFAAGAAgAAAAhAEmNx9jkAAAADgEAAA8AAAAA&#13;&#10;AAAAAAAAAAAAjQQAAGRycy9kb3ducmV2LnhtbFBLBQYAAAAABAAEAPMAAACeBQAAAAA=&#13;&#10;" stroked="f">
                <v:textbox inset="0,0,0,0">
                  <w:txbxContent>
                    <w:p w14:paraId="409AE74B" w14:textId="2B6DC2DA" w:rsidR="00F61130" w:rsidRPr="00D84682" w:rsidRDefault="00F61130" w:rsidP="009A7895">
                      <w:pPr>
                        <w:pStyle w:val="Caption"/>
                        <w:spacing w:line="360" w:lineRule="auto"/>
                        <w:jc w:val="both"/>
                        <w:rPr>
                          <w:b/>
                          <w:sz w:val="20"/>
                          <w:szCs w:val="20"/>
                        </w:rPr>
                      </w:pPr>
                      <w:bookmarkStart w:id="443" w:name="_Ref518634034"/>
                      <w:bookmarkStart w:id="444" w:name="_Toc525227222"/>
                      <w:bookmarkStart w:id="445" w:name="_Toc536814161"/>
                      <w:r w:rsidRPr="00D84682">
                        <w:rPr>
                          <w:b/>
                          <w:sz w:val="20"/>
                          <w:szCs w:val="20"/>
                        </w:rPr>
                        <w:t xml:space="preserve">Figure </w:t>
                      </w:r>
                      <w:r>
                        <w:rPr>
                          <w:b/>
                          <w:sz w:val="20"/>
                          <w:szCs w:val="20"/>
                        </w:rPr>
                        <w:fldChar w:fldCharType="begin"/>
                      </w:r>
                      <w:r>
                        <w:rPr>
                          <w:b/>
                          <w:sz w:val="20"/>
                          <w:szCs w:val="20"/>
                        </w:rPr>
                        <w:instrText xml:space="preserve"> STYLEREF 1 \s </w:instrText>
                      </w:r>
                      <w:r>
                        <w:rPr>
                          <w:b/>
                          <w:sz w:val="20"/>
                          <w:szCs w:val="20"/>
                        </w:rPr>
                        <w:fldChar w:fldCharType="separate"/>
                      </w:r>
                      <w:r>
                        <w:rPr>
                          <w:b/>
                          <w:noProof/>
                          <w:sz w:val="20"/>
                          <w:szCs w:val="20"/>
                        </w:rPr>
                        <w:t>4</w:t>
                      </w:r>
                      <w:r>
                        <w:rPr>
                          <w:b/>
                          <w:sz w:val="20"/>
                          <w:szCs w:val="20"/>
                        </w:rPr>
                        <w:fldChar w:fldCharType="end"/>
                      </w:r>
                      <w:r>
                        <w:rPr>
                          <w:b/>
                          <w:sz w:val="20"/>
                          <w:szCs w:val="20"/>
                        </w:rPr>
                        <w:t>.</w:t>
                      </w:r>
                      <w:r>
                        <w:rPr>
                          <w:b/>
                          <w:sz w:val="20"/>
                          <w:szCs w:val="20"/>
                        </w:rPr>
                        <w:fldChar w:fldCharType="begin"/>
                      </w:r>
                      <w:r>
                        <w:rPr>
                          <w:b/>
                          <w:sz w:val="20"/>
                          <w:szCs w:val="20"/>
                        </w:rPr>
                        <w:instrText xml:space="preserve"> SEQ Figure \* ARABIC \s 1 </w:instrText>
                      </w:r>
                      <w:r>
                        <w:rPr>
                          <w:b/>
                          <w:sz w:val="20"/>
                          <w:szCs w:val="20"/>
                        </w:rPr>
                        <w:fldChar w:fldCharType="separate"/>
                      </w:r>
                      <w:r>
                        <w:rPr>
                          <w:b/>
                          <w:noProof/>
                          <w:sz w:val="20"/>
                          <w:szCs w:val="20"/>
                        </w:rPr>
                        <w:t>17</w:t>
                      </w:r>
                      <w:r>
                        <w:rPr>
                          <w:b/>
                          <w:sz w:val="20"/>
                          <w:szCs w:val="20"/>
                        </w:rPr>
                        <w:fldChar w:fldCharType="end"/>
                      </w:r>
                      <w:bookmarkEnd w:id="443"/>
                      <w:r w:rsidRPr="00D84682">
                        <w:rPr>
                          <w:b/>
                          <w:sz w:val="20"/>
                          <w:szCs w:val="20"/>
                        </w:rPr>
                        <w:t xml:space="preserve"> – Platform model activity diagram of a T cell during </w:t>
                      </w:r>
                      <w:r>
                        <w:rPr>
                          <w:b/>
                          <w:sz w:val="20"/>
                          <w:szCs w:val="20"/>
                        </w:rPr>
                        <w:t>h</w:t>
                      </w:r>
                      <w:r w:rsidRPr="009A7602">
                        <w:rPr>
                          <w:b/>
                          <w:sz w:val="20"/>
                          <w:szCs w:val="20"/>
                        </w:rPr>
                        <w:t xml:space="preserve">epatic </w:t>
                      </w:r>
                      <w:r>
                        <w:rPr>
                          <w:b/>
                          <w:sz w:val="20"/>
                          <w:szCs w:val="20"/>
                        </w:rPr>
                        <w:t xml:space="preserve">infection with </w:t>
                      </w:r>
                      <w:r>
                        <w:rPr>
                          <w:b/>
                          <w:i/>
                          <w:sz w:val="20"/>
                          <w:szCs w:val="20"/>
                        </w:rPr>
                        <w:t>L. donovani</w:t>
                      </w:r>
                      <w:r w:rsidRPr="00D84682">
                        <w:rPr>
                          <w:b/>
                          <w:sz w:val="20"/>
                          <w:szCs w:val="20"/>
                        </w:rPr>
                        <w:t xml:space="preserve">. </w:t>
                      </w:r>
                      <w:r w:rsidRPr="003B2D5F">
                        <w:rPr>
                          <w:sz w:val="20"/>
                        </w:rPr>
                        <w:t>UML</w:t>
                      </w:r>
                      <w:r>
                        <w:rPr>
                          <w:sz w:val="20"/>
                        </w:rPr>
                        <w:t>-like</w:t>
                      </w:r>
                      <w:r w:rsidRPr="003B2D5F">
                        <w:rPr>
                          <w:sz w:val="20"/>
                        </w:rPr>
                        <w:t xml:space="preserve"> </w:t>
                      </w:r>
                      <w:r w:rsidRPr="00D84682">
                        <w:rPr>
                          <w:sz w:val="20"/>
                          <w:szCs w:val="20"/>
                        </w:rPr>
                        <w:t xml:space="preserve">notation of the behaviours of a T cell </w:t>
                      </w:r>
                      <w:r w:rsidRPr="00CB55EB">
                        <w:rPr>
                          <w:sz w:val="20"/>
                          <w:szCs w:val="20"/>
                        </w:rPr>
                        <w:t xml:space="preserve">during hepatic infection with </w:t>
                      </w:r>
                      <w:r w:rsidRPr="00CB55EB">
                        <w:rPr>
                          <w:i/>
                          <w:sz w:val="20"/>
                          <w:szCs w:val="20"/>
                        </w:rPr>
                        <w:t>L. donovani</w:t>
                      </w:r>
                      <w:r w:rsidRPr="00CB55EB">
                        <w:rPr>
                          <w:sz w:val="20"/>
                          <w:szCs w:val="20"/>
                        </w:rPr>
                        <w:t xml:space="preserve"> in the liver. Predominantly T cells either proliferate, providing their total</w:t>
                      </w:r>
                      <w:r w:rsidRPr="00D84682">
                        <w:rPr>
                          <w:sz w:val="20"/>
                          <w:szCs w:val="20"/>
                        </w:rPr>
                        <w:t xml:space="preserve"> population size is below a specified capacity, or they exit the system. Within the platform model, reduction of hepatic parasite is dependent on the numbers of T cells and not any intrinsic activity</w:t>
                      </w:r>
                      <w:bookmarkEnd w:id="444"/>
                      <w:r>
                        <w:rPr>
                          <w:sz w:val="20"/>
                          <w:szCs w:val="20"/>
                        </w:rPr>
                        <w:t>.</w:t>
                      </w:r>
                      <w:bookmarkEnd w:id="445"/>
                    </w:p>
                  </w:txbxContent>
                </v:textbox>
                <w10:wrap type="topAndBottom"/>
              </v:shape>
            </w:pict>
          </mc:Fallback>
        </mc:AlternateContent>
      </w:r>
      <w:r w:rsidR="002D2824">
        <w:rPr>
          <w:noProof/>
        </w:rPr>
        <w:drawing>
          <wp:anchor distT="0" distB="0" distL="114300" distR="114300" simplePos="0" relativeHeight="251255808" behindDoc="0" locked="0" layoutInCell="1" allowOverlap="1" wp14:anchorId="6C739BA2" wp14:editId="3D13D6F0">
            <wp:simplePos x="0" y="0"/>
            <wp:positionH relativeFrom="column">
              <wp:posOffset>-5275</wp:posOffset>
            </wp:positionH>
            <wp:positionV relativeFrom="paragraph">
              <wp:posOffset>252339</wp:posOffset>
            </wp:positionV>
            <wp:extent cx="5575935" cy="2247657"/>
            <wp:effectExtent l="0" t="0" r="0" b="635"/>
            <wp:wrapTopAndBottom/>
            <wp:docPr id="454" name="Picture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 name="Picture 454"/>
                    <pic:cNvPicPr>
                      <a:picLocks noChangeAspect="1"/>
                    </pic:cNvPicPr>
                  </pic:nvPicPr>
                  <pic:blipFill rotWithShape="1">
                    <a:blip r:embed="rId63">
                      <a:extLst>
                        <a:ext uri="{28A0092B-C50C-407E-A947-70E740481C1C}">
                          <a14:useLocalDpi xmlns:a14="http://schemas.microsoft.com/office/drawing/2010/main" val="0"/>
                        </a:ext>
                      </a:extLst>
                    </a:blip>
                    <a:srcRect b="71511"/>
                    <a:stretch/>
                  </pic:blipFill>
                  <pic:spPr bwMode="auto">
                    <a:xfrm>
                      <a:off x="0" y="0"/>
                      <a:ext cx="5575935" cy="2247657"/>
                    </a:xfrm>
                    <a:prstGeom prst="rect">
                      <a:avLst/>
                    </a:prstGeom>
                    <a:ln>
                      <a:noFill/>
                    </a:ln>
                    <a:extLst>
                      <a:ext uri="{53640926-AAD7-44D8-BBD7-CCE9431645EC}">
                        <a14:shadowObscured xmlns:a14="http://schemas.microsoft.com/office/drawing/2010/main"/>
                      </a:ext>
                    </a:extLst>
                  </pic:spPr>
                </pic:pic>
              </a:graphicData>
            </a:graphic>
          </wp:anchor>
        </w:drawing>
      </w:r>
    </w:p>
    <w:p w14:paraId="68A36E51" w14:textId="77777777" w:rsidR="004A75C8" w:rsidRDefault="004A75C8" w:rsidP="009154C0">
      <w:pPr>
        <w:spacing w:line="360" w:lineRule="auto"/>
        <w:jc w:val="both"/>
      </w:pPr>
    </w:p>
    <w:p w14:paraId="10F1A7CF" w14:textId="051C004A" w:rsidR="004A75C8" w:rsidRDefault="002D2824" w:rsidP="009154C0">
      <w:pPr>
        <w:spacing w:line="360" w:lineRule="auto"/>
        <w:jc w:val="both"/>
      </w:pPr>
      <w:r>
        <w:rPr>
          <w:noProof/>
        </w:rPr>
        <w:drawing>
          <wp:anchor distT="0" distB="0" distL="114300" distR="114300" simplePos="0" relativeHeight="251262976" behindDoc="0" locked="0" layoutInCell="1" allowOverlap="1" wp14:anchorId="6F1EAF87" wp14:editId="3D297ADF">
            <wp:simplePos x="0" y="0"/>
            <wp:positionH relativeFrom="column">
              <wp:posOffset>993375</wp:posOffset>
            </wp:positionH>
            <wp:positionV relativeFrom="paragraph">
              <wp:posOffset>427599</wp:posOffset>
            </wp:positionV>
            <wp:extent cx="3657626" cy="631490"/>
            <wp:effectExtent l="0" t="0" r="0" b="3810"/>
            <wp:wrapTopAndBottom/>
            <wp:docPr id="502" name="Picture 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2" name="Picture 502"/>
                    <pic:cNvPicPr>
                      <a:picLocks noChangeAspect="1"/>
                    </pic:cNvPicPr>
                  </pic:nvPicPr>
                  <pic:blipFill rotWithShape="1">
                    <a:blip r:embed="rId64">
                      <a:extLst>
                        <a:ext uri="{28A0092B-C50C-407E-A947-70E740481C1C}">
                          <a14:useLocalDpi xmlns:a14="http://schemas.microsoft.com/office/drawing/2010/main" val="0"/>
                        </a:ext>
                      </a:extLst>
                    </a:blip>
                    <a:srcRect l="33628" t="46313" r="32999" b="45538"/>
                    <a:stretch/>
                  </pic:blipFill>
                  <pic:spPr bwMode="auto">
                    <a:xfrm>
                      <a:off x="0" y="0"/>
                      <a:ext cx="3657626" cy="631490"/>
                    </a:xfrm>
                    <a:prstGeom prst="rect">
                      <a:avLst/>
                    </a:prstGeom>
                    <a:ln>
                      <a:noFill/>
                    </a:ln>
                    <a:extLst>
                      <a:ext uri="{53640926-AAD7-44D8-BBD7-CCE9431645EC}">
                        <a14:shadowObscured xmlns:a14="http://schemas.microsoft.com/office/drawing/2010/main"/>
                      </a:ext>
                    </a:extLst>
                  </pic:spPr>
                </pic:pic>
              </a:graphicData>
            </a:graphic>
          </wp:anchor>
        </w:drawing>
      </w:r>
      <w:r>
        <w:rPr>
          <w:noProof/>
        </w:rPr>
        <mc:AlternateContent>
          <mc:Choice Requires="wps">
            <w:drawing>
              <wp:anchor distT="0" distB="0" distL="114300" distR="114300" simplePos="0" relativeHeight="251264000" behindDoc="0" locked="0" layoutInCell="1" allowOverlap="1" wp14:anchorId="1E43D959" wp14:editId="7B5B9400">
                <wp:simplePos x="0" y="0"/>
                <wp:positionH relativeFrom="column">
                  <wp:posOffset>50995</wp:posOffset>
                </wp:positionH>
                <wp:positionV relativeFrom="paragraph">
                  <wp:posOffset>1115758</wp:posOffset>
                </wp:positionV>
                <wp:extent cx="5471795" cy="1038406"/>
                <wp:effectExtent l="0" t="0" r="1905" b="3175"/>
                <wp:wrapTopAndBottom/>
                <wp:docPr id="503" name="Text Box 503"/>
                <wp:cNvGraphicFramePr/>
                <a:graphic xmlns:a="http://schemas.openxmlformats.org/drawingml/2006/main">
                  <a:graphicData uri="http://schemas.microsoft.com/office/word/2010/wordprocessingShape">
                    <wps:wsp>
                      <wps:cNvSpPr txBox="1"/>
                      <wps:spPr>
                        <a:xfrm>
                          <a:off x="0" y="0"/>
                          <a:ext cx="5471795" cy="1038406"/>
                        </a:xfrm>
                        <a:prstGeom prst="rect">
                          <a:avLst/>
                        </a:prstGeom>
                        <a:solidFill>
                          <a:prstClr val="white"/>
                        </a:solidFill>
                        <a:ln>
                          <a:noFill/>
                        </a:ln>
                      </wps:spPr>
                      <wps:txbx>
                        <w:txbxContent>
                          <w:p w14:paraId="7F8833FB" w14:textId="7F7FD63E" w:rsidR="00F61130" w:rsidRPr="002A1004" w:rsidRDefault="00F61130" w:rsidP="009A7895">
                            <w:pPr>
                              <w:pStyle w:val="Caption"/>
                              <w:spacing w:line="360" w:lineRule="auto"/>
                              <w:jc w:val="both"/>
                              <w:rPr>
                                <w:sz w:val="20"/>
                              </w:rPr>
                            </w:pPr>
                            <w:bookmarkStart w:id="446" w:name="_Ref518634254"/>
                            <w:bookmarkStart w:id="447" w:name="_Toc525227223"/>
                            <w:bookmarkStart w:id="448" w:name="_Toc536814162"/>
                            <w:r w:rsidRPr="002A1004">
                              <w:rPr>
                                <w:b/>
                                <w:sz w:val="20"/>
                              </w:rPr>
                              <w:t xml:space="preserve">Figure </w:t>
                            </w:r>
                            <w:r>
                              <w:rPr>
                                <w:b/>
                                <w:sz w:val="20"/>
                              </w:rPr>
                              <w:fldChar w:fldCharType="begin"/>
                            </w:r>
                            <w:r>
                              <w:rPr>
                                <w:b/>
                                <w:sz w:val="20"/>
                              </w:rPr>
                              <w:instrText xml:space="preserve"> STYLEREF 1 \s </w:instrText>
                            </w:r>
                            <w:r>
                              <w:rPr>
                                <w:b/>
                                <w:sz w:val="20"/>
                              </w:rPr>
                              <w:fldChar w:fldCharType="separate"/>
                            </w:r>
                            <w:r>
                              <w:rPr>
                                <w:b/>
                                <w:noProof/>
                                <w:sz w:val="20"/>
                              </w:rPr>
                              <w:t>4</w:t>
                            </w:r>
                            <w:r>
                              <w:rPr>
                                <w:b/>
                                <w:sz w:val="20"/>
                              </w:rPr>
                              <w:fldChar w:fldCharType="end"/>
                            </w:r>
                            <w:r>
                              <w:rPr>
                                <w:b/>
                                <w:sz w:val="20"/>
                              </w:rPr>
                              <w:t>.</w:t>
                            </w:r>
                            <w:r>
                              <w:rPr>
                                <w:b/>
                                <w:sz w:val="20"/>
                              </w:rPr>
                              <w:fldChar w:fldCharType="begin"/>
                            </w:r>
                            <w:r>
                              <w:rPr>
                                <w:b/>
                                <w:sz w:val="20"/>
                              </w:rPr>
                              <w:instrText xml:space="preserve"> SEQ Figure \* ARABIC \s 1 </w:instrText>
                            </w:r>
                            <w:r>
                              <w:rPr>
                                <w:b/>
                                <w:sz w:val="20"/>
                              </w:rPr>
                              <w:fldChar w:fldCharType="separate"/>
                            </w:r>
                            <w:r>
                              <w:rPr>
                                <w:b/>
                                <w:noProof/>
                                <w:sz w:val="20"/>
                              </w:rPr>
                              <w:t>18</w:t>
                            </w:r>
                            <w:r>
                              <w:rPr>
                                <w:b/>
                                <w:sz w:val="20"/>
                              </w:rPr>
                              <w:fldChar w:fldCharType="end"/>
                            </w:r>
                            <w:bookmarkEnd w:id="446"/>
                            <w:r w:rsidRPr="002A1004">
                              <w:rPr>
                                <w:b/>
                                <w:sz w:val="20"/>
                              </w:rPr>
                              <w:t xml:space="preserve"> - Platform model state diagram of a T cell during </w:t>
                            </w:r>
                            <w:r>
                              <w:rPr>
                                <w:b/>
                                <w:sz w:val="20"/>
                                <w:szCs w:val="20"/>
                              </w:rPr>
                              <w:t>h</w:t>
                            </w:r>
                            <w:r w:rsidRPr="009A7602">
                              <w:rPr>
                                <w:b/>
                                <w:sz w:val="20"/>
                                <w:szCs w:val="20"/>
                              </w:rPr>
                              <w:t xml:space="preserve">epatic </w:t>
                            </w:r>
                            <w:r>
                              <w:rPr>
                                <w:b/>
                                <w:sz w:val="20"/>
                                <w:szCs w:val="20"/>
                              </w:rPr>
                              <w:t xml:space="preserve">infection with </w:t>
                            </w:r>
                            <w:r>
                              <w:rPr>
                                <w:b/>
                                <w:i/>
                                <w:sz w:val="20"/>
                                <w:szCs w:val="20"/>
                              </w:rPr>
                              <w:t>L. donovani</w:t>
                            </w:r>
                            <w:r w:rsidRPr="002A1004">
                              <w:rPr>
                                <w:b/>
                                <w:sz w:val="20"/>
                              </w:rPr>
                              <w:t>.</w:t>
                            </w:r>
                            <w:r w:rsidRPr="002A1004">
                              <w:rPr>
                                <w:sz w:val="20"/>
                              </w:rPr>
                              <w:t xml:space="preserve"> </w:t>
                            </w:r>
                            <w:r w:rsidRPr="003B2D5F">
                              <w:rPr>
                                <w:sz w:val="20"/>
                              </w:rPr>
                              <w:t>UML</w:t>
                            </w:r>
                            <w:r>
                              <w:rPr>
                                <w:sz w:val="20"/>
                              </w:rPr>
                              <w:t>-like</w:t>
                            </w:r>
                            <w:r w:rsidRPr="003B2D5F">
                              <w:rPr>
                                <w:sz w:val="20"/>
                              </w:rPr>
                              <w:t xml:space="preserve"> </w:t>
                            </w:r>
                            <w:r w:rsidRPr="002A1004">
                              <w:rPr>
                                <w:sz w:val="20"/>
                              </w:rPr>
                              <w:t xml:space="preserve">notation of the state(s) a T cell may exist in </w:t>
                            </w:r>
                            <w:r w:rsidRPr="00CB55EB">
                              <w:rPr>
                                <w:sz w:val="20"/>
                              </w:rPr>
                              <w:t xml:space="preserve">during </w:t>
                            </w:r>
                            <w:r w:rsidRPr="00CB55EB">
                              <w:rPr>
                                <w:sz w:val="20"/>
                                <w:szCs w:val="20"/>
                              </w:rPr>
                              <w:t xml:space="preserve">hepatic infection with </w:t>
                            </w:r>
                            <w:r w:rsidRPr="00CB55EB">
                              <w:rPr>
                                <w:i/>
                                <w:sz w:val="20"/>
                                <w:szCs w:val="20"/>
                              </w:rPr>
                              <w:t>L. donovani</w:t>
                            </w:r>
                            <w:r w:rsidRPr="00CB55EB">
                              <w:rPr>
                                <w:sz w:val="20"/>
                              </w:rPr>
                              <w:t>. Within the ODE implementation each state is approximately indicative of</w:t>
                            </w:r>
                            <w:r w:rsidRPr="002A1004">
                              <w:rPr>
                                <w:sz w:val="20"/>
                              </w:rPr>
                              <w:t xml:space="preserve"> a separate equation representing individual entity. For T cells it is assumed they only exist in a singular state until their death.</w:t>
                            </w:r>
                            <w:bookmarkEnd w:id="447"/>
                            <w:bookmarkEnd w:id="448"/>
                          </w:p>
                          <w:p w14:paraId="462F4402" w14:textId="6E66F9C0" w:rsidR="00F61130" w:rsidRPr="002A1004" w:rsidRDefault="00F61130" w:rsidP="002A1004">
                            <w:pPr>
                              <w:pStyle w:val="Caption"/>
                              <w:spacing w:line="360" w:lineRule="auto"/>
                              <w:rPr>
                                <w:noProof/>
                                <w:color w:val="FF0000"/>
                                <w:sz w:val="20"/>
                                <w:lang w:eastAsia="en-GB"/>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1E43D959" id="Text Box 503" o:spid="_x0000_s1118" type="#_x0000_t202" style="position:absolute;left:0;text-align:left;margin-left:4pt;margin-top:87.85pt;width:430.85pt;height:81.75pt;z-index:2512640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jfZsNgIAAG0EAAAOAAAAZHJzL2Uyb0RvYy54bWysVE1v2zAMvQ/YfxB0X+ykTT+MOEWWIsOA&#13;&#10;oC2QDD0rshwLkERNUmJnv36UHKdbt9Owi0yRFKX3HunZQ6cVOQrnJZiSjkc5JcJwqKTZl/TbdvXp&#13;&#10;jhIfmKmYAiNKehKePsw/fpi1thATaEBVwhEsYnzR2pI2IdgiyzxvhGZ+BFYYDNbgNAu4dfuscqzF&#13;&#10;6lplkzy/yVpwlXXAhffofeyDdJ7q17Xg4bmuvQhElRTfFtLq0rqLazafsWLvmG0kPz+D/cMrNJMG&#13;&#10;L72UemSBkYOTf5TSkjvwUIcRB51BXUsuEgZEM87fodk0zIqEBcnx9kKT/39l+dPxxRFZlXSaX1Fi&#13;&#10;mEaRtqIL5DN0JPqQodb6AhM3FlNDhwFUevB7dEbgXe10/CIkgnHk+nThN5bj6Jxe345v76eUcIyN&#13;&#10;86u76/wm1snejlvnwxcBmkSjpA4FTLyy49qHPnVIibd5ULJaSaXiJgaWypEjQ7HbRgZxLv5bljIx&#13;&#10;10A81ReMnixi7LFEK3S7LrFyPxmA7qA6IX4HfQ95y1cSL1wzH16Yw6ZByDgI4RmXWkFbUjhblDTg&#13;&#10;fvzNH/NRS4xS0mITltR/PzAnKFFfDaocO3Yw3GDsBsMc9BIQ6hhHzPJk4gEX1GDWDvQrzsci3oIh&#13;&#10;ZjjeVdIwmMvQjwLOFxeLRUrCvrQsrM3G8lh6IHbbvTJnz7IEVPQJhvZkxTt1+tye5sUhQC2TdJHY&#13;&#10;nsUz39jTSfzz/MWh+XWfst7+EvOfAAAA//8DAFBLAwQUAAYACAAAACEAOAN4P+MAAAAOAQAADwAA&#13;&#10;AGRycy9kb3ducmV2LnhtbEyPQU/DMAyF70j8h8iTuCCW0omu65pOsMJtHDamnbMmaysap0rStfv3&#13;&#10;mBNcLNtPfn5fvplMx67a+daigOd5BExjZVWLtYDj18dTCswHiUp2FrWAm/awKe7vcpkpO+JeXw+h&#13;&#10;ZmSCPpMCmhD6jHNfNdpIP7e9RtIu1hkZaHQ1V06OZG46HkdRwo1skT40stfbRlffh8EISEo3jHvc&#13;&#10;PpbH95387Ov49HY7CfEwm8o1ldc1sKCn8HcBvwyUHwoKdrYDKs86ASnhBFovX5bASE+TFTVnAYvF&#13;&#10;KgZe5Pw/RvEDAAD//wMAUEsBAi0AFAAGAAgAAAAhALaDOJL+AAAA4QEAABMAAAAAAAAAAAAAAAAA&#13;&#10;AAAAAFtDb250ZW50X1R5cGVzXS54bWxQSwECLQAUAAYACAAAACEAOP0h/9YAAACUAQAACwAAAAAA&#13;&#10;AAAAAAAAAAAvAQAAX3JlbHMvLnJlbHNQSwECLQAUAAYACAAAACEAs432bDYCAABtBAAADgAAAAAA&#13;&#10;AAAAAAAAAAAuAgAAZHJzL2Uyb0RvYy54bWxQSwECLQAUAAYACAAAACEAOAN4P+MAAAAOAQAADwAA&#13;&#10;AAAAAAAAAAAAAACQBAAAZHJzL2Rvd25yZXYueG1sUEsFBgAAAAAEAAQA8wAAAKAFAAAAAA==&#13;&#10;" stroked="f">
                <v:textbox inset="0,0,0,0">
                  <w:txbxContent>
                    <w:p w14:paraId="7F8833FB" w14:textId="7F7FD63E" w:rsidR="00F61130" w:rsidRPr="002A1004" w:rsidRDefault="00F61130" w:rsidP="009A7895">
                      <w:pPr>
                        <w:pStyle w:val="Caption"/>
                        <w:spacing w:line="360" w:lineRule="auto"/>
                        <w:jc w:val="both"/>
                        <w:rPr>
                          <w:sz w:val="20"/>
                        </w:rPr>
                      </w:pPr>
                      <w:bookmarkStart w:id="449" w:name="_Ref518634254"/>
                      <w:bookmarkStart w:id="450" w:name="_Toc525227223"/>
                      <w:bookmarkStart w:id="451" w:name="_Toc536814162"/>
                      <w:r w:rsidRPr="002A1004">
                        <w:rPr>
                          <w:b/>
                          <w:sz w:val="20"/>
                        </w:rPr>
                        <w:t xml:space="preserve">Figure </w:t>
                      </w:r>
                      <w:r>
                        <w:rPr>
                          <w:b/>
                          <w:sz w:val="20"/>
                        </w:rPr>
                        <w:fldChar w:fldCharType="begin"/>
                      </w:r>
                      <w:r>
                        <w:rPr>
                          <w:b/>
                          <w:sz w:val="20"/>
                        </w:rPr>
                        <w:instrText xml:space="preserve"> STYLEREF 1 \s </w:instrText>
                      </w:r>
                      <w:r>
                        <w:rPr>
                          <w:b/>
                          <w:sz w:val="20"/>
                        </w:rPr>
                        <w:fldChar w:fldCharType="separate"/>
                      </w:r>
                      <w:r>
                        <w:rPr>
                          <w:b/>
                          <w:noProof/>
                          <w:sz w:val="20"/>
                        </w:rPr>
                        <w:t>4</w:t>
                      </w:r>
                      <w:r>
                        <w:rPr>
                          <w:b/>
                          <w:sz w:val="20"/>
                        </w:rPr>
                        <w:fldChar w:fldCharType="end"/>
                      </w:r>
                      <w:r>
                        <w:rPr>
                          <w:b/>
                          <w:sz w:val="20"/>
                        </w:rPr>
                        <w:t>.</w:t>
                      </w:r>
                      <w:r>
                        <w:rPr>
                          <w:b/>
                          <w:sz w:val="20"/>
                        </w:rPr>
                        <w:fldChar w:fldCharType="begin"/>
                      </w:r>
                      <w:r>
                        <w:rPr>
                          <w:b/>
                          <w:sz w:val="20"/>
                        </w:rPr>
                        <w:instrText xml:space="preserve"> SEQ Figure \* ARABIC \s 1 </w:instrText>
                      </w:r>
                      <w:r>
                        <w:rPr>
                          <w:b/>
                          <w:sz w:val="20"/>
                        </w:rPr>
                        <w:fldChar w:fldCharType="separate"/>
                      </w:r>
                      <w:r>
                        <w:rPr>
                          <w:b/>
                          <w:noProof/>
                          <w:sz w:val="20"/>
                        </w:rPr>
                        <w:t>18</w:t>
                      </w:r>
                      <w:r>
                        <w:rPr>
                          <w:b/>
                          <w:sz w:val="20"/>
                        </w:rPr>
                        <w:fldChar w:fldCharType="end"/>
                      </w:r>
                      <w:bookmarkEnd w:id="449"/>
                      <w:r w:rsidRPr="002A1004">
                        <w:rPr>
                          <w:b/>
                          <w:sz w:val="20"/>
                        </w:rPr>
                        <w:t xml:space="preserve"> - Platform model state diagram of a T cell during </w:t>
                      </w:r>
                      <w:r>
                        <w:rPr>
                          <w:b/>
                          <w:sz w:val="20"/>
                          <w:szCs w:val="20"/>
                        </w:rPr>
                        <w:t>h</w:t>
                      </w:r>
                      <w:r w:rsidRPr="009A7602">
                        <w:rPr>
                          <w:b/>
                          <w:sz w:val="20"/>
                          <w:szCs w:val="20"/>
                        </w:rPr>
                        <w:t xml:space="preserve">epatic </w:t>
                      </w:r>
                      <w:r>
                        <w:rPr>
                          <w:b/>
                          <w:sz w:val="20"/>
                          <w:szCs w:val="20"/>
                        </w:rPr>
                        <w:t xml:space="preserve">infection with </w:t>
                      </w:r>
                      <w:r>
                        <w:rPr>
                          <w:b/>
                          <w:i/>
                          <w:sz w:val="20"/>
                          <w:szCs w:val="20"/>
                        </w:rPr>
                        <w:t>L. donovani</w:t>
                      </w:r>
                      <w:r w:rsidRPr="002A1004">
                        <w:rPr>
                          <w:b/>
                          <w:sz w:val="20"/>
                        </w:rPr>
                        <w:t>.</w:t>
                      </w:r>
                      <w:r w:rsidRPr="002A1004">
                        <w:rPr>
                          <w:sz w:val="20"/>
                        </w:rPr>
                        <w:t xml:space="preserve"> </w:t>
                      </w:r>
                      <w:r w:rsidRPr="003B2D5F">
                        <w:rPr>
                          <w:sz w:val="20"/>
                        </w:rPr>
                        <w:t>UML</w:t>
                      </w:r>
                      <w:r>
                        <w:rPr>
                          <w:sz w:val="20"/>
                        </w:rPr>
                        <w:t>-like</w:t>
                      </w:r>
                      <w:r w:rsidRPr="003B2D5F">
                        <w:rPr>
                          <w:sz w:val="20"/>
                        </w:rPr>
                        <w:t xml:space="preserve"> </w:t>
                      </w:r>
                      <w:r w:rsidRPr="002A1004">
                        <w:rPr>
                          <w:sz w:val="20"/>
                        </w:rPr>
                        <w:t xml:space="preserve">notation of the state(s) a T cell may exist in </w:t>
                      </w:r>
                      <w:r w:rsidRPr="00CB55EB">
                        <w:rPr>
                          <w:sz w:val="20"/>
                        </w:rPr>
                        <w:t xml:space="preserve">during </w:t>
                      </w:r>
                      <w:r w:rsidRPr="00CB55EB">
                        <w:rPr>
                          <w:sz w:val="20"/>
                          <w:szCs w:val="20"/>
                        </w:rPr>
                        <w:t xml:space="preserve">hepatic infection with </w:t>
                      </w:r>
                      <w:r w:rsidRPr="00CB55EB">
                        <w:rPr>
                          <w:i/>
                          <w:sz w:val="20"/>
                          <w:szCs w:val="20"/>
                        </w:rPr>
                        <w:t>L. donovani</w:t>
                      </w:r>
                      <w:r w:rsidRPr="00CB55EB">
                        <w:rPr>
                          <w:sz w:val="20"/>
                        </w:rPr>
                        <w:t>. Within the ODE implementation each state is approximately indicative of</w:t>
                      </w:r>
                      <w:r w:rsidRPr="002A1004">
                        <w:rPr>
                          <w:sz w:val="20"/>
                        </w:rPr>
                        <w:t xml:space="preserve"> a separate equation representing individual entity. For T cells it is assumed they only exist in a singular state until their death.</w:t>
                      </w:r>
                      <w:bookmarkEnd w:id="450"/>
                      <w:bookmarkEnd w:id="451"/>
                    </w:p>
                    <w:p w14:paraId="462F4402" w14:textId="6E66F9C0" w:rsidR="00F61130" w:rsidRPr="002A1004" w:rsidRDefault="00F61130" w:rsidP="002A1004">
                      <w:pPr>
                        <w:pStyle w:val="Caption"/>
                        <w:spacing w:line="360" w:lineRule="auto"/>
                        <w:rPr>
                          <w:noProof/>
                          <w:color w:val="FF0000"/>
                          <w:sz w:val="20"/>
                          <w:lang w:eastAsia="en-GB"/>
                        </w:rPr>
                      </w:pPr>
                    </w:p>
                  </w:txbxContent>
                </v:textbox>
                <w10:wrap type="topAndBottom"/>
              </v:shape>
            </w:pict>
          </mc:Fallback>
        </mc:AlternateContent>
      </w:r>
    </w:p>
    <w:p w14:paraId="4964F2BB" w14:textId="4BDCA6CD" w:rsidR="004A75C8" w:rsidRDefault="004A75C8" w:rsidP="009154C0">
      <w:pPr>
        <w:spacing w:line="360" w:lineRule="auto"/>
        <w:jc w:val="both"/>
      </w:pPr>
    </w:p>
    <w:p w14:paraId="3F909C86" w14:textId="538EED27" w:rsidR="004A75C8" w:rsidRDefault="004A75C8" w:rsidP="009154C0">
      <w:pPr>
        <w:spacing w:line="360" w:lineRule="auto"/>
        <w:jc w:val="both"/>
      </w:pPr>
    </w:p>
    <w:p w14:paraId="3C8855A5" w14:textId="41805236" w:rsidR="000250F5" w:rsidRPr="008B3AD6" w:rsidRDefault="00451F5D" w:rsidP="009154C0">
      <w:pPr>
        <w:spacing w:line="360" w:lineRule="auto"/>
        <w:jc w:val="both"/>
      </w:pPr>
      <w:r w:rsidRPr="008B3AD6">
        <w:lastRenderedPageBreak/>
        <w:t xml:space="preserve">Within the platform model the myeloid cell </w:t>
      </w:r>
      <w:r w:rsidR="004A75C8">
        <w:t>population</w:t>
      </w:r>
      <w:r w:rsidRPr="008B3AD6">
        <w:t xml:space="preserve"> was grouped to</w:t>
      </w:r>
      <w:r w:rsidR="004A75C8">
        <w:t xml:space="preserve"> also</w:t>
      </w:r>
      <w:r w:rsidRPr="008B3AD6">
        <w:t xml:space="preserve"> represent </w:t>
      </w:r>
      <w:r w:rsidR="000F4AAE">
        <w:t>KCs</w:t>
      </w:r>
      <w:r w:rsidRPr="008B3AD6">
        <w:t xml:space="preserve">. </w:t>
      </w:r>
      <w:r w:rsidR="000F4AAE">
        <w:t>KCs</w:t>
      </w:r>
      <w:r w:rsidR="000F4AAE" w:rsidRPr="008B3AD6">
        <w:t xml:space="preserve"> </w:t>
      </w:r>
      <w:r w:rsidRPr="008B3AD6">
        <w:t xml:space="preserve">can be infected with </w:t>
      </w:r>
      <w:r w:rsidRPr="008B3AD6">
        <w:rPr>
          <w:i/>
        </w:rPr>
        <w:t>L. donovani</w:t>
      </w:r>
      <w:r w:rsidRPr="008B3AD6">
        <w:t xml:space="preserve">, present antigen and mount a pro-inflammatory immune response </w:t>
      </w:r>
      <w:r w:rsidRPr="008B3AD6">
        <w:fldChar w:fldCharType="begin"/>
      </w:r>
      <w:r w:rsidR="007A6EED">
        <w:instrText xml:space="preserve"> ADDIN ZOTERO_ITEM CSL_CITATION {"citationID":"I5276y1Q","properties":{"formattedCitation":"(Beattie, Peltan, et al. 2010a; Martinez and Gordon 2014)","plainCitation":"(Beattie, Peltan, et al. 2010a; Martinez and Gordon 2014)","noteIndex":0},"citationItems":[{"id":2505,"uris":["http://zotero.org/users/2628971/items/6C2KJJIV"],"uri":["http://zotero.org/users/2628971/items/6C2KJJIV"],"itemData":{"id":2505,"type":"article-journal","title":"Dynamic Imaging of Experimental Leishmania donovani-Induced Hepatic Granulomas Detects Kupffer Cell-Restricted Antigen Presentation to Antigen-Specific CD8+ T Cells","container-title":"PLOS Pathogens","page":"e1000805","volume":"6","issue":"3","source":"PLoS Journals","abstract":"Kupffer cells (KCs) represent the major phagocytic population within the liver and provide an intracellular niche for the survival of a number of important human pathogens. Although KCs have been extensively studied in vitro, little is known of their in vivo response to infection and their capacity to directly interact with antigen-specific CD8+ T cells. Here, using a combination of approaches including whole mount and thin section confocal microscopy, adoptive cell transfer and intra-vital 2-photon microscopy, we demonstrate that KCs represent the only detectable population of mononuclear phagocytes within granulomas induced by Leishmania donovani infection that are capable of presenting parasite-derived peptide to effector CD8+ T cells. This restriction of antigen presentation to KCs within the Leishmania granuloma has important implications for the identification of new candidate vaccine antigens and for the design of novel immuno-therapeutic interventions.","DOI":"10.1371/journal.ppat.1000805","ISSN":"1553-7374","journalAbbreviation":"PLOS Pathogens","language":"en","author":[{"family":"Beattie","given":"Lynette"},{"family":"Peltan","given":"Adam"},{"family":"Maroof","given":"Asher"},{"family":"Kirby","given":"Alun"},{"family":"Brown","given":"Najmeeyah"},{"family":"Coles","given":"Mark"},{"family":"Smith","given":"Deborah F."},{"family":"Kaye","given":"Paul M."}],"issued":{"date-parts":[["2010",3,12]]}}},{"id":2769,"uris":["http://zotero.org/users/2628971/items/T7D8ZWPS"],"uri":["http://zotero.org/users/2628971/items/T7D8ZWPS"],"itemData":{"id":2769,"type":"article-journal","title":"The M1 and M2 paradigm of macrophage activation: time for reassessment","container-title":"F1000prime Reports","page":"13","volume":"6","source":"PubMed","abstract":"Macrophages are endowed with a variety of receptors for lineage-determining growth factors, T helper (Th) cell cytokines, and B cell, host, and microbial products. In tissues, macrophages mature and are activated in a dynamic response to combinations of these stimuli to acquire specialized functional phenotypes. As for the lymphocyte system, a dichotomy has been proposed for macrophage activation: classic vs. alternative, also M1 and M2, respectively. In view of recent research about macrophage functions and the increasing number of immune-relevant ligands, a revision of the model is needed. Here, we assess how cytokines and pathogen signals influence their functional phenotypes and the evidence for M1 and M2 functions and revisit a paradigm initially based on the role of a restricted set of selected ligands in the immune response.","DOI":"10.12703/P6-13","ISSN":"2051-7599","note":"PMID: 24669294\nPMCID: PMC3944738","shortTitle":"The M1 and M2 paradigm of macrophage activation","journalAbbreviation":"F1000Prime Rep","language":"eng","author":[{"family":"Martinez","given":"Fernando O."},{"family":"Gordon","given":"Siamon"}],"issued":{"date-parts":[["2014"]]}}}],"schema":"https://github.com/citation-style-language/schema/raw/master/csl-citation.json"} </w:instrText>
      </w:r>
      <w:r w:rsidRPr="008B3AD6">
        <w:fldChar w:fldCharType="separate"/>
      </w:r>
      <w:r w:rsidR="007A6EED">
        <w:t>(Beattie et al. 2010; Martinez and Gordon 2014)</w:t>
      </w:r>
      <w:r w:rsidRPr="008B3AD6">
        <w:fldChar w:fldCharType="end"/>
      </w:r>
      <w:r w:rsidR="004A75C8">
        <w:t xml:space="preserve"> and w</w:t>
      </w:r>
      <w:r w:rsidR="000250F5" w:rsidRPr="008B3AD6">
        <w:t xml:space="preserve">hilst it has been shown there are comparatively different infection levels among myeloid cell subsets </w:t>
      </w:r>
      <w:r w:rsidR="000250F5" w:rsidRPr="008B3AD6">
        <w:fldChar w:fldCharType="begin"/>
      </w:r>
      <w:r w:rsidR="00812605" w:rsidRPr="008B3AD6">
        <w:instrText xml:space="preserve"> ADDIN ZOTERO_ITEM CSL_CITATION {"citationID":"OYPDYUHx","properties":{"formattedCitation":"(Terrazas et al. 2017a)","plainCitation":"(Terrazas et al. 2017a)","noteIndex":0},"citationItems":[{"id":2611,"uris":["http://zotero.org/users/2628971/items/W4GCPYY8"],"uri":["http://zotero.org/users/2628971/items/W4GCPYY8"],"itemData":{"id":2611,"type":"article-journal","title":"Ly6C hi inflammatory monocytes promote susceptibility to Leishmania donovani infection","container-title":"Scientific Reports","page":"14693","volume":"7","issue":"1","source":"www.nature.com","abstract":"Ly6Chi inflammatory monocytes (iMO) are critical for host defense against toxoplasmosis and malaria but their role in leishmaniasis is unclear. In this study, we report a detrimental role of Ly6Chi iMOs in visceral leishmaniasis (VL) caused by Leishmania donovani. We demonstrate that Ly6Chi iMOs are continuously recruited into the spleen and liver during L. donovani infection and they are preferential targets for the parasite. Using microarray-based gene expression profiling, we show that Ly6Chi iMOs isolated from the infected liver and spleen have distinct phenotypic and activation profiles. Furthermore, we demonstrate that blocking the recruitment of Ly6Chi iMOs into the liver and spleen during L. donovani infection using a CCR2 antagonist reduces the frequency of the pathogenic IFN-γ/IL10 dual producer CD4+ T cells in the spleen and leads to a significant reduction in parasite loads in the liver and spleen. Using STAT1−/− mice we show that STAT1 is critical for mediating the recruitment of Ly6Chi iMOs into organs during L. donovani infection, and adaptive transfer of wild type Ly6Chi iMOs into STAT1−/− recipients renders them susceptible to disease. Our findings reveal an unexpected pathogenic role for Ly6Chi iMOs in promoting parasite survival in VL and open the possibility of targeting this population for host-directed therapy during VL.","DOI":"10.1038/s41598-017-14935-3","ISSN":"2045-2322","language":"en","author":[{"family":"Terrazas","given":"Cesar"},{"family":"Varikuti","given":"Sanjay"},{"family":"Oghumu","given":"Steve"},{"family":"Steinkamp","given":"Heidi M."},{"family":"Ardic","given":"Nurittin"},{"family":"Kimble","given":"Jennifer"},{"family":"Nakhasi","given":"Hira"},{"family":"Satoskar","given":"Abhay R."}],"issued":{"date-parts":[["2017",10,31]]}}}],"schema":"https://github.com/citation-style-language/schema/raw/master/csl-citation.json"} </w:instrText>
      </w:r>
      <w:r w:rsidR="000250F5" w:rsidRPr="008B3AD6">
        <w:fldChar w:fldCharType="separate"/>
      </w:r>
      <w:r w:rsidR="00F30350">
        <w:t>(Terrazas et al. 2017</w:t>
      </w:r>
      <w:r w:rsidR="00812605" w:rsidRPr="008B3AD6">
        <w:t>)</w:t>
      </w:r>
      <w:r w:rsidR="000250F5" w:rsidRPr="008B3AD6">
        <w:fldChar w:fldCharType="end"/>
      </w:r>
      <w:r w:rsidR="000250F5" w:rsidRPr="008B3AD6">
        <w:t xml:space="preserve"> and their population abundances are diverse (</w:t>
      </w:r>
      <w:r w:rsidR="009A7895" w:rsidRPr="008B3AD6">
        <w:t xml:space="preserve">Section </w:t>
      </w:r>
      <w:r w:rsidR="00CA55CD" w:rsidRPr="008B3AD6">
        <w:fldChar w:fldCharType="begin"/>
      </w:r>
      <w:r w:rsidR="00CA55CD" w:rsidRPr="008B3AD6">
        <w:instrText xml:space="preserve"> REF _Ref518738284 \n </w:instrText>
      </w:r>
      <w:r w:rsidR="007C2CB7" w:rsidRPr="008B3AD6">
        <w:instrText xml:space="preserve"> \* MERGEFORMAT </w:instrText>
      </w:r>
      <w:r w:rsidR="00CA55CD" w:rsidRPr="008B3AD6">
        <w:fldChar w:fldCharType="separate"/>
      </w:r>
      <w:r w:rsidR="00031DCA">
        <w:t>4.3</w:t>
      </w:r>
      <w:r w:rsidR="00CA55CD" w:rsidRPr="008B3AD6">
        <w:fldChar w:fldCharType="end"/>
      </w:r>
      <w:r w:rsidR="000250F5" w:rsidRPr="008B3AD6">
        <w:t xml:space="preserve">), there is no pre-existing data on </w:t>
      </w:r>
      <w:r w:rsidR="004A75C8">
        <w:t>different levels of infection between different myeloid cell</w:t>
      </w:r>
      <w:r w:rsidR="000250F5" w:rsidRPr="008B3AD6">
        <w:t xml:space="preserve"> subset</w:t>
      </w:r>
      <w:r w:rsidR="004A75C8">
        <w:t>s</w:t>
      </w:r>
      <w:r w:rsidR="000250F5" w:rsidRPr="008B3AD6">
        <w:t xml:space="preserve">. The addition of multiple free parameters accounting for these unknown rates would generate an unacceptably high level of uncertainty within the emulation of these behaviours. It is assumed these activities are conceptually the same between </w:t>
      </w:r>
      <w:r w:rsidR="000F4AAE">
        <w:t>KCs</w:t>
      </w:r>
      <w:r w:rsidR="000F4AAE" w:rsidRPr="008B3AD6">
        <w:t xml:space="preserve"> </w:t>
      </w:r>
      <w:r w:rsidR="000250F5" w:rsidRPr="008B3AD6">
        <w:t>and non-</w:t>
      </w:r>
      <w:r w:rsidR="000F4AAE" w:rsidRPr="000F4AAE">
        <w:t xml:space="preserve"> </w:t>
      </w:r>
      <w:r w:rsidR="000F4AAE">
        <w:t>KC</w:t>
      </w:r>
      <w:r w:rsidR="000250F5" w:rsidRPr="008B3AD6">
        <w:t xml:space="preserve"> myeloid cells </w:t>
      </w:r>
      <w:r w:rsidR="004A75C8">
        <w:t>although</w:t>
      </w:r>
      <w:r w:rsidR="000250F5" w:rsidRPr="008B3AD6">
        <w:t xml:space="preserve"> likely occur at differing rates and these can be amalgamated into singular parameters that account for all sub-populations. </w:t>
      </w:r>
      <w:r w:rsidR="00561A73">
        <w:t>Additionally, this amalgamation of myeloid cells and KCs leads the new group to have</w:t>
      </w:r>
      <w:r w:rsidR="00E639CF">
        <w:t xml:space="preserve"> the ability to proliferate, as KCs can proliferate within the liver.</w:t>
      </w:r>
    </w:p>
    <w:p w14:paraId="06363A09" w14:textId="5570B6C9" w:rsidR="002A1004" w:rsidRPr="008B3AD6" w:rsidRDefault="002A1004" w:rsidP="009154C0">
      <w:pPr>
        <w:spacing w:line="360" w:lineRule="auto"/>
        <w:jc w:val="both"/>
        <w:rPr>
          <w:b/>
        </w:rPr>
      </w:pPr>
    </w:p>
    <w:p w14:paraId="0B6BB762" w14:textId="4733595D" w:rsidR="00451F5D" w:rsidRPr="008B3AD6" w:rsidRDefault="002D2824" w:rsidP="009154C0">
      <w:pPr>
        <w:spacing w:line="360" w:lineRule="auto"/>
        <w:jc w:val="both"/>
      </w:pPr>
      <w:r>
        <w:rPr>
          <w:b/>
          <w:noProof/>
        </w:rPr>
        <w:drawing>
          <wp:anchor distT="0" distB="0" distL="114300" distR="114300" simplePos="0" relativeHeight="251270144" behindDoc="0" locked="0" layoutInCell="1" allowOverlap="1" wp14:anchorId="2CFB39DB" wp14:editId="0E98061F">
            <wp:simplePos x="0" y="0"/>
            <wp:positionH relativeFrom="column">
              <wp:posOffset>-5080</wp:posOffset>
            </wp:positionH>
            <wp:positionV relativeFrom="paragraph">
              <wp:posOffset>993042</wp:posOffset>
            </wp:positionV>
            <wp:extent cx="5575935" cy="3784858"/>
            <wp:effectExtent l="0" t="0" r="0" b="0"/>
            <wp:wrapTopAndBottom/>
            <wp:docPr id="505" name="Picture 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5" name="Picture 505"/>
                    <pic:cNvPicPr>
                      <a:picLocks noChangeAspect="1"/>
                    </pic:cNvPicPr>
                  </pic:nvPicPr>
                  <pic:blipFill rotWithShape="1">
                    <a:blip r:embed="rId65">
                      <a:extLst>
                        <a:ext uri="{28A0092B-C50C-407E-A947-70E740481C1C}">
                          <a14:useLocalDpi xmlns:a14="http://schemas.microsoft.com/office/drawing/2010/main" val="0"/>
                        </a:ext>
                      </a:extLst>
                    </a:blip>
                    <a:srcRect t="-4196" b="56221"/>
                    <a:stretch/>
                  </pic:blipFill>
                  <pic:spPr bwMode="auto">
                    <a:xfrm>
                      <a:off x="0" y="0"/>
                      <a:ext cx="5575935" cy="3784858"/>
                    </a:xfrm>
                    <a:prstGeom prst="rect">
                      <a:avLst/>
                    </a:prstGeom>
                    <a:ln>
                      <a:noFill/>
                    </a:ln>
                    <a:extLst>
                      <a:ext uri="{53640926-AAD7-44D8-BBD7-CCE9431645EC}">
                        <a14:shadowObscured xmlns:a14="http://schemas.microsoft.com/office/drawing/2010/main"/>
                      </a:ext>
                    </a:extLst>
                  </pic:spPr>
                </pic:pic>
              </a:graphicData>
            </a:graphic>
          </wp:anchor>
        </w:drawing>
      </w:r>
      <w:r>
        <w:rPr>
          <w:b/>
          <w:noProof/>
        </w:rPr>
        <mc:AlternateContent>
          <mc:Choice Requires="wps">
            <w:drawing>
              <wp:anchor distT="0" distB="0" distL="114300" distR="114300" simplePos="0" relativeHeight="251271168" behindDoc="0" locked="0" layoutInCell="1" allowOverlap="1" wp14:anchorId="45F141B2" wp14:editId="3F4F3831">
                <wp:simplePos x="0" y="0"/>
                <wp:positionH relativeFrom="column">
                  <wp:posOffset>-5275</wp:posOffset>
                </wp:positionH>
                <wp:positionV relativeFrom="paragraph">
                  <wp:posOffset>5219323</wp:posOffset>
                </wp:positionV>
                <wp:extent cx="5575935" cy="858506"/>
                <wp:effectExtent l="0" t="0" r="0" b="5715"/>
                <wp:wrapTopAndBottom/>
                <wp:docPr id="506" name="Text Box 506"/>
                <wp:cNvGraphicFramePr/>
                <a:graphic xmlns:a="http://schemas.openxmlformats.org/drawingml/2006/main">
                  <a:graphicData uri="http://schemas.microsoft.com/office/word/2010/wordprocessingShape">
                    <wps:wsp>
                      <wps:cNvSpPr txBox="1"/>
                      <wps:spPr>
                        <a:xfrm>
                          <a:off x="0" y="0"/>
                          <a:ext cx="5575935" cy="858506"/>
                        </a:xfrm>
                        <a:prstGeom prst="rect">
                          <a:avLst/>
                        </a:prstGeom>
                        <a:solidFill>
                          <a:prstClr val="white"/>
                        </a:solidFill>
                        <a:ln>
                          <a:noFill/>
                        </a:ln>
                      </wps:spPr>
                      <wps:txbx>
                        <w:txbxContent>
                          <w:p w14:paraId="359455A0" w14:textId="39627F6F" w:rsidR="00F61130" w:rsidRPr="006C7AF1" w:rsidRDefault="00F61130" w:rsidP="009A7895">
                            <w:pPr>
                              <w:pStyle w:val="Caption"/>
                              <w:spacing w:line="360" w:lineRule="auto"/>
                              <w:jc w:val="both"/>
                              <w:rPr>
                                <w:noProof/>
                                <w:sz w:val="20"/>
                                <w:szCs w:val="20"/>
                                <w:lang w:eastAsia="en-GB"/>
                              </w:rPr>
                            </w:pPr>
                            <w:bookmarkStart w:id="452" w:name="_Ref518634477"/>
                            <w:bookmarkStart w:id="453" w:name="_Toc525227224"/>
                            <w:bookmarkStart w:id="454" w:name="_Toc536814163"/>
                            <w:r w:rsidRPr="006C7AF1">
                              <w:rPr>
                                <w:b/>
                                <w:sz w:val="20"/>
                                <w:szCs w:val="20"/>
                              </w:rPr>
                              <w:t xml:space="preserve">Figure </w:t>
                            </w:r>
                            <w:r>
                              <w:rPr>
                                <w:b/>
                                <w:sz w:val="20"/>
                                <w:szCs w:val="20"/>
                              </w:rPr>
                              <w:fldChar w:fldCharType="begin"/>
                            </w:r>
                            <w:r>
                              <w:rPr>
                                <w:b/>
                                <w:sz w:val="20"/>
                                <w:szCs w:val="20"/>
                              </w:rPr>
                              <w:instrText xml:space="preserve"> STYLEREF 1 \s </w:instrText>
                            </w:r>
                            <w:r>
                              <w:rPr>
                                <w:b/>
                                <w:sz w:val="20"/>
                                <w:szCs w:val="20"/>
                              </w:rPr>
                              <w:fldChar w:fldCharType="separate"/>
                            </w:r>
                            <w:r>
                              <w:rPr>
                                <w:b/>
                                <w:noProof/>
                                <w:sz w:val="20"/>
                                <w:szCs w:val="20"/>
                              </w:rPr>
                              <w:t>4</w:t>
                            </w:r>
                            <w:r>
                              <w:rPr>
                                <w:b/>
                                <w:sz w:val="20"/>
                                <w:szCs w:val="20"/>
                              </w:rPr>
                              <w:fldChar w:fldCharType="end"/>
                            </w:r>
                            <w:r>
                              <w:rPr>
                                <w:b/>
                                <w:sz w:val="20"/>
                                <w:szCs w:val="20"/>
                              </w:rPr>
                              <w:t>.</w:t>
                            </w:r>
                            <w:r>
                              <w:rPr>
                                <w:b/>
                                <w:sz w:val="20"/>
                                <w:szCs w:val="20"/>
                              </w:rPr>
                              <w:fldChar w:fldCharType="begin"/>
                            </w:r>
                            <w:r>
                              <w:rPr>
                                <w:b/>
                                <w:sz w:val="20"/>
                                <w:szCs w:val="20"/>
                              </w:rPr>
                              <w:instrText xml:space="preserve"> SEQ Figure \* ARABIC \s 1 </w:instrText>
                            </w:r>
                            <w:r>
                              <w:rPr>
                                <w:b/>
                                <w:sz w:val="20"/>
                                <w:szCs w:val="20"/>
                              </w:rPr>
                              <w:fldChar w:fldCharType="separate"/>
                            </w:r>
                            <w:r>
                              <w:rPr>
                                <w:b/>
                                <w:noProof/>
                                <w:sz w:val="20"/>
                                <w:szCs w:val="20"/>
                              </w:rPr>
                              <w:t>19</w:t>
                            </w:r>
                            <w:r>
                              <w:rPr>
                                <w:b/>
                                <w:sz w:val="20"/>
                                <w:szCs w:val="20"/>
                              </w:rPr>
                              <w:fldChar w:fldCharType="end"/>
                            </w:r>
                            <w:bookmarkEnd w:id="452"/>
                            <w:r>
                              <w:rPr>
                                <w:b/>
                                <w:sz w:val="20"/>
                                <w:szCs w:val="20"/>
                              </w:rPr>
                              <w:t xml:space="preserve"> </w:t>
                            </w:r>
                            <w:r w:rsidRPr="006C7AF1">
                              <w:rPr>
                                <w:b/>
                                <w:sz w:val="20"/>
                                <w:szCs w:val="20"/>
                              </w:rPr>
                              <w:t xml:space="preserve">- Platform model activity diagram of a myeloid cell during </w:t>
                            </w:r>
                            <w:r>
                              <w:rPr>
                                <w:b/>
                                <w:sz w:val="20"/>
                                <w:szCs w:val="20"/>
                              </w:rPr>
                              <w:t>h</w:t>
                            </w:r>
                            <w:r w:rsidRPr="009A7602">
                              <w:rPr>
                                <w:b/>
                                <w:sz w:val="20"/>
                                <w:szCs w:val="20"/>
                              </w:rPr>
                              <w:t xml:space="preserve">epatic </w:t>
                            </w:r>
                            <w:r>
                              <w:rPr>
                                <w:b/>
                                <w:sz w:val="20"/>
                                <w:szCs w:val="20"/>
                              </w:rPr>
                              <w:t xml:space="preserve">infection with </w:t>
                            </w:r>
                            <w:r>
                              <w:rPr>
                                <w:b/>
                                <w:i/>
                                <w:sz w:val="20"/>
                                <w:szCs w:val="20"/>
                              </w:rPr>
                              <w:t>L. donovani</w:t>
                            </w:r>
                            <w:r w:rsidRPr="006C7AF1">
                              <w:rPr>
                                <w:b/>
                                <w:sz w:val="20"/>
                                <w:szCs w:val="20"/>
                              </w:rPr>
                              <w:t xml:space="preserve">. </w:t>
                            </w:r>
                            <w:r>
                              <w:rPr>
                                <w:sz w:val="20"/>
                                <w:szCs w:val="20"/>
                              </w:rPr>
                              <w:t>UML-like</w:t>
                            </w:r>
                            <w:r w:rsidRPr="006C7AF1">
                              <w:rPr>
                                <w:sz w:val="20"/>
                                <w:szCs w:val="20"/>
                              </w:rPr>
                              <w:t xml:space="preserve"> notation of the behaviours of a myeloid cell during </w:t>
                            </w:r>
                            <w:r w:rsidRPr="00CB55EB">
                              <w:rPr>
                                <w:sz w:val="20"/>
                                <w:szCs w:val="20"/>
                              </w:rPr>
                              <w:t xml:space="preserve">hepatic infection with </w:t>
                            </w:r>
                            <w:r w:rsidRPr="00CB55EB">
                              <w:rPr>
                                <w:i/>
                                <w:sz w:val="20"/>
                                <w:szCs w:val="20"/>
                              </w:rPr>
                              <w:t>L. donovani</w:t>
                            </w:r>
                            <w:r w:rsidRPr="00CB55EB">
                              <w:rPr>
                                <w:sz w:val="20"/>
                                <w:szCs w:val="20"/>
                              </w:rPr>
                              <w:t xml:space="preserve"> in the liver. Within the myeloid population, cells may either be susceptible to infection</w:t>
                            </w:r>
                            <w:r w:rsidRPr="006C7AF1">
                              <w:rPr>
                                <w:sz w:val="20"/>
                                <w:szCs w:val="20"/>
                              </w:rPr>
                              <w:t xml:space="preserve"> or infected, their infection status impacts on their activities within the system and is denoted by the diamond, representing a decision node.</w:t>
                            </w:r>
                            <w:bookmarkEnd w:id="453"/>
                            <w:bookmarkEnd w:id="454"/>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45F141B2" id="Text Box 506" o:spid="_x0000_s1119" type="#_x0000_t202" style="position:absolute;left:0;text-align:left;margin-left:-.4pt;margin-top:410.95pt;width:439.05pt;height:67.6pt;z-index:2512711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orIhCNQIAAGwEAAAOAAAAZHJzL2Uyb0RvYy54bWysVFFv2yAQfp+0/4B4X5y0cpdacaosVaZJ&#13;&#10;UVspmfpMMI6RgGNAYme/fge2267b07QXfNwdB9/33Xlx12lFzsJ5Caaks8mUEmE4VNIcS/p9v/k0&#13;&#10;p8QHZiqmwIiSXoSnd8uPHxatLcQVNKAq4QgWMb5obUmbEGyRZZ43QjM/ASsMBmtwmgXcumNWOdZi&#13;&#10;da2yq+n0JmvBVdYBF96j974P0mWqX9eCh8e69iIQVVJ8W0irS+shrtlywYqjY7aRfHgG+4dXaCYN&#13;&#10;XvpS6p4FRk5O/lFKS+7AQx0mHHQGdS25SBgQzWz6Ds2uYVYkLEiOty80+f9Xlj+cnxyRVUnz6Q0l&#13;&#10;hmkUaS+6QL5AR6IPGWqtLzBxZzE1dBhApUe/R2cE3tVOxy9CIhhHri8v/MZyHJ15/jm/vc4p4Rib&#13;&#10;5/OhfPZ62jofvgrQJBoldahfopWdtz7gSzB1TImXeVCy2kil4iYG1sqRM0Ot20YGEd+IJ37LUibm&#13;&#10;Goin+nD0ZBFiDyVaoTt0iZTb6xHnAaoLwnfQt5C3fCPxwi3z4Yk57BlEjHMQHnGpFbQlhcGipAH3&#13;&#10;82/+mI9SYpSSFnuwpP7HiTlBifpmUOTYsKPhRuMwGuak14BQZzhhlicTD7igRrN2oJ9xPFbxFgwx&#13;&#10;w/GukobRXId+EnC8uFitUhK2pWVha3aWx9IjsfvumTk7yBJQ0AcYu5MV79Tpc3uaV6cAtUzSRWJ7&#13;&#10;Fge+saWTPsP4xZl5u09Zrz+J5S8AAAD//wMAUEsDBBQABgAIAAAAIQBJYarW5AAAAA4BAAAPAAAA&#13;&#10;ZHJzL2Rvd25yZXYueG1sTI/BTsMwEETvSPyDtUhcEHUSRJOmcSpo4AaHlqrnbWySiHgd2U6T/j3u&#13;&#10;CS4jrUY786bYzLpnZ2VdZ0hAvIiAKaqN7KgRcPh6f8yAOY8ksTekBFyUg015e1NgLs1EO3Xe+4aF&#13;&#10;EHI5Cmi9H3LOXd0qjW5hBkXB+zZWow+nbbi0OIVw3fMkipZcY0ehocVBbVtV/+xHLWBZ2XHa0fah&#13;&#10;Orx94OfQJMfXy1GI+7u5Wgd5WQPzavZ/H3DdEPihDGAnM5J0rBdwpfcCsiReAQt+lqZPwE4CVs9p&#13;&#10;DLws+P8Z5S8AAAD//wMAUEsBAi0AFAAGAAgAAAAhALaDOJL+AAAA4QEAABMAAAAAAAAAAAAAAAAA&#13;&#10;AAAAAFtDb250ZW50X1R5cGVzXS54bWxQSwECLQAUAAYACAAAACEAOP0h/9YAAACUAQAACwAAAAAA&#13;&#10;AAAAAAAAAAAvAQAAX3JlbHMvLnJlbHNQSwECLQAUAAYACAAAACEAaKyIQjUCAABsBAAADgAAAAAA&#13;&#10;AAAAAAAAAAAuAgAAZHJzL2Uyb0RvYy54bWxQSwECLQAUAAYACAAAACEASWGq1uQAAAAOAQAADwAA&#13;&#10;AAAAAAAAAAAAAACPBAAAZHJzL2Rvd25yZXYueG1sUEsFBgAAAAAEAAQA8wAAAKAFAAAAAA==&#13;&#10;" stroked="f">
                <v:textbox inset="0,0,0,0">
                  <w:txbxContent>
                    <w:p w14:paraId="359455A0" w14:textId="39627F6F" w:rsidR="00F61130" w:rsidRPr="006C7AF1" w:rsidRDefault="00F61130" w:rsidP="009A7895">
                      <w:pPr>
                        <w:pStyle w:val="Caption"/>
                        <w:spacing w:line="360" w:lineRule="auto"/>
                        <w:jc w:val="both"/>
                        <w:rPr>
                          <w:noProof/>
                          <w:sz w:val="20"/>
                          <w:szCs w:val="20"/>
                          <w:lang w:eastAsia="en-GB"/>
                        </w:rPr>
                      </w:pPr>
                      <w:bookmarkStart w:id="455" w:name="_Ref518634477"/>
                      <w:bookmarkStart w:id="456" w:name="_Toc525227224"/>
                      <w:bookmarkStart w:id="457" w:name="_Toc536814163"/>
                      <w:r w:rsidRPr="006C7AF1">
                        <w:rPr>
                          <w:b/>
                          <w:sz w:val="20"/>
                          <w:szCs w:val="20"/>
                        </w:rPr>
                        <w:t xml:space="preserve">Figure </w:t>
                      </w:r>
                      <w:r>
                        <w:rPr>
                          <w:b/>
                          <w:sz w:val="20"/>
                          <w:szCs w:val="20"/>
                        </w:rPr>
                        <w:fldChar w:fldCharType="begin"/>
                      </w:r>
                      <w:r>
                        <w:rPr>
                          <w:b/>
                          <w:sz w:val="20"/>
                          <w:szCs w:val="20"/>
                        </w:rPr>
                        <w:instrText xml:space="preserve"> STYLEREF 1 \s </w:instrText>
                      </w:r>
                      <w:r>
                        <w:rPr>
                          <w:b/>
                          <w:sz w:val="20"/>
                          <w:szCs w:val="20"/>
                        </w:rPr>
                        <w:fldChar w:fldCharType="separate"/>
                      </w:r>
                      <w:r>
                        <w:rPr>
                          <w:b/>
                          <w:noProof/>
                          <w:sz w:val="20"/>
                          <w:szCs w:val="20"/>
                        </w:rPr>
                        <w:t>4</w:t>
                      </w:r>
                      <w:r>
                        <w:rPr>
                          <w:b/>
                          <w:sz w:val="20"/>
                          <w:szCs w:val="20"/>
                        </w:rPr>
                        <w:fldChar w:fldCharType="end"/>
                      </w:r>
                      <w:r>
                        <w:rPr>
                          <w:b/>
                          <w:sz w:val="20"/>
                          <w:szCs w:val="20"/>
                        </w:rPr>
                        <w:t>.</w:t>
                      </w:r>
                      <w:r>
                        <w:rPr>
                          <w:b/>
                          <w:sz w:val="20"/>
                          <w:szCs w:val="20"/>
                        </w:rPr>
                        <w:fldChar w:fldCharType="begin"/>
                      </w:r>
                      <w:r>
                        <w:rPr>
                          <w:b/>
                          <w:sz w:val="20"/>
                          <w:szCs w:val="20"/>
                        </w:rPr>
                        <w:instrText xml:space="preserve"> SEQ Figure \* ARABIC \s 1 </w:instrText>
                      </w:r>
                      <w:r>
                        <w:rPr>
                          <w:b/>
                          <w:sz w:val="20"/>
                          <w:szCs w:val="20"/>
                        </w:rPr>
                        <w:fldChar w:fldCharType="separate"/>
                      </w:r>
                      <w:r>
                        <w:rPr>
                          <w:b/>
                          <w:noProof/>
                          <w:sz w:val="20"/>
                          <w:szCs w:val="20"/>
                        </w:rPr>
                        <w:t>19</w:t>
                      </w:r>
                      <w:r>
                        <w:rPr>
                          <w:b/>
                          <w:sz w:val="20"/>
                          <w:szCs w:val="20"/>
                        </w:rPr>
                        <w:fldChar w:fldCharType="end"/>
                      </w:r>
                      <w:bookmarkEnd w:id="455"/>
                      <w:r>
                        <w:rPr>
                          <w:b/>
                          <w:sz w:val="20"/>
                          <w:szCs w:val="20"/>
                        </w:rPr>
                        <w:t xml:space="preserve"> </w:t>
                      </w:r>
                      <w:r w:rsidRPr="006C7AF1">
                        <w:rPr>
                          <w:b/>
                          <w:sz w:val="20"/>
                          <w:szCs w:val="20"/>
                        </w:rPr>
                        <w:t xml:space="preserve">- Platform model activity diagram of a myeloid cell during </w:t>
                      </w:r>
                      <w:r>
                        <w:rPr>
                          <w:b/>
                          <w:sz w:val="20"/>
                          <w:szCs w:val="20"/>
                        </w:rPr>
                        <w:t>h</w:t>
                      </w:r>
                      <w:r w:rsidRPr="009A7602">
                        <w:rPr>
                          <w:b/>
                          <w:sz w:val="20"/>
                          <w:szCs w:val="20"/>
                        </w:rPr>
                        <w:t xml:space="preserve">epatic </w:t>
                      </w:r>
                      <w:r>
                        <w:rPr>
                          <w:b/>
                          <w:sz w:val="20"/>
                          <w:szCs w:val="20"/>
                        </w:rPr>
                        <w:t xml:space="preserve">infection with </w:t>
                      </w:r>
                      <w:r>
                        <w:rPr>
                          <w:b/>
                          <w:i/>
                          <w:sz w:val="20"/>
                          <w:szCs w:val="20"/>
                        </w:rPr>
                        <w:t>L. donovani</w:t>
                      </w:r>
                      <w:r w:rsidRPr="006C7AF1">
                        <w:rPr>
                          <w:b/>
                          <w:sz w:val="20"/>
                          <w:szCs w:val="20"/>
                        </w:rPr>
                        <w:t xml:space="preserve">. </w:t>
                      </w:r>
                      <w:r>
                        <w:rPr>
                          <w:sz w:val="20"/>
                          <w:szCs w:val="20"/>
                        </w:rPr>
                        <w:t>UML-like</w:t>
                      </w:r>
                      <w:r w:rsidRPr="006C7AF1">
                        <w:rPr>
                          <w:sz w:val="20"/>
                          <w:szCs w:val="20"/>
                        </w:rPr>
                        <w:t xml:space="preserve"> notation of the behaviours of a myeloid cell during </w:t>
                      </w:r>
                      <w:r w:rsidRPr="00CB55EB">
                        <w:rPr>
                          <w:sz w:val="20"/>
                          <w:szCs w:val="20"/>
                        </w:rPr>
                        <w:t xml:space="preserve">hepatic infection with </w:t>
                      </w:r>
                      <w:r w:rsidRPr="00CB55EB">
                        <w:rPr>
                          <w:i/>
                          <w:sz w:val="20"/>
                          <w:szCs w:val="20"/>
                        </w:rPr>
                        <w:t>L. donovani</w:t>
                      </w:r>
                      <w:r w:rsidRPr="00CB55EB">
                        <w:rPr>
                          <w:sz w:val="20"/>
                          <w:szCs w:val="20"/>
                        </w:rPr>
                        <w:t xml:space="preserve"> in the liver. Within the myeloid population, cells may either be susceptible to infection</w:t>
                      </w:r>
                      <w:r w:rsidRPr="006C7AF1">
                        <w:rPr>
                          <w:sz w:val="20"/>
                          <w:szCs w:val="20"/>
                        </w:rPr>
                        <w:t xml:space="preserve"> or infected, their infection status impacts on their activities within the system and is denoted by the diamond, representing a decision node.</w:t>
                      </w:r>
                      <w:bookmarkEnd w:id="456"/>
                      <w:bookmarkEnd w:id="457"/>
                    </w:p>
                  </w:txbxContent>
                </v:textbox>
                <w10:wrap type="topAndBottom"/>
              </v:shape>
            </w:pict>
          </mc:Fallback>
        </mc:AlternateContent>
      </w:r>
      <w:r w:rsidR="006C7AF1" w:rsidRPr="004A75C8">
        <w:rPr>
          <w:b/>
        </w:rPr>
        <w:fldChar w:fldCharType="begin"/>
      </w:r>
      <w:r w:rsidR="006C7AF1" w:rsidRPr="004A75C8">
        <w:rPr>
          <w:b/>
        </w:rPr>
        <w:instrText xml:space="preserve"> REF _Ref518634477 </w:instrText>
      </w:r>
      <w:r w:rsidR="00E418DD" w:rsidRPr="004A75C8">
        <w:rPr>
          <w:b/>
        </w:rPr>
        <w:instrText xml:space="preserve"> \* MERGEFORMAT </w:instrText>
      </w:r>
      <w:r w:rsidR="006C7AF1" w:rsidRPr="004A75C8">
        <w:rPr>
          <w:b/>
        </w:rPr>
        <w:fldChar w:fldCharType="separate"/>
      </w:r>
      <w:r w:rsidR="00F30350" w:rsidRPr="00F30350">
        <w:rPr>
          <w:b/>
        </w:rPr>
        <w:t>Figure 4.19</w:t>
      </w:r>
      <w:r w:rsidR="006C7AF1" w:rsidRPr="004A75C8">
        <w:rPr>
          <w:b/>
        </w:rPr>
        <w:fldChar w:fldCharType="end"/>
      </w:r>
      <w:r w:rsidR="006C7AF1" w:rsidRPr="008B3AD6">
        <w:rPr>
          <w:b/>
        </w:rPr>
        <w:t xml:space="preserve"> </w:t>
      </w:r>
      <w:r w:rsidR="00451F5D" w:rsidRPr="008B3AD6">
        <w:t xml:space="preserve">shows the activities for </w:t>
      </w:r>
      <w:r w:rsidR="004A75C8">
        <w:t xml:space="preserve">these </w:t>
      </w:r>
      <w:r w:rsidR="00B169B4" w:rsidRPr="008B3AD6">
        <w:t>m</w:t>
      </w:r>
      <w:r w:rsidR="00451F5D" w:rsidRPr="008B3AD6">
        <w:t>yeloid cells</w:t>
      </w:r>
      <w:r w:rsidR="004A75C8">
        <w:t xml:space="preserve"> within the platform model</w:t>
      </w:r>
      <w:r w:rsidR="00451F5D" w:rsidRPr="008B3AD6">
        <w:t xml:space="preserve">. </w:t>
      </w:r>
      <w:r w:rsidR="004A75C8">
        <w:t>B</w:t>
      </w:r>
      <w:r w:rsidR="00451F5D" w:rsidRPr="008B3AD6">
        <w:t>iologically</w:t>
      </w:r>
      <w:r w:rsidR="004A75C8">
        <w:t>,</w:t>
      </w:r>
      <w:r w:rsidR="00451F5D" w:rsidRPr="008B3AD6">
        <w:t xml:space="preserve"> the successful phagocytosis of a parasite is dependent on receptor binding on the surface of the host cell, this is a key feature of the initialisation of hepatic infection which is retained within the platform, represented as a contact-dependent process: </w:t>
      </w:r>
      <w:r w:rsidR="00451F5D" w:rsidRPr="008B3AD6">
        <w:rPr>
          <w:i/>
        </w:rPr>
        <w:t xml:space="preserve">Myeloid cell </w:t>
      </w:r>
      <w:r w:rsidR="00451F5D" w:rsidRPr="008B3AD6">
        <w:rPr>
          <w:i/>
        </w:rPr>
        <w:lastRenderedPageBreak/>
        <w:t xml:space="preserve">infection = Probability of Successful Contact </w:t>
      </w:r>
      <w:r w:rsidR="00451F5D" w:rsidRPr="008B3AD6">
        <w:t>x</w:t>
      </w:r>
      <w:r w:rsidR="00451F5D" w:rsidRPr="008B3AD6">
        <w:rPr>
          <w:i/>
        </w:rPr>
        <w:t xml:space="preserve"> Susceptible Myeloid Cells </w:t>
      </w:r>
      <w:r w:rsidR="00451F5D" w:rsidRPr="008B3AD6">
        <w:t>x</w:t>
      </w:r>
      <w:r w:rsidR="00451F5D" w:rsidRPr="008B3AD6">
        <w:rPr>
          <w:i/>
        </w:rPr>
        <w:t xml:space="preserve"> Extracellular L.</w:t>
      </w:r>
      <w:r w:rsidR="00B1673D" w:rsidRPr="008B3AD6">
        <w:rPr>
          <w:i/>
        </w:rPr>
        <w:t xml:space="preserve"> </w:t>
      </w:r>
      <w:r w:rsidR="00451F5D" w:rsidRPr="008B3AD6">
        <w:rPr>
          <w:i/>
        </w:rPr>
        <w:t>donovani</w:t>
      </w:r>
      <w:r w:rsidR="00451F5D" w:rsidRPr="008B3AD6">
        <w:t>. As stated in the domain</w:t>
      </w:r>
      <w:r w:rsidR="004A75C8">
        <w:t xml:space="preserve"> model</w:t>
      </w:r>
      <w:r w:rsidR="00451F5D" w:rsidRPr="008B3AD6">
        <w:t xml:space="preserve"> an infected myeloid</w:t>
      </w:r>
      <w:r w:rsidR="004A75C8">
        <w:t xml:space="preserve"> or </w:t>
      </w:r>
      <w:r w:rsidR="000F4AAE">
        <w:t>KC</w:t>
      </w:r>
      <w:r w:rsidR="00451F5D" w:rsidRPr="008B3AD6">
        <w:t xml:space="preserve"> may burst or be lysed as a consequence of infection. T cell lysis of infected cells is a well described process </w:t>
      </w:r>
      <w:r w:rsidR="00451F5D" w:rsidRPr="008B3AD6">
        <w:fldChar w:fldCharType="begin"/>
      </w:r>
      <w:r w:rsidR="00812605" w:rsidRPr="008B3AD6">
        <w:instrText xml:space="preserve"> ADDIN ZOTERO_ITEM CSL_CITATION {"citationID":"EZ4TsJPI","properties":{"formattedCitation":"(St\\uc0\\u228{}ger and Rafati 2012)","plainCitation":"(Stäger and Rafati 2012)","noteIndex":0},"citationItems":[{"id":2765,"uris":["http://zotero.org/users/2628971/items/PQBRJN3G"],"uri":["http://zotero.org/users/2628971/items/PQBRJN3G"],"itemData":{"id":2765,"type":"article-journal","title":"CD8(+) T cells in leishmania infections: friends or foes?","container-title":"Frontiers in Immunology","page":"5","volume":"3","source":"PubMed","abstract":"Host protection against several intracellular pathogens requires the induction of CD8(+) T cell responses. CD8(+) T cells are potent effector cells that can produce high amounts of pro-inflammatory cytokines and kill infected target cells efficiently. However, a protective role for CD8(+) T cells during Leishmania infections is still controversial and largely depends on the infection model. In this review, we discuss the role of CD8(+) T cells during various types of Leishmania infections, following vaccination, and as potential immunotherapeutic targets.","DOI":"10.3389/fimmu.2012.00005","ISSN":"1664-3224","note":"PMID: 22566891\nPMCID: PMC3342007","shortTitle":"CD8(+) T cells in leishmania infections","journalAbbreviation":"Front Immunol","language":"eng","author":[{"family":"Stäger","given":"Simona"},{"family":"Rafati","given":"Sima"}],"issued":{"date-parts":[["2012"]]}}}],"schema":"https://github.com/citation-style-language/schema/raw/master/csl-citation.json"} </w:instrText>
      </w:r>
      <w:r w:rsidR="00451F5D" w:rsidRPr="008B3AD6">
        <w:fldChar w:fldCharType="separate"/>
      </w:r>
      <w:r w:rsidR="00451F5D" w:rsidRPr="008B3AD6">
        <w:t>(Stäger and Rafati 2012)</w:t>
      </w:r>
      <w:r w:rsidR="00451F5D" w:rsidRPr="008B3AD6">
        <w:fldChar w:fldCharType="end"/>
      </w:r>
      <w:r w:rsidR="00451F5D" w:rsidRPr="008B3AD6">
        <w:t xml:space="preserve">, but the magnitude of this effect is still uncertain for </w:t>
      </w:r>
      <w:r w:rsidR="004A75C8">
        <w:t xml:space="preserve">cells infected with </w:t>
      </w:r>
      <w:r w:rsidR="004A75C8">
        <w:rPr>
          <w:i/>
        </w:rPr>
        <w:t>Leishmania</w:t>
      </w:r>
      <w:r w:rsidR="00451F5D" w:rsidRPr="008B3AD6">
        <w:t xml:space="preserve"> </w:t>
      </w:r>
      <w:r w:rsidR="00451F5D" w:rsidRPr="008B3AD6">
        <w:fldChar w:fldCharType="begin"/>
      </w:r>
      <w:r w:rsidR="007A6EED">
        <w:instrText xml:space="preserve"> ADDIN ZOTERO_ITEM CSL_CITATION {"citationID":"RBggDtAs","properties":{"formattedCitation":"(Kaushal et al. 2014; Beattie, Peltan, et al. 2010a)","plainCitation":"(Kaushal et al. 2014; Beattie, Peltan, et al. 2010a)","noteIndex":0},"citationItems":[{"id":2583,"uris":["http://zotero.org/users/2628971/items/I7MLPYNG"],"uri":["http://zotero.org/users/2628971/items/I7MLPYNG"],"itemData":{"id":2583,"type":"article-journal","title":"Role of CD8+ T cells in protection against Leishmania donovani infection in healed Visceral Leishmaniasis individuals","container-title":"BMC Infectious Diseases","volume":"14","source":"PubMed Central","abstract":"Background\nMajority of individuals with history of visceral leishmaniasis (VL) exhibit strong immunity to re-infection, however, the mechanism of resistance is poorly understood. It is unclear whether CD8+ T cells contribute to protection against Leishmania donovani infection through cytotoxic activity. The present study aims to evaluate immunological mechanism associated with resistance to the disease in healed VL (HVL) individuals and further, the contribution of CD8+ T cells in the protective immunity.\n\nMethods\nPeripheral blood mononuclear cells (PBMCs) from VL, HVL and naive groups were exposed in vitro to total soluble Leishmania antigen (TSLA) from L. donovani. The proliferation index was determined by ELISA based lymphoproliferative assay. Cytokines and granzyme B levels were measured by CBA. Activated T-cell populations were estimated using flow cytometry.\n\nResults\nWe observed significantly higher lymphoproliferation, cytokines and granzyme B levels in HVL group compared to naive or VL group. More strikingly, we found a strong association (rs = 0.895, P &lt; 0.0001) between proliferation index (PI) and granzyme B level, with a significant proportion of activated CD8+ T cells in HVL group.\n\nConclusions\nLeishmania immune group (HVL) exhibited durable and strong cellular immune response to TSLA in terms of lymphoproliferation as well as production of Th1 cytokines and granzyme B. Additionally, the elevated level of activated CD8+ T cells and stimulation of cytotoxic activity through granzyme B production, indicated a possible role of CD8+ T cells in resistance to L. donovani infection in the HVL group.\n\nElectronic supplementary material\nThe online version of this article (doi:10.1186/s12879-014-0653-6) contains supplementary material, which is available to authorized users.","URL":"https://www.ncbi.nlm.nih.gov/pmc/articles/PMC4258298/","DOI":"10.1186/s12879-014-0653-6","ISSN":"1471-2334","note":"PMID: 25471494\nPMCID: PMC4258298","journalAbbreviation":"BMC Infect Dis","author":[{"family":"Kaushal","given":"Himanshu"},{"family":"Bras-Gonçalves","given":"Rachel"},{"family":"Negi","given":"Narender Singh"},{"family":"Lemesre","given":"Jean-Loup"},{"family":"Papierok","given":"Gérard"},{"family":"Salotra","given":"Poonam"}],"issued":{"date-parts":[["2014",12,3]]},"accessed":{"date-parts":[["2018",6,14]]}}},{"id":2505,"uris":["http://zotero.org/users/2628971/items/6C2KJJIV"],"uri":["http://zotero.org/users/2628971/items/6C2KJJIV"],"itemData":{"id":2505,"type":"article-journal","title":"Dynamic Imaging of Experimental Leishmania donovani-Induced Hepatic Granulomas Detects Kupffer Cell-Restricted Antigen Presentation to Antigen-Specific CD8+ T Cells","container-title":"PLOS Pathogens","page":"e1000805","volume":"6","issue":"3","source":"PLoS Journals","abstract":"Kupffer cells (KCs) represent the major phagocytic population within the liver and provide an intracellular niche for the survival of a number of important human pathogens. Although KCs have been extensively studied in vitro, little is known of their in vivo response to infection and their capacity to directly interact with antigen-specific CD8+ T cells. Here, using a combination of approaches including whole mount and thin section confocal microscopy, adoptive cell transfer and intra-vital 2-photon microscopy, we demonstrate that KCs represent the only detectable population of mononuclear phagocytes within granulomas induced by Leishmania donovani infection that are capable of presenting parasite-derived peptide to effector CD8+ T cells. This restriction of antigen presentation to KCs within the Leishmania granuloma has important implications for the identification of new candidate vaccine antigens and for the design of novel immuno-therapeutic interventions.","DOI":"10.1371/journal.ppat.1000805","ISSN":"1553-7374","journalAbbreviation":"PLOS Pathogens","language":"en","author":[{"family":"Beattie","given":"Lynette"},{"family":"Peltan","given":"Adam"},{"family":"Maroof","given":"Asher"},{"family":"Kirby","given":"Alun"},{"family":"Brown","given":"Najmeeyah"},{"family":"Coles","given":"Mark"},{"family":"Smith","given":"Deborah F."},{"family":"Kaye","given":"Paul M."}],"issued":{"date-parts":[["2010",3,12]]}}}],"schema":"https://github.com/citation-style-language/schema/raw/master/csl-citation.json"} </w:instrText>
      </w:r>
      <w:r w:rsidR="00451F5D" w:rsidRPr="008B3AD6">
        <w:fldChar w:fldCharType="separate"/>
      </w:r>
      <w:r w:rsidR="007A6EED">
        <w:t>(Kaushal et al. 2014; Beattie et al. 2010)</w:t>
      </w:r>
      <w:r w:rsidR="00451F5D" w:rsidRPr="008B3AD6">
        <w:fldChar w:fldCharType="end"/>
      </w:r>
      <w:r w:rsidR="00451F5D" w:rsidRPr="008B3AD6">
        <w:t xml:space="preserve">, additionally the process of cell bursting lacks strong enough evidence to be able to implement with high confidence, thus these processes </w:t>
      </w:r>
      <w:r w:rsidR="004A75C8">
        <w:t>are not incorporated.</w:t>
      </w:r>
      <w:r w:rsidR="000B16CE">
        <w:t xml:space="preserve"> </w:t>
      </w:r>
      <w:r w:rsidR="004A75C8">
        <w:t>Myeloid cell proliferation is also spec</w:t>
      </w:r>
      <w:r w:rsidR="000B16CE">
        <w:t>ified within the platform model</w:t>
      </w:r>
      <w:r w:rsidR="004A75C8">
        <w:t xml:space="preserve"> </w:t>
      </w:r>
      <w:r w:rsidR="00451F5D" w:rsidRPr="008B3AD6">
        <w:t xml:space="preserve">implemented as a function of </w:t>
      </w:r>
      <w:r w:rsidR="004A75C8">
        <w:t>depend</w:t>
      </w:r>
      <w:r w:rsidR="000B16CE">
        <w:t>ent-density growth.</w:t>
      </w:r>
      <w:r w:rsidR="00451F5D" w:rsidRPr="008B3AD6">
        <w:t xml:space="preserve"> This is represented as </w:t>
      </w:r>
      <w:r w:rsidR="00451F5D" w:rsidRPr="008B3AD6">
        <w:rPr>
          <w:i/>
        </w:rPr>
        <w:t xml:space="preserve">Myeloid cell growth = (Myeloid Cells </w:t>
      </w:r>
      <w:r w:rsidR="00451F5D" w:rsidRPr="008B3AD6">
        <w:t>x</w:t>
      </w:r>
      <w:r w:rsidR="00451F5D" w:rsidRPr="008B3AD6">
        <w:rPr>
          <w:i/>
        </w:rPr>
        <w:t xml:space="preserve"> Myeloid Cell Growth Rate)</w:t>
      </w:r>
      <w:r w:rsidR="00451F5D" w:rsidRPr="008B3AD6">
        <w:t xml:space="preserve"> x</w:t>
      </w:r>
      <w:r w:rsidR="00451F5D" w:rsidRPr="008B3AD6">
        <w:rPr>
          <w:i/>
        </w:rPr>
        <w:t xml:space="preserve"> (1- (Myeloid Cells)/(Myeloid  Cell Population Max.))</w:t>
      </w:r>
    </w:p>
    <w:p w14:paraId="3E66D9CF" w14:textId="544DF0EF" w:rsidR="00451F5D" w:rsidRPr="008B3AD6" w:rsidRDefault="00451F5D" w:rsidP="009154C0">
      <w:pPr>
        <w:spacing w:line="360" w:lineRule="auto"/>
        <w:jc w:val="both"/>
      </w:pPr>
    </w:p>
    <w:p w14:paraId="0ABE9E50" w14:textId="54FF0F7D" w:rsidR="00451F5D" w:rsidRPr="008B3AD6" w:rsidRDefault="002D2824" w:rsidP="009154C0">
      <w:pPr>
        <w:spacing w:line="360" w:lineRule="auto"/>
        <w:jc w:val="both"/>
      </w:pPr>
      <w:r>
        <w:rPr>
          <w:noProof/>
        </w:rPr>
        <w:drawing>
          <wp:anchor distT="0" distB="0" distL="114300" distR="114300" simplePos="0" relativeHeight="251276288" behindDoc="0" locked="0" layoutInCell="1" allowOverlap="1" wp14:anchorId="6842148C" wp14:editId="5D2B9627">
            <wp:simplePos x="0" y="0"/>
            <wp:positionH relativeFrom="column">
              <wp:posOffset>430823</wp:posOffset>
            </wp:positionH>
            <wp:positionV relativeFrom="paragraph">
              <wp:posOffset>1504364</wp:posOffset>
            </wp:positionV>
            <wp:extent cx="4519295" cy="2787134"/>
            <wp:effectExtent l="0" t="0" r="1905" b="0"/>
            <wp:wrapTopAndBottom/>
            <wp:docPr id="509" name="Picture 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9" name="Picture 509"/>
                    <pic:cNvPicPr>
                      <a:picLocks noChangeAspect="1"/>
                    </pic:cNvPicPr>
                  </pic:nvPicPr>
                  <pic:blipFill rotWithShape="1">
                    <a:blip r:embed="rId66">
                      <a:extLst>
                        <a:ext uri="{28A0092B-C50C-407E-A947-70E740481C1C}">
                          <a14:useLocalDpi xmlns:a14="http://schemas.microsoft.com/office/drawing/2010/main" val="0"/>
                        </a:ext>
                      </a:extLst>
                    </a:blip>
                    <a:srcRect l="25792" t="26754" r="25308" b="30679"/>
                    <a:stretch/>
                  </pic:blipFill>
                  <pic:spPr bwMode="auto">
                    <a:xfrm>
                      <a:off x="0" y="0"/>
                      <a:ext cx="4519295" cy="2787134"/>
                    </a:xfrm>
                    <a:prstGeom prst="rect">
                      <a:avLst/>
                    </a:prstGeom>
                    <a:ln>
                      <a:noFill/>
                    </a:ln>
                    <a:extLst>
                      <a:ext uri="{53640926-AAD7-44D8-BBD7-CCE9431645EC}">
                        <a14:shadowObscured xmlns:a14="http://schemas.microsoft.com/office/drawing/2010/main"/>
                      </a:ext>
                    </a:extLst>
                  </pic:spPr>
                </pic:pic>
              </a:graphicData>
            </a:graphic>
          </wp:anchor>
        </w:drawing>
      </w:r>
      <w:r>
        <w:rPr>
          <w:noProof/>
        </w:rPr>
        <mc:AlternateContent>
          <mc:Choice Requires="wps">
            <w:drawing>
              <wp:anchor distT="0" distB="0" distL="114300" distR="114300" simplePos="0" relativeHeight="251277312" behindDoc="0" locked="0" layoutInCell="1" allowOverlap="1" wp14:anchorId="1AB084DA" wp14:editId="6C2C4BA7">
                <wp:simplePos x="0" y="0"/>
                <wp:positionH relativeFrom="column">
                  <wp:posOffset>-61546</wp:posOffset>
                </wp:positionH>
                <wp:positionV relativeFrom="paragraph">
                  <wp:posOffset>4346195</wp:posOffset>
                </wp:positionV>
                <wp:extent cx="5598795" cy="919909"/>
                <wp:effectExtent l="0" t="0" r="1905" b="0"/>
                <wp:wrapTopAndBottom/>
                <wp:docPr id="510" name="Text Box 510"/>
                <wp:cNvGraphicFramePr/>
                <a:graphic xmlns:a="http://schemas.openxmlformats.org/drawingml/2006/main">
                  <a:graphicData uri="http://schemas.microsoft.com/office/word/2010/wordprocessingShape">
                    <wps:wsp>
                      <wps:cNvSpPr txBox="1"/>
                      <wps:spPr>
                        <a:xfrm>
                          <a:off x="0" y="0"/>
                          <a:ext cx="5598795" cy="919909"/>
                        </a:xfrm>
                        <a:prstGeom prst="rect">
                          <a:avLst/>
                        </a:prstGeom>
                        <a:solidFill>
                          <a:prstClr val="white"/>
                        </a:solidFill>
                        <a:ln>
                          <a:noFill/>
                        </a:ln>
                      </wps:spPr>
                      <wps:txbx>
                        <w:txbxContent>
                          <w:p w14:paraId="5571D130" w14:textId="24EEB09E" w:rsidR="00F61130" w:rsidRPr="00946CC0" w:rsidRDefault="00F61130" w:rsidP="009A7895">
                            <w:pPr>
                              <w:pStyle w:val="Caption"/>
                              <w:spacing w:line="360" w:lineRule="auto"/>
                              <w:jc w:val="both"/>
                              <w:rPr>
                                <w:noProof/>
                                <w:sz w:val="20"/>
                                <w:szCs w:val="20"/>
                              </w:rPr>
                            </w:pPr>
                            <w:bookmarkStart w:id="458" w:name="_Ref518635112"/>
                            <w:bookmarkStart w:id="459" w:name="_Toc525227225"/>
                            <w:bookmarkStart w:id="460" w:name="_Toc536814164"/>
                            <w:r w:rsidRPr="00946CC0">
                              <w:rPr>
                                <w:b/>
                                <w:sz w:val="20"/>
                                <w:szCs w:val="20"/>
                              </w:rPr>
                              <w:t xml:space="preserve">Figure </w:t>
                            </w:r>
                            <w:r>
                              <w:rPr>
                                <w:b/>
                                <w:sz w:val="20"/>
                                <w:szCs w:val="20"/>
                              </w:rPr>
                              <w:fldChar w:fldCharType="begin"/>
                            </w:r>
                            <w:r>
                              <w:rPr>
                                <w:b/>
                                <w:sz w:val="20"/>
                                <w:szCs w:val="20"/>
                              </w:rPr>
                              <w:instrText xml:space="preserve"> STYLEREF 1 \s </w:instrText>
                            </w:r>
                            <w:r>
                              <w:rPr>
                                <w:b/>
                                <w:sz w:val="20"/>
                                <w:szCs w:val="20"/>
                              </w:rPr>
                              <w:fldChar w:fldCharType="separate"/>
                            </w:r>
                            <w:r>
                              <w:rPr>
                                <w:b/>
                                <w:noProof/>
                                <w:sz w:val="20"/>
                                <w:szCs w:val="20"/>
                              </w:rPr>
                              <w:t>4</w:t>
                            </w:r>
                            <w:r>
                              <w:rPr>
                                <w:b/>
                                <w:sz w:val="20"/>
                                <w:szCs w:val="20"/>
                              </w:rPr>
                              <w:fldChar w:fldCharType="end"/>
                            </w:r>
                            <w:r>
                              <w:rPr>
                                <w:b/>
                                <w:sz w:val="20"/>
                                <w:szCs w:val="20"/>
                              </w:rPr>
                              <w:t>.</w:t>
                            </w:r>
                            <w:r>
                              <w:rPr>
                                <w:b/>
                                <w:sz w:val="20"/>
                                <w:szCs w:val="20"/>
                              </w:rPr>
                              <w:fldChar w:fldCharType="begin"/>
                            </w:r>
                            <w:r>
                              <w:rPr>
                                <w:b/>
                                <w:sz w:val="20"/>
                                <w:szCs w:val="20"/>
                              </w:rPr>
                              <w:instrText xml:space="preserve"> SEQ Figure \* ARABIC \s 1 </w:instrText>
                            </w:r>
                            <w:r>
                              <w:rPr>
                                <w:b/>
                                <w:sz w:val="20"/>
                                <w:szCs w:val="20"/>
                              </w:rPr>
                              <w:fldChar w:fldCharType="separate"/>
                            </w:r>
                            <w:r>
                              <w:rPr>
                                <w:b/>
                                <w:noProof/>
                                <w:sz w:val="20"/>
                                <w:szCs w:val="20"/>
                              </w:rPr>
                              <w:t>20</w:t>
                            </w:r>
                            <w:r>
                              <w:rPr>
                                <w:b/>
                                <w:sz w:val="20"/>
                                <w:szCs w:val="20"/>
                              </w:rPr>
                              <w:fldChar w:fldCharType="end"/>
                            </w:r>
                            <w:bookmarkEnd w:id="458"/>
                            <w:r w:rsidRPr="00946CC0">
                              <w:rPr>
                                <w:b/>
                                <w:sz w:val="20"/>
                                <w:szCs w:val="20"/>
                              </w:rPr>
                              <w:t xml:space="preserve">- Platform model state diagram of a myeloid cell during </w:t>
                            </w:r>
                            <w:r>
                              <w:rPr>
                                <w:b/>
                                <w:sz w:val="20"/>
                                <w:szCs w:val="20"/>
                              </w:rPr>
                              <w:t>h</w:t>
                            </w:r>
                            <w:r w:rsidRPr="009A7602">
                              <w:rPr>
                                <w:b/>
                                <w:sz w:val="20"/>
                                <w:szCs w:val="20"/>
                              </w:rPr>
                              <w:t xml:space="preserve">epatic </w:t>
                            </w:r>
                            <w:r>
                              <w:rPr>
                                <w:b/>
                                <w:sz w:val="20"/>
                                <w:szCs w:val="20"/>
                              </w:rPr>
                              <w:t xml:space="preserve">infection with </w:t>
                            </w:r>
                            <w:r>
                              <w:rPr>
                                <w:b/>
                                <w:i/>
                                <w:sz w:val="20"/>
                                <w:szCs w:val="20"/>
                              </w:rPr>
                              <w:t>L. donovani</w:t>
                            </w:r>
                            <w:r w:rsidRPr="00946CC0">
                              <w:rPr>
                                <w:b/>
                                <w:sz w:val="20"/>
                                <w:szCs w:val="20"/>
                              </w:rPr>
                              <w:t>.</w:t>
                            </w:r>
                            <w:r w:rsidRPr="00946CC0">
                              <w:rPr>
                                <w:sz w:val="20"/>
                                <w:szCs w:val="20"/>
                              </w:rPr>
                              <w:t xml:space="preserve"> </w:t>
                            </w:r>
                            <w:r>
                              <w:rPr>
                                <w:sz w:val="20"/>
                                <w:szCs w:val="20"/>
                              </w:rPr>
                              <w:t>UML-like</w:t>
                            </w:r>
                            <w:r w:rsidRPr="00946CC0">
                              <w:rPr>
                                <w:sz w:val="20"/>
                                <w:szCs w:val="20"/>
                              </w:rPr>
                              <w:t xml:space="preserve"> notation of the state(s) a myeloid cell may exist in </w:t>
                            </w:r>
                            <w:r w:rsidRPr="00CB55EB">
                              <w:rPr>
                                <w:sz w:val="20"/>
                                <w:szCs w:val="20"/>
                              </w:rPr>
                              <w:t xml:space="preserve">during hepatic infection with </w:t>
                            </w:r>
                            <w:r w:rsidRPr="00CB55EB">
                              <w:rPr>
                                <w:i/>
                                <w:sz w:val="20"/>
                                <w:szCs w:val="20"/>
                              </w:rPr>
                              <w:t>L. donovani</w:t>
                            </w:r>
                            <w:r w:rsidRPr="00CB55EB">
                              <w:rPr>
                                <w:sz w:val="20"/>
                                <w:szCs w:val="20"/>
                              </w:rPr>
                              <w:t>. Myeloid</w:t>
                            </w:r>
                            <w:r w:rsidRPr="00946CC0">
                              <w:rPr>
                                <w:sz w:val="20"/>
                                <w:szCs w:val="20"/>
                              </w:rPr>
                              <w:t xml:space="preserve"> cells, within the platform model, only exist as naïve or susceptible entities, dependent on contact with </w:t>
                            </w:r>
                            <w:r w:rsidRPr="00946CC0">
                              <w:rPr>
                                <w:i/>
                                <w:sz w:val="20"/>
                                <w:szCs w:val="20"/>
                              </w:rPr>
                              <w:t>Leishmania donovani</w:t>
                            </w:r>
                            <w:r w:rsidRPr="00946CC0">
                              <w:rPr>
                                <w:sz w:val="20"/>
                                <w:szCs w:val="20"/>
                              </w:rPr>
                              <w:t>, and exit the system upon death.</w:t>
                            </w:r>
                            <w:bookmarkEnd w:id="459"/>
                            <w:bookmarkEnd w:id="460"/>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1AB084DA" id="Text Box 510" o:spid="_x0000_s1120" type="#_x0000_t202" style="position:absolute;left:0;text-align:left;margin-left:-4.85pt;margin-top:342.2pt;width:440.85pt;height:72.45pt;z-index:2512773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szng9MwIAAGwEAAAOAAAAZHJzL2Uyb0RvYy54bWysVFFv2yAQfp+0/4B4X5xUy1ZbcaosVaZJ&#13;&#10;UVspmfpMMI6RgGNAYme/fge2067b07QXfNwdH3zf3Xlx12lFzsJ5Caaks8mUEmE4VNIcS/p9v/lw&#13;&#10;S4kPzFRMgRElvQhP75bv3y1aW4gbaEBVwhEEMb5obUmbEGyRZZ43QjM/ASsMBmtwmgXcumNWOdYi&#13;&#10;ulbZzXT6KWvBVdYBF96j974P0mXCr2vBw2NdexGIKim+LaTVpfUQ12y5YMXRMdtIPjyD/cMrNJMG&#13;&#10;L71C3bPAyMnJP6C05A481GHCQWdQ15KLxAHZzKZv2OwaZkXiguJ4e5XJ/z9Y/nB+ckRWJZ3PUB/D&#13;&#10;NBZpL7pAvkBHog8Vaq0vMHFnMTV0GMBKj36Pzki8q52OX6REMI5Yl6u+EY6jcz7Pbz/nc0o4xvJZ&#13;&#10;nk/zCJO9nLbOh68CNIlGSR3WL8nKzlsf+tQxJV7mQclqI5WKmxhYK0fODGvdNjKIAfy3LGViroF4&#13;&#10;qgeMnixS7KlEK3SHLomSfxx5HqC6IH0HfQt5yzcSL9wyH56Yw55BxjgH4RGXWkFbUhgsShpwP//m&#13;&#10;j/lYSoxS0mIPltT/ODEnKFHfDBY5NuxouNE4jIY56TUg1RlOmOXJxAMuqNGsHehnHI9VvAVDzHC8&#13;&#10;q6RhNNehnwQcLy5Wq5SEbWlZ2Jqd5RF6FHbfPTNnh7IELOgDjN3JijfV6XN7mVenALVMpYvC9ioO&#13;&#10;emNLp+IP4xdn5vU+Zb38JJa/AAAA//8DAFBLAwQUAAYACAAAACEANRpBbeQAAAAPAQAADwAAAGRy&#13;&#10;cy9kb3ducmV2LnhtbEyPQU/DMAyF70j8h8hIXNCWUqat65pOsMINDhvTzl4T2orGqZp07f495gQX&#13;&#10;y5afP7+XbSfbiovpfeNIweM8AmGodLqhSsHx822WgPABSWPryCi4Gg/b/PYmw1S7kfbmcgiVYAj5&#13;&#10;FBXUIXSplL6sjUU/d50h3n253mLgsa+k7nFkuG1lHEVLabEh/lBjZ3a1Kb8Pg1WwLPph3NPuoTi+&#13;&#10;vuNHV8Wnl+tJqfu7qdhwed6ACGYKfxfwm4H9Q87Gzm4g7UWrYLZesZKByWIBggXJKuaEZ27i9RPI&#13;&#10;PJP/c+Q/AAAA//8DAFBLAQItABQABgAIAAAAIQC2gziS/gAAAOEBAAATAAAAAAAAAAAAAAAAAAAA&#13;&#10;AABbQ29udGVudF9UeXBlc10ueG1sUEsBAi0AFAAGAAgAAAAhADj9If/WAAAAlAEAAAsAAAAAAAAA&#13;&#10;AAAAAAAALwEAAF9yZWxzLy5yZWxzUEsBAi0AFAAGAAgAAAAhACzOeD0zAgAAbAQAAA4AAAAAAAAA&#13;&#10;AAAAAAAALgIAAGRycy9lMm9Eb2MueG1sUEsBAi0AFAAGAAgAAAAhADUaQW3kAAAADwEAAA8AAAAA&#13;&#10;AAAAAAAAAAAAjQQAAGRycy9kb3ducmV2LnhtbFBLBQYAAAAABAAEAPMAAACeBQAAAAA=&#13;&#10;" stroked="f">
                <v:textbox inset="0,0,0,0">
                  <w:txbxContent>
                    <w:p w14:paraId="5571D130" w14:textId="24EEB09E" w:rsidR="00F61130" w:rsidRPr="00946CC0" w:rsidRDefault="00F61130" w:rsidP="009A7895">
                      <w:pPr>
                        <w:pStyle w:val="Caption"/>
                        <w:spacing w:line="360" w:lineRule="auto"/>
                        <w:jc w:val="both"/>
                        <w:rPr>
                          <w:noProof/>
                          <w:sz w:val="20"/>
                          <w:szCs w:val="20"/>
                        </w:rPr>
                      </w:pPr>
                      <w:bookmarkStart w:id="461" w:name="_Ref518635112"/>
                      <w:bookmarkStart w:id="462" w:name="_Toc525227225"/>
                      <w:bookmarkStart w:id="463" w:name="_Toc536814164"/>
                      <w:r w:rsidRPr="00946CC0">
                        <w:rPr>
                          <w:b/>
                          <w:sz w:val="20"/>
                          <w:szCs w:val="20"/>
                        </w:rPr>
                        <w:t xml:space="preserve">Figure </w:t>
                      </w:r>
                      <w:r>
                        <w:rPr>
                          <w:b/>
                          <w:sz w:val="20"/>
                          <w:szCs w:val="20"/>
                        </w:rPr>
                        <w:fldChar w:fldCharType="begin"/>
                      </w:r>
                      <w:r>
                        <w:rPr>
                          <w:b/>
                          <w:sz w:val="20"/>
                          <w:szCs w:val="20"/>
                        </w:rPr>
                        <w:instrText xml:space="preserve"> STYLEREF 1 \s </w:instrText>
                      </w:r>
                      <w:r>
                        <w:rPr>
                          <w:b/>
                          <w:sz w:val="20"/>
                          <w:szCs w:val="20"/>
                        </w:rPr>
                        <w:fldChar w:fldCharType="separate"/>
                      </w:r>
                      <w:r>
                        <w:rPr>
                          <w:b/>
                          <w:noProof/>
                          <w:sz w:val="20"/>
                          <w:szCs w:val="20"/>
                        </w:rPr>
                        <w:t>4</w:t>
                      </w:r>
                      <w:r>
                        <w:rPr>
                          <w:b/>
                          <w:sz w:val="20"/>
                          <w:szCs w:val="20"/>
                        </w:rPr>
                        <w:fldChar w:fldCharType="end"/>
                      </w:r>
                      <w:r>
                        <w:rPr>
                          <w:b/>
                          <w:sz w:val="20"/>
                          <w:szCs w:val="20"/>
                        </w:rPr>
                        <w:t>.</w:t>
                      </w:r>
                      <w:r>
                        <w:rPr>
                          <w:b/>
                          <w:sz w:val="20"/>
                          <w:szCs w:val="20"/>
                        </w:rPr>
                        <w:fldChar w:fldCharType="begin"/>
                      </w:r>
                      <w:r>
                        <w:rPr>
                          <w:b/>
                          <w:sz w:val="20"/>
                          <w:szCs w:val="20"/>
                        </w:rPr>
                        <w:instrText xml:space="preserve"> SEQ Figure \* ARABIC \s 1 </w:instrText>
                      </w:r>
                      <w:r>
                        <w:rPr>
                          <w:b/>
                          <w:sz w:val="20"/>
                          <w:szCs w:val="20"/>
                        </w:rPr>
                        <w:fldChar w:fldCharType="separate"/>
                      </w:r>
                      <w:r>
                        <w:rPr>
                          <w:b/>
                          <w:noProof/>
                          <w:sz w:val="20"/>
                          <w:szCs w:val="20"/>
                        </w:rPr>
                        <w:t>20</w:t>
                      </w:r>
                      <w:r>
                        <w:rPr>
                          <w:b/>
                          <w:sz w:val="20"/>
                          <w:szCs w:val="20"/>
                        </w:rPr>
                        <w:fldChar w:fldCharType="end"/>
                      </w:r>
                      <w:bookmarkEnd w:id="461"/>
                      <w:r w:rsidRPr="00946CC0">
                        <w:rPr>
                          <w:b/>
                          <w:sz w:val="20"/>
                          <w:szCs w:val="20"/>
                        </w:rPr>
                        <w:t xml:space="preserve">- Platform model state diagram of a myeloid cell during </w:t>
                      </w:r>
                      <w:r>
                        <w:rPr>
                          <w:b/>
                          <w:sz w:val="20"/>
                          <w:szCs w:val="20"/>
                        </w:rPr>
                        <w:t>h</w:t>
                      </w:r>
                      <w:r w:rsidRPr="009A7602">
                        <w:rPr>
                          <w:b/>
                          <w:sz w:val="20"/>
                          <w:szCs w:val="20"/>
                        </w:rPr>
                        <w:t xml:space="preserve">epatic </w:t>
                      </w:r>
                      <w:r>
                        <w:rPr>
                          <w:b/>
                          <w:sz w:val="20"/>
                          <w:szCs w:val="20"/>
                        </w:rPr>
                        <w:t xml:space="preserve">infection with </w:t>
                      </w:r>
                      <w:r>
                        <w:rPr>
                          <w:b/>
                          <w:i/>
                          <w:sz w:val="20"/>
                          <w:szCs w:val="20"/>
                        </w:rPr>
                        <w:t>L. donovani</w:t>
                      </w:r>
                      <w:r w:rsidRPr="00946CC0">
                        <w:rPr>
                          <w:b/>
                          <w:sz w:val="20"/>
                          <w:szCs w:val="20"/>
                        </w:rPr>
                        <w:t>.</w:t>
                      </w:r>
                      <w:r w:rsidRPr="00946CC0">
                        <w:rPr>
                          <w:sz w:val="20"/>
                          <w:szCs w:val="20"/>
                        </w:rPr>
                        <w:t xml:space="preserve"> </w:t>
                      </w:r>
                      <w:r>
                        <w:rPr>
                          <w:sz w:val="20"/>
                          <w:szCs w:val="20"/>
                        </w:rPr>
                        <w:t>UML-like</w:t>
                      </w:r>
                      <w:r w:rsidRPr="00946CC0">
                        <w:rPr>
                          <w:sz w:val="20"/>
                          <w:szCs w:val="20"/>
                        </w:rPr>
                        <w:t xml:space="preserve"> notation of the state(s) a myeloid cell may exist in </w:t>
                      </w:r>
                      <w:r w:rsidRPr="00CB55EB">
                        <w:rPr>
                          <w:sz w:val="20"/>
                          <w:szCs w:val="20"/>
                        </w:rPr>
                        <w:t xml:space="preserve">during hepatic infection with </w:t>
                      </w:r>
                      <w:r w:rsidRPr="00CB55EB">
                        <w:rPr>
                          <w:i/>
                          <w:sz w:val="20"/>
                          <w:szCs w:val="20"/>
                        </w:rPr>
                        <w:t>L. donovani</w:t>
                      </w:r>
                      <w:r w:rsidRPr="00CB55EB">
                        <w:rPr>
                          <w:sz w:val="20"/>
                          <w:szCs w:val="20"/>
                        </w:rPr>
                        <w:t>. Myeloid</w:t>
                      </w:r>
                      <w:r w:rsidRPr="00946CC0">
                        <w:rPr>
                          <w:sz w:val="20"/>
                          <w:szCs w:val="20"/>
                        </w:rPr>
                        <w:t xml:space="preserve"> cells, within the platform model, only exist as naïve or susceptible entities, dependent on contact with </w:t>
                      </w:r>
                      <w:r w:rsidRPr="00946CC0">
                        <w:rPr>
                          <w:i/>
                          <w:sz w:val="20"/>
                          <w:szCs w:val="20"/>
                        </w:rPr>
                        <w:t>Leishmania donovani</w:t>
                      </w:r>
                      <w:r w:rsidRPr="00946CC0">
                        <w:rPr>
                          <w:sz w:val="20"/>
                          <w:szCs w:val="20"/>
                        </w:rPr>
                        <w:t>, and exit the system upon death.</w:t>
                      </w:r>
                      <w:bookmarkEnd w:id="462"/>
                      <w:bookmarkEnd w:id="463"/>
                    </w:p>
                  </w:txbxContent>
                </v:textbox>
                <w10:wrap type="topAndBottom"/>
              </v:shape>
            </w:pict>
          </mc:Fallback>
        </mc:AlternateContent>
      </w:r>
      <w:r w:rsidR="000E7C4F" w:rsidRPr="000E7C4F">
        <w:t>The</w:t>
      </w:r>
      <w:r w:rsidR="000E7C4F">
        <w:t xml:space="preserve"> states that these myeloid cells can exist in </w:t>
      </w:r>
      <w:r w:rsidR="003E0A44">
        <w:t xml:space="preserve">that are represented </w:t>
      </w:r>
      <w:r w:rsidR="000E7C4F">
        <w:t>within the platform model are shown in</w:t>
      </w:r>
      <w:r w:rsidR="000E7C4F" w:rsidRPr="000E7C4F">
        <w:t xml:space="preserve"> </w:t>
      </w:r>
      <w:r w:rsidR="00D034D1" w:rsidRPr="000B16CE">
        <w:rPr>
          <w:b/>
        </w:rPr>
        <w:fldChar w:fldCharType="begin"/>
      </w:r>
      <w:r w:rsidR="00D034D1" w:rsidRPr="000B16CE">
        <w:rPr>
          <w:b/>
        </w:rPr>
        <w:instrText xml:space="preserve"> REF _Ref518635112  \* MERGEFORMAT </w:instrText>
      </w:r>
      <w:r w:rsidR="00D034D1" w:rsidRPr="000B16CE">
        <w:rPr>
          <w:b/>
        </w:rPr>
        <w:fldChar w:fldCharType="separate"/>
      </w:r>
      <w:r w:rsidR="00F30350" w:rsidRPr="00F30350">
        <w:rPr>
          <w:b/>
        </w:rPr>
        <w:t>Figure 4.20</w:t>
      </w:r>
      <w:r w:rsidR="00D034D1" w:rsidRPr="000B16CE">
        <w:rPr>
          <w:b/>
        </w:rPr>
        <w:fldChar w:fldCharType="end"/>
      </w:r>
      <w:r w:rsidR="00451F5D" w:rsidRPr="008B3AD6">
        <w:t xml:space="preserve">, whereby infection </w:t>
      </w:r>
      <w:r w:rsidR="000E7C4F">
        <w:t xml:space="preserve">with </w:t>
      </w:r>
      <w:r w:rsidR="000E7C4F">
        <w:rPr>
          <w:i/>
        </w:rPr>
        <w:t xml:space="preserve">L. </w:t>
      </w:r>
      <w:r w:rsidR="000E7C4F" w:rsidRPr="000E7C4F">
        <w:rPr>
          <w:i/>
        </w:rPr>
        <w:t>donovani</w:t>
      </w:r>
      <w:r w:rsidR="00451F5D" w:rsidRPr="008B3AD6">
        <w:t xml:space="preserve"> permanently changes the state of a myeloid cell</w:t>
      </w:r>
      <w:r w:rsidR="000E7C4F">
        <w:t xml:space="preserve"> from susceptible to infected until such time that the myeloid cell dies.</w:t>
      </w:r>
      <w:r w:rsidR="00451F5D" w:rsidRPr="008B3AD6">
        <w:t xml:space="preserve"> </w:t>
      </w:r>
      <w:r w:rsidR="000E7C4F">
        <w:t>S</w:t>
      </w:r>
      <w:r w:rsidR="00451F5D" w:rsidRPr="008B3AD6">
        <w:t>terilisation of infected cells is possible</w:t>
      </w:r>
      <w:r w:rsidR="000E7C4F">
        <w:t xml:space="preserve"> biologically</w:t>
      </w:r>
      <w:r w:rsidR="00451F5D" w:rsidRPr="008B3AD6">
        <w:t xml:space="preserve"> </w:t>
      </w:r>
      <w:r w:rsidR="00451F5D" w:rsidRPr="008B3AD6">
        <w:fldChar w:fldCharType="begin"/>
      </w:r>
      <w:r w:rsidR="00812605" w:rsidRPr="008B3AD6">
        <w:instrText xml:space="preserve"> ADDIN ZOTERO_ITEM CSL_CITATION {"citationID":"k9kaGeBd","properties":{"formattedCitation":"(H. Murray 2001)","plainCitation":"(H. Murray 2001)","noteIndex":0},"citationItems":[{"id":1110,"uris":["http://zotero.org/users/2628971/items/57TG9NVJ"],"uri":["http://zotero.org/users/2628971/items/57TG9NVJ"],"itemData":{"id":1110,"type":"webpage","title":"Tissue granuloma structure-function in experimental visceral leishmaniasis.","container-title":"Int J Exp Pathol","abstract":"In experimental visceral leishmaniasis in normal mice (BALB/c, C57BL/6) acquired resistance to Leishmania donovani, a protozoan which targets tissue macrophages, depends upon T cells, Th1 cell-type cytokine generation and activated mononuclear phagocytes. In the intact host, initial control and eventual resolution of L. donovani hepatic infection in normal mice is expressed by and accomplished within well-formed, mature tissue granulomas. In the liver, these immunologically active, inflammatory structures are assembled around a core of fused, parasitized resident macrophages (Kupffer cells) which come to be encircled by both cytokine-secreting T cells and influxing leishmanicidal blood monocytes. This pro-host defense granuloma structure-function relationship, in which histologically mature granulomas provide the microenvironment for intracellular L. donovani killing, however, is only one of seven which have been identified through experimental modifications in this model. This report reviews these structure-function relationships and illustrates the broad spectrum of additional possible responses. These responses range from structurally intact granulomas which provide no antileishmanial function (the 'ineffective' granuloma), to enlarged granulomas which show enhanced parasite killing (the 'hypertrophied' granuloma), to effective antileishmanial activity in the absence of any tissue reaction (the 'invisible' granuloma)., (C) 2001 Blackwell Science Ltd.","author":[{"family":"Murray","given":"Henry"}],"issued":{"date-parts":[["2001"]]}}}],"schema":"https://github.com/citation-style-language/schema/raw/master/csl-citation.json"} </w:instrText>
      </w:r>
      <w:r w:rsidR="00451F5D" w:rsidRPr="008B3AD6">
        <w:fldChar w:fldCharType="separate"/>
      </w:r>
      <w:r w:rsidR="00F30350">
        <w:t>(</w:t>
      </w:r>
      <w:r w:rsidR="00812605" w:rsidRPr="008B3AD6">
        <w:t>Murray 2001)</w:t>
      </w:r>
      <w:r w:rsidR="00451F5D" w:rsidRPr="008B3AD6">
        <w:fldChar w:fldCharType="end"/>
      </w:r>
      <w:r w:rsidR="00451F5D" w:rsidRPr="008B3AD6">
        <w:t xml:space="preserve"> </w:t>
      </w:r>
      <w:r w:rsidR="000E7C4F">
        <w:t>but an appropriate mathematical function describing</w:t>
      </w:r>
      <w:r w:rsidR="001F0D20">
        <w:t xml:space="preserve"> this could not be derived and so this process was not included within the platform model. </w:t>
      </w:r>
      <w:r w:rsidR="000E7C4F">
        <w:t xml:space="preserve"> </w:t>
      </w:r>
    </w:p>
    <w:p w14:paraId="1076C153" w14:textId="31790CC5" w:rsidR="00167CC4" w:rsidRPr="008B3AD6" w:rsidRDefault="00167CC4" w:rsidP="009154C0">
      <w:pPr>
        <w:spacing w:line="360" w:lineRule="auto"/>
        <w:jc w:val="both"/>
      </w:pPr>
    </w:p>
    <w:p w14:paraId="2A2D566F" w14:textId="583CB041" w:rsidR="00451F5D" w:rsidRPr="008B3AD6" w:rsidRDefault="00451F5D" w:rsidP="009154C0">
      <w:pPr>
        <w:spacing w:line="360" w:lineRule="auto"/>
        <w:jc w:val="both"/>
      </w:pPr>
      <w:r w:rsidRPr="008B3AD6">
        <w:t xml:space="preserve">An abstraction that was made for the model was to subsume the iNKTs into the T cell population. Whilst the initial detection of infection by these cells is important it has been shown that in the absence of iNKTs there is still a progression of infection, albeit with </w:t>
      </w:r>
      <w:r w:rsidRPr="008B3AD6">
        <w:lastRenderedPageBreak/>
        <w:t xml:space="preserve">differing kinetics </w:t>
      </w:r>
      <w:r w:rsidRPr="008B3AD6">
        <w:fldChar w:fldCharType="begin"/>
      </w:r>
      <w:r w:rsidR="00812605" w:rsidRPr="008B3AD6">
        <w:instrText xml:space="preserve"> ADDIN ZOTERO_ITEM CSL_CITATION {"citationID":"ywY71UJz","properties":{"formattedCitation":"(Robert-Gangneux et al. 2012)","plainCitation":"(Robert-Gangneux et al. 2012)","noteIndex":0},"citationItems":[{"id":2768,"uris":["http://zotero.org/users/2628971/items/RRQ4YREE"],"uri":["http://zotero.org/users/2628971/items/RRQ4YREE"],"itemData":{"id":2768,"type":"article-journal","title":"Invariant NKT cells drive hepatic cytokinic microenvironment favoring efficient granuloma formation and early control of Leishmania donovani infection","container-title":"PloS One","page":"e33413","volume":"7","issue":"3","source":"PubMed","abstract":"The development of inflammatory granulomas around infected Kupffer cells is necessary for hepatic parasite clearance during visceral leishmaniasis. Invariant NKT (iNKT) cells are predominant T cells in the mouse liver and can synthesize large quantities of IL-4 and IFN-γ, two cytokines involved in granuloma formation. This study analyzed the role of iNKT cells in the hepatic immune response during Leishmania donovani infection, using a murine model of wild-type (WT) and iNKT cell-deficient (Jα18</w:instrText>
      </w:r>
      <w:r w:rsidR="00812605" w:rsidRPr="008B3AD6">
        <w:rPr>
          <w:rFonts w:ascii="Cambria Math" w:hAnsi="Cambria Math" w:cs="Cambria Math"/>
        </w:rPr>
        <w:instrText>⁻</w:instrText>
      </w:r>
      <w:r w:rsidR="00812605" w:rsidRPr="008B3AD6">
        <w:instrText>/</w:instrText>
      </w:r>
      <w:r w:rsidR="00812605" w:rsidRPr="008B3AD6">
        <w:rPr>
          <w:rFonts w:ascii="Cambria Math" w:hAnsi="Cambria Math" w:cs="Cambria Math"/>
        </w:rPr>
        <w:instrText>⁻</w:instrText>
      </w:r>
      <w:r w:rsidR="00812605" w:rsidRPr="008B3AD6">
        <w:instrText>) C57BL/6 mice sacrificed 15, 30 or 60 days post-infection. We recorded hepatic parasite loads, cytokine expression, and analyzed granulomatous response by immunohistochemistry and hepatic immune cell infiltration by flow cytometry. Whereas WT animals rapidly controlled the infection and developed an inflammatory response associated with a massive influx of iNKT cells observed by flow cytometry, Jα18</w:instrText>
      </w:r>
      <w:r w:rsidR="00812605" w:rsidRPr="008B3AD6">
        <w:rPr>
          <w:rFonts w:ascii="Cambria Math" w:hAnsi="Cambria Math" w:cs="Cambria Math"/>
        </w:rPr>
        <w:instrText>⁻</w:instrText>
      </w:r>
      <w:r w:rsidR="00812605" w:rsidRPr="008B3AD6">
        <w:instrText>/</w:instrText>
      </w:r>
      <w:r w:rsidR="00812605" w:rsidRPr="008B3AD6">
        <w:rPr>
          <w:rFonts w:ascii="Cambria Math" w:hAnsi="Cambria Math" w:cs="Cambria Math"/>
        </w:rPr>
        <w:instrText>⁻</w:instrText>
      </w:r>
      <w:r w:rsidR="00812605" w:rsidRPr="008B3AD6">
        <w:instrText xml:space="preserve"> mice had significantly higher parasitic loads on all time points. This lack of control of parasite burden was associated with a delay in granuloma maturation (28.1% of large granulomas at day 60 versus 50.7% in WT). Cytokine transcriptome analysis showed that mRNA of 90/101 genes encoding chemokines, cytokines and their receptors, was underexpressed in Jα18</w:instrText>
      </w:r>
      <w:r w:rsidR="00812605" w:rsidRPr="008B3AD6">
        <w:rPr>
          <w:rFonts w:ascii="Cambria Math" w:hAnsi="Cambria Math" w:cs="Cambria Math"/>
        </w:rPr>
        <w:instrText>⁻</w:instrText>
      </w:r>
      <w:r w:rsidR="00812605" w:rsidRPr="008B3AD6">
        <w:instrText>/</w:instrText>
      </w:r>
      <w:r w:rsidR="00812605" w:rsidRPr="008B3AD6">
        <w:rPr>
          <w:rFonts w:ascii="Cambria Math" w:hAnsi="Cambria Math" w:cs="Cambria Math"/>
        </w:rPr>
        <w:instrText>⁻</w:instrText>
      </w:r>
      <w:r w:rsidR="00812605" w:rsidRPr="008B3AD6">
        <w:instrText xml:space="preserve"> mice. Detection of IL-4 and TNF-α by ELISA in liver extracts was also significantly lower in Jα18</w:instrText>
      </w:r>
      <w:r w:rsidR="00812605" w:rsidRPr="008B3AD6">
        <w:rPr>
          <w:rFonts w:ascii="Cambria Math" w:hAnsi="Cambria Math" w:cs="Cambria Math"/>
        </w:rPr>
        <w:instrText>⁻</w:instrText>
      </w:r>
      <w:r w:rsidR="00812605" w:rsidRPr="008B3AD6">
        <w:instrText>/</w:instrText>
      </w:r>
      <w:r w:rsidR="00812605" w:rsidRPr="008B3AD6">
        <w:rPr>
          <w:rFonts w:ascii="Cambria Math" w:hAnsi="Cambria Math" w:cs="Cambria Math"/>
        </w:rPr>
        <w:instrText>⁻</w:instrText>
      </w:r>
      <w:r w:rsidR="00812605" w:rsidRPr="008B3AD6">
        <w:instrText xml:space="preserve"> mice. Consistent with flow cytometry analysis, cytokinome profile in WT mice showed a bias of expression towards T cell-chemoattractant chemokines on D15, and displayed a switch towards expression of granulocytes and/or monocytes -chemoattractant chemokines on D60. In Jα18</w:instrText>
      </w:r>
      <w:r w:rsidR="00812605" w:rsidRPr="008B3AD6">
        <w:rPr>
          <w:rFonts w:ascii="Cambria Math" w:hAnsi="Cambria Math" w:cs="Cambria Math"/>
        </w:rPr>
        <w:instrText>⁻</w:instrText>
      </w:r>
      <w:r w:rsidR="00812605" w:rsidRPr="008B3AD6">
        <w:instrText>/</w:instrText>
      </w:r>
      <w:r w:rsidR="00812605" w:rsidRPr="008B3AD6">
        <w:rPr>
          <w:rFonts w:ascii="Cambria Math" w:hAnsi="Cambria Math" w:cs="Cambria Math"/>
        </w:rPr>
        <w:instrText>⁻</w:instrText>
      </w:r>
      <w:r w:rsidR="00812605" w:rsidRPr="008B3AD6">
        <w:instrText xml:space="preserve"> mice, the significantly lower expression of CXCL5, MIP-2 and CCL2 mRNA was correlated with a defect in myeloperoxidase positive-cell attraction observed by immunohistochemistry and with a lower granulocyte and monocyte infiltration in the liver, as shown by flow cytometry. These data indicate that iNKT cells play a role in early and sustained pro-inflammatory cytokine response warranting efficient organization of hepatic granulomas and parasite clearance.","DOI":"10.1371/journal.pone.0033413","ISSN":"1932-6203","note":"PMID: 22457760\nPMCID: PMC3310876","journalAbbreviation":"PLoS ONE","language":"eng","author":[{"family":"Robert-Gangneux","given":"Florence"},{"family":"Drogoul","given":"Anne-Sophie"},{"family":"Rostan","given":"Octavie"},{"family":"Piquet-Pellorce","given":"Claire"},{"family":"Cayon","given":"Jérome"},{"family":"Lisbonne","given":"Mariette"},{"family":"Herbelin","given":"André"},{"family":"Gascan","given":"Hugues"},{"family":"Guiguen","given":"Claude"},{"family":"Samson","given":"Michel"},{"family":"Gangneux","given":"Jean-Pierre"}],"issued":{"date-parts":[["2012"]]}},"locator":"-"}],"schema":"https://github.com/citation-style-language/schema/raw/master/csl-citation.json"} </w:instrText>
      </w:r>
      <w:r w:rsidRPr="008B3AD6">
        <w:fldChar w:fldCharType="separate"/>
      </w:r>
      <w:r w:rsidRPr="008B3AD6">
        <w:t>(Robert-Gangneux et al. 2012)</w:t>
      </w:r>
      <w:r w:rsidRPr="008B3AD6">
        <w:fldChar w:fldCharType="end"/>
      </w:r>
      <w:r w:rsidRPr="008B3AD6">
        <w:t>. In view of simplification of the model it is reasonable to assume iNKTs are a population within T cells that will contribute to the development of anti-leishmanial compound production and thus iNKTs and T cells are implemented as a singular entity.</w:t>
      </w:r>
    </w:p>
    <w:p w14:paraId="2859B4FF" w14:textId="77777777" w:rsidR="00451F5D" w:rsidRPr="008B3AD6" w:rsidRDefault="00451F5D" w:rsidP="009154C0">
      <w:pPr>
        <w:spacing w:line="360" w:lineRule="auto"/>
        <w:jc w:val="both"/>
      </w:pPr>
    </w:p>
    <w:p w14:paraId="148157DB" w14:textId="2D42C7DF" w:rsidR="00451F5D" w:rsidRPr="008B3AD6" w:rsidRDefault="004B102C" w:rsidP="009154C0">
      <w:pPr>
        <w:spacing w:line="360" w:lineRule="auto"/>
        <w:jc w:val="both"/>
        <w:rPr>
          <w:i/>
        </w:rPr>
      </w:pPr>
      <w:r>
        <w:rPr>
          <w:b/>
          <w:noProof/>
        </w:rPr>
        <w:drawing>
          <wp:anchor distT="0" distB="0" distL="114300" distR="114300" simplePos="0" relativeHeight="251285504" behindDoc="0" locked="0" layoutInCell="1" allowOverlap="1" wp14:anchorId="6380B690" wp14:editId="0DD4AC24">
            <wp:simplePos x="0" y="0"/>
            <wp:positionH relativeFrom="column">
              <wp:posOffset>-33655</wp:posOffset>
            </wp:positionH>
            <wp:positionV relativeFrom="paragraph">
              <wp:posOffset>2433222</wp:posOffset>
            </wp:positionV>
            <wp:extent cx="5574665" cy="4308475"/>
            <wp:effectExtent l="0" t="0" r="635" b="0"/>
            <wp:wrapTopAndBottom/>
            <wp:docPr id="512" name="Picture 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 name="Picture 512"/>
                    <pic:cNvPicPr>
                      <a:picLocks noChangeAspect="1"/>
                    </pic:cNvPicPr>
                  </pic:nvPicPr>
                  <pic:blipFill rotWithShape="1">
                    <a:blip r:embed="rId67">
                      <a:extLst>
                        <a:ext uri="{28A0092B-C50C-407E-A947-70E740481C1C}">
                          <a14:useLocalDpi xmlns:a14="http://schemas.microsoft.com/office/drawing/2010/main" val="0"/>
                        </a:ext>
                      </a:extLst>
                    </a:blip>
                    <a:srcRect t="-208" b="45598"/>
                    <a:stretch/>
                  </pic:blipFill>
                  <pic:spPr bwMode="auto">
                    <a:xfrm>
                      <a:off x="0" y="0"/>
                      <a:ext cx="5574665" cy="4308475"/>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Pr>
          <w:b/>
          <w:noProof/>
        </w:rPr>
        <mc:AlternateContent>
          <mc:Choice Requires="wps">
            <w:drawing>
              <wp:anchor distT="0" distB="0" distL="114300" distR="114300" simplePos="0" relativeHeight="251286528" behindDoc="0" locked="0" layoutInCell="1" allowOverlap="1" wp14:anchorId="10C1D8BE" wp14:editId="75FA8535">
                <wp:simplePos x="0" y="0"/>
                <wp:positionH relativeFrom="margin">
                  <wp:posOffset>-300990</wp:posOffset>
                </wp:positionH>
                <wp:positionV relativeFrom="paragraph">
                  <wp:posOffset>6711413</wp:posOffset>
                </wp:positionV>
                <wp:extent cx="5842000" cy="1224280"/>
                <wp:effectExtent l="0" t="0" r="0" b="0"/>
                <wp:wrapTopAndBottom/>
                <wp:docPr id="514" name="Text Box 514"/>
                <wp:cNvGraphicFramePr/>
                <a:graphic xmlns:a="http://schemas.openxmlformats.org/drawingml/2006/main">
                  <a:graphicData uri="http://schemas.microsoft.com/office/word/2010/wordprocessingShape">
                    <wps:wsp>
                      <wps:cNvSpPr txBox="1"/>
                      <wps:spPr>
                        <a:xfrm>
                          <a:off x="0" y="0"/>
                          <a:ext cx="5842000" cy="1224280"/>
                        </a:xfrm>
                        <a:prstGeom prst="rect">
                          <a:avLst/>
                        </a:prstGeom>
                        <a:solidFill>
                          <a:prstClr val="white"/>
                        </a:solidFill>
                        <a:ln>
                          <a:noFill/>
                        </a:ln>
                      </wps:spPr>
                      <wps:txbx>
                        <w:txbxContent>
                          <w:p w14:paraId="7AF162BE" w14:textId="78E94343" w:rsidR="00F61130" w:rsidRPr="004352C2" w:rsidRDefault="00F61130" w:rsidP="009A7895">
                            <w:pPr>
                              <w:pStyle w:val="Caption"/>
                              <w:spacing w:line="360" w:lineRule="auto"/>
                              <w:jc w:val="both"/>
                              <w:rPr>
                                <w:noProof/>
                                <w:sz w:val="20"/>
                                <w:szCs w:val="20"/>
                                <w:lang w:eastAsia="en-GB"/>
                              </w:rPr>
                            </w:pPr>
                            <w:bookmarkStart w:id="464" w:name="_Ref518635726"/>
                            <w:bookmarkStart w:id="465" w:name="_Toc525227226"/>
                            <w:bookmarkStart w:id="466" w:name="_Toc536814165"/>
                            <w:r w:rsidRPr="004352C2">
                              <w:rPr>
                                <w:b/>
                                <w:sz w:val="20"/>
                                <w:szCs w:val="20"/>
                              </w:rPr>
                              <w:t xml:space="preserve">Figure </w:t>
                            </w:r>
                            <w:r>
                              <w:rPr>
                                <w:b/>
                                <w:sz w:val="20"/>
                                <w:szCs w:val="20"/>
                              </w:rPr>
                              <w:fldChar w:fldCharType="begin"/>
                            </w:r>
                            <w:r>
                              <w:rPr>
                                <w:b/>
                                <w:sz w:val="20"/>
                                <w:szCs w:val="20"/>
                              </w:rPr>
                              <w:instrText xml:space="preserve"> STYLEREF 1 \s </w:instrText>
                            </w:r>
                            <w:r>
                              <w:rPr>
                                <w:b/>
                                <w:sz w:val="20"/>
                                <w:szCs w:val="20"/>
                              </w:rPr>
                              <w:fldChar w:fldCharType="separate"/>
                            </w:r>
                            <w:r>
                              <w:rPr>
                                <w:b/>
                                <w:noProof/>
                                <w:sz w:val="20"/>
                                <w:szCs w:val="20"/>
                              </w:rPr>
                              <w:t>4</w:t>
                            </w:r>
                            <w:r>
                              <w:rPr>
                                <w:b/>
                                <w:sz w:val="20"/>
                                <w:szCs w:val="20"/>
                              </w:rPr>
                              <w:fldChar w:fldCharType="end"/>
                            </w:r>
                            <w:r>
                              <w:rPr>
                                <w:b/>
                                <w:sz w:val="20"/>
                                <w:szCs w:val="20"/>
                              </w:rPr>
                              <w:t>.</w:t>
                            </w:r>
                            <w:r>
                              <w:rPr>
                                <w:b/>
                                <w:sz w:val="20"/>
                                <w:szCs w:val="20"/>
                              </w:rPr>
                              <w:fldChar w:fldCharType="begin"/>
                            </w:r>
                            <w:r>
                              <w:rPr>
                                <w:b/>
                                <w:sz w:val="20"/>
                                <w:szCs w:val="20"/>
                              </w:rPr>
                              <w:instrText xml:space="preserve"> SEQ Figure \* ARABIC \s 1 </w:instrText>
                            </w:r>
                            <w:r>
                              <w:rPr>
                                <w:b/>
                                <w:sz w:val="20"/>
                                <w:szCs w:val="20"/>
                              </w:rPr>
                              <w:fldChar w:fldCharType="separate"/>
                            </w:r>
                            <w:r>
                              <w:rPr>
                                <w:b/>
                                <w:noProof/>
                                <w:sz w:val="20"/>
                                <w:szCs w:val="20"/>
                              </w:rPr>
                              <w:t>21</w:t>
                            </w:r>
                            <w:r>
                              <w:rPr>
                                <w:b/>
                                <w:sz w:val="20"/>
                                <w:szCs w:val="20"/>
                              </w:rPr>
                              <w:fldChar w:fldCharType="end"/>
                            </w:r>
                            <w:bookmarkEnd w:id="464"/>
                            <w:r w:rsidRPr="004352C2">
                              <w:rPr>
                                <w:b/>
                                <w:sz w:val="20"/>
                                <w:szCs w:val="20"/>
                              </w:rPr>
                              <w:t xml:space="preserve"> - Platform model activity diagram of </w:t>
                            </w:r>
                            <w:r w:rsidRPr="004352C2">
                              <w:rPr>
                                <w:b/>
                                <w:i/>
                                <w:sz w:val="20"/>
                                <w:szCs w:val="20"/>
                              </w:rPr>
                              <w:t>Leishmania donovani</w:t>
                            </w:r>
                            <w:r w:rsidRPr="004352C2">
                              <w:rPr>
                                <w:b/>
                                <w:sz w:val="20"/>
                                <w:szCs w:val="20"/>
                              </w:rPr>
                              <w:t xml:space="preserve"> during </w:t>
                            </w:r>
                            <w:r>
                              <w:rPr>
                                <w:b/>
                                <w:sz w:val="20"/>
                                <w:szCs w:val="20"/>
                              </w:rPr>
                              <w:t>h</w:t>
                            </w:r>
                            <w:r w:rsidRPr="009A7602">
                              <w:rPr>
                                <w:b/>
                                <w:sz w:val="20"/>
                                <w:szCs w:val="20"/>
                              </w:rPr>
                              <w:t xml:space="preserve">epatic </w:t>
                            </w:r>
                            <w:r>
                              <w:rPr>
                                <w:b/>
                                <w:sz w:val="20"/>
                                <w:szCs w:val="20"/>
                              </w:rPr>
                              <w:t xml:space="preserve">infection. </w:t>
                            </w:r>
                            <w:r w:rsidRPr="004352C2">
                              <w:rPr>
                                <w:sz w:val="20"/>
                                <w:szCs w:val="20"/>
                              </w:rPr>
                              <w:t xml:space="preserve">UML notation of the behaviours of a </w:t>
                            </w:r>
                            <w:r w:rsidRPr="004352C2">
                              <w:rPr>
                                <w:i/>
                                <w:sz w:val="20"/>
                                <w:szCs w:val="20"/>
                              </w:rPr>
                              <w:t>Leishmania donovani</w:t>
                            </w:r>
                            <w:r w:rsidRPr="004352C2">
                              <w:rPr>
                                <w:sz w:val="20"/>
                                <w:szCs w:val="20"/>
                              </w:rPr>
                              <w:t xml:space="preserve"> during </w:t>
                            </w:r>
                            <w:r>
                              <w:rPr>
                                <w:sz w:val="20"/>
                                <w:szCs w:val="20"/>
                              </w:rPr>
                              <w:t>infection</w:t>
                            </w:r>
                            <w:r w:rsidRPr="004352C2">
                              <w:rPr>
                                <w:sz w:val="20"/>
                                <w:szCs w:val="20"/>
                              </w:rPr>
                              <w:t xml:space="preserve"> in the liver. In the system, </w:t>
                            </w:r>
                            <w:r w:rsidRPr="004352C2">
                              <w:rPr>
                                <w:i/>
                                <w:sz w:val="20"/>
                                <w:szCs w:val="20"/>
                              </w:rPr>
                              <w:t xml:space="preserve">L. donovani </w:t>
                            </w:r>
                            <w:r w:rsidRPr="004352C2">
                              <w:rPr>
                                <w:sz w:val="20"/>
                                <w:szCs w:val="20"/>
                              </w:rPr>
                              <w:t>exists extracellularly until it parasitizes a host cell where it either proliferates, egresses out of the host or is killed by anti-leishmanial compounds, which within the system is represented by the number of T cells and susceptible and infected myeloid cells with a temporal delay, annotating the complexity in production which would not allow for instantaneous production.</w:t>
                            </w:r>
                            <w:bookmarkEnd w:id="465"/>
                            <w:bookmarkEnd w:id="466"/>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10C1D8BE" id="Text Box 514" o:spid="_x0000_s1121" type="#_x0000_t202" style="position:absolute;left:0;text-align:left;margin-left:-23.7pt;margin-top:528.45pt;width:460pt;height:96.4pt;z-index:251286528;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vKIu2NQIAAG0EAAAOAAAAZHJzL2Uyb0RvYy54bWysVMGO2yAQvVfqPyDujZMoqbZWnFWaVapK&#13;&#10;0e5KSbVngiFGAoYCiZ1+fQccZ9ttT1UveJgZBt57M17cd0aTs/BBga3oZDSmRFgOtbLHin7bbz7c&#13;&#10;URIiszXTYEVFLyLQ++X7d4vWlWIKDehaeIJFbChbV9EmRlcWReCNMCyMwAmLQQnesIhbfyxqz1qs&#13;&#10;bnQxHY8/Fi342nngIgT0PvRBusz1pRQ8PkkZRCS6ovi2mFef10Nai+WClUfPXKP49RnsH15hmLJ4&#13;&#10;6a3UA4uMnLz6o5RR3EMAGUccTAFSKi4yBkQzGb9Bs2uYExkLkhPcjabw/8ryx/OzJ6qu6Hwyo8Qy&#13;&#10;gyLtRRfJZ+hI8iFDrQslJu4cpsYOA6j04A/oTMA76U36IiSCceT6cuM3lePonN/NUDMMcYxNptPZ&#13;&#10;9C4rULwedz7ELwIMSUZFPQqYeWXnbYj4FEwdUtJtAbSqN0rrtEmBtfbkzFDstlFRpEfiid+ytE25&#13;&#10;FtKpPpw8RcLYY0lW7A5dZuXTfAB6gPqC+D30PRQc3yi8cMtCfGYemwZx4SDEJ1ykhraicLUoacD/&#13;&#10;+Js/5aOWGKWkxSasaPh+Yl5Qor9aVDl17GD4wTgMhj2ZNSDUCY6Y49nEAz7qwZQezAvOxyrdgiFm&#13;&#10;Od5V0TiY69iPAs4XF6tVTsK+dCxu7c7xVHogdt+9MO+uskRU9BGG9mTlG3X63J7m1SmCVFm6RGzP&#13;&#10;4pVv7Omsz3X+0tD8us9Zr3+J5U8AAAD//wMAUEsDBBQABgAIAAAAIQDigT6I5QAAABIBAAAPAAAA&#13;&#10;ZHJzL2Rvd25yZXYueG1sTE89T8MwEN2R+A/WIbGg1iEKSZvGqaCBDYaWqrMbmyQiPke206T/nmOC&#13;&#10;5aS79+59FNvZ9Oyine8sCnhcRsA01lZ12Ag4fr4tVsB8kKhkb1ELuGoP2/L2ppC5shPu9eUQGkYi&#13;&#10;6HMpoA1hyDn3dauN9Es7aCTsyzojA62u4crJicRNz+MoSrmRHZJDKwe9a3X9fRiNgLRy47TH3UN1&#13;&#10;fH2XH0MTn16uJyHu7+ZqQ+N5AyzoOfx9wG8Hyg8lBTvbEZVnvYBFkiVEJSB6StfAiLLK4hTYmU5x&#13;&#10;ss6AlwX/X6X8AQAA//8DAFBLAQItABQABgAIAAAAIQC2gziS/gAAAOEBAAATAAAAAAAAAAAAAAAA&#13;&#10;AAAAAABbQ29udGVudF9UeXBlc10ueG1sUEsBAi0AFAAGAAgAAAAhADj9If/WAAAAlAEAAAsAAAAA&#13;&#10;AAAAAAAAAAAALwEAAF9yZWxzLy5yZWxzUEsBAi0AFAAGAAgAAAAhAO8oi7Y1AgAAbQQAAA4AAAAA&#13;&#10;AAAAAAAAAAAALgIAAGRycy9lMm9Eb2MueG1sUEsBAi0AFAAGAAgAAAAhAOKBPojlAAAAEgEAAA8A&#13;&#10;AAAAAAAAAAAAAAAAjwQAAGRycy9kb3ducmV2LnhtbFBLBQYAAAAABAAEAPMAAAChBQAAAAA=&#13;&#10;" stroked="f">
                <v:textbox inset="0,0,0,0">
                  <w:txbxContent>
                    <w:p w14:paraId="7AF162BE" w14:textId="78E94343" w:rsidR="00F61130" w:rsidRPr="004352C2" w:rsidRDefault="00F61130" w:rsidP="009A7895">
                      <w:pPr>
                        <w:pStyle w:val="Caption"/>
                        <w:spacing w:line="360" w:lineRule="auto"/>
                        <w:jc w:val="both"/>
                        <w:rPr>
                          <w:noProof/>
                          <w:sz w:val="20"/>
                          <w:szCs w:val="20"/>
                          <w:lang w:eastAsia="en-GB"/>
                        </w:rPr>
                      </w:pPr>
                      <w:bookmarkStart w:id="467" w:name="_Ref518635726"/>
                      <w:bookmarkStart w:id="468" w:name="_Toc525227226"/>
                      <w:bookmarkStart w:id="469" w:name="_Toc536814165"/>
                      <w:r w:rsidRPr="004352C2">
                        <w:rPr>
                          <w:b/>
                          <w:sz w:val="20"/>
                          <w:szCs w:val="20"/>
                        </w:rPr>
                        <w:t xml:space="preserve">Figure </w:t>
                      </w:r>
                      <w:r>
                        <w:rPr>
                          <w:b/>
                          <w:sz w:val="20"/>
                          <w:szCs w:val="20"/>
                        </w:rPr>
                        <w:fldChar w:fldCharType="begin"/>
                      </w:r>
                      <w:r>
                        <w:rPr>
                          <w:b/>
                          <w:sz w:val="20"/>
                          <w:szCs w:val="20"/>
                        </w:rPr>
                        <w:instrText xml:space="preserve"> STYLEREF 1 \s </w:instrText>
                      </w:r>
                      <w:r>
                        <w:rPr>
                          <w:b/>
                          <w:sz w:val="20"/>
                          <w:szCs w:val="20"/>
                        </w:rPr>
                        <w:fldChar w:fldCharType="separate"/>
                      </w:r>
                      <w:r>
                        <w:rPr>
                          <w:b/>
                          <w:noProof/>
                          <w:sz w:val="20"/>
                          <w:szCs w:val="20"/>
                        </w:rPr>
                        <w:t>4</w:t>
                      </w:r>
                      <w:r>
                        <w:rPr>
                          <w:b/>
                          <w:sz w:val="20"/>
                          <w:szCs w:val="20"/>
                        </w:rPr>
                        <w:fldChar w:fldCharType="end"/>
                      </w:r>
                      <w:r>
                        <w:rPr>
                          <w:b/>
                          <w:sz w:val="20"/>
                          <w:szCs w:val="20"/>
                        </w:rPr>
                        <w:t>.</w:t>
                      </w:r>
                      <w:r>
                        <w:rPr>
                          <w:b/>
                          <w:sz w:val="20"/>
                          <w:szCs w:val="20"/>
                        </w:rPr>
                        <w:fldChar w:fldCharType="begin"/>
                      </w:r>
                      <w:r>
                        <w:rPr>
                          <w:b/>
                          <w:sz w:val="20"/>
                          <w:szCs w:val="20"/>
                        </w:rPr>
                        <w:instrText xml:space="preserve"> SEQ Figure \* ARABIC \s 1 </w:instrText>
                      </w:r>
                      <w:r>
                        <w:rPr>
                          <w:b/>
                          <w:sz w:val="20"/>
                          <w:szCs w:val="20"/>
                        </w:rPr>
                        <w:fldChar w:fldCharType="separate"/>
                      </w:r>
                      <w:r>
                        <w:rPr>
                          <w:b/>
                          <w:noProof/>
                          <w:sz w:val="20"/>
                          <w:szCs w:val="20"/>
                        </w:rPr>
                        <w:t>21</w:t>
                      </w:r>
                      <w:r>
                        <w:rPr>
                          <w:b/>
                          <w:sz w:val="20"/>
                          <w:szCs w:val="20"/>
                        </w:rPr>
                        <w:fldChar w:fldCharType="end"/>
                      </w:r>
                      <w:bookmarkEnd w:id="467"/>
                      <w:r w:rsidRPr="004352C2">
                        <w:rPr>
                          <w:b/>
                          <w:sz w:val="20"/>
                          <w:szCs w:val="20"/>
                        </w:rPr>
                        <w:t xml:space="preserve"> - Platform model activity diagram of </w:t>
                      </w:r>
                      <w:r w:rsidRPr="004352C2">
                        <w:rPr>
                          <w:b/>
                          <w:i/>
                          <w:sz w:val="20"/>
                          <w:szCs w:val="20"/>
                        </w:rPr>
                        <w:t>Leishmania donovani</w:t>
                      </w:r>
                      <w:r w:rsidRPr="004352C2">
                        <w:rPr>
                          <w:b/>
                          <w:sz w:val="20"/>
                          <w:szCs w:val="20"/>
                        </w:rPr>
                        <w:t xml:space="preserve"> during </w:t>
                      </w:r>
                      <w:r>
                        <w:rPr>
                          <w:b/>
                          <w:sz w:val="20"/>
                          <w:szCs w:val="20"/>
                        </w:rPr>
                        <w:t>h</w:t>
                      </w:r>
                      <w:r w:rsidRPr="009A7602">
                        <w:rPr>
                          <w:b/>
                          <w:sz w:val="20"/>
                          <w:szCs w:val="20"/>
                        </w:rPr>
                        <w:t xml:space="preserve">epatic </w:t>
                      </w:r>
                      <w:r>
                        <w:rPr>
                          <w:b/>
                          <w:sz w:val="20"/>
                          <w:szCs w:val="20"/>
                        </w:rPr>
                        <w:t xml:space="preserve">infection. </w:t>
                      </w:r>
                      <w:r w:rsidRPr="004352C2">
                        <w:rPr>
                          <w:sz w:val="20"/>
                          <w:szCs w:val="20"/>
                        </w:rPr>
                        <w:t xml:space="preserve">UML notation of the behaviours of a </w:t>
                      </w:r>
                      <w:r w:rsidRPr="004352C2">
                        <w:rPr>
                          <w:i/>
                          <w:sz w:val="20"/>
                          <w:szCs w:val="20"/>
                        </w:rPr>
                        <w:t>Leishmania donovani</w:t>
                      </w:r>
                      <w:r w:rsidRPr="004352C2">
                        <w:rPr>
                          <w:sz w:val="20"/>
                          <w:szCs w:val="20"/>
                        </w:rPr>
                        <w:t xml:space="preserve"> during </w:t>
                      </w:r>
                      <w:r>
                        <w:rPr>
                          <w:sz w:val="20"/>
                          <w:szCs w:val="20"/>
                        </w:rPr>
                        <w:t>infection</w:t>
                      </w:r>
                      <w:r w:rsidRPr="004352C2">
                        <w:rPr>
                          <w:sz w:val="20"/>
                          <w:szCs w:val="20"/>
                        </w:rPr>
                        <w:t xml:space="preserve"> in the liver. In the system, </w:t>
                      </w:r>
                      <w:r w:rsidRPr="004352C2">
                        <w:rPr>
                          <w:i/>
                          <w:sz w:val="20"/>
                          <w:szCs w:val="20"/>
                        </w:rPr>
                        <w:t xml:space="preserve">L. donovani </w:t>
                      </w:r>
                      <w:r w:rsidRPr="004352C2">
                        <w:rPr>
                          <w:sz w:val="20"/>
                          <w:szCs w:val="20"/>
                        </w:rPr>
                        <w:t>exists extracellularly until it parasitizes a host cell where it either proliferates, egresses out of the host or is killed by anti-leishmanial compounds, which within the system is represented by the number of T cells and susceptible and infected myeloid cells with a temporal delay, annotating the complexity in production which would not allow for instantaneous production.</w:t>
                      </w:r>
                      <w:bookmarkEnd w:id="468"/>
                      <w:bookmarkEnd w:id="469"/>
                    </w:p>
                  </w:txbxContent>
                </v:textbox>
                <w10:wrap type="topAndBottom" anchorx="margin"/>
              </v:shape>
            </w:pict>
          </mc:Fallback>
        </mc:AlternateContent>
      </w:r>
      <w:r w:rsidR="00D034D1" w:rsidRPr="001F0D20">
        <w:rPr>
          <w:b/>
        </w:rPr>
        <w:fldChar w:fldCharType="begin"/>
      </w:r>
      <w:r w:rsidR="00D034D1" w:rsidRPr="001F0D20">
        <w:rPr>
          <w:b/>
        </w:rPr>
        <w:instrText xml:space="preserve"> REF _Ref518635726  \* MERGEFORMAT </w:instrText>
      </w:r>
      <w:r w:rsidR="00D034D1" w:rsidRPr="001F0D20">
        <w:rPr>
          <w:b/>
        </w:rPr>
        <w:fldChar w:fldCharType="separate"/>
      </w:r>
      <w:r w:rsidR="00F30350" w:rsidRPr="00F30350">
        <w:rPr>
          <w:b/>
        </w:rPr>
        <w:t>Figure 4.21</w:t>
      </w:r>
      <w:r w:rsidR="00D034D1" w:rsidRPr="001F0D20">
        <w:rPr>
          <w:b/>
        </w:rPr>
        <w:fldChar w:fldCharType="end"/>
      </w:r>
      <w:r w:rsidR="00D170B4" w:rsidRPr="008B3AD6">
        <w:t xml:space="preserve"> </w:t>
      </w:r>
      <w:r w:rsidR="00451F5D" w:rsidRPr="008B3AD6">
        <w:t>shows, for the platform model,</w:t>
      </w:r>
      <w:r w:rsidR="00D170B4" w:rsidRPr="008B3AD6">
        <w:t xml:space="preserve"> that</w:t>
      </w:r>
      <w:r w:rsidR="00451F5D" w:rsidRPr="008B3AD6">
        <w:t xml:space="preserve"> </w:t>
      </w:r>
      <w:r w:rsidR="00451F5D" w:rsidRPr="008B3AD6">
        <w:rPr>
          <w:i/>
        </w:rPr>
        <w:t>L. donovani</w:t>
      </w:r>
      <w:r w:rsidR="00451F5D" w:rsidRPr="008B3AD6">
        <w:t xml:space="preserve"> initialises in the liver, with the assumption that there is absorption of parasite at other sites and so a fraction of the injected parasite reaches the liver, which is shown as </w:t>
      </w:r>
      <w:r w:rsidR="00451F5D" w:rsidRPr="008B3AD6">
        <w:rPr>
          <w:i/>
        </w:rPr>
        <w:t>Extracellular L.</w:t>
      </w:r>
      <w:r w:rsidR="00B1673D" w:rsidRPr="008B3AD6">
        <w:rPr>
          <w:i/>
        </w:rPr>
        <w:t xml:space="preserve"> </w:t>
      </w:r>
      <w:r w:rsidR="00451F5D" w:rsidRPr="008B3AD6">
        <w:rPr>
          <w:i/>
        </w:rPr>
        <w:t xml:space="preserve">donovani initial value = Liver Fraction </w:t>
      </w:r>
      <w:r w:rsidR="00451F5D" w:rsidRPr="008B3AD6">
        <w:t>x</w:t>
      </w:r>
      <w:r w:rsidR="00451F5D" w:rsidRPr="008B3AD6">
        <w:rPr>
          <w:i/>
        </w:rPr>
        <w:t xml:space="preserve"> Total Injected L.</w:t>
      </w:r>
      <w:r w:rsidR="00B1673D" w:rsidRPr="008B3AD6">
        <w:rPr>
          <w:i/>
        </w:rPr>
        <w:t xml:space="preserve"> </w:t>
      </w:r>
      <w:r w:rsidR="00451F5D" w:rsidRPr="008B3AD6">
        <w:rPr>
          <w:i/>
        </w:rPr>
        <w:t>donovani</w:t>
      </w:r>
      <w:r w:rsidR="00451F5D" w:rsidRPr="008B3AD6">
        <w:t xml:space="preserve"> and </w:t>
      </w:r>
      <w:r w:rsidR="00451F5D" w:rsidRPr="008B3AD6">
        <w:rPr>
          <w:i/>
        </w:rPr>
        <w:t>Intracellular L.</w:t>
      </w:r>
      <w:r w:rsidR="00B1673D" w:rsidRPr="008B3AD6">
        <w:rPr>
          <w:i/>
        </w:rPr>
        <w:t xml:space="preserve"> </w:t>
      </w:r>
      <w:r w:rsidR="00451F5D" w:rsidRPr="008B3AD6">
        <w:rPr>
          <w:i/>
        </w:rPr>
        <w:t xml:space="preserve">donovani initial value = 0. </w:t>
      </w:r>
      <w:r w:rsidR="00451F5D" w:rsidRPr="008B3AD6">
        <w:t xml:space="preserve">Extracellular </w:t>
      </w:r>
      <w:r w:rsidR="00451F5D" w:rsidRPr="008B3AD6">
        <w:rPr>
          <w:i/>
        </w:rPr>
        <w:t>L. donovani</w:t>
      </w:r>
      <w:r w:rsidR="00451F5D" w:rsidRPr="008B3AD6">
        <w:t xml:space="preserve"> can be phagocytosed dependent on the probability of a successful contact with a susceptible myeloid cell, and it assumed that multiple </w:t>
      </w:r>
      <w:r w:rsidR="00451F5D" w:rsidRPr="008B3AD6">
        <w:rPr>
          <w:i/>
        </w:rPr>
        <w:t>L. donovani</w:t>
      </w:r>
      <w:r w:rsidR="00451F5D" w:rsidRPr="008B3AD6">
        <w:t xml:space="preserve"> are up taken in a single infection event, whereby it transitions to an intracellular state (</w:t>
      </w:r>
      <w:r w:rsidR="00D034D1" w:rsidRPr="001F0D20">
        <w:rPr>
          <w:b/>
        </w:rPr>
        <w:fldChar w:fldCharType="begin"/>
      </w:r>
      <w:r w:rsidR="00D034D1" w:rsidRPr="001F0D20">
        <w:rPr>
          <w:b/>
        </w:rPr>
        <w:instrText xml:space="preserve"> REF _Ref518635753  \* MERGEFORMAT </w:instrText>
      </w:r>
      <w:r w:rsidR="00D034D1" w:rsidRPr="001F0D20">
        <w:rPr>
          <w:b/>
        </w:rPr>
        <w:fldChar w:fldCharType="separate"/>
      </w:r>
      <w:r w:rsidR="00F30350" w:rsidRPr="00F30350">
        <w:rPr>
          <w:b/>
        </w:rPr>
        <w:t>Figure 4.22</w:t>
      </w:r>
      <w:r w:rsidR="00D034D1" w:rsidRPr="001F0D20">
        <w:rPr>
          <w:b/>
        </w:rPr>
        <w:fldChar w:fldCharType="end"/>
      </w:r>
      <w:r w:rsidR="00451F5D" w:rsidRPr="008B3AD6">
        <w:t xml:space="preserve">), represented as </w:t>
      </w:r>
      <w:r w:rsidR="00451F5D" w:rsidRPr="008B3AD6">
        <w:rPr>
          <w:i/>
        </w:rPr>
        <w:t>Intracellular L.</w:t>
      </w:r>
      <w:r w:rsidR="00B1673D" w:rsidRPr="008B3AD6">
        <w:rPr>
          <w:i/>
        </w:rPr>
        <w:t xml:space="preserve"> </w:t>
      </w:r>
      <w:r w:rsidR="00451F5D" w:rsidRPr="008B3AD6">
        <w:rPr>
          <w:i/>
        </w:rPr>
        <w:t xml:space="preserve">donovani = Multiplicity of Infection </w:t>
      </w:r>
      <w:r w:rsidR="00451F5D" w:rsidRPr="008B3AD6">
        <w:t>x</w:t>
      </w:r>
      <w:r w:rsidR="00451F5D" w:rsidRPr="008B3AD6">
        <w:rPr>
          <w:i/>
        </w:rPr>
        <w:t xml:space="preserve"> (Probability of Successful Contact </w:t>
      </w:r>
      <w:r w:rsidR="00451F5D" w:rsidRPr="008B3AD6">
        <w:t>x</w:t>
      </w:r>
      <w:r w:rsidR="00451F5D" w:rsidRPr="008B3AD6">
        <w:rPr>
          <w:i/>
        </w:rPr>
        <w:t xml:space="preserve"> Extracellular L.</w:t>
      </w:r>
      <w:r w:rsidR="00B1673D" w:rsidRPr="008B3AD6">
        <w:rPr>
          <w:i/>
        </w:rPr>
        <w:t xml:space="preserve"> </w:t>
      </w:r>
      <w:r w:rsidR="00451F5D" w:rsidRPr="008B3AD6">
        <w:rPr>
          <w:i/>
        </w:rPr>
        <w:t xml:space="preserve">donovani </w:t>
      </w:r>
      <w:r w:rsidR="00451F5D" w:rsidRPr="008B3AD6">
        <w:t>x</w:t>
      </w:r>
      <w:r w:rsidR="00451F5D" w:rsidRPr="008B3AD6">
        <w:rPr>
          <w:i/>
        </w:rPr>
        <w:t xml:space="preserve"> Susceptible Myeloid cell)</w:t>
      </w:r>
      <w:r w:rsidR="00451F5D" w:rsidRPr="008B3AD6">
        <w:t xml:space="preserve"> and </w:t>
      </w:r>
      <w:r w:rsidR="00451F5D" w:rsidRPr="008B3AD6">
        <w:rPr>
          <w:i/>
        </w:rPr>
        <w:lastRenderedPageBreak/>
        <w:t>Extracellular L.</w:t>
      </w:r>
      <w:r w:rsidR="00B1673D" w:rsidRPr="008B3AD6">
        <w:rPr>
          <w:i/>
        </w:rPr>
        <w:t xml:space="preserve"> </w:t>
      </w:r>
      <w:r w:rsidR="00451F5D" w:rsidRPr="008B3AD6">
        <w:rPr>
          <w:i/>
        </w:rPr>
        <w:t xml:space="preserve">donovani = - Multiplicity of Infection </w:t>
      </w:r>
      <w:r w:rsidR="00451F5D" w:rsidRPr="008B3AD6">
        <w:t>x</w:t>
      </w:r>
      <w:r w:rsidR="00451F5D" w:rsidRPr="008B3AD6">
        <w:rPr>
          <w:i/>
        </w:rPr>
        <w:t xml:space="preserve"> (Probability of Successful Contact </w:t>
      </w:r>
      <w:r w:rsidR="00451F5D" w:rsidRPr="008B3AD6">
        <w:t>x</w:t>
      </w:r>
      <w:r w:rsidR="00451F5D" w:rsidRPr="008B3AD6">
        <w:rPr>
          <w:i/>
        </w:rPr>
        <w:t xml:space="preserve"> Extracellular L.</w:t>
      </w:r>
      <w:r w:rsidR="00B1673D" w:rsidRPr="008B3AD6">
        <w:rPr>
          <w:i/>
        </w:rPr>
        <w:t xml:space="preserve"> </w:t>
      </w:r>
      <w:r w:rsidR="00451F5D" w:rsidRPr="008B3AD6">
        <w:rPr>
          <w:i/>
        </w:rPr>
        <w:t xml:space="preserve">donovani </w:t>
      </w:r>
      <w:r w:rsidR="00451F5D" w:rsidRPr="008B3AD6">
        <w:t>x</w:t>
      </w:r>
      <w:r w:rsidR="00451F5D" w:rsidRPr="008B3AD6">
        <w:rPr>
          <w:i/>
        </w:rPr>
        <w:t xml:space="preserve"> Susceptible Myeloid cell).</w:t>
      </w:r>
    </w:p>
    <w:p w14:paraId="7CEDC5ED" w14:textId="0C092B27" w:rsidR="006C0533" w:rsidRPr="008B3AD6" w:rsidRDefault="006C0533" w:rsidP="009154C0">
      <w:pPr>
        <w:spacing w:line="360" w:lineRule="auto"/>
        <w:jc w:val="both"/>
        <w:rPr>
          <w:i/>
        </w:rPr>
      </w:pPr>
    </w:p>
    <w:p w14:paraId="3E6B106E" w14:textId="6EC40742" w:rsidR="00451F5D" w:rsidRPr="008B3AD6" w:rsidRDefault="00451F5D" w:rsidP="009154C0">
      <w:pPr>
        <w:spacing w:line="360" w:lineRule="auto"/>
        <w:jc w:val="both"/>
      </w:pPr>
      <w:r w:rsidRPr="008B3AD6">
        <w:t xml:space="preserve">T cells within this system exert an anti-leishmanial effect by producing pro-inflammatory signals which activate </w:t>
      </w:r>
      <w:r w:rsidR="000F4AAE">
        <w:t>KCs</w:t>
      </w:r>
      <w:r w:rsidRPr="008B3AD6">
        <w:t xml:space="preserve"> and myeloid cells to produce anti-leishmanial compounds, however it is reasonable to reduce these production abilities down to a representation whereby cellular numbers of T cells and myeloid cells are a proxy for the amount of pro-inflammatory cytokines and </w:t>
      </w:r>
      <w:r w:rsidR="00167CC4" w:rsidRPr="008B3AD6">
        <w:t>thus anti-leishmanial compounds. W</w:t>
      </w:r>
      <w:r w:rsidRPr="008B3AD6">
        <w:t xml:space="preserve">e would expect to see a temporal delay </w:t>
      </w:r>
      <w:r w:rsidR="00167CC4" w:rsidRPr="008B3AD6">
        <w:t xml:space="preserve">in production </w:t>
      </w:r>
      <w:r w:rsidRPr="008B3AD6">
        <w:t>reflecting the complexity of the</w:t>
      </w:r>
      <w:r w:rsidR="00167CC4" w:rsidRPr="008B3AD6">
        <w:t xml:space="preserve"> process</w:t>
      </w:r>
      <w:r w:rsidRPr="008B3AD6">
        <w:t xml:space="preserve">. This is implemented as </w:t>
      </w:r>
      <w:r w:rsidRPr="008B3AD6">
        <w:rPr>
          <w:i/>
        </w:rPr>
        <w:t xml:space="preserve">Anti-leishmanial compounds = (T cells + Myeloid cells)/(temporal delay), </w:t>
      </w:r>
      <w:r w:rsidRPr="008B3AD6">
        <w:t xml:space="preserve">as shown in </w:t>
      </w:r>
      <w:r w:rsidR="00D034D1" w:rsidRPr="001F0D20">
        <w:rPr>
          <w:b/>
        </w:rPr>
        <w:fldChar w:fldCharType="begin"/>
      </w:r>
      <w:r w:rsidR="00D034D1" w:rsidRPr="001F0D20">
        <w:rPr>
          <w:b/>
        </w:rPr>
        <w:instrText xml:space="preserve"> REF _Ref518635726  \* MERGEFORMAT </w:instrText>
      </w:r>
      <w:r w:rsidR="00D034D1" w:rsidRPr="001F0D20">
        <w:rPr>
          <w:b/>
        </w:rPr>
        <w:fldChar w:fldCharType="separate"/>
      </w:r>
      <w:r w:rsidR="00F30350" w:rsidRPr="00F30350">
        <w:rPr>
          <w:b/>
        </w:rPr>
        <w:t>Figure 4.21</w:t>
      </w:r>
      <w:r w:rsidR="00D034D1" w:rsidRPr="001F0D20">
        <w:rPr>
          <w:b/>
        </w:rPr>
        <w:fldChar w:fldCharType="end"/>
      </w:r>
      <w:r w:rsidRPr="008B3AD6">
        <w:t>.</w:t>
      </w:r>
    </w:p>
    <w:p w14:paraId="438F9DB8" w14:textId="404B9775" w:rsidR="00D600A9" w:rsidRPr="008B3AD6" w:rsidRDefault="00D600A9" w:rsidP="009154C0">
      <w:pPr>
        <w:spacing w:line="360" w:lineRule="auto"/>
        <w:jc w:val="both"/>
        <w:rPr>
          <w:b/>
        </w:rPr>
      </w:pPr>
    </w:p>
    <w:p w14:paraId="29C570F7" w14:textId="76CE4909" w:rsidR="00451F5D" w:rsidRPr="008B3AD6" w:rsidRDefault="00E00D6B" w:rsidP="009154C0">
      <w:pPr>
        <w:spacing w:line="360" w:lineRule="auto"/>
        <w:jc w:val="both"/>
        <w:rPr>
          <w:rFonts w:eastAsiaTheme="minorEastAsia"/>
          <w:i/>
        </w:rPr>
      </w:pPr>
      <w:r>
        <w:rPr>
          <w:rFonts w:eastAsiaTheme="minorEastAsia"/>
          <w:noProof/>
        </w:rPr>
        <w:drawing>
          <wp:anchor distT="0" distB="0" distL="114300" distR="114300" simplePos="0" relativeHeight="251290624" behindDoc="0" locked="0" layoutInCell="1" allowOverlap="1" wp14:anchorId="1B7A4BAE" wp14:editId="63343667">
            <wp:simplePos x="0" y="0"/>
            <wp:positionH relativeFrom="column">
              <wp:posOffset>698109</wp:posOffset>
            </wp:positionH>
            <wp:positionV relativeFrom="paragraph">
              <wp:posOffset>2540098</wp:posOffset>
            </wp:positionV>
            <wp:extent cx="4319905" cy="2851958"/>
            <wp:effectExtent l="0" t="0" r="0" b="5715"/>
            <wp:wrapTopAndBottom/>
            <wp:docPr id="513" name="Picture 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3" name="Picture 513"/>
                    <pic:cNvPicPr>
                      <a:picLocks noChangeAspect="1"/>
                    </pic:cNvPicPr>
                  </pic:nvPicPr>
                  <pic:blipFill rotWithShape="1">
                    <a:blip r:embed="rId68">
                      <a:extLst>
                        <a:ext uri="{28A0092B-C50C-407E-A947-70E740481C1C}">
                          <a14:useLocalDpi xmlns:a14="http://schemas.microsoft.com/office/drawing/2010/main" val="0"/>
                        </a:ext>
                      </a:extLst>
                    </a:blip>
                    <a:srcRect l="20499" t="20338" r="20966" b="25117"/>
                    <a:stretch/>
                  </pic:blipFill>
                  <pic:spPr bwMode="auto">
                    <a:xfrm>
                      <a:off x="0" y="0"/>
                      <a:ext cx="4319905" cy="2851958"/>
                    </a:xfrm>
                    <a:prstGeom prst="rect">
                      <a:avLst/>
                    </a:prstGeom>
                    <a:ln>
                      <a:noFill/>
                    </a:ln>
                    <a:extLst>
                      <a:ext uri="{53640926-AAD7-44D8-BBD7-CCE9431645EC}">
                        <a14:shadowObscured xmlns:a14="http://schemas.microsoft.com/office/drawing/2010/main"/>
                      </a:ext>
                    </a:extLst>
                  </pic:spPr>
                </pic:pic>
              </a:graphicData>
            </a:graphic>
          </wp:anchor>
        </w:drawing>
      </w:r>
      <w:r>
        <w:rPr>
          <w:rFonts w:eastAsiaTheme="minorEastAsia"/>
          <w:noProof/>
        </w:rPr>
        <mc:AlternateContent>
          <mc:Choice Requires="wps">
            <w:drawing>
              <wp:anchor distT="0" distB="0" distL="114300" distR="114300" simplePos="0" relativeHeight="251291648" behindDoc="0" locked="0" layoutInCell="1" allowOverlap="1" wp14:anchorId="62D4DD7F" wp14:editId="65180740">
                <wp:simplePos x="0" y="0"/>
                <wp:positionH relativeFrom="column">
                  <wp:posOffset>-33411</wp:posOffset>
                </wp:positionH>
                <wp:positionV relativeFrom="paragraph">
                  <wp:posOffset>5448513</wp:posOffset>
                </wp:positionV>
                <wp:extent cx="5654675" cy="646950"/>
                <wp:effectExtent l="0" t="0" r="0" b="1270"/>
                <wp:wrapTopAndBottom/>
                <wp:docPr id="516" name="Text Box 516"/>
                <wp:cNvGraphicFramePr/>
                <a:graphic xmlns:a="http://schemas.openxmlformats.org/drawingml/2006/main">
                  <a:graphicData uri="http://schemas.microsoft.com/office/word/2010/wordprocessingShape">
                    <wps:wsp>
                      <wps:cNvSpPr txBox="1"/>
                      <wps:spPr>
                        <a:xfrm>
                          <a:off x="0" y="0"/>
                          <a:ext cx="5654675" cy="646950"/>
                        </a:xfrm>
                        <a:prstGeom prst="rect">
                          <a:avLst/>
                        </a:prstGeom>
                        <a:solidFill>
                          <a:prstClr val="white"/>
                        </a:solidFill>
                        <a:ln>
                          <a:noFill/>
                        </a:ln>
                      </wps:spPr>
                      <wps:txbx>
                        <w:txbxContent>
                          <w:p w14:paraId="539CE071" w14:textId="2A8DEEA7" w:rsidR="00F61130" w:rsidRPr="00852402" w:rsidRDefault="00F61130" w:rsidP="009A7895">
                            <w:pPr>
                              <w:pStyle w:val="Caption"/>
                              <w:spacing w:line="360" w:lineRule="auto"/>
                              <w:jc w:val="both"/>
                              <w:rPr>
                                <w:noProof/>
                                <w:color w:val="FF0000"/>
                                <w:sz w:val="20"/>
                                <w:szCs w:val="20"/>
                                <w:lang w:eastAsia="en-GB"/>
                              </w:rPr>
                            </w:pPr>
                            <w:bookmarkStart w:id="470" w:name="_Ref518635753"/>
                            <w:bookmarkStart w:id="471" w:name="_Toc525227227"/>
                            <w:bookmarkStart w:id="472" w:name="_Toc536814166"/>
                            <w:r w:rsidRPr="00852402">
                              <w:rPr>
                                <w:b/>
                                <w:sz w:val="20"/>
                                <w:szCs w:val="20"/>
                              </w:rPr>
                              <w:t xml:space="preserve">Figure </w:t>
                            </w:r>
                            <w:r>
                              <w:rPr>
                                <w:b/>
                                <w:sz w:val="20"/>
                                <w:szCs w:val="20"/>
                              </w:rPr>
                              <w:fldChar w:fldCharType="begin"/>
                            </w:r>
                            <w:r>
                              <w:rPr>
                                <w:b/>
                                <w:sz w:val="20"/>
                                <w:szCs w:val="20"/>
                              </w:rPr>
                              <w:instrText xml:space="preserve"> STYLEREF 1 \s </w:instrText>
                            </w:r>
                            <w:r>
                              <w:rPr>
                                <w:b/>
                                <w:sz w:val="20"/>
                                <w:szCs w:val="20"/>
                              </w:rPr>
                              <w:fldChar w:fldCharType="separate"/>
                            </w:r>
                            <w:r>
                              <w:rPr>
                                <w:b/>
                                <w:noProof/>
                                <w:sz w:val="20"/>
                                <w:szCs w:val="20"/>
                              </w:rPr>
                              <w:t>4</w:t>
                            </w:r>
                            <w:r>
                              <w:rPr>
                                <w:b/>
                                <w:sz w:val="20"/>
                                <w:szCs w:val="20"/>
                              </w:rPr>
                              <w:fldChar w:fldCharType="end"/>
                            </w:r>
                            <w:r>
                              <w:rPr>
                                <w:b/>
                                <w:sz w:val="20"/>
                                <w:szCs w:val="20"/>
                              </w:rPr>
                              <w:t>.</w:t>
                            </w:r>
                            <w:r>
                              <w:rPr>
                                <w:b/>
                                <w:sz w:val="20"/>
                                <w:szCs w:val="20"/>
                              </w:rPr>
                              <w:fldChar w:fldCharType="begin"/>
                            </w:r>
                            <w:r>
                              <w:rPr>
                                <w:b/>
                                <w:sz w:val="20"/>
                                <w:szCs w:val="20"/>
                              </w:rPr>
                              <w:instrText xml:space="preserve"> SEQ Figure \* ARABIC \s 1 </w:instrText>
                            </w:r>
                            <w:r>
                              <w:rPr>
                                <w:b/>
                                <w:sz w:val="20"/>
                                <w:szCs w:val="20"/>
                              </w:rPr>
                              <w:fldChar w:fldCharType="separate"/>
                            </w:r>
                            <w:r>
                              <w:rPr>
                                <w:b/>
                                <w:noProof/>
                                <w:sz w:val="20"/>
                                <w:szCs w:val="20"/>
                              </w:rPr>
                              <w:t>22</w:t>
                            </w:r>
                            <w:r>
                              <w:rPr>
                                <w:b/>
                                <w:sz w:val="20"/>
                                <w:szCs w:val="20"/>
                              </w:rPr>
                              <w:fldChar w:fldCharType="end"/>
                            </w:r>
                            <w:bookmarkEnd w:id="470"/>
                            <w:r w:rsidRPr="00852402">
                              <w:rPr>
                                <w:b/>
                                <w:sz w:val="20"/>
                                <w:szCs w:val="20"/>
                              </w:rPr>
                              <w:t xml:space="preserve"> - Platform model state diagram of a </w:t>
                            </w:r>
                            <w:r w:rsidRPr="00852402">
                              <w:rPr>
                                <w:b/>
                                <w:i/>
                                <w:sz w:val="20"/>
                                <w:szCs w:val="20"/>
                              </w:rPr>
                              <w:t>Leishmani</w:t>
                            </w:r>
                            <w:r>
                              <w:rPr>
                                <w:b/>
                                <w:i/>
                                <w:sz w:val="20"/>
                                <w:szCs w:val="20"/>
                              </w:rPr>
                              <w:t>a</w:t>
                            </w:r>
                            <w:r w:rsidRPr="00852402">
                              <w:rPr>
                                <w:b/>
                                <w:i/>
                                <w:sz w:val="20"/>
                                <w:szCs w:val="20"/>
                              </w:rPr>
                              <w:t xml:space="preserve"> donovani</w:t>
                            </w:r>
                            <w:r w:rsidRPr="00852402">
                              <w:rPr>
                                <w:b/>
                                <w:sz w:val="20"/>
                                <w:szCs w:val="20"/>
                              </w:rPr>
                              <w:t xml:space="preserve"> during </w:t>
                            </w:r>
                            <w:r>
                              <w:rPr>
                                <w:b/>
                                <w:sz w:val="20"/>
                                <w:szCs w:val="20"/>
                              </w:rPr>
                              <w:t>infection in the liver</w:t>
                            </w:r>
                            <w:r w:rsidRPr="00852402">
                              <w:rPr>
                                <w:b/>
                                <w:sz w:val="20"/>
                                <w:szCs w:val="20"/>
                              </w:rPr>
                              <w:t>.</w:t>
                            </w:r>
                            <w:r w:rsidRPr="00852402">
                              <w:rPr>
                                <w:sz w:val="20"/>
                                <w:szCs w:val="20"/>
                              </w:rPr>
                              <w:t xml:space="preserve"> UML notation of the state(s) </w:t>
                            </w:r>
                            <w:r w:rsidRPr="00852402">
                              <w:rPr>
                                <w:i/>
                                <w:sz w:val="20"/>
                                <w:szCs w:val="20"/>
                              </w:rPr>
                              <w:t xml:space="preserve">L. donovani </w:t>
                            </w:r>
                            <w:r w:rsidRPr="00852402">
                              <w:rPr>
                                <w:sz w:val="20"/>
                                <w:szCs w:val="20"/>
                              </w:rPr>
                              <w:t xml:space="preserve">may exist in during </w:t>
                            </w:r>
                            <w:r>
                              <w:rPr>
                                <w:sz w:val="20"/>
                                <w:szCs w:val="20"/>
                              </w:rPr>
                              <w:t>infection</w:t>
                            </w:r>
                            <w:r w:rsidRPr="00852402">
                              <w:rPr>
                                <w:sz w:val="20"/>
                                <w:szCs w:val="20"/>
                              </w:rPr>
                              <w:t xml:space="preserve">. </w:t>
                            </w:r>
                            <w:r w:rsidRPr="00852402">
                              <w:rPr>
                                <w:i/>
                                <w:sz w:val="20"/>
                                <w:szCs w:val="20"/>
                              </w:rPr>
                              <w:t>L. donovani</w:t>
                            </w:r>
                            <w:r w:rsidRPr="00852402">
                              <w:rPr>
                                <w:sz w:val="20"/>
                                <w:szCs w:val="20"/>
                              </w:rPr>
                              <w:t xml:space="preserve"> enters the system as an intracellular entity and is phagocytosed by susceptible myeloid cells upon successful contact transitioning to an extracellular state.</w:t>
                            </w:r>
                            <w:bookmarkEnd w:id="471"/>
                            <w:bookmarkEnd w:id="472"/>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62D4DD7F" id="Text Box 516" o:spid="_x0000_s1122" type="#_x0000_t202" style="position:absolute;left:0;text-align:left;margin-left:-2.65pt;margin-top:429pt;width:445.25pt;height:50.95pt;z-index:2512916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PSJA/NQIAAGwEAAAOAAAAZHJzL2Uyb0RvYy54bWysVFFv2yAQfp+0/4B4X5xUTbZacaosVaZJ&#13;&#10;UVspmfpMMMRIwDEgsbNfvwPH6dbtadoLPu6Og+/77jy/74wmJ+GDAlvRyWhMibAcamUPFf22W3/4&#13;&#10;REmIzNZMgxUVPYtA7xfv381bV4obaEDXwhMsYkPZuoo2MbqyKAJvhGFhBE5YDErwhkXc+kNRe9Zi&#13;&#10;daOLm/F4VrTga+eBixDQ+9AH6SLXl1Lw+CRlEJHoiuLbYl59XvdpLRZzVh48c43il2ewf3iFYcri&#13;&#10;pddSDywycvTqj1JGcQ8BZBxxMAVIqbjIGBDNZPwGzbZhTmQsSE5wV5rC/yvLH0/Pnqi6otPJjBLL&#13;&#10;DIq0E10kn6EjyYcMtS6UmLh1mBo7DKDSgz+gMwHvpDfpi5AIxpHr85XfVI6jczqb3s4+TinhGJvd&#13;&#10;zu6mWYDi9bTzIX4RYEgyKupRv0wrO21CxJdg6pCSLgugVb1WWqdNCqy0JyeGWreNiiK9EU/8lqVt&#13;&#10;yrWQTvXh5CkSxB5KsmK37zIpd1f8e6jPCN9D30LB8bXCCzcsxGfmsWcQMc5BfMJFamgrCheLkgb8&#13;&#10;j7/5Uz5KiVFKWuzBiobvR+YFJfqrRZFTww6GH4z9YNijWQFCneCEOZ5NPOCjHkzpwbzgeCzTLRhi&#13;&#10;luNdFY2DuYr9JOB4cbFc5iRsS8fixm4dT6UHYnfdC/PuIktEQR9h6E5WvlGnz+1pXh4jSJWlS8T2&#13;&#10;LF74xpbO+lzGL83Mr/uc9fqTWPwEAAD//wMAUEsDBBQABgAIAAAAIQBfdqWu5QAAAA8BAAAPAAAA&#13;&#10;ZHJzL2Rvd25yZXYueG1sTI/BTsMwEETvSPyDtUhcUOsQlMpJ41TQwA0OLVXPbuImUeN1ZDtN+vcs&#13;&#10;J7istNqZ2Xn5ZjY9u2rnO4sSnpcRMI2VrTtsJBy+PxYCmA8Ka9Vb1BJu2sOmuL/LVVbbCXf6ug8N&#13;&#10;oxD0mZLQhjBknPuq1Ub5pR000u1snVGBVtfw2qmJwk3P4yhacaM6pA+tGvS21dVlPxoJq9KN0w63&#13;&#10;T+Xh/VN9DU18fLsdpXx8mMs1jdc1sKDn8OeAXwbqDwUVO9kRa896CYvkhZQSRCIIjARCJDGwk4Q0&#13;&#10;SVPgRc7/cxQ/AAAA//8DAFBLAQItABQABgAIAAAAIQC2gziS/gAAAOEBAAATAAAAAAAAAAAAAAAA&#13;&#10;AAAAAABbQ29udGVudF9UeXBlc10ueG1sUEsBAi0AFAAGAAgAAAAhADj9If/WAAAAlAEAAAsAAAAA&#13;&#10;AAAAAAAAAAAALwEAAF9yZWxzLy5yZWxzUEsBAi0AFAAGAAgAAAAhAA9IkD81AgAAbAQAAA4AAAAA&#13;&#10;AAAAAAAAAAAALgIAAGRycy9lMm9Eb2MueG1sUEsBAi0AFAAGAAgAAAAhAF92pa7lAAAADwEAAA8A&#13;&#10;AAAAAAAAAAAAAAAAjwQAAGRycy9kb3ducmV2LnhtbFBLBQYAAAAABAAEAPMAAAChBQAAAAA=&#13;&#10;" stroked="f">
                <v:textbox inset="0,0,0,0">
                  <w:txbxContent>
                    <w:p w14:paraId="539CE071" w14:textId="2A8DEEA7" w:rsidR="00F61130" w:rsidRPr="00852402" w:rsidRDefault="00F61130" w:rsidP="009A7895">
                      <w:pPr>
                        <w:pStyle w:val="Caption"/>
                        <w:spacing w:line="360" w:lineRule="auto"/>
                        <w:jc w:val="both"/>
                        <w:rPr>
                          <w:noProof/>
                          <w:color w:val="FF0000"/>
                          <w:sz w:val="20"/>
                          <w:szCs w:val="20"/>
                          <w:lang w:eastAsia="en-GB"/>
                        </w:rPr>
                      </w:pPr>
                      <w:bookmarkStart w:id="473" w:name="_Ref518635753"/>
                      <w:bookmarkStart w:id="474" w:name="_Toc525227227"/>
                      <w:bookmarkStart w:id="475" w:name="_Toc536814166"/>
                      <w:r w:rsidRPr="00852402">
                        <w:rPr>
                          <w:b/>
                          <w:sz w:val="20"/>
                          <w:szCs w:val="20"/>
                        </w:rPr>
                        <w:t xml:space="preserve">Figure </w:t>
                      </w:r>
                      <w:r>
                        <w:rPr>
                          <w:b/>
                          <w:sz w:val="20"/>
                          <w:szCs w:val="20"/>
                        </w:rPr>
                        <w:fldChar w:fldCharType="begin"/>
                      </w:r>
                      <w:r>
                        <w:rPr>
                          <w:b/>
                          <w:sz w:val="20"/>
                          <w:szCs w:val="20"/>
                        </w:rPr>
                        <w:instrText xml:space="preserve"> STYLEREF 1 \s </w:instrText>
                      </w:r>
                      <w:r>
                        <w:rPr>
                          <w:b/>
                          <w:sz w:val="20"/>
                          <w:szCs w:val="20"/>
                        </w:rPr>
                        <w:fldChar w:fldCharType="separate"/>
                      </w:r>
                      <w:r>
                        <w:rPr>
                          <w:b/>
                          <w:noProof/>
                          <w:sz w:val="20"/>
                          <w:szCs w:val="20"/>
                        </w:rPr>
                        <w:t>4</w:t>
                      </w:r>
                      <w:r>
                        <w:rPr>
                          <w:b/>
                          <w:sz w:val="20"/>
                          <w:szCs w:val="20"/>
                        </w:rPr>
                        <w:fldChar w:fldCharType="end"/>
                      </w:r>
                      <w:r>
                        <w:rPr>
                          <w:b/>
                          <w:sz w:val="20"/>
                          <w:szCs w:val="20"/>
                        </w:rPr>
                        <w:t>.</w:t>
                      </w:r>
                      <w:r>
                        <w:rPr>
                          <w:b/>
                          <w:sz w:val="20"/>
                          <w:szCs w:val="20"/>
                        </w:rPr>
                        <w:fldChar w:fldCharType="begin"/>
                      </w:r>
                      <w:r>
                        <w:rPr>
                          <w:b/>
                          <w:sz w:val="20"/>
                          <w:szCs w:val="20"/>
                        </w:rPr>
                        <w:instrText xml:space="preserve"> SEQ Figure \* ARABIC \s 1 </w:instrText>
                      </w:r>
                      <w:r>
                        <w:rPr>
                          <w:b/>
                          <w:sz w:val="20"/>
                          <w:szCs w:val="20"/>
                        </w:rPr>
                        <w:fldChar w:fldCharType="separate"/>
                      </w:r>
                      <w:r>
                        <w:rPr>
                          <w:b/>
                          <w:noProof/>
                          <w:sz w:val="20"/>
                          <w:szCs w:val="20"/>
                        </w:rPr>
                        <w:t>22</w:t>
                      </w:r>
                      <w:r>
                        <w:rPr>
                          <w:b/>
                          <w:sz w:val="20"/>
                          <w:szCs w:val="20"/>
                        </w:rPr>
                        <w:fldChar w:fldCharType="end"/>
                      </w:r>
                      <w:bookmarkEnd w:id="473"/>
                      <w:r w:rsidRPr="00852402">
                        <w:rPr>
                          <w:b/>
                          <w:sz w:val="20"/>
                          <w:szCs w:val="20"/>
                        </w:rPr>
                        <w:t xml:space="preserve"> - Platform model state diagram of a </w:t>
                      </w:r>
                      <w:r w:rsidRPr="00852402">
                        <w:rPr>
                          <w:b/>
                          <w:i/>
                          <w:sz w:val="20"/>
                          <w:szCs w:val="20"/>
                        </w:rPr>
                        <w:t>Leishmani</w:t>
                      </w:r>
                      <w:r>
                        <w:rPr>
                          <w:b/>
                          <w:i/>
                          <w:sz w:val="20"/>
                          <w:szCs w:val="20"/>
                        </w:rPr>
                        <w:t>a</w:t>
                      </w:r>
                      <w:r w:rsidRPr="00852402">
                        <w:rPr>
                          <w:b/>
                          <w:i/>
                          <w:sz w:val="20"/>
                          <w:szCs w:val="20"/>
                        </w:rPr>
                        <w:t xml:space="preserve"> donovani</w:t>
                      </w:r>
                      <w:r w:rsidRPr="00852402">
                        <w:rPr>
                          <w:b/>
                          <w:sz w:val="20"/>
                          <w:szCs w:val="20"/>
                        </w:rPr>
                        <w:t xml:space="preserve"> during </w:t>
                      </w:r>
                      <w:r>
                        <w:rPr>
                          <w:b/>
                          <w:sz w:val="20"/>
                          <w:szCs w:val="20"/>
                        </w:rPr>
                        <w:t>infection in the liver</w:t>
                      </w:r>
                      <w:r w:rsidRPr="00852402">
                        <w:rPr>
                          <w:b/>
                          <w:sz w:val="20"/>
                          <w:szCs w:val="20"/>
                        </w:rPr>
                        <w:t>.</w:t>
                      </w:r>
                      <w:r w:rsidRPr="00852402">
                        <w:rPr>
                          <w:sz w:val="20"/>
                          <w:szCs w:val="20"/>
                        </w:rPr>
                        <w:t xml:space="preserve"> UML notation of the state(s) </w:t>
                      </w:r>
                      <w:r w:rsidRPr="00852402">
                        <w:rPr>
                          <w:i/>
                          <w:sz w:val="20"/>
                          <w:szCs w:val="20"/>
                        </w:rPr>
                        <w:t xml:space="preserve">L. donovani </w:t>
                      </w:r>
                      <w:r w:rsidRPr="00852402">
                        <w:rPr>
                          <w:sz w:val="20"/>
                          <w:szCs w:val="20"/>
                        </w:rPr>
                        <w:t xml:space="preserve">may exist in during </w:t>
                      </w:r>
                      <w:r>
                        <w:rPr>
                          <w:sz w:val="20"/>
                          <w:szCs w:val="20"/>
                        </w:rPr>
                        <w:t>infection</w:t>
                      </w:r>
                      <w:r w:rsidRPr="00852402">
                        <w:rPr>
                          <w:sz w:val="20"/>
                          <w:szCs w:val="20"/>
                        </w:rPr>
                        <w:t xml:space="preserve">. </w:t>
                      </w:r>
                      <w:r w:rsidRPr="00852402">
                        <w:rPr>
                          <w:i/>
                          <w:sz w:val="20"/>
                          <w:szCs w:val="20"/>
                        </w:rPr>
                        <w:t>L. donovani</w:t>
                      </w:r>
                      <w:r w:rsidRPr="00852402">
                        <w:rPr>
                          <w:sz w:val="20"/>
                          <w:szCs w:val="20"/>
                        </w:rPr>
                        <w:t xml:space="preserve"> enters the system as an intracellular entity and is phagocytosed by susceptible myeloid cells upon successful contact transitioning to an extracellular state.</w:t>
                      </w:r>
                      <w:bookmarkEnd w:id="474"/>
                      <w:bookmarkEnd w:id="475"/>
                    </w:p>
                  </w:txbxContent>
                </v:textbox>
                <w10:wrap type="topAndBottom"/>
              </v:shape>
            </w:pict>
          </mc:Fallback>
        </mc:AlternateContent>
      </w:r>
      <w:r w:rsidR="006C0533" w:rsidRPr="008B3AD6">
        <w:rPr>
          <w:rFonts w:eastAsiaTheme="minorEastAsia"/>
        </w:rPr>
        <w:t>O</w:t>
      </w:r>
      <w:r w:rsidR="00451F5D" w:rsidRPr="008B3AD6">
        <w:rPr>
          <w:rFonts w:eastAsiaTheme="minorEastAsia"/>
        </w:rPr>
        <w:t xml:space="preserve">nce in an intracellular state the parasite can proliferate </w:t>
      </w:r>
      <w:r w:rsidR="00451F5D" w:rsidRPr="008B3AD6">
        <w:rPr>
          <w:rFonts w:eastAsiaTheme="minorEastAsia"/>
        </w:rPr>
        <w:fldChar w:fldCharType="begin"/>
      </w:r>
      <w:r w:rsidR="00812605" w:rsidRPr="008B3AD6">
        <w:rPr>
          <w:rFonts w:eastAsiaTheme="minorEastAsia"/>
        </w:rPr>
        <w:instrText xml:space="preserve"> ADDIN ZOTERO_ITEM CSL_CITATION {"citationID":"ceORddnA","properties":{"formattedCitation":"(Chang and Dwyer 1978)","plainCitation":"(Chang and Dwyer 1978)","noteIndex":0},"citationItems":[{"id":2746,"uris":["http://zotero.org/users/2628971/items/5U7T728N"],"uri":["http://zotero.org/users/2628971/items/5U7T728N"],"itemData":{"id":2746,"type":"article-journal","title":"Leishmania donovani. Hamster macrophage interactions in vitro: cell entry, intracellular survival, and multiplication of amastigotes","container-title":"The Journal of Experimental Medicine","page":"515-530","volume":"147","issue":"2","source":"PubMed","abstract":"An in vitro system was developed for studying host-parasite cellular interactions in visceral leishmaniasis with amastigotes isolated from infected spleens of hamsters and their peritoneal macrophages maintained by an improved method. The culture system supports the growth of Leishmania donovani amastigotes with different parasite/macrophage ratios for up to 2 wk, yielding results more consistent and reproducible than previously possible. Results indicated that the \"forms\" of the amastigotes (with or without adherent host membranes) and the \"state\" of the macrophages (with or without stimulation in vivo by thioglycollate or in vitro by aging) had no effect on the growth rate of the parasites, which, however, seems to vary with the macrophage subpopulations. An electron microscope study suggests that amastigotes are ingested through phagocytosis by the macrophages and become lodged in loose phagosomes. Additional evidence with quantitative data is presented to support the earlier findings that phagosome-lysosome fusion occurs after the interiorization of the parasites and that they not only survive but multiply in these vacuoles. During the postinfection periods, reorientation of amastigotes in vacuolar space results in the appearance of three types of parasitophorous vacuoles (parasites in loose vacuoles, in tight-fitting vacuoles or abutting in part against the inner lining of vacuoles). The last category may be the predominant type giving rise to the variations observed. Exogenously introduced dense marker accumulated in these parasitophorous vacuoles of the macrophages infected for several days indicating a continuous accessibility of amastigotes to the ambient mestruum via phagosome-lysosome vacuolar system of the host cells. This finding may have significant implications in parasite nutrition, host immunity, and chemotherapy of leishmaniasis.","ISSN":"0022-1007","note":"PMID: 564391\nPMCID: PMC2184486","shortTitle":"Leishmania donovani. Hamster macrophage interactions in vitro","journalAbbreviation":"J. Exp. Med.","language":"eng","author":[{"family":"Chang","given":"K. P."},{"family":"Dwyer","given":"D. M."}],"issued":{"date-parts":[["1978",2,1]]}}}],"schema":"https://github.com/citation-style-language/schema/raw/master/csl-citation.json"} </w:instrText>
      </w:r>
      <w:r w:rsidR="00451F5D" w:rsidRPr="008B3AD6">
        <w:rPr>
          <w:rFonts w:eastAsiaTheme="minorEastAsia"/>
        </w:rPr>
        <w:fldChar w:fldCharType="separate"/>
      </w:r>
      <w:r w:rsidR="00451F5D" w:rsidRPr="008B3AD6">
        <w:t>(Chang and Dwyer 1978)</w:t>
      </w:r>
      <w:r w:rsidR="00451F5D" w:rsidRPr="008B3AD6">
        <w:rPr>
          <w:rFonts w:eastAsiaTheme="minorEastAsia"/>
        </w:rPr>
        <w:fldChar w:fldCharType="end"/>
      </w:r>
      <w:r w:rsidR="00451F5D" w:rsidRPr="008B3AD6">
        <w:rPr>
          <w:rFonts w:eastAsiaTheme="minorEastAsia"/>
        </w:rPr>
        <w:t xml:space="preserve">, implemented as </w:t>
      </w:r>
      <w:r w:rsidR="00451F5D" w:rsidRPr="008B3AD6">
        <w:rPr>
          <w:rFonts w:eastAsiaTheme="minorEastAsia"/>
          <w:i/>
        </w:rPr>
        <w:t xml:space="preserve">Intracellular L. donovani Growth = L. donovani Growth Rate </w:t>
      </w:r>
      <w:r w:rsidR="00451F5D" w:rsidRPr="008B3AD6">
        <w:rPr>
          <w:rFonts w:eastAsiaTheme="minorEastAsia"/>
        </w:rPr>
        <w:t>x</w:t>
      </w:r>
      <w:r w:rsidR="00451F5D" w:rsidRPr="008B3AD6">
        <w:rPr>
          <w:rFonts w:eastAsiaTheme="minorEastAsia"/>
          <w:i/>
        </w:rPr>
        <w:t xml:space="preserve"> Intracellular L. donovani, </w:t>
      </w:r>
      <w:r w:rsidR="00451F5D" w:rsidRPr="008B3AD6">
        <w:rPr>
          <w:rFonts w:eastAsiaTheme="minorEastAsia"/>
        </w:rPr>
        <w:t xml:space="preserve">or be killed by the actions of anti-leishmanial compounds in a concentration dependent manner, resulting in removal from the system, shown as </w:t>
      </w:r>
      <w:r w:rsidR="00451F5D" w:rsidRPr="008B3AD6">
        <w:rPr>
          <w:rFonts w:eastAsiaTheme="minorEastAsia"/>
          <w:i/>
        </w:rPr>
        <w:t>Intracellular L. donovani Decline = ((anti-leishmanial compounds)/(IC</w:t>
      </w:r>
      <w:r w:rsidR="00451F5D" w:rsidRPr="008B3AD6">
        <w:rPr>
          <w:rFonts w:eastAsiaTheme="minorEastAsia"/>
          <w:i/>
          <w:vertAlign w:val="subscript"/>
        </w:rPr>
        <w:t>50</w:t>
      </w:r>
      <w:r w:rsidR="00451F5D" w:rsidRPr="008B3AD6">
        <w:rPr>
          <w:rFonts w:eastAsiaTheme="minorEastAsia"/>
          <w:i/>
        </w:rPr>
        <w:t xml:space="preserve"> + anti-leishmanial compounds)) </w:t>
      </w:r>
      <w:r w:rsidR="00451F5D" w:rsidRPr="008B3AD6">
        <w:rPr>
          <w:rFonts w:eastAsiaTheme="minorEastAsia"/>
        </w:rPr>
        <w:t>x</w:t>
      </w:r>
      <w:r w:rsidR="00451F5D" w:rsidRPr="008B3AD6">
        <w:rPr>
          <w:rFonts w:eastAsiaTheme="minorEastAsia"/>
          <w:i/>
        </w:rPr>
        <w:t xml:space="preserve"> Intracellular L. donovani</w:t>
      </w:r>
      <w:r w:rsidR="00451F5D" w:rsidRPr="008B3AD6">
        <w:rPr>
          <w:rFonts w:eastAsiaTheme="minorEastAsia"/>
        </w:rPr>
        <w:t xml:space="preserve">. </w:t>
      </w:r>
      <w:r w:rsidR="00F83305" w:rsidRPr="008B3AD6">
        <w:rPr>
          <w:rFonts w:eastAsiaTheme="minorEastAsia"/>
        </w:rPr>
        <w:t>However,</w:t>
      </w:r>
      <w:r w:rsidR="00451F5D" w:rsidRPr="008B3AD6">
        <w:rPr>
          <w:rFonts w:eastAsiaTheme="minorEastAsia"/>
        </w:rPr>
        <w:t xml:space="preserve"> as host myeloid cells will also succumb to bursting, which is a factor of that populations death rate, </w:t>
      </w:r>
      <w:r w:rsidR="00451F5D" w:rsidRPr="008B3AD6">
        <w:rPr>
          <w:rFonts w:eastAsiaTheme="minorEastAsia"/>
          <w:i/>
        </w:rPr>
        <w:t>L. donovani</w:t>
      </w:r>
      <w:r w:rsidR="00451F5D" w:rsidRPr="008B3AD6">
        <w:rPr>
          <w:rFonts w:eastAsiaTheme="minorEastAsia"/>
        </w:rPr>
        <w:t xml:space="preserve"> can return to the extracellular space, and thus become extracellular, by egressing out of the bursting cells. These processes are implemented as </w:t>
      </w:r>
      <w:r w:rsidR="00451F5D" w:rsidRPr="008B3AD6">
        <w:rPr>
          <w:rFonts w:eastAsiaTheme="minorEastAsia"/>
          <w:i/>
        </w:rPr>
        <w:t xml:space="preserve">Intracellular L. donovani Egress = Probability of </w:t>
      </w:r>
      <w:r w:rsidR="00451F5D" w:rsidRPr="008B3AD6">
        <w:rPr>
          <w:rFonts w:eastAsiaTheme="minorEastAsia"/>
          <w:i/>
        </w:rPr>
        <w:lastRenderedPageBreak/>
        <w:t>egress x Myeloid cell decay rate x Intracellular L. donovani</w:t>
      </w:r>
      <w:r w:rsidR="00D600A9" w:rsidRPr="008B3AD6">
        <w:rPr>
          <w:rFonts w:eastAsiaTheme="minorEastAsia"/>
        </w:rPr>
        <w:t xml:space="preserve">. </w:t>
      </w:r>
      <w:r w:rsidR="00451F5D" w:rsidRPr="008B3AD6">
        <w:t xml:space="preserve">Extracellular </w:t>
      </w:r>
      <w:r w:rsidR="00451F5D" w:rsidRPr="008B3AD6">
        <w:rPr>
          <w:i/>
        </w:rPr>
        <w:t>L. donovani</w:t>
      </w:r>
      <w:r w:rsidR="00451F5D" w:rsidRPr="008B3AD6">
        <w:t xml:space="preserve"> are also susceptible to the actions of anti-leishmanial compounds and share the same population decline upon exposure, here shown as </w:t>
      </w:r>
      <w:r w:rsidR="00451F5D" w:rsidRPr="008B3AD6">
        <w:rPr>
          <w:i/>
        </w:rPr>
        <w:t xml:space="preserve">Extracellular L. donovani Decline = </w:t>
      </w:r>
      <w:r w:rsidR="00451F5D" w:rsidRPr="008B3AD6">
        <w:rPr>
          <w:rFonts w:eastAsiaTheme="minorEastAsia"/>
          <w:i/>
        </w:rPr>
        <w:t>((anti-leishmanial compounds)/(IC</w:t>
      </w:r>
      <w:r w:rsidR="00451F5D" w:rsidRPr="008B3AD6">
        <w:rPr>
          <w:rFonts w:eastAsiaTheme="minorEastAsia"/>
          <w:i/>
          <w:vertAlign w:val="subscript"/>
        </w:rPr>
        <w:t>50</w:t>
      </w:r>
      <w:r w:rsidR="00451F5D" w:rsidRPr="008B3AD6">
        <w:rPr>
          <w:rFonts w:eastAsiaTheme="minorEastAsia"/>
          <w:i/>
        </w:rPr>
        <w:t xml:space="preserve"> + anti-leishmanial compounds)) </w:t>
      </w:r>
      <w:r w:rsidR="00451F5D" w:rsidRPr="008B3AD6">
        <w:rPr>
          <w:rFonts w:eastAsiaTheme="minorEastAsia"/>
        </w:rPr>
        <w:t>x</w:t>
      </w:r>
      <w:r w:rsidR="00451F5D" w:rsidRPr="008B3AD6">
        <w:rPr>
          <w:rFonts w:eastAsiaTheme="minorEastAsia"/>
          <w:i/>
        </w:rPr>
        <w:t xml:space="preserve"> Extracellular L. donovani</w:t>
      </w:r>
    </w:p>
    <w:p w14:paraId="42A31888" w14:textId="07AD8E4F" w:rsidR="00BB352D" w:rsidRPr="008B3AD6" w:rsidRDefault="00BB352D" w:rsidP="009154C0">
      <w:pPr>
        <w:spacing w:line="360" w:lineRule="auto"/>
        <w:jc w:val="both"/>
        <w:rPr>
          <w:rFonts w:eastAsiaTheme="minorEastAsia"/>
          <w:i/>
        </w:rPr>
      </w:pPr>
    </w:p>
    <w:p w14:paraId="09CFE81F" w14:textId="587B3120" w:rsidR="00BB352D" w:rsidRPr="008B3AD6" w:rsidRDefault="00BB352D" w:rsidP="004D3F97">
      <w:pPr>
        <w:pStyle w:val="Heading3"/>
      </w:pPr>
      <w:bookmarkStart w:id="476" w:name="_Ref518744288"/>
      <w:bookmarkStart w:id="477" w:name="_Ref518744611"/>
      <w:bookmarkStart w:id="478" w:name="_Ref525222145"/>
      <w:bookmarkStart w:id="479" w:name="_Toc3716109"/>
      <w:r w:rsidRPr="008B3AD6">
        <w:t xml:space="preserve">Implementing a Simulation Model of </w:t>
      </w:r>
      <w:r w:rsidR="001F0D20">
        <w:t>the h</w:t>
      </w:r>
      <w:r w:rsidRPr="008B3AD6">
        <w:t>epatic</w:t>
      </w:r>
      <w:bookmarkEnd w:id="476"/>
      <w:bookmarkEnd w:id="477"/>
      <w:r w:rsidR="001F0D20">
        <w:t xml:space="preserve"> immune response to infection with </w:t>
      </w:r>
      <w:r w:rsidR="001F0D20">
        <w:rPr>
          <w:i/>
        </w:rPr>
        <w:t>L. donovani</w:t>
      </w:r>
      <w:bookmarkEnd w:id="478"/>
      <w:bookmarkEnd w:id="479"/>
    </w:p>
    <w:p w14:paraId="4125CD85" w14:textId="2956AB7E" w:rsidR="00EA1D57" w:rsidRDefault="00833A99" w:rsidP="00EA1D57">
      <w:pPr>
        <w:spacing w:line="360" w:lineRule="auto"/>
        <w:jc w:val="both"/>
      </w:pPr>
      <w:r w:rsidRPr="008B3AD6">
        <w:t>Initially the full simulation model</w:t>
      </w:r>
      <w:r w:rsidR="000F4AAE">
        <w:t xml:space="preserve"> (see </w:t>
      </w:r>
      <w:r w:rsidR="009A2724" w:rsidRPr="008B3AD6">
        <w:t xml:space="preserve">Section </w:t>
      </w:r>
      <w:r w:rsidR="009A2724" w:rsidRPr="008B3AD6">
        <w:fldChar w:fldCharType="begin"/>
      </w:r>
      <w:r w:rsidR="009A2724" w:rsidRPr="008B3AD6">
        <w:instrText xml:space="preserve"> REF _Ref519095327 \n </w:instrText>
      </w:r>
      <w:r w:rsidR="007C2CB7" w:rsidRPr="008B3AD6">
        <w:instrText xml:space="preserve"> \* MERGEFORMAT </w:instrText>
      </w:r>
      <w:r w:rsidR="009A2724" w:rsidRPr="008B3AD6">
        <w:fldChar w:fldCharType="separate"/>
      </w:r>
      <w:r w:rsidR="00031DCA">
        <w:t>2.15.5</w:t>
      </w:r>
      <w:r w:rsidR="009A2724" w:rsidRPr="008B3AD6">
        <w:fldChar w:fldCharType="end"/>
      </w:r>
      <w:r w:rsidR="000F4AAE">
        <w:t>)</w:t>
      </w:r>
      <w:r w:rsidRPr="008B3AD6">
        <w:t xml:space="preserve"> was designed based upon the</w:t>
      </w:r>
      <w:r w:rsidR="001F0D20">
        <w:t xml:space="preserve"> specifications laid out in the </w:t>
      </w:r>
      <w:r w:rsidRPr="008B3AD6">
        <w:t>platform model (</w:t>
      </w:r>
      <w:r w:rsidR="000F4AAE">
        <w:t xml:space="preserve">see </w:t>
      </w:r>
      <w:r w:rsidRPr="008B3AD6">
        <w:t xml:space="preserve">Section </w:t>
      </w:r>
      <w:r w:rsidR="00703327" w:rsidRPr="008B3AD6">
        <w:fldChar w:fldCharType="begin"/>
      </w:r>
      <w:r w:rsidR="00703327" w:rsidRPr="008B3AD6">
        <w:instrText xml:space="preserve"> REF _Ref518743315 \n </w:instrText>
      </w:r>
      <w:r w:rsidR="009154C0" w:rsidRPr="008B3AD6">
        <w:instrText xml:space="preserve"> \* MERGEFORMAT </w:instrText>
      </w:r>
      <w:r w:rsidR="00703327" w:rsidRPr="008B3AD6">
        <w:fldChar w:fldCharType="separate"/>
      </w:r>
      <w:r w:rsidR="00031DCA">
        <w:t>4.3.3</w:t>
      </w:r>
      <w:r w:rsidR="00703327" w:rsidRPr="008B3AD6">
        <w:fldChar w:fldCharType="end"/>
      </w:r>
      <w:r w:rsidR="003976ED">
        <w:t xml:space="preserve">). The abstractions made within the platform model meant that parameterisation of the model using values derived from published data was not feasible, as many parameters did not directly link to biological rates/fluxes thus all parameter values were </w:t>
      </w:r>
      <w:r w:rsidR="001F0D20">
        <w:t>calibrat</w:t>
      </w:r>
      <w:r w:rsidR="003976ED">
        <w:t>ed against the generated biological data. Initially a simulation model that encapsulated all of the specifications from the platform model</w:t>
      </w:r>
      <w:r w:rsidR="00AA0A30">
        <w:t xml:space="preserve"> </w:t>
      </w:r>
      <w:r w:rsidR="00AA0A30" w:rsidRPr="00AA0A30">
        <w:t xml:space="preserve">was derived </w:t>
      </w:r>
      <w:r w:rsidR="00AA0A30" w:rsidRPr="000F4AAE">
        <w:t>(</w:t>
      </w:r>
      <w:r w:rsidR="000F4AAE" w:rsidRPr="000F4AAE">
        <w:rPr>
          <w:b/>
        </w:rPr>
        <w:fldChar w:fldCharType="begin"/>
      </w:r>
      <w:r w:rsidR="000F4AAE" w:rsidRPr="000F4AAE">
        <w:instrText xml:space="preserve"> REF _Ref518721637 </w:instrText>
      </w:r>
      <w:r w:rsidR="000F4AAE">
        <w:instrText xml:space="preserve"> \* MERGEFORMAT </w:instrText>
      </w:r>
      <w:r w:rsidR="000F4AAE" w:rsidRPr="000F4AAE">
        <w:rPr>
          <w:b/>
        </w:rPr>
        <w:fldChar w:fldCharType="separate"/>
      </w:r>
      <w:r w:rsidR="00F30350" w:rsidRPr="00F30350">
        <w:rPr>
          <w:b/>
        </w:rPr>
        <w:t xml:space="preserve">Figure </w:t>
      </w:r>
      <w:r w:rsidR="00F30350" w:rsidRPr="00F30350">
        <w:rPr>
          <w:b/>
          <w:noProof/>
        </w:rPr>
        <w:t>4.23</w:t>
      </w:r>
      <w:r w:rsidR="000F4AAE" w:rsidRPr="000F4AAE">
        <w:rPr>
          <w:b/>
        </w:rPr>
        <w:fldChar w:fldCharType="end"/>
      </w:r>
      <w:r w:rsidR="00AA0A30" w:rsidRPr="000F4AAE">
        <w:rPr>
          <w:b/>
        </w:rPr>
        <w:t>)</w:t>
      </w:r>
      <w:r w:rsidR="00F814B4">
        <w:t>.</w:t>
      </w:r>
    </w:p>
    <w:p w14:paraId="55B82CF2" w14:textId="09E06BE8" w:rsidR="00EA1D57" w:rsidRDefault="00EA1D57" w:rsidP="00EA1D57">
      <w:pPr>
        <w:spacing w:line="360" w:lineRule="auto"/>
        <w:jc w:val="both"/>
      </w:pPr>
    </w:p>
    <w:p w14:paraId="2FBFCA51" w14:textId="492DD27A" w:rsidR="00EA1D57" w:rsidRDefault="00EA1D57" w:rsidP="00EA1D57">
      <w:pPr>
        <w:spacing w:line="360" w:lineRule="auto"/>
        <w:jc w:val="both"/>
      </w:pPr>
      <w:r>
        <w:rPr>
          <w:noProof/>
        </w:rPr>
        <mc:AlternateContent>
          <mc:Choice Requires="wps">
            <w:drawing>
              <wp:anchor distT="0" distB="0" distL="114300" distR="114300" simplePos="0" relativeHeight="252067840" behindDoc="0" locked="0" layoutInCell="1" allowOverlap="1" wp14:anchorId="49403558" wp14:editId="65DB096D">
                <wp:simplePos x="0" y="0"/>
                <wp:positionH relativeFrom="column">
                  <wp:posOffset>-72556</wp:posOffset>
                </wp:positionH>
                <wp:positionV relativeFrom="paragraph">
                  <wp:posOffset>3287036</wp:posOffset>
                </wp:positionV>
                <wp:extent cx="5727065" cy="1995777"/>
                <wp:effectExtent l="0" t="0" r="635" b="0"/>
                <wp:wrapTopAndBottom/>
                <wp:docPr id="553" name="Text Box 553"/>
                <wp:cNvGraphicFramePr/>
                <a:graphic xmlns:a="http://schemas.openxmlformats.org/drawingml/2006/main">
                  <a:graphicData uri="http://schemas.microsoft.com/office/word/2010/wordprocessingShape">
                    <wps:wsp>
                      <wps:cNvSpPr txBox="1"/>
                      <wps:spPr>
                        <a:xfrm>
                          <a:off x="0" y="0"/>
                          <a:ext cx="5727065" cy="1995777"/>
                        </a:xfrm>
                        <a:prstGeom prst="rect">
                          <a:avLst/>
                        </a:prstGeom>
                        <a:solidFill>
                          <a:prstClr val="white"/>
                        </a:solidFill>
                        <a:ln>
                          <a:noFill/>
                        </a:ln>
                      </wps:spPr>
                      <wps:txbx>
                        <w:txbxContent>
                          <w:p w14:paraId="047B3CE6" w14:textId="067C3778" w:rsidR="00F61130" w:rsidRPr="00B23FF8" w:rsidRDefault="00F61130" w:rsidP="00450D8E">
                            <w:pPr>
                              <w:spacing w:line="360" w:lineRule="auto"/>
                              <w:jc w:val="both"/>
                              <w:rPr>
                                <w:sz w:val="20"/>
                                <w:szCs w:val="20"/>
                              </w:rPr>
                            </w:pPr>
                            <w:bookmarkStart w:id="480" w:name="_Ref536814004"/>
                            <w:bookmarkStart w:id="481" w:name="_Ref518721637"/>
                            <w:bookmarkStart w:id="482" w:name="_Toc525227228"/>
                            <w:bookmarkStart w:id="483" w:name="_Toc536814167"/>
                            <w:r w:rsidRPr="00450D8E">
                              <w:rPr>
                                <w:b/>
                                <w:sz w:val="20"/>
                                <w:szCs w:val="20"/>
                              </w:rPr>
                              <w:t xml:space="preserve">Figure </w:t>
                            </w:r>
                            <w:r w:rsidRPr="00450D8E">
                              <w:rPr>
                                <w:b/>
                                <w:sz w:val="20"/>
                                <w:szCs w:val="20"/>
                              </w:rPr>
                              <w:fldChar w:fldCharType="begin"/>
                            </w:r>
                            <w:r w:rsidRPr="00450D8E">
                              <w:rPr>
                                <w:b/>
                                <w:sz w:val="20"/>
                                <w:szCs w:val="20"/>
                              </w:rPr>
                              <w:instrText xml:space="preserve"> STYLEREF 1 \s </w:instrText>
                            </w:r>
                            <w:r w:rsidRPr="00450D8E">
                              <w:rPr>
                                <w:b/>
                                <w:sz w:val="20"/>
                                <w:szCs w:val="20"/>
                              </w:rPr>
                              <w:fldChar w:fldCharType="separate"/>
                            </w:r>
                            <w:r w:rsidRPr="00450D8E">
                              <w:rPr>
                                <w:b/>
                                <w:noProof/>
                                <w:sz w:val="20"/>
                                <w:szCs w:val="20"/>
                              </w:rPr>
                              <w:t>4</w:t>
                            </w:r>
                            <w:r w:rsidRPr="00450D8E">
                              <w:rPr>
                                <w:b/>
                                <w:sz w:val="20"/>
                                <w:szCs w:val="20"/>
                              </w:rPr>
                              <w:fldChar w:fldCharType="end"/>
                            </w:r>
                            <w:r w:rsidRPr="00450D8E">
                              <w:rPr>
                                <w:b/>
                                <w:sz w:val="20"/>
                                <w:szCs w:val="20"/>
                              </w:rPr>
                              <w:t>.</w:t>
                            </w:r>
                            <w:r w:rsidRPr="00450D8E">
                              <w:rPr>
                                <w:b/>
                                <w:sz w:val="20"/>
                                <w:szCs w:val="20"/>
                              </w:rPr>
                              <w:fldChar w:fldCharType="begin"/>
                            </w:r>
                            <w:r w:rsidRPr="00450D8E">
                              <w:rPr>
                                <w:b/>
                                <w:sz w:val="20"/>
                                <w:szCs w:val="20"/>
                              </w:rPr>
                              <w:instrText xml:space="preserve"> SEQ Figure \* ARABIC \s 1 </w:instrText>
                            </w:r>
                            <w:r w:rsidRPr="00450D8E">
                              <w:rPr>
                                <w:b/>
                                <w:sz w:val="20"/>
                                <w:szCs w:val="20"/>
                              </w:rPr>
                              <w:fldChar w:fldCharType="separate"/>
                            </w:r>
                            <w:r w:rsidRPr="00450D8E">
                              <w:rPr>
                                <w:b/>
                                <w:noProof/>
                                <w:sz w:val="20"/>
                                <w:szCs w:val="20"/>
                              </w:rPr>
                              <w:t>23</w:t>
                            </w:r>
                            <w:r w:rsidRPr="00450D8E">
                              <w:rPr>
                                <w:b/>
                                <w:sz w:val="20"/>
                                <w:szCs w:val="20"/>
                              </w:rPr>
                              <w:fldChar w:fldCharType="end"/>
                            </w:r>
                            <w:bookmarkEnd w:id="480"/>
                            <w:bookmarkEnd w:id="481"/>
                            <w:r w:rsidRPr="00450D8E">
                              <w:rPr>
                                <w:b/>
                                <w:sz w:val="20"/>
                                <w:szCs w:val="20"/>
                              </w:rPr>
                              <w:t xml:space="preserve"> - Full Simulation Model of the hepatic immune response to infection with </w:t>
                            </w:r>
                            <w:r w:rsidRPr="00450D8E">
                              <w:rPr>
                                <w:b/>
                                <w:i/>
                                <w:sz w:val="20"/>
                                <w:szCs w:val="20"/>
                              </w:rPr>
                              <w:t>L. donovani</w:t>
                            </w:r>
                            <w:r w:rsidRPr="00450D8E">
                              <w:rPr>
                                <w:b/>
                                <w:sz w:val="20"/>
                                <w:szCs w:val="20"/>
                              </w:rPr>
                              <w:t>.</w:t>
                            </w:r>
                            <w:r w:rsidRPr="00450D8E">
                              <w:rPr>
                                <w:sz w:val="20"/>
                                <w:szCs w:val="20"/>
                              </w:rPr>
                              <w:t xml:space="preserve"> The ODE system describing T cells, myeloid cells and </w:t>
                            </w:r>
                            <w:r w:rsidRPr="00450D8E">
                              <w:rPr>
                                <w:i/>
                                <w:sz w:val="20"/>
                                <w:szCs w:val="20"/>
                              </w:rPr>
                              <w:t xml:space="preserve">L. donovani </w:t>
                            </w:r>
                            <w:r w:rsidRPr="00450D8E">
                              <w:rPr>
                                <w:sz w:val="20"/>
                                <w:szCs w:val="20"/>
                              </w:rPr>
                              <w:t xml:space="preserve">was implemented to fully realise the platform implementation. The T Cells parameters and the </w:t>
                            </w:r>
                            <w:r w:rsidRPr="00450D8E">
                              <w:rPr>
                                <w:i/>
                                <w:sz w:val="20"/>
                                <w:szCs w:val="20"/>
                              </w:rPr>
                              <w:t>L. donovani</w:t>
                            </w:r>
                            <w:r w:rsidRPr="00450D8E">
                              <w:rPr>
                                <w:sz w:val="20"/>
                                <w:szCs w:val="20"/>
                              </w:rPr>
                              <w:t xml:space="preserve"> initial value were derived separately which allowed for parameterisation of the remaining free parameters in the full model.</w:t>
                            </w:r>
                            <w:bookmarkEnd w:id="482"/>
                            <w:r w:rsidRPr="00450D8E">
                              <w:rPr>
                                <w:sz w:val="20"/>
                                <w:szCs w:val="20"/>
                              </w:rPr>
                              <w:t xml:space="preserve"> </w:t>
                            </w:r>
                            <w:r w:rsidRPr="00B23FF8">
                              <w:rPr>
                                <w:sz w:val="20"/>
                                <w:szCs w:val="20"/>
                              </w:rPr>
                              <w:t>Model terms are as such: T Cells (</w:t>
                            </w:r>
                            <w:r w:rsidRPr="00B23FF8">
                              <w:rPr>
                                <w:i/>
                                <w:sz w:val="20"/>
                                <w:szCs w:val="20"/>
                              </w:rPr>
                              <w:t>T</w:t>
                            </w:r>
                            <w:r w:rsidRPr="00B23FF8">
                              <w:rPr>
                                <w:sz w:val="20"/>
                                <w:szCs w:val="20"/>
                              </w:rPr>
                              <w:t>), susceptible myeloid cells (</w:t>
                            </w:r>
                            <w:r w:rsidRPr="00B23FF8">
                              <w:rPr>
                                <w:i/>
                                <w:sz w:val="20"/>
                                <w:szCs w:val="20"/>
                              </w:rPr>
                              <w:t>M</w:t>
                            </w:r>
                            <w:r w:rsidRPr="00B23FF8">
                              <w:rPr>
                                <w:i/>
                                <w:sz w:val="20"/>
                                <w:szCs w:val="20"/>
                                <w:vertAlign w:val="subscript"/>
                              </w:rPr>
                              <w:t>s</w:t>
                            </w:r>
                            <w:r w:rsidRPr="00B23FF8">
                              <w:rPr>
                                <w:sz w:val="20"/>
                                <w:szCs w:val="20"/>
                              </w:rPr>
                              <w:t>), infected myeloid cells (</w:t>
                            </w:r>
                            <w:r w:rsidRPr="00B23FF8">
                              <w:rPr>
                                <w:i/>
                                <w:sz w:val="20"/>
                                <w:szCs w:val="20"/>
                              </w:rPr>
                              <w:t>M</w:t>
                            </w:r>
                            <w:r w:rsidRPr="00B23FF8">
                              <w:rPr>
                                <w:i/>
                                <w:sz w:val="20"/>
                                <w:szCs w:val="20"/>
                                <w:vertAlign w:val="subscript"/>
                              </w:rPr>
                              <w:t>i</w:t>
                            </w:r>
                            <w:r w:rsidRPr="00B23FF8">
                              <w:rPr>
                                <w:sz w:val="20"/>
                                <w:szCs w:val="20"/>
                              </w:rPr>
                              <w:t xml:space="preserve">), extracellular </w:t>
                            </w:r>
                            <w:r w:rsidRPr="00B23FF8">
                              <w:rPr>
                                <w:i/>
                                <w:sz w:val="20"/>
                                <w:szCs w:val="20"/>
                              </w:rPr>
                              <w:t xml:space="preserve">L. donovani </w:t>
                            </w:r>
                            <w:r w:rsidRPr="00B23FF8">
                              <w:rPr>
                                <w:sz w:val="20"/>
                                <w:szCs w:val="20"/>
                              </w:rPr>
                              <w:t>(</w:t>
                            </w:r>
                            <w:r w:rsidRPr="00B23FF8">
                              <w:rPr>
                                <w:i/>
                                <w:sz w:val="20"/>
                                <w:szCs w:val="20"/>
                              </w:rPr>
                              <w:t>P</w:t>
                            </w:r>
                            <w:r w:rsidRPr="00B23FF8">
                              <w:rPr>
                                <w:i/>
                                <w:sz w:val="20"/>
                                <w:szCs w:val="20"/>
                                <w:vertAlign w:val="subscript"/>
                              </w:rPr>
                              <w:t>e</w:t>
                            </w:r>
                            <w:r w:rsidRPr="00B23FF8">
                              <w:rPr>
                                <w:sz w:val="20"/>
                                <w:szCs w:val="20"/>
                              </w:rPr>
                              <w:t xml:space="preserve">), intracellular </w:t>
                            </w:r>
                            <w:r w:rsidRPr="00B23FF8">
                              <w:rPr>
                                <w:i/>
                                <w:sz w:val="20"/>
                                <w:szCs w:val="20"/>
                              </w:rPr>
                              <w:t xml:space="preserve">L. donovani </w:t>
                            </w:r>
                            <w:r w:rsidRPr="00B23FF8">
                              <w:rPr>
                                <w:sz w:val="20"/>
                                <w:szCs w:val="20"/>
                              </w:rPr>
                              <w:t>(</w:t>
                            </w:r>
                            <w:r w:rsidRPr="00B23FF8">
                              <w:rPr>
                                <w:i/>
                                <w:sz w:val="20"/>
                                <w:szCs w:val="20"/>
                              </w:rPr>
                              <w:t>P</w:t>
                            </w:r>
                            <w:r w:rsidRPr="00B23FF8">
                              <w:rPr>
                                <w:i/>
                                <w:sz w:val="20"/>
                                <w:szCs w:val="20"/>
                                <w:vertAlign w:val="subscript"/>
                              </w:rPr>
                              <w:t>i</w:t>
                            </w:r>
                            <w:r w:rsidRPr="00B23FF8">
                              <w:rPr>
                                <w:sz w:val="20"/>
                                <w:szCs w:val="20"/>
                              </w:rPr>
                              <w:t>). T cell growth rate (</w:t>
                            </w:r>
                            <w:r w:rsidRPr="00B23FF8">
                              <w:rPr>
                                <w:i/>
                                <w:sz w:val="20"/>
                                <w:szCs w:val="20"/>
                              </w:rPr>
                              <w:t>a</w:t>
                            </w:r>
                            <w:r w:rsidRPr="00B23FF8">
                              <w:rPr>
                                <w:i/>
                                <w:sz w:val="20"/>
                                <w:szCs w:val="20"/>
                                <w:vertAlign w:val="subscript"/>
                              </w:rPr>
                              <w:t>T</w:t>
                            </w:r>
                            <w:r w:rsidRPr="00B23FF8">
                              <w:rPr>
                                <w:sz w:val="20"/>
                                <w:szCs w:val="20"/>
                              </w:rPr>
                              <w:t>), T cell population maximum (</w:t>
                            </w:r>
                            <w:r w:rsidRPr="00B23FF8">
                              <w:rPr>
                                <w:i/>
                                <w:sz w:val="20"/>
                                <w:szCs w:val="20"/>
                              </w:rPr>
                              <w:t>T</w:t>
                            </w:r>
                            <w:r w:rsidRPr="00B23FF8">
                              <w:rPr>
                                <w:i/>
                                <w:sz w:val="20"/>
                                <w:szCs w:val="20"/>
                                <w:vertAlign w:val="subscript"/>
                              </w:rPr>
                              <w:t>max</w:t>
                            </w:r>
                            <w:r w:rsidRPr="00B23FF8">
                              <w:rPr>
                                <w:sz w:val="20"/>
                                <w:szCs w:val="20"/>
                              </w:rPr>
                              <w:t>), T cells exit rate (</w:t>
                            </w:r>
                            <w:r w:rsidRPr="00B23FF8">
                              <w:rPr>
                                <w:i/>
                                <w:sz w:val="20"/>
                                <w:szCs w:val="20"/>
                              </w:rPr>
                              <w:t>U</w:t>
                            </w:r>
                            <w:r w:rsidRPr="00B23FF8">
                              <w:rPr>
                                <w:i/>
                                <w:sz w:val="20"/>
                                <w:szCs w:val="20"/>
                                <w:vertAlign w:val="subscript"/>
                              </w:rPr>
                              <w:t>t</w:t>
                            </w:r>
                            <w:r w:rsidRPr="00B23FF8">
                              <w:rPr>
                                <w:sz w:val="20"/>
                                <w:szCs w:val="20"/>
                              </w:rPr>
                              <w:t>), myeloid cell growth rate (</w:t>
                            </w:r>
                            <w:r w:rsidRPr="00B23FF8">
                              <w:rPr>
                                <w:i/>
                                <w:sz w:val="20"/>
                                <w:szCs w:val="20"/>
                              </w:rPr>
                              <w:t>a</w:t>
                            </w:r>
                            <w:r w:rsidRPr="00B23FF8">
                              <w:rPr>
                                <w:i/>
                                <w:sz w:val="20"/>
                                <w:szCs w:val="20"/>
                                <w:vertAlign w:val="subscript"/>
                              </w:rPr>
                              <w:t>M</w:t>
                            </w:r>
                            <w:r w:rsidRPr="00B23FF8">
                              <w:rPr>
                                <w:sz w:val="20"/>
                                <w:szCs w:val="20"/>
                              </w:rPr>
                              <w:t>) myeloid cell population maximum (</w:t>
                            </w:r>
                            <w:r w:rsidRPr="00B23FF8">
                              <w:rPr>
                                <w:i/>
                                <w:sz w:val="20"/>
                                <w:szCs w:val="20"/>
                              </w:rPr>
                              <w:t>M</w:t>
                            </w:r>
                            <w:r w:rsidRPr="00B23FF8">
                              <w:rPr>
                                <w:i/>
                                <w:sz w:val="20"/>
                                <w:szCs w:val="20"/>
                                <w:vertAlign w:val="subscript"/>
                              </w:rPr>
                              <w:t>max</w:t>
                            </w:r>
                            <w:r w:rsidRPr="00B23FF8">
                              <w:rPr>
                                <w:sz w:val="20"/>
                                <w:szCs w:val="20"/>
                              </w:rPr>
                              <w:t>), myeloid cell (infected or susceptible) exit rate (</w:t>
                            </w:r>
                            <w:r w:rsidRPr="00B23FF8">
                              <w:rPr>
                                <w:i/>
                                <w:sz w:val="20"/>
                                <w:szCs w:val="20"/>
                              </w:rPr>
                              <w:t>U</w:t>
                            </w:r>
                            <w:r w:rsidRPr="00B23FF8">
                              <w:rPr>
                                <w:i/>
                                <w:sz w:val="20"/>
                                <w:szCs w:val="20"/>
                                <w:vertAlign w:val="subscript"/>
                              </w:rPr>
                              <w:t>m</w:t>
                            </w:r>
                            <w:r w:rsidRPr="00B23FF8">
                              <w:rPr>
                                <w:sz w:val="20"/>
                                <w:szCs w:val="20"/>
                              </w:rPr>
                              <w:t>), force/probability of infection (</w:t>
                            </w:r>
                            <w:r w:rsidRPr="00B23FF8">
                              <w:rPr>
                                <w:i/>
                                <w:sz w:val="20"/>
                                <w:szCs w:val="20"/>
                              </w:rPr>
                              <w:t>B</w:t>
                            </w:r>
                            <w:r w:rsidRPr="00B23FF8">
                              <w:rPr>
                                <w:sz w:val="20"/>
                                <w:szCs w:val="20"/>
                              </w:rPr>
                              <w:t>), number of amastigotes per infection event (</w:t>
                            </w:r>
                            <w:r w:rsidRPr="00B23FF8">
                              <w:rPr>
                                <w:i/>
                                <w:sz w:val="20"/>
                                <w:szCs w:val="20"/>
                              </w:rPr>
                              <w:t>c</w:t>
                            </w:r>
                            <w:r w:rsidRPr="00B23FF8">
                              <w:rPr>
                                <w:sz w:val="20"/>
                                <w:szCs w:val="20"/>
                              </w:rPr>
                              <w:t>), anti-leishmanial compounds (</w:t>
                            </w:r>
                            <w:r w:rsidRPr="00B23FF8">
                              <w:rPr>
                                <w:i/>
                                <w:sz w:val="20"/>
                                <w:szCs w:val="20"/>
                              </w:rPr>
                              <w:t>A</w:t>
                            </w:r>
                            <w:r w:rsidRPr="00B23FF8">
                              <w:rPr>
                                <w:sz w:val="20"/>
                                <w:szCs w:val="20"/>
                              </w:rPr>
                              <w:t xml:space="preserve">), the concentration of </w:t>
                            </w:r>
                            <w:r w:rsidRPr="00B23FF8">
                              <w:rPr>
                                <w:i/>
                                <w:sz w:val="20"/>
                                <w:szCs w:val="20"/>
                              </w:rPr>
                              <w:t>A</w:t>
                            </w:r>
                            <w:r w:rsidRPr="00B23FF8">
                              <w:rPr>
                                <w:sz w:val="20"/>
                                <w:szCs w:val="20"/>
                              </w:rPr>
                              <w:t xml:space="preserve"> required to kill half the population (</w:t>
                            </w:r>
                            <w:r w:rsidRPr="00B23FF8">
                              <w:rPr>
                                <w:i/>
                                <w:sz w:val="20"/>
                                <w:szCs w:val="20"/>
                              </w:rPr>
                              <w:t>A</w:t>
                            </w:r>
                            <w:r w:rsidRPr="00B23FF8">
                              <w:rPr>
                                <w:i/>
                                <w:sz w:val="20"/>
                                <w:szCs w:val="20"/>
                                <w:vertAlign w:val="subscript"/>
                              </w:rPr>
                              <w:t>50</w:t>
                            </w:r>
                            <w:r w:rsidRPr="00B23FF8">
                              <w:rPr>
                                <w:sz w:val="20"/>
                                <w:szCs w:val="20"/>
                              </w:rPr>
                              <w:t xml:space="preserve">) and the </w:t>
                            </w:r>
                            <w:r w:rsidRPr="00B23FF8">
                              <w:rPr>
                                <w:i/>
                                <w:sz w:val="20"/>
                                <w:szCs w:val="20"/>
                              </w:rPr>
                              <w:t>L. donovani</w:t>
                            </w:r>
                            <w:r w:rsidRPr="00B23FF8">
                              <w:rPr>
                                <w:sz w:val="20"/>
                                <w:szCs w:val="20"/>
                              </w:rPr>
                              <w:t xml:space="preserve"> egress rate (</w:t>
                            </w:r>
                            <w:r w:rsidRPr="00B23FF8">
                              <w:rPr>
                                <w:i/>
                                <w:sz w:val="20"/>
                                <w:szCs w:val="20"/>
                              </w:rPr>
                              <w:t>Eg</w:t>
                            </w:r>
                            <w:r w:rsidRPr="00B23FF8">
                              <w:rPr>
                                <w:sz w:val="20"/>
                                <w:szCs w:val="20"/>
                              </w:rPr>
                              <w:t>).</w:t>
                            </w:r>
                            <w:bookmarkEnd w:id="483"/>
                            <w:r w:rsidRPr="00B23FF8">
                              <w:rPr>
                                <w:sz w:val="20"/>
                                <w:szCs w:val="20"/>
                              </w:rPr>
                              <w:t xml:space="preserve">   </w:t>
                            </w:r>
                          </w:p>
                          <w:p w14:paraId="1F2135CE" w14:textId="64C569DD" w:rsidR="00F61130" w:rsidRPr="00450D8E" w:rsidRDefault="00F61130" w:rsidP="00AA0A30">
                            <w:pPr>
                              <w:pStyle w:val="Caption"/>
                              <w:spacing w:line="360" w:lineRule="auto"/>
                              <w:jc w:val="both"/>
                              <w:rPr>
                                <w:b/>
                                <w:sz w:val="20"/>
                                <w:szCs w:val="20"/>
                              </w:rPr>
                            </w:pPr>
                          </w:p>
                          <w:p w14:paraId="5819EEE2" w14:textId="77777777" w:rsidR="00F61130" w:rsidRPr="00450D8E" w:rsidRDefault="00F61130" w:rsidP="00AA0A30">
                            <w:pPr>
                              <w:pStyle w:val="Caption"/>
                              <w:spacing w:line="360" w:lineRule="auto"/>
                              <w:rPr>
                                <w:sz w:val="20"/>
                                <w:szCs w:val="20"/>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9403558" id="Text Box 553" o:spid="_x0000_s1123" type="#_x0000_t202" style="position:absolute;left:0;text-align:left;margin-left:-5.7pt;margin-top:258.8pt;width:450.95pt;height:157.15pt;z-index:2520678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VKZ6NAIAAG0EAAAOAAAAZHJzL2Uyb0RvYy54bWysVMGO2jAQvVfqP1i+lwAVS4kIK8qKqtJq&#13;&#10;dyWo9mwch1iyPa5tSOjXd+wk0G57qnpxxjPjsd97M1net1qRs3BeginoZDSmRBgOpTTHgn7bbz98&#13;&#10;osQHZkqmwIiCXoSn96v375aNzcUUalClcASLGJ83tqB1CDbPMs9roZkfgRUGgxU4zQJu3TErHWuw&#13;&#10;ulbZdDy+yxpwpXXAhffofeiCdJXqV5Xg4bmqvAhEFRTfFtLq0nqIa7ZasvzomK0l75/B/uEVmkmD&#13;&#10;l15LPbDAyMnJP0ppyR14qMKIg86gqiQXCQOimYzfoNnVzIqEBcnx9kqT/39l+dP5xRFZFnQ2+0iJ&#13;&#10;YRpF2os2kM/QkuhDhhrrc0zcWUwNLQZQ6cHv0RmBt5XT8YuQCMaR68uV31iOo3M2n87HdzNKOMYm&#13;&#10;i8VsPp/HOtntuHU+fBGgSTQK6lDAxCs7P/rQpQ4p8TYPSpZbqVTcxMBGOXJmKHZTyyD64r9lKRNz&#13;&#10;DcRTXcHoySLGDku0QntoEyuL9MDoOkB5QfwOuh7ylm8lXvjIfHhhDpsGIeMghGdcKgVNQaG3KKnB&#13;&#10;/fibP+ajlhilpMEmLKj/fmJOUKK+GlQ5duxguME4DIY56Q0g1AmOmOXJxAMuqMGsHOhXnI91vAVD&#13;&#10;zHC8q6BhMDehGwWcLy7W65SEfWlZeDQ7y2Ppgdh9+8qc7WUJqOgTDO3J8jfqdLkdzetTgEom6W4s&#13;&#10;9nxjTyfx+/mLQ/PrPmXd/hKrnwAAAP//AwBQSwMEFAAGAAgAAAAhAGt2/SzlAAAAEAEAAA8AAABk&#13;&#10;cnMvZG93bnJldi54bWxMTz1vwjAQ3Sv1P1hXqUsFjmkJEOKglpStHaCI2cQmiRqfo9gh4d/3OrXL&#13;&#10;6U7v3ftIN6Nt2NV0vnYoQUwjYAYLp2ssJRy/dpMlMB8UatU4NBJuxsMmu79LVaLdgHtzPYSSkQj6&#13;&#10;REmoQmgTzn1RGav81LUGCbu4zqpAZ1dy3amBxG3DZ1EUc6tqJIdKtWZbmeL70FsJcd71wx63T/nx&#13;&#10;/UN9tuXs9HY7Sfn4MOZrGq9rYMGM4e8DfjtQfsgo2Nn1qD1rJEyEeCGqhLlYxMCIsVxFc2BnWp7F&#13;&#10;CniW8v9Fsh8AAAD//wMAUEsBAi0AFAAGAAgAAAAhALaDOJL+AAAA4QEAABMAAAAAAAAAAAAAAAAA&#13;&#10;AAAAAFtDb250ZW50X1R5cGVzXS54bWxQSwECLQAUAAYACAAAACEAOP0h/9YAAACUAQAACwAAAAAA&#13;&#10;AAAAAAAAAAAvAQAAX3JlbHMvLnJlbHNQSwECLQAUAAYACAAAACEABVSmejQCAABtBAAADgAAAAAA&#13;&#10;AAAAAAAAAAAuAgAAZHJzL2Uyb0RvYy54bWxQSwECLQAUAAYACAAAACEAa3b9LOUAAAAQAQAADwAA&#13;&#10;AAAAAAAAAAAAAACOBAAAZHJzL2Rvd25yZXYueG1sUEsFBgAAAAAEAAQA8wAAAKAFAAAAAA==&#13;&#10;" stroked="f">
                <v:textbox inset="0,0,0,0">
                  <w:txbxContent>
                    <w:p w14:paraId="047B3CE6" w14:textId="067C3778" w:rsidR="00F61130" w:rsidRPr="00B23FF8" w:rsidRDefault="00F61130" w:rsidP="00450D8E">
                      <w:pPr>
                        <w:spacing w:line="360" w:lineRule="auto"/>
                        <w:jc w:val="both"/>
                        <w:rPr>
                          <w:sz w:val="20"/>
                          <w:szCs w:val="20"/>
                        </w:rPr>
                      </w:pPr>
                      <w:bookmarkStart w:id="484" w:name="_Ref536814004"/>
                      <w:bookmarkStart w:id="485" w:name="_Ref518721637"/>
                      <w:bookmarkStart w:id="486" w:name="_Toc525227228"/>
                      <w:bookmarkStart w:id="487" w:name="_Toc536814167"/>
                      <w:r w:rsidRPr="00450D8E">
                        <w:rPr>
                          <w:b/>
                          <w:sz w:val="20"/>
                          <w:szCs w:val="20"/>
                        </w:rPr>
                        <w:t xml:space="preserve">Figure </w:t>
                      </w:r>
                      <w:r w:rsidRPr="00450D8E">
                        <w:rPr>
                          <w:b/>
                          <w:sz w:val="20"/>
                          <w:szCs w:val="20"/>
                        </w:rPr>
                        <w:fldChar w:fldCharType="begin"/>
                      </w:r>
                      <w:r w:rsidRPr="00450D8E">
                        <w:rPr>
                          <w:b/>
                          <w:sz w:val="20"/>
                          <w:szCs w:val="20"/>
                        </w:rPr>
                        <w:instrText xml:space="preserve"> STYLEREF 1 \s </w:instrText>
                      </w:r>
                      <w:r w:rsidRPr="00450D8E">
                        <w:rPr>
                          <w:b/>
                          <w:sz w:val="20"/>
                          <w:szCs w:val="20"/>
                        </w:rPr>
                        <w:fldChar w:fldCharType="separate"/>
                      </w:r>
                      <w:r w:rsidRPr="00450D8E">
                        <w:rPr>
                          <w:b/>
                          <w:noProof/>
                          <w:sz w:val="20"/>
                          <w:szCs w:val="20"/>
                        </w:rPr>
                        <w:t>4</w:t>
                      </w:r>
                      <w:r w:rsidRPr="00450D8E">
                        <w:rPr>
                          <w:b/>
                          <w:sz w:val="20"/>
                          <w:szCs w:val="20"/>
                        </w:rPr>
                        <w:fldChar w:fldCharType="end"/>
                      </w:r>
                      <w:r w:rsidRPr="00450D8E">
                        <w:rPr>
                          <w:b/>
                          <w:sz w:val="20"/>
                          <w:szCs w:val="20"/>
                        </w:rPr>
                        <w:t>.</w:t>
                      </w:r>
                      <w:r w:rsidRPr="00450D8E">
                        <w:rPr>
                          <w:b/>
                          <w:sz w:val="20"/>
                          <w:szCs w:val="20"/>
                        </w:rPr>
                        <w:fldChar w:fldCharType="begin"/>
                      </w:r>
                      <w:r w:rsidRPr="00450D8E">
                        <w:rPr>
                          <w:b/>
                          <w:sz w:val="20"/>
                          <w:szCs w:val="20"/>
                        </w:rPr>
                        <w:instrText xml:space="preserve"> SEQ Figure \* ARABIC \s 1 </w:instrText>
                      </w:r>
                      <w:r w:rsidRPr="00450D8E">
                        <w:rPr>
                          <w:b/>
                          <w:sz w:val="20"/>
                          <w:szCs w:val="20"/>
                        </w:rPr>
                        <w:fldChar w:fldCharType="separate"/>
                      </w:r>
                      <w:r w:rsidRPr="00450D8E">
                        <w:rPr>
                          <w:b/>
                          <w:noProof/>
                          <w:sz w:val="20"/>
                          <w:szCs w:val="20"/>
                        </w:rPr>
                        <w:t>23</w:t>
                      </w:r>
                      <w:r w:rsidRPr="00450D8E">
                        <w:rPr>
                          <w:b/>
                          <w:sz w:val="20"/>
                          <w:szCs w:val="20"/>
                        </w:rPr>
                        <w:fldChar w:fldCharType="end"/>
                      </w:r>
                      <w:bookmarkEnd w:id="484"/>
                      <w:bookmarkEnd w:id="485"/>
                      <w:r w:rsidRPr="00450D8E">
                        <w:rPr>
                          <w:b/>
                          <w:sz w:val="20"/>
                          <w:szCs w:val="20"/>
                        </w:rPr>
                        <w:t xml:space="preserve"> - Full Simulation Model of the hepatic immune response to infection with </w:t>
                      </w:r>
                      <w:r w:rsidRPr="00450D8E">
                        <w:rPr>
                          <w:b/>
                          <w:i/>
                          <w:sz w:val="20"/>
                          <w:szCs w:val="20"/>
                        </w:rPr>
                        <w:t>L. donovani</w:t>
                      </w:r>
                      <w:r w:rsidRPr="00450D8E">
                        <w:rPr>
                          <w:b/>
                          <w:sz w:val="20"/>
                          <w:szCs w:val="20"/>
                        </w:rPr>
                        <w:t>.</w:t>
                      </w:r>
                      <w:r w:rsidRPr="00450D8E">
                        <w:rPr>
                          <w:sz w:val="20"/>
                          <w:szCs w:val="20"/>
                        </w:rPr>
                        <w:t xml:space="preserve"> The ODE system describing T cells, myeloid cells and </w:t>
                      </w:r>
                      <w:r w:rsidRPr="00450D8E">
                        <w:rPr>
                          <w:i/>
                          <w:sz w:val="20"/>
                          <w:szCs w:val="20"/>
                        </w:rPr>
                        <w:t xml:space="preserve">L. donovani </w:t>
                      </w:r>
                      <w:r w:rsidRPr="00450D8E">
                        <w:rPr>
                          <w:sz w:val="20"/>
                          <w:szCs w:val="20"/>
                        </w:rPr>
                        <w:t xml:space="preserve">was implemented to fully realise the platform implementation. The T Cells parameters and the </w:t>
                      </w:r>
                      <w:r w:rsidRPr="00450D8E">
                        <w:rPr>
                          <w:i/>
                          <w:sz w:val="20"/>
                          <w:szCs w:val="20"/>
                        </w:rPr>
                        <w:t>L. donovani</w:t>
                      </w:r>
                      <w:r w:rsidRPr="00450D8E">
                        <w:rPr>
                          <w:sz w:val="20"/>
                          <w:szCs w:val="20"/>
                        </w:rPr>
                        <w:t xml:space="preserve"> initial value were derived separately which allowed for parameterisation of the remaining free parameters in the full model.</w:t>
                      </w:r>
                      <w:bookmarkEnd w:id="486"/>
                      <w:r w:rsidRPr="00450D8E">
                        <w:rPr>
                          <w:sz w:val="20"/>
                          <w:szCs w:val="20"/>
                        </w:rPr>
                        <w:t xml:space="preserve"> </w:t>
                      </w:r>
                      <w:r w:rsidRPr="00B23FF8">
                        <w:rPr>
                          <w:sz w:val="20"/>
                          <w:szCs w:val="20"/>
                        </w:rPr>
                        <w:t>Model terms are as such: T Cells (</w:t>
                      </w:r>
                      <w:r w:rsidRPr="00B23FF8">
                        <w:rPr>
                          <w:i/>
                          <w:sz w:val="20"/>
                          <w:szCs w:val="20"/>
                        </w:rPr>
                        <w:t>T</w:t>
                      </w:r>
                      <w:r w:rsidRPr="00B23FF8">
                        <w:rPr>
                          <w:sz w:val="20"/>
                          <w:szCs w:val="20"/>
                        </w:rPr>
                        <w:t>), susceptible myeloid cells (</w:t>
                      </w:r>
                      <w:r w:rsidRPr="00B23FF8">
                        <w:rPr>
                          <w:i/>
                          <w:sz w:val="20"/>
                          <w:szCs w:val="20"/>
                        </w:rPr>
                        <w:t>M</w:t>
                      </w:r>
                      <w:r w:rsidRPr="00B23FF8">
                        <w:rPr>
                          <w:i/>
                          <w:sz w:val="20"/>
                          <w:szCs w:val="20"/>
                          <w:vertAlign w:val="subscript"/>
                        </w:rPr>
                        <w:t>s</w:t>
                      </w:r>
                      <w:r w:rsidRPr="00B23FF8">
                        <w:rPr>
                          <w:sz w:val="20"/>
                          <w:szCs w:val="20"/>
                        </w:rPr>
                        <w:t>), infected myeloid cells (</w:t>
                      </w:r>
                      <w:r w:rsidRPr="00B23FF8">
                        <w:rPr>
                          <w:i/>
                          <w:sz w:val="20"/>
                          <w:szCs w:val="20"/>
                        </w:rPr>
                        <w:t>M</w:t>
                      </w:r>
                      <w:r w:rsidRPr="00B23FF8">
                        <w:rPr>
                          <w:i/>
                          <w:sz w:val="20"/>
                          <w:szCs w:val="20"/>
                          <w:vertAlign w:val="subscript"/>
                        </w:rPr>
                        <w:t>i</w:t>
                      </w:r>
                      <w:r w:rsidRPr="00B23FF8">
                        <w:rPr>
                          <w:sz w:val="20"/>
                          <w:szCs w:val="20"/>
                        </w:rPr>
                        <w:t xml:space="preserve">), extracellular </w:t>
                      </w:r>
                      <w:r w:rsidRPr="00B23FF8">
                        <w:rPr>
                          <w:i/>
                          <w:sz w:val="20"/>
                          <w:szCs w:val="20"/>
                        </w:rPr>
                        <w:t xml:space="preserve">L. donovani </w:t>
                      </w:r>
                      <w:r w:rsidRPr="00B23FF8">
                        <w:rPr>
                          <w:sz w:val="20"/>
                          <w:szCs w:val="20"/>
                        </w:rPr>
                        <w:t>(</w:t>
                      </w:r>
                      <w:r w:rsidRPr="00B23FF8">
                        <w:rPr>
                          <w:i/>
                          <w:sz w:val="20"/>
                          <w:szCs w:val="20"/>
                        </w:rPr>
                        <w:t>P</w:t>
                      </w:r>
                      <w:r w:rsidRPr="00B23FF8">
                        <w:rPr>
                          <w:i/>
                          <w:sz w:val="20"/>
                          <w:szCs w:val="20"/>
                          <w:vertAlign w:val="subscript"/>
                        </w:rPr>
                        <w:t>e</w:t>
                      </w:r>
                      <w:r w:rsidRPr="00B23FF8">
                        <w:rPr>
                          <w:sz w:val="20"/>
                          <w:szCs w:val="20"/>
                        </w:rPr>
                        <w:t xml:space="preserve">), intracellular </w:t>
                      </w:r>
                      <w:r w:rsidRPr="00B23FF8">
                        <w:rPr>
                          <w:i/>
                          <w:sz w:val="20"/>
                          <w:szCs w:val="20"/>
                        </w:rPr>
                        <w:t xml:space="preserve">L. donovani </w:t>
                      </w:r>
                      <w:r w:rsidRPr="00B23FF8">
                        <w:rPr>
                          <w:sz w:val="20"/>
                          <w:szCs w:val="20"/>
                        </w:rPr>
                        <w:t>(</w:t>
                      </w:r>
                      <w:r w:rsidRPr="00B23FF8">
                        <w:rPr>
                          <w:i/>
                          <w:sz w:val="20"/>
                          <w:szCs w:val="20"/>
                        </w:rPr>
                        <w:t>P</w:t>
                      </w:r>
                      <w:r w:rsidRPr="00B23FF8">
                        <w:rPr>
                          <w:i/>
                          <w:sz w:val="20"/>
                          <w:szCs w:val="20"/>
                          <w:vertAlign w:val="subscript"/>
                        </w:rPr>
                        <w:t>i</w:t>
                      </w:r>
                      <w:r w:rsidRPr="00B23FF8">
                        <w:rPr>
                          <w:sz w:val="20"/>
                          <w:szCs w:val="20"/>
                        </w:rPr>
                        <w:t>). T cell growth rate (</w:t>
                      </w:r>
                      <w:r w:rsidRPr="00B23FF8">
                        <w:rPr>
                          <w:i/>
                          <w:sz w:val="20"/>
                          <w:szCs w:val="20"/>
                        </w:rPr>
                        <w:t>a</w:t>
                      </w:r>
                      <w:r w:rsidRPr="00B23FF8">
                        <w:rPr>
                          <w:i/>
                          <w:sz w:val="20"/>
                          <w:szCs w:val="20"/>
                          <w:vertAlign w:val="subscript"/>
                        </w:rPr>
                        <w:t>T</w:t>
                      </w:r>
                      <w:r w:rsidRPr="00B23FF8">
                        <w:rPr>
                          <w:sz w:val="20"/>
                          <w:szCs w:val="20"/>
                        </w:rPr>
                        <w:t>), T cell population maximum (</w:t>
                      </w:r>
                      <w:r w:rsidRPr="00B23FF8">
                        <w:rPr>
                          <w:i/>
                          <w:sz w:val="20"/>
                          <w:szCs w:val="20"/>
                        </w:rPr>
                        <w:t>T</w:t>
                      </w:r>
                      <w:r w:rsidRPr="00B23FF8">
                        <w:rPr>
                          <w:i/>
                          <w:sz w:val="20"/>
                          <w:szCs w:val="20"/>
                          <w:vertAlign w:val="subscript"/>
                        </w:rPr>
                        <w:t>max</w:t>
                      </w:r>
                      <w:r w:rsidRPr="00B23FF8">
                        <w:rPr>
                          <w:sz w:val="20"/>
                          <w:szCs w:val="20"/>
                        </w:rPr>
                        <w:t>), T cells exit rate (</w:t>
                      </w:r>
                      <w:r w:rsidRPr="00B23FF8">
                        <w:rPr>
                          <w:i/>
                          <w:sz w:val="20"/>
                          <w:szCs w:val="20"/>
                        </w:rPr>
                        <w:t>U</w:t>
                      </w:r>
                      <w:r w:rsidRPr="00B23FF8">
                        <w:rPr>
                          <w:i/>
                          <w:sz w:val="20"/>
                          <w:szCs w:val="20"/>
                          <w:vertAlign w:val="subscript"/>
                        </w:rPr>
                        <w:t>t</w:t>
                      </w:r>
                      <w:r w:rsidRPr="00B23FF8">
                        <w:rPr>
                          <w:sz w:val="20"/>
                          <w:szCs w:val="20"/>
                        </w:rPr>
                        <w:t>), myeloid cell growth rate (</w:t>
                      </w:r>
                      <w:r w:rsidRPr="00B23FF8">
                        <w:rPr>
                          <w:i/>
                          <w:sz w:val="20"/>
                          <w:szCs w:val="20"/>
                        </w:rPr>
                        <w:t>a</w:t>
                      </w:r>
                      <w:r w:rsidRPr="00B23FF8">
                        <w:rPr>
                          <w:i/>
                          <w:sz w:val="20"/>
                          <w:szCs w:val="20"/>
                          <w:vertAlign w:val="subscript"/>
                        </w:rPr>
                        <w:t>M</w:t>
                      </w:r>
                      <w:r w:rsidRPr="00B23FF8">
                        <w:rPr>
                          <w:sz w:val="20"/>
                          <w:szCs w:val="20"/>
                        </w:rPr>
                        <w:t>) myeloid cell population maximum (</w:t>
                      </w:r>
                      <w:r w:rsidRPr="00B23FF8">
                        <w:rPr>
                          <w:i/>
                          <w:sz w:val="20"/>
                          <w:szCs w:val="20"/>
                        </w:rPr>
                        <w:t>M</w:t>
                      </w:r>
                      <w:r w:rsidRPr="00B23FF8">
                        <w:rPr>
                          <w:i/>
                          <w:sz w:val="20"/>
                          <w:szCs w:val="20"/>
                          <w:vertAlign w:val="subscript"/>
                        </w:rPr>
                        <w:t>max</w:t>
                      </w:r>
                      <w:r w:rsidRPr="00B23FF8">
                        <w:rPr>
                          <w:sz w:val="20"/>
                          <w:szCs w:val="20"/>
                        </w:rPr>
                        <w:t>), myeloid cell (infected or susceptible) exit rate (</w:t>
                      </w:r>
                      <w:r w:rsidRPr="00B23FF8">
                        <w:rPr>
                          <w:i/>
                          <w:sz w:val="20"/>
                          <w:szCs w:val="20"/>
                        </w:rPr>
                        <w:t>U</w:t>
                      </w:r>
                      <w:r w:rsidRPr="00B23FF8">
                        <w:rPr>
                          <w:i/>
                          <w:sz w:val="20"/>
                          <w:szCs w:val="20"/>
                          <w:vertAlign w:val="subscript"/>
                        </w:rPr>
                        <w:t>m</w:t>
                      </w:r>
                      <w:r w:rsidRPr="00B23FF8">
                        <w:rPr>
                          <w:sz w:val="20"/>
                          <w:szCs w:val="20"/>
                        </w:rPr>
                        <w:t>), force/probability of infection (</w:t>
                      </w:r>
                      <w:r w:rsidRPr="00B23FF8">
                        <w:rPr>
                          <w:i/>
                          <w:sz w:val="20"/>
                          <w:szCs w:val="20"/>
                        </w:rPr>
                        <w:t>B</w:t>
                      </w:r>
                      <w:r w:rsidRPr="00B23FF8">
                        <w:rPr>
                          <w:sz w:val="20"/>
                          <w:szCs w:val="20"/>
                        </w:rPr>
                        <w:t>), number of amastigotes per infection event (</w:t>
                      </w:r>
                      <w:r w:rsidRPr="00B23FF8">
                        <w:rPr>
                          <w:i/>
                          <w:sz w:val="20"/>
                          <w:szCs w:val="20"/>
                        </w:rPr>
                        <w:t>c</w:t>
                      </w:r>
                      <w:r w:rsidRPr="00B23FF8">
                        <w:rPr>
                          <w:sz w:val="20"/>
                          <w:szCs w:val="20"/>
                        </w:rPr>
                        <w:t>), anti-leishmanial compounds (</w:t>
                      </w:r>
                      <w:r w:rsidRPr="00B23FF8">
                        <w:rPr>
                          <w:i/>
                          <w:sz w:val="20"/>
                          <w:szCs w:val="20"/>
                        </w:rPr>
                        <w:t>A</w:t>
                      </w:r>
                      <w:r w:rsidRPr="00B23FF8">
                        <w:rPr>
                          <w:sz w:val="20"/>
                          <w:szCs w:val="20"/>
                        </w:rPr>
                        <w:t xml:space="preserve">), the concentration of </w:t>
                      </w:r>
                      <w:r w:rsidRPr="00B23FF8">
                        <w:rPr>
                          <w:i/>
                          <w:sz w:val="20"/>
                          <w:szCs w:val="20"/>
                        </w:rPr>
                        <w:t>A</w:t>
                      </w:r>
                      <w:r w:rsidRPr="00B23FF8">
                        <w:rPr>
                          <w:sz w:val="20"/>
                          <w:szCs w:val="20"/>
                        </w:rPr>
                        <w:t xml:space="preserve"> required to kill half the population (</w:t>
                      </w:r>
                      <w:r w:rsidRPr="00B23FF8">
                        <w:rPr>
                          <w:i/>
                          <w:sz w:val="20"/>
                          <w:szCs w:val="20"/>
                        </w:rPr>
                        <w:t>A</w:t>
                      </w:r>
                      <w:r w:rsidRPr="00B23FF8">
                        <w:rPr>
                          <w:i/>
                          <w:sz w:val="20"/>
                          <w:szCs w:val="20"/>
                          <w:vertAlign w:val="subscript"/>
                        </w:rPr>
                        <w:t>50</w:t>
                      </w:r>
                      <w:r w:rsidRPr="00B23FF8">
                        <w:rPr>
                          <w:sz w:val="20"/>
                          <w:szCs w:val="20"/>
                        </w:rPr>
                        <w:t xml:space="preserve">) and the </w:t>
                      </w:r>
                      <w:r w:rsidRPr="00B23FF8">
                        <w:rPr>
                          <w:i/>
                          <w:sz w:val="20"/>
                          <w:szCs w:val="20"/>
                        </w:rPr>
                        <w:t>L. donovani</w:t>
                      </w:r>
                      <w:r w:rsidRPr="00B23FF8">
                        <w:rPr>
                          <w:sz w:val="20"/>
                          <w:szCs w:val="20"/>
                        </w:rPr>
                        <w:t xml:space="preserve"> egress rate (</w:t>
                      </w:r>
                      <w:r w:rsidRPr="00B23FF8">
                        <w:rPr>
                          <w:i/>
                          <w:sz w:val="20"/>
                          <w:szCs w:val="20"/>
                        </w:rPr>
                        <w:t>Eg</w:t>
                      </w:r>
                      <w:r w:rsidRPr="00B23FF8">
                        <w:rPr>
                          <w:sz w:val="20"/>
                          <w:szCs w:val="20"/>
                        </w:rPr>
                        <w:t>).</w:t>
                      </w:r>
                      <w:bookmarkEnd w:id="487"/>
                      <w:r w:rsidRPr="00B23FF8">
                        <w:rPr>
                          <w:sz w:val="20"/>
                          <w:szCs w:val="20"/>
                        </w:rPr>
                        <w:t xml:space="preserve">   </w:t>
                      </w:r>
                    </w:p>
                    <w:p w14:paraId="1F2135CE" w14:textId="64C569DD" w:rsidR="00F61130" w:rsidRPr="00450D8E" w:rsidRDefault="00F61130" w:rsidP="00AA0A30">
                      <w:pPr>
                        <w:pStyle w:val="Caption"/>
                        <w:spacing w:line="360" w:lineRule="auto"/>
                        <w:jc w:val="both"/>
                        <w:rPr>
                          <w:b/>
                          <w:sz w:val="20"/>
                          <w:szCs w:val="20"/>
                        </w:rPr>
                      </w:pPr>
                    </w:p>
                    <w:p w14:paraId="5819EEE2" w14:textId="77777777" w:rsidR="00F61130" w:rsidRPr="00450D8E" w:rsidRDefault="00F61130" w:rsidP="00AA0A30">
                      <w:pPr>
                        <w:pStyle w:val="Caption"/>
                        <w:spacing w:line="360" w:lineRule="auto"/>
                        <w:rPr>
                          <w:sz w:val="20"/>
                          <w:szCs w:val="20"/>
                        </w:rPr>
                      </w:pPr>
                    </w:p>
                  </w:txbxContent>
                </v:textbox>
                <w10:wrap type="topAndBottom"/>
              </v:shape>
            </w:pict>
          </mc:Fallback>
        </mc:AlternateContent>
      </w:r>
      <w:r>
        <w:rPr>
          <w:noProof/>
        </w:rPr>
        <w:drawing>
          <wp:anchor distT="0" distB="0" distL="114300" distR="114300" simplePos="0" relativeHeight="252068864" behindDoc="0" locked="0" layoutInCell="1" allowOverlap="1" wp14:anchorId="02FC4772" wp14:editId="1F057902">
            <wp:simplePos x="0" y="0"/>
            <wp:positionH relativeFrom="column">
              <wp:posOffset>24130</wp:posOffset>
            </wp:positionH>
            <wp:positionV relativeFrom="paragraph">
              <wp:posOffset>320232</wp:posOffset>
            </wp:positionV>
            <wp:extent cx="5362575" cy="2930525"/>
            <wp:effectExtent l="0" t="0" r="0" b="0"/>
            <wp:wrapTopAndBottom/>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a:picLocks noChangeAspect="1"/>
                    </pic:cNvPicPr>
                  </pic:nvPicPr>
                  <pic:blipFill rotWithShape="1">
                    <a:blip r:embed="rId69" cstate="print">
                      <a:extLst>
                        <a:ext uri="{28A0092B-C50C-407E-A947-70E740481C1C}">
                          <a14:useLocalDpi xmlns:a14="http://schemas.microsoft.com/office/drawing/2010/main" val="0"/>
                        </a:ext>
                      </a:extLst>
                    </a:blip>
                    <a:srcRect r="3805"/>
                    <a:stretch/>
                  </pic:blipFill>
                  <pic:spPr bwMode="auto">
                    <a:xfrm>
                      <a:off x="0" y="0"/>
                      <a:ext cx="5362575" cy="29305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p>
    <w:p w14:paraId="6EA74986" w14:textId="62D116B1" w:rsidR="00EA1D57" w:rsidRPr="000B0581" w:rsidRDefault="00EA1D57" w:rsidP="00EA1D57">
      <w:pPr>
        <w:spacing w:line="360" w:lineRule="auto"/>
        <w:jc w:val="both"/>
      </w:pPr>
      <w:r>
        <w:lastRenderedPageBreak/>
        <w:t>In this model we simulate the behaviours of T cells (</w:t>
      </w:r>
      <w:r w:rsidRPr="000B0581">
        <w:rPr>
          <w:i/>
        </w:rPr>
        <w:t>T</w:t>
      </w:r>
      <w:r>
        <w:t>), susceptible myeloid cells (</w:t>
      </w:r>
      <w:r w:rsidRPr="000B0581">
        <w:rPr>
          <w:i/>
        </w:rPr>
        <w:t>M</w:t>
      </w:r>
      <w:r w:rsidRPr="000B0581">
        <w:rPr>
          <w:i/>
          <w:vertAlign w:val="subscript"/>
        </w:rPr>
        <w:t>s</w:t>
      </w:r>
      <w:r>
        <w:t>), infected myeloid cells (</w:t>
      </w:r>
      <w:r w:rsidRPr="000B0581">
        <w:rPr>
          <w:i/>
        </w:rPr>
        <w:t>M</w:t>
      </w:r>
      <w:r w:rsidRPr="000B0581">
        <w:rPr>
          <w:i/>
          <w:vertAlign w:val="subscript"/>
        </w:rPr>
        <w:t>i</w:t>
      </w:r>
      <w:r>
        <w:t xml:space="preserve">), extracellular </w:t>
      </w:r>
      <w:r>
        <w:rPr>
          <w:i/>
        </w:rPr>
        <w:t xml:space="preserve">L. donovani </w:t>
      </w:r>
      <w:r>
        <w:t>(</w:t>
      </w:r>
      <w:r w:rsidRPr="000B0581">
        <w:rPr>
          <w:i/>
        </w:rPr>
        <w:t>P</w:t>
      </w:r>
      <w:r w:rsidRPr="000B0581">
        <w:rPr>
          <w:i/>
          <w:vertAlign w:val="subscript"/>
        </w:rPr>
        <w:t>e</w:t>
      </w:r>
      <w:r>
        <w:t xml:space="preserve">) and intracellular </w:t>
      </w:r>
      <w:r>
        <w:rPr>
          <w:i/>
        </w:rPr>
        <w:t xml:space="preserve">L. donovani </w:t>
      </w:r>
      <w:r>
        <w:t>(</w:t>
      </w:r>
      <w:r w:rsidRPr="000B0581">
        <w:rPr>
          <w:i/>
        </w:rPr>
        <w:t>P</w:t>
      </w:r>
      <w:r w:rsidRPr="000B0581">
        <w:rPr>
          <w:i/>
          <w:vertAlign w:val="subscript"/>
        </w:rPr>
        <w:t>i</w:t>
      </w:r>
      <w:r>
        <w:t>). T cells proliferation is described using logistic growth, whereby a growth rate (</w:t>
      </w:r>
      <w:r w:rsidRPr="000B0581">
        <w:rPr>
          <w:i/>
        </w:rPr>
        <w:t>a</w:t>
      </w:r>
      <w:r w:rsidRPr="000B0581">
        <w:rPr>
          <w:i/>
          <w:vertAlign w:val="subscript"/>
        </w:rPr>
        <w:t>T</w:t>
      </w:r>
      <w:r>
        <w:t>) and a population maximum (</w:t>
      </w:r>
      <w:r w:rsidRPr="000B0581">
        <w:rPr>
          <w:i/>
        </w:rPr>
        <w:t>T</w:t>
      </w:r>
      <w:r w:rsidRPr="000B0581">
        <w:rPr>
          <w:i/>
          <w:vertAlign w:val="subscript"/>
        </w:rPr>
        <w:t>max</w:t>
      </w:r>
      <w:r>
        <w:t>) control the growth of the population. T cells exit the system at a set rate (</w:t>
      </w:r>
      <w:r w:rsidRPr="000B0581">
        <w:rPr>
          <w:i/>
        </w:rPr>
        <w:t>U</w:t>
      </w:r>
      <w:r w:rsidRPr="000B0581">
        <w:rPr>
          <w:i/>
          <w:vertAlign w:val="subscript"/>
        </w:rPr>
        <w:t>t</w:t>
      </w:r>
      <w:r>
        <w:t>). Susceptible myeloid cells proliferation is also described using logistic growth, with a growth rate (</w:t>
      </w:r>
      <w:r w:rsidRPr="000B0581">
        <w:rPr>
          <w:i/>
        </w:rPr>
        <w:t>a</w:t>
      </w:r>
      <w:r w:rsidRPr="000B0581">
        <w:rPr>
          <w:i/>
          <w:vertAlign w:val="subscript"/>
        </w:rPr>
        <w:t>M</w:t>
      </w:r>
      <w:r>
        <w:t>) and a population maximum (</w:t>
      </w:r>
      <w:r w:rsidRPr="000B0581">
        <w:rPr>
          <w:i/>
        </w:rPr>
        <w:t>M</w:t>
      </w:r>
      <w:r w:rsidRPr="000B0581">
        <w:rPr>
          <w:i/>
          <w:vertAlign w:val="subscript"/>
        </w:rPr>
        <w:t>max</w:t>
      </w:r>
      <w:r>
        <w:t>), and a set exit rate (</w:t>
      </w:r>
      <w:r w:rsidRPr="000B0581">
        <w:rPr>
          <w:i/>
        </w:rPr>
        <w:t>U</w:t>
      </w:r>
      <w:r w:rsidRPr="000B0581">
        <w:rPr>
          <w:i/>
          <w:vertAlign w:val="subscript"/>
        </w:rPr>
        <w:t>m</w:t>
      </w:r>
      <w:r>
        <w:t xml:space="preserve">). Additionally, susceptible myeloid cells may be infected by contact with extracellular </w:t>
      </w:r>
      <w:r>
        <w:rPr>
          <w:i/>
        </w:rPr>
        <w:t>L. donovani</w:t>
      </w:r>
      <w:r>
        <w:t xml:space="preserve"> with the force of infection (</w:t>
      </w:r>
      <w:r w:rsidRPr="000B0581">
        <w:rPr>
          <w:i/>
        </w:rPr>
        <w:t>B</w:t>
      </w:r>
      <w:r>
        <w:t>) denoting how many of these contacts lead to infection, thus generating infected myeloid cells. These infected myeloid cells exit the system at the same rate (</w:t>
      </w:r>
      <w:r w:rsidRPr="000B0581">
        <w:rPr>
          <w:i/>
        </w:rPr>
        <w:t>U</w:t>
      </w:r>
      <w:r w:rsidRPr="000B0581">
        <w:rPr>
          <w:i/>
          <w:vertAlign w:val="subscript"/>
        </w:rPr>
        <w:t>m</w:t>
      </w:r>
      <w:r>
        <w:t xml:space="preserve">) as susceptible myeloid cells. Extracellular </w:t>
      </w:r>
      <w:r>
        <w:rPr>
          <w:i/>
        </w:rPr>
        <w:t>L. donovani</w:t>
      </w:r>
      <w:r>
        <w:t xml:space="preserve"> becomes intracellular upon successful infection of susceptible myeloid cell which also includes the consideration that multiple extracellular </w:t>
      </w:r>
      <w:r>
        <w:rPr>
          <w:i/>
        </w:rPr>
        <w:t>L. donovani</w:t>
      </w:r>
      <w:r>
        <w:t xml:space="preserve"> can infect a myeloid cell, denoted as (</w:t>
      </w:r>
      <w:r w:rsidRPr="000B0581">
        <w:rPr>
          <w:i/>
        </w:rPr>
        <w:t>c</w:t>
      </w:r>
      <w:r>
        <w:t xml:space="preserve">). Both intracellular and extracellular </w:t>
      </w:r>
      <w:r>
        <w:rPr>
          <w:i/>
        </w:rPr>
        <w:t>L. donovani</w:t>
      </w:r>
      <w:r>
        <w:t xml:space="preserve"> are killed by anti-leishmanial compounds (</w:t>
      </w:r>
      <w:r w:rsidRPr="000B0581">
        <w:rPr>
          <w:i/>
        </w:rPr>
        <w:t>A</w:t>
      </w:r>
      <w:r>
        <w:t>). This killing is described using M</w:t>
      </w:r>
      <w:r w:rsidRPr="000B0581">
        <w:t>ichaelis-</w:t>
      </w:r>
      <w:r>
        <w:t>M</w:t>
      </w:r>
      <w:r w:rsidRPr="000B0581">
        <w:t>enten</w:t>
      </w:r>
      <w:r>
        <w:t>-like kinetics where death is proportional to the amount of (</w:t>
      </w:r>
      <w:r w:rsidRPr="000B0581">
        <w:rPr>
          <w:i/>
        </w:rPr>
        <w:t>A</w:t>
      </w:r>
      <w:r>
        <w:t>) but also the concentration of (</w:t>
      </w:r>
      <w:r w:rsidRPr="000B0581">
        <w:rPr>
          <w:i/>
        </w:rPr>
        <w:t>A</w:t>
      </w:r>
      <w:r>
        <w:t>) required to kill half the population (</w:t>
      </w:r>
      <w:r w:rsidRPr="000B0581">
        <w:rPr>
          <w:i/>
        </w:rPr>
        <w:t>A</w:t>
      </w:r>
      <w:r w:rsidRPr="000B0581">
        <w:rPr>
          <w:i/>
          <w:vertAlign w:val="subscript"/>
        </w:rPr>
        <w:t>50</w:t>
      </w:r>
      <w:r>
        <w:t xml:space="preserve">). Intracellular </w:t>
      </w:r>
      <w:r>
        <w:rPr>
          <w:i/>
        </w:rPr>
        <w:t>L. donovani</w:t>
      </w:r>
      <w:r>
        <w:t xml:space="preserve"> may be removed upon death of host infected myeloid cells (</w:t>
      </w:r>
      <w:r w:rsidRPr="000B0581">
        <w:rPr>
          <w:i/>
        </w:rPr>
        <w:t>U</w:t>
      </w:r>
      <w:r w:rsidRPr="000B0581">
        <w:rPr>
          <w:i/>
          <w:vertAlign w:val="subscript"/>
        </w:rPr>
        <w:t>m</w:t>
      </w:r>
      <w:r>
        <w:t xml:space="preserve">) whereby a portion of these intracellular </w:t>
      </w:r>
      <w:r>
        <w:rPr>
          <w:i/>
        </w:rPr>
        <w:t>L. donovani</w:t>
      </w:r>
      <w:r>
        <w:t xml:space="preserve"> may egress (</w:t>
      </w:r>
      <w:r w:rsidRPr="000B0581">
        <w:rPr>
          <w:i/>
        </w:rPr>
        <w:t>Eg</w:t>
      </w:r>
      <w:r>
        <w:t xml:space="preserve">) out to become extracellular.   </w:t>
      </w:r>
    </w:p>
    <w:p w14:paraId="4D7E28B1" w14:textId="12E9F3B7" w:rsidR="00677FD0" w:rsidRDefault="00677FD0" w:rsidP="009154C0">
      <w:pPr>
        <w:spacing w:line="360" w:lineRule="auto"/>
        <w:jc w:val="both"/>
      </w:pPr>
    </w:p>
    <w:p w14:paraId="447BC113" w14:textId="6CFF5C40" w:rsidR="000C4DD6" w:rsidRDefault="00F814B4" w:rsidP="009154C0">
      <w:pPr>
        <w:spacing w:line="360" w:lineRule="auto"/>
        <w:jc w:val="both"/>
      </w:pPr>
      <w:r>
        <w:t>H</w:t>
      </w:r>
      <w:r w:rsidRPr="00AA0A30">
        <w:t>owever,</w:t>
      </w:r>
      <w:r>
        <w:t xml:space="preserve"> the calibration of all unknown parameter values and the unknown initial value of extracellular </w:t>
      </w:r>
      <w:r>
        <w:rPr>
          <w:i/>
        </w:rPr>
        <w:t>L. donovani</w:t>
      </w:r>
      <w:r>
        <w:t xml:space="preserve"> was likely to prove challenging due to the large parameter space needing to be sampled</w:t>
      </w:r>
      <w:r w:rsidRPr="008B3AD6">
        <w:t xml:space="preserve">. </w:t>
      </w:r>
      <w:r w:rsidR="00833A99" w:rsidRPr="008B3AD6">
        <w:t>To overcome this</w:t>
      </w:r>
      <w:r w:rsidR="003976ED">
        <w:t xml:space="preserve"> complication, </w:t>
      </w:r>
      <w:r w:rsidR="00833A99" w:rsidRPr="008B3AD6">
        <w:t xml:space="preserve">an incremental </w:t>
      </w:r>
      <w:r w:rsidR="003976ED">
        <w:t xml:space="preserve">calibration </w:t>
      </w:r>
      <w:r w:rsidR="00833A99" w:rsidRPr="008B3AD6">
        <w:t xml:space="preserve">approach was employed. Aspects of the </w:t>
      </w:r>
      <w:r w:rsidR="003976ED">
        <w:t xml:space="preserve">final simulation </w:t>
      </w:r>
      <w:r w:rsidR="00833A99" w:rsidRPr="008B3AD6">
        <w:t>model that could</w:t>
      </w:r>
      <w:r w:rsidR="003976ED">
        <w:t xml:space="preserve"> be isolated/</w:t>
      </w:r>
      <w:r w:rsidR="00833A99" w:rsidRPr="008B3AD6">
        <w:t>simplified, analysed and then reincorporated back into the full model were identified</w:t>
      </w:r>
      <w:r w:rsidR="003976ED">
        <w:t xml:space="preserve">. This resulted in an initial calibration </w:t>
      </w:r>
      <w:r w:rsidR="00833A99" w:rsidRPr="008B3AD6">
        <w:t xml:space="preserve">of </w:t>
      </w:r>
      <w:r w:rsidR="003976ED">
        <w:t xml:space="preserve">the parameters for </w:t>
      </w:r>
      <w:r w:rsidR="00833A99" w:rsidRPr="008B3AD6">
        <w:t xml:space="preserve">T </w:t>
      </w:r>
      <w:r w:rsidR="000F4AAE">
        <w:t>c</w:t>
      </w:r>
      <w:r w:rsidR="00833A99" w:rsidRPr="008B3AD6">
        <w:t>ell p</w:t>
      </w:r>
      <w:r w:rsidR="003976ED">
        <w:t xml:space="preserve">rocesses, as this population was not involved in interaction with other populations, followed by the derivation of the extracellular </w:t>
      </w:r>
      <w:r w:rsidR="00833A99" w:rsidRPr="008B3AD6">
        <w:rPr>
          <w:i/>
        </w:rPr>
        <w:t>L. donovani</w:t>
      </w:r>
      <w:r w:rsidR="00833A99" w:rsidRPr="008B3AD6">
        <w:t xml:space="preserve"> initial condition </w:t>
      </w:r>
      <w:r w:rsidR="003976ED">
        <w:t>using a simplified simulation model. F</w:t>
      </w:r>
      <w:r w:rsidR="003976ED" w:rsidRPr="008B3AD6">
        <w:t>inally,</w:t>
      </w:r>
      <w:r w:rsidR="00833A99" w:rsidRPr="008B3AD6">
        <w:t xml:space="preserve"> the remaining free parameters for the full model were </w:t>
      </w:r>
      <w:r w:rsidR="003976ED">
        <w:t>calibrated</w:t>
      </w:r>
      <w:r w:rsidR="00AA0A30">
        <w:t>.</w:t>
      </w:r>
    </w:p>
    <w:p w14:paraId="6FE6E19E" w14:textId="06EC22B3" w:rsidR="00AA0A30" w:rsidRDefault="00AA0A30" w:rsidP="009154C0">
      <w:pPr>
        <w:spacing w:line="360" w:lineRule="auto"/>
        <w:jc w:val="both"/>
      </w:pPr>
    </w:p>
    <w:p w14:paraId="0B5BDE99" w14:textId="2DFDD9EE" w:rsidR="00611940" w:rsidRPr="008B3AD6" w:rsidRDefault="000C4DD6" w:rsidP="009154C0">
      <w:pPr>
        <w:spacing w:line="360" w:lineRule="auto"/>
        <w:jc w:val="both"/>
      </w:pPr>
      <w:r w:rsidRPr="008B3AD6">
        <w:t>In</w:t>
      </w:r>
      <w:r w:rsidR="00677FD0">
        <w:t xml:space="preserve">itially the processes describing T cell population behaviours were seen to be independent of other simulation model populations, thus the T cell processes could be isolated and calibrated separately. Concurrently, a simplified simulation model of the myeloid cell population was derived which could be further extended in combination with T cells to derive the initial condition for the extracellular </w:t>
      </w:r>
      <w:r w:rsidR="00677FD0">
        <w:rPr>
          <w:i/>
        </w:rPr>
        <w:t>L. donovani</w:t>
      </w:r>
      <w:r w:rsidR="00677FD0">
        <w:t xml:space="preserve"> population</w:t>
      </w:r>
      <w:r w:rsidR="00187F94">
        <w:t xml:space="preserve"> in iteration 2</w:t>
      </w:r>
      <w:r w:rsidR="00677FD0">
        <w:t xml:space="preserve">. Thus, </w:t>
      </w:r>
      <w:r w:rsidR="00611940" w:rsidRPr="008B3AD6">
        <w:t>a simplistic model of</w:t>
      </w:r>
      <w:r w:rsidR="002D1A28" w:rsidRPr="008B3AD6">
        <w:t xml:space="preserve"> population growth for T cells </w:t>
      </w:r>
      <w:r w:rsidR="00611940" w:rsidRPr="008B3AD6">
        <w:t>and myeloid cells (</w:t>
      </w:r>
      <w:r w:rsidR="00D034D1" w:rsidRPr="001F0D20">
        <w:rPr>
          <w:b/>
        </w:rPr>
        <w:fldChar w:fldCharType="begin"/>
      </w:r>
      <w:r w:rsidR="00D034D1" w:rsidRPr="001F0D20">
        <w:rPr>
          <w:b/>
        </w:rPr>
        <w:instrText xml:space="preserve"> REF _Ref518651810  \* MERGEFORMAT </w:instrText>
      </w:r>
      <w:r w:rsidR="00D034D1" w:rsidRPr="001F0D20">
        <w:rPr>
          <w:b/>
        </w:rPr>
        <w:fldChar w:fldCharType="separate"/>
      </w:r>
      <w:r w:rsidR="00F30350" w:rsidRPr="00F30350">
        <w:rPr>
          <w:b/>
        </w:rPr>
        <w:t xml:space="preserve">Figure </w:t>
      </w:r>
      <w:r w:rsidR="00F30350" w:rsidRPr="00F30350">
        <w:rPr>
          <w:b/>
          <w:noProof/>
        </w:rPr>
        <w:t>4.24</w:t>
      </w:r>
      <w:r w:rsidR="00D034D1" w:rsidRPr="001F0D20">
        <w:rPr>
          <w:b/>
          <w:noProof/>
        </w:rPr>
        <w:fldChar w:fldCharType="end"/>
      </w:r>
      <w:r w:rsidR="00611940" w:rsidRPr="008B3AD6">
        <w:t xml:space="preserve">) was </w:t>
      </w:r>
      <w:r w:rsidR="00611940" w:rsidRPr="008B3AD6">
        <w:lastRenderedPageBreak/>
        <w:t xml:space="preserve">developed and parameterised using the </w:t>
      </w:r>
      <w:r w:rsidR="00611940" w:rsidRPr="008B3AD6">
        <w:rPr>
          <w:i/>
        </w:rPr>
        <w:t>ABC_sequential</w:t>
      </w:r>
      <w:r w:rsidR="00611940" w:rsidRPr="008B3AD6">
        <w:t xml:space="preserve"> function of the </w:t>
      </w:r>
      <w:r w:rsidR="00611940" w:rsidRPr="008B3AD6">
        <w:rPr>
          <w:i/>
        </w:rPr>
        <w:t>easyABC</w:t>
      </w:r>
      <w:r w:rsidR="00611940" w:rsidRPr="008B3AD6">
        <w:t xml:space="preserve"> package in R</w:t>
      </w:r>
      <w:r w:rsidR="009A2724" w:rsidRPr="008B3AD6">
        <w:t xml:space="preserve"> as described in Section </w:t>
      </w:r>
      <w:r w:rsidR="00B21FF2" w:rsidRPr="008B3AD6">
        <w:fldChar w:fldCharType="begin"/>
      </w:r>
      <w:r w:rsidR="00B21FF2" w:rsidRPr="008B3AD6">
        <w:instrText xml:space="preserve"> REF _Ref519095478 \n </w:instrText>
      </w:r>
      <w:r w:rsidR="007C2CB7" w:rsidRPr="008B3AD6">
        <w:instrText xml:space="preserve"> \* MERGEFORMAT </w:instrText>
      </w:r>
      <w:r w:rsidR="00B21FF2" w:rsidRPr="008B3AD6">
        <w:fldChar w:fldCharType="separate"/>
      </w:r>
      <w:r w:rsidR="00F30350">
        <w:t>2.15.6</w:t>
      </w:r>
      <w:r w:rsidR="00B21FF2" w:rsidRPr="008B3AD6">
        <w:fldChar w:fldCharType="end"/>
      </w:r>
      <w:r w:rsidR="00611940" w:rsidRPr="008B3AD6">
        <w:t>. Using a range of descending tolerance values</w:t>
      </w:r>
      <w:r w:rsidR="003B1744">
        <w:t xml:space="preserve">, shown in </w:t>
      </w:r>
      <w:r w:rsidR="007B50A0">
        <w:rPr>
          <w:b/>
          <w:sz w:val="20"/>
          <w:szCs w:val="20"/>
        </w:rPr>
        <w:fldChar w:fldCharType="begin"/>
      </w:r>
      <w:r w:rsidR="007B50A0">
        <w:rPr>
          <w:b/>
          <w:sz w:val="20"/>
          <w:szCs w:val="20"/>
        </w:rPr>
        <w:instrText xml:space="preserve"> REF _Ref525235479 </w:instrText>
      </w:r>
      <w:r w:rsidR="00C115C5">
        <w:rPr>
          <w:b/>
          <w:sz w:val="20"/>
          <w:szCs w:val="20"/>
        </w:rPr>
        <w:instrText xml:space="preserve"> \* MERGEFORMAT </w:instrText>
      </w:r>
      <w:r w:rsidR="007B50A0">
        <w:rPr>
          <w:b/>
          <w:sz w:val="20"/>
          <w:szCs w:val="20"/>
        </w:rPr>
        <w:fldChar w:fldCharType="separate"/>
      </w:r>
      <w:r w:rsidR="00F30350" w:rsidRPr="00B23FF8">
        <w:rPr>
          <w:b/>
        </w:rPr>
        <w:t xml:space="preserve">Table </w:t>
      </w:r>
      <w:r w:rsidR="00F30350" w:rsidRPr="00B23FF8">
        <w:rPr>
          <w:b/>
          <w:noProof/>
        </w:rPr>
        <w:t>7</w:t>
      </w:r>
      <w:r w:rsidR="00F30350" w:rsidRPr="00B23FF8">
        <w:rPr>
          <w:b/>
        </w:rPr>
        <w:t>.</w:t>
      </w:r>
      <w:r w:rsidR="00F30350" w:rsidRPr="00B23FF8">
        <w:rPr>
          <w:b/>
          <w:noProof/>
        </w:rPr>
        <w:t>2</w:t>
      </w:r>
      <w:r w:rsidR="007B50A0">
        <w:rPr>
          <w:b/>
          <w:noProof/>
          <w:sz w:val="20"/>
          <w:szCs w:val="20"/>
        </w:rPr>
        <w:fldChar w:fldCharType="end"/>
      </w:r>
      <w:r w:rsidR="00611940" w:rsidRPr="008B3AD6">
        <w:t xml:space="preserve">, reflecting the </w:t>
      </w:r>
      <w:r w:rsidR="00677FD0">
        <w:t>value</w:t>
      </w:r>
      <w:r w:rsidR="003976ED">
        <w:t xml:space="preserve"> that </w:t>
      </w:r>
      <w:r w:rsidR="00677FD0">
        <w:t xml:space="preserve">the </w:t>
      </w:r>
      <w:r w:rsidR="003976ED">
        <w:t>residuals</w:t>
      </w:r>
      <w:r w:rsidR="00611940" w:rsidRPr="008B3AD6">
        <w:t xml:space="preserve"> between observed and expected data points</w:t>
      </w:r>
      <w:r w:rsidR="003976ED">
        <w:t xml:space="preserve"> must be equal or less than</w:t>
      </w:r>
      <w:r w:rsidR="00611940" w:rsidRPr="008B3AD6">
        <w:t>, 50 parameter sets were derived for both T cells (</w:t>
      </w:r>
      <w:r w:rsidR="00D034D1" w:rsidRPr="001F0D20">
        <w:rPr>
          <w:b/>
        </w:rPr>
        <w:fldChar w:fldCharType="begin"/>
      </w:r>
      <w:r w:rsidR="00D034D1" w:rsidRPr="001F0D20">
        <w:rPr>
          <w:b/>
        </w:rPr>
        <w:instrText xml:space="preserve"> REF _Ref518739917  \* MERGEFORMAT </w:instrText>
      </w:r>
      <w:r w:rsidR="00D034D1" w:rsidRPr="001F0D20">
        <w:rPr>
          <w:b/>
        </w:rPr>
        <w:fldChar w:fldCharType="separate"/>
      </w:r>
      <w:r w:rsidR="00F30350" w:rsidRPr="00F30350">
        <w:rPr>
          <w:b/>
        </w:rPr>
        <w:t xml:space="preserve">Figure </w:t>
      </w:r>
      <w:r w:rsidR="00F30350" w:rsidRPr="00F30350">
        <w:rPr>
          <w:b/>
          <w:noProof/>
        </w:rPr>
        <w:t>4.25</w:t>
      </w:r>
      <w:r w:rsidR="00D034D1" w:rsidRPr="001F0D20">
        <w:rPr>
          <w:b/>
          <w:noProof/>
        </w:rPr>
        <w:fldChar w:fldCharType="end"/>
      </w:r>
      <w:r w:rsidR="002D1A28" w:rsidRPr="001F0D20">
        <w:rPr>
          <w:b/>
        </w:rPr>
        <w:t>A</w:t>
      </w:r>
      <w:r w:rsidR="00611940" w:rsidRPr="008B3AD6">
        <w:t>) and myeloid cells (</w:t>
      </w:r>
      <w:r w:rsidR="00D034D1" w:rsidRPr="001F0D20">
        <w:rPr>
          <w:b/>
        </w:rPr>
        <w:fldChar w:fldCharType="begin"/>
      </w:r>
      <w:r w:rsidR="00D034D1" w:rsidRPr="001F0D20">
        <w:rPr>
          <w:b/>
        </w:rPr>
        <w:instrText xml:space="preserve"> REF _Ref518739917  \* MERGEFORMAT </w:instrText>
      </w:r>
      <w:r w:rsidR="00D034D1" w:rsidRPr="001F0D20">
        <w:rPr>
          <w:b/>
        </w:rPr>
        <w:fldChar w:fldCharType="separate"/>
      </w:r>
      <w:r w:rsidR="00F30350" w:rsidRPr="00F30350">
        <w:rPr>
          <w:b/>
        </w:rPr>
        <w:t xml:space="preserve">Figure </w:t>
      </w:r>
      <w:r w:rsidR="00F30350" w:rsidRPr="00F30350">
        <w:rPr>
          <w:b/>
          <w:noProof/>
        </w:rPr>
        <w:t>4.25</w:t>
      </w:r>
      <w:r w:rsidR="00D034D1" w:rsidRPr="001F0D20">
        <w:rPr>
          <w:b/>
          <w:noProof/>
        </w:rPr>
        <w:fldChar w:fldCharType="end"/>
      </w:r>
      <w:r w:rsidR="002D1A28" w:rsidRPr="001F0D20">
        <w:rPr>
          <w:b/>
        </w:rPr>
        <w:t>C</w:t>
      </w:r>
      <w:r w:rsidR="00611940" w:rsidRPr="008B3AD6">
        <w:t>) and the best fit for each one was calculated using the minimum</w:t>
      </w:r>
      <w:r w:rsidR="00CD3D73">
        <w:t xml:space="preserve"> root mean square error</w:t>
      </w:r>
      <w:r w:rsidR="00611940" w:rsidRPr="008B3AD6">
        <w:t xml:space="preserve"> </w:t>
      </w:r>
      <w:r w:rsidR="00CD3D73">
        <w:t>(</w:t>
      </w:r>
      <w:r w:rsidR="00611940" w:rsidRPr="008B3AD6">
        <w:t>RMSE</w:t>
      </w:r>
      <w:r w:rsidR="00CD3D73">
        <w:t>)</w:t>
      </w:r>
      <w:r w:rsidR="00611940" w:rsidRPr="008B3AD6">
        <w:t xml:space="preserve"> from an observed vs. expected calculation and plotted (</w:t>
      </w:r>
      <w:r w:rsidR="00D034D1" w:rsidRPr="001F0D20">
        <w:rPr>
          <w:b/>
        </w:rPr>
        <w:fldChar w:fldCharType="begin"/>
      </w:r>
      <w:r w:rsidR="00D034D1" w:rsidRPr="001F0D20">
        <w:rPr>
          <w:b/>
        </w:rPr>
        <w:instrText xml:space="preserve"> REF _Ref518739917  \* MERGEFORMAT </w:instrText>
      </w:r>
      <w:r w:rsidR="00D034D1" w:rsidRPr="001F0D20">
        <w:rPr>
          <w:b/>
        </w:rPr>
        <w:fldChar w:fldCharType="separate"/>
      </w:r>
      <w:r w:rsidR="00F30350" w:rsidRPr="00F30350">
        <w:rPr>
          <w:b/>
        </w:rPr>
        <w:t xml:space="preserve">Figure </w:t>
      </w:r>
      <w:r w:rsidR="00F30350" w:rsidRPr="00F30350">
        <w:rPr>
          <w:b/>
          <w:noProof/>
        </w:rPr>
        <w:t>4.25</w:t>
      </w:r>
      <w:r w:rsidR="00D034D1" w:rsidRPr="001F0D20">
        <w:rPr>
          <w:b/>
          <w:noProof/>
        </w:rPr>
        <w:fldChar w:fldCharType="end"/>
      </w:r>
      <w:r w:rsidR="002D1A28" w:rsidRPr="001F0D20">
        <w:rPr>
          <w:b/>
        </w:rPr>
        <w:t>B</w:t>
      </w:r>
      <w:r w:rsidR="002D1A28" w:rsidRPr="008B3AD6">
        <w:t xml:space="preserve"> and </w:t>
      </w:r>
      <w:r w:rsidR="00EA1D57">
        <w:rPr>
          <w:noProof/>
        </w:rPr>
        <mc:AlternateContent>
          <mc:Choice Requires="wps">
            <w:drawing>
              <wp:anchor distT="0" distB="0" distL="114300" distR="114300" simplePos="0" relativeHeight="252071936" behindDoc="0" locked="0" layoutInCell="1" allowOverlap="1" wp14:anchorId="7A257317" wp14:editId="30001679">
                <wp:simplePos x="0" y="0"/>
                <wp:positionH relativeFrom="column">
                  <wp:posOffset>-135255</wp:posOffset>
                </wp:positionH>
                <wp:positionV relativeFrom="paragraph">
                  <wp:posOffset>3627120</wp:posOffset>
                </wp:positionV>
                <wp:extent cx="5727700" cy="908050"/>
                <wp:effectExtent l="0" t="0" r="0" b="6350"/>
                <wp:wrapTopAndBottom/>
                <wp:docPr id="520" name="Text Box 520"/>
                <wp:cNvGraphicFramePr/>
                <a:graphic xmlns:a="http://schemas.openxmlformats.org/drawingml/2006/main">
                  <a:graphicData uri="http://schemas.microsoft.com/office/word/2010/wordprocessingShape">
                    <wps:wsp>
                      <wps:cNvSpPr txBox="1"/>
                      <wps:spPr>
                        <a:xfrm>
                          <a:off x="0" y="0"/>
                          <a:ext cx="5727700" cy="908050"/>
                        </a:xfrm>
                        <a:prstGeom prst="rect">
                          <a:avLst/>
                        </a:prstGeom>
                        <a:solidFill>
                          <a:prstClr val="white"/>
                        </a:solidFill>
                        <a:ln>
                          <a:noFill/>
                        </a:ln>
                      </wps:spPr>
                      <wps:txbx>
                        <w:txbxContent>
                          <w:p w14:paraId="59A55DD5" w14:textId="1E74F907" w:rsidR="00F61130" w:rsidRPr="000B5019" w:rsidRDefault="00F61130" w:rsidP="000B5019">
                            <w:pPr>
                              <w:pStyle w:val="Caption"/>
                              <w:spacing w:line="360" w:lineRule="auto"/>
                              <w:rPr>
                                <w:b/>
                                <w:color w:val="auto"/>
                                <w:sz w:val="20"/>
                                <w:szCs w:val="20"/>
                              </w:rPr>
                            </w:pPr>
                            <w:bookmarkStart w:id="488" w:name="_Ref518651810"/>
                            <w:bookmarkStart w:id="489" w:name="_Toc525227229"/>
                            <w:bookmarkStart w:id="490" w:name="_Toc536814168"/>
                            <w:r w:rsidRPr="000B5019">
                              <w:rPr>
                                <w:b/>
                                <w:color w:val="auto"/>
                                <w:sz w:val="20"/>
                                <w:szCs w:val="20"/>
                              </w:rPr>
                              <w:t xml:space="preserve">Figure </w:t>
                            </w:r>
                            <w:r>
                              <w:rPr>
                                <w:b/>
                                <w:color w:val="auto"/>
                                <w:sz w:val="20"/>
                                <w:szCs w:val="20"/>
                              </w:rPr>
                              <w:fldChar w:fldCharType="begin"/>
                            </w:r>
                            <w:r>
                              <w:rPr>
                                <w:b/>
                                <w:color w:val="auto"/>
                                <w:sz w:val="20"/>
                                <w:szCs w:val="20"/>
                              </w:rPr>
                              <w:instrText xml:space="preserve"> STYLEREF 1 \s </w:instrText>
                            </w:r>
                            <w:r>
                              <w:rPr>
                                <w:b/>
                                <w:color w:val="auto"/>
                                <w:sz w:val="20"/>
                                <w:szCs w:val="20"/>
                              </w:rPr>
                              <w:fldChar w:fldCharType="separate"/>
                            </w:r>
                            <w:r>
                              <w:rPr>
                                <w:b/>
                                <w:noProof/>
                                <w:color w:val="auto"/>
                                <w:sz w:val="20"/>
                                <w:szCs w:val="20"/>
                              </w:rPr>
                              <w:t>4</w:t>
                            </w:r>
                            <w:r>
                              <w:rPr>
                                <w:b/>
                                <w:color w:val="auto"/>
                                <w:sz w:val="20"/>
                                <w:szCs w:val="20"/>
                              </w:rPr>
                              <w:fldChar w:fldCharType="end"/>
                            </w:r>
                            <w:r>
                              <w:rPr>
                                <w:b/>
                                <w:color w:val="auto"/>
                                <w:sz w:val="20"/>
                                <w:szCs w:val="20"/>
                              </w:rPr>
                              <w:t>.</w:t>
                            </w:r>
                            <w:r>
                              <w:rPr>
                                <w:b/>
                                <w:color w:val="auto"/>
                                <w:sz w:val="20"/>
                                <w:szCs w:val="20"/>
                              </w:rPr>
                              <w:fldChar w:fldCharType="begin"/>
                            </w:r>
                            <w:r>
                              <w:rPr>
                                <w:b/>
                                <w:color w:val="auto"/>
                                <w:sz w:val="20"/>
                                <w:szCs w:val="20"/>
                              </w:rPr>
                              <w:instrText xml:space="preserve"> SEQ Figure \* ARABIC \s 1 </w:instrText>
                            </w:r>
                            <w:r>
                              <w:rPr>
                                <w:b/>
                                <w:color w:val="auto"/>
                                <w:sz w:val="20"/>
                                <w:szCs w:val="20"/>
                              </w:rPr>
                              <w:fldChar w:fldCharType="separate"/>
                            </w:r>
                            <w:r>
                              <w:rPr>
                                <w:b/>
                                <w:noProof/>
                                <w:color w:val="auto"/>
                                <w:sz w:val="20"/>
                                <w:szCs w:val="20"/>
                              </w:rPr>
                              <w:t>24</w:t>
                            </w:r>
                            <w:r>
                              <w:rPr>
                                <w:b/>
                                <w:color w:val="auto"/>
                                <w:sz w:val="20"/>
                                <w:szCs w:val="20"/>
                              </w:rPr>
                              <w:fldChar w:fldCharType="end"/>
                            </w:r>
                            <w:bookmarkEnd w:id="488"/>
                            <w:r w:rsidRPr="000B5019">
                              <w:rPr>
                                <w:b/>
                                <w:color w:val="auto"/>
                                <w:sz w:val="20"/>
                                <w:szCs w:val="20"/>
                              </w:rPr>
                              <w:t xml:space="preserve"> - </w:t>
                            </w:r>
                            <w:r>
                              <w:rPr>
                                <w:b/>
                                <w:color w:val="auto"/>
                                <w:sz w:val="20"/>
                                <w:szCs w:val="20"/>
                              </w:rPr>
                              <w:t>Simplified simulation model of</w:t>
                            </w:r>
                            <w:r w:rsidRPr="000B5019">
                              <w:rPr>
                                <w:b/>
                                <w:color w:val="auto"/>
                                <w:sz w:val="20"/>
                                <w:szCs w:val="20"/>
                              </w:rPr>
                              <w:t xml:space="preserve"> </w:t>
                            </w:r>
                            <w:r>
                              <w:rPr>
                                <w:b/>
                                <w:color w:val="auto"/>
                                <w:sz w:val="20"/>
                                <w:szCs w:val="20"/>
                              </w:rPr>
                              <w:t>T cell and myeloid cell populations</w:t>
                            </w:r>
                            <w:r w:rsidRPr="000B5019">
                              <w:rPr>
                                <w:b/>
                                <w:color w:val="auto"/>
                                <w:sz w:val="20"/>
                                <w:szCs w:val="20"/>
                              </w:rPr>
                              <w:t>.</w:t>
                            </w:r>
                            <w:r>
                              <w:rPr>
                                <w:color w:val="auto"/>
                                <w:sz w:val="20"/>
                                <w:szCs w:val="20"/>
                              </w:rPr>
                              <w:t xml:space="preserve"> A simplified simulation model of the T cell and myeloid cell population kinetics was implemented to allow for the calibration of T Cell parameter values. Myeloid parameters derived here were implemented into a further developed model to allow for determination of the initial extracellular </w:t>
                            </w:r>
                            <w:r>
                              <w:rPr>
                                <w:i/>
                                <w:color w:val="auto"/>
                                <w:sz w:val="20"/>
                                <w:szCs w:val="20"/>
                              </w:rPr>
                              <w:t>L. donovani</w:t>
                            </w:r>
                            <w:r>
                              <w:rPr>
                                <w:color w:val="auto"/>
                                <w:sz w:val="20"/>
                                <w:szCs w:val="20"/>
                              </w:rPr>
                              <w:t xml:space="preserve"> value.</w:t>
                            </w:r>
                            <w:bookmarkEnd w:id="489"/>
                            <w:bookmarkEnd w:id="490"/>
                            <w:r w:rsidRPr="000B5019">
                              <w:rPr>
                                <w:b/>
                                <w:color w:val="auto"/>
                                <w:sz w:val="20"/>
                                <w:szCs w:val="20"/>
                              </w:rP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7A257317" id="Text Box 520" o:spid="_x0000_s1124" type="#_x0000_t202" style="position:absolute;left:0;text-align:left;margin-left:-10.65pt;margin-top:285.6pt;width:451pt;height:71.5pt;z-index:2520719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4n131NQIAAGwEAAAOAAAAZHJzL2Uyb0RvYy54bWysVFFP2zAQfp+0/2D5fU2oxAoVKepAnSZV&#13;&#10;gAQTz67jEEuOz7PdJuzX77PTAGN7mvbinO/OZ3/fd5eLy6Ez7KB80GQrfjIrOVNWUq3tU8W/P2w+&#13;&#10;nXEWorC1MGRVxZ9V4Jerjx8uerdUc2rJ1MozFLFh2buKtzG6ZVEE2apOhBk5ZRFsyHciYuufitqL&#13;&#10;HtU7U8zL8nPRk6+dJ6lCgPd6DPJVrt80SsbbpgkqMlNxvC3m1ed1l9ZidSGWT164VsvjM8Q/vKIT&#13;&#10;2uLSl1LXIgq29/qPUp2WngI1cSapK6hptFQZA9CclO/Q3LfCqYwF5AT3QlP4f2XlzeHOM11X/HQO&#13;&#10;fqzoINKDGiL7QgNLPjDUu7BE4r1DahwQgNKTP8CZgA+N79IXkBjiqPX8wm8qJ+E8XcwXixIhidh5&#13;&#10;eVae5vLF62nnQ/yqqGPJqLiHfplWcdiGiJcgdUpJlwUyut5oY9ImBa6MZwcBrftWR5XeiBO/ZRmb&#13;&#10;ci2lU2M4eYoEcYSSrDjshkzK+dmEc0f1M+B7GlsoOLnRuHArQrwTHj0DWJiDeIulMdRXnI4WZy35&#13;&#10;n3/zp3xIiShnPXqw4uHHXnjFmflmITJKxsnwk7GbDLvvrghQTzBhTmYTB3w0k9l46h4xHut0C0LC&#13;&#10;StxV8TiZV3GcBIyXVOt1TkJbOhG39t7JVHoi9mF4FN4dZYkQ9Iam7hTLd+qMuSPN632kRmfpErEj&#13;&#10;i0e+0dJZn+P4pZl5u89Zrz+J1S8AAAD//wMAUEsDBBQABgAIAAAAIQBNpc7B4wAAABABAAAPAAAA&#13;&#10;ZHJzL2Rvd25yZXYueG1sTE/PT4MwFL6b+D80z8SL2QpVB2GURYfe5mFz2fmNViDSV0LLYP+99aSX&#13;&#10;l3x53898M5uOXfTgWksS4mUETFNlVUu1hOPn+yIF5jySws6SlnDVDjbF7U2OmbIT7fXl4GsWTMhl&#13;&#10;KKHxvs84d1WjDbql7TWF35cdDPoAh5qrAadgbjouomjFDbYUEhrs9bbR1fdhNBJW5TBOe9o+lMe3&#13;&#10;HX70tTi9Xk9S3t/N5TqclzUwr2f/p4DfDaE/FKHY2Y6kHOskLET8GKgSnpNYAAuMNI0SYGcJSfwk&#13;&#10;gBc5/z+k+AEAAP//AwBQSwECLQAUAAYACAAAACEAtoM4kv4AAADhAQAAEwAAAAAAAAAAAAAAAAAA&#13;&#10;AAAAW0NvbnRlbnRfVHlwZXNdLnhtbFBLAQItABQABgAIAAAAIQA4/SH/1gAAAJQBAAALAAAAAAAA&#13;&#10;AAAAAAAAAC8BAABfcmVscy8ucmVsc1BLAQItABQABgAIAAAAIQB4n131NQIAAGwEAAAOAAAAAAAA&#13;&#10;AAAAAAAAAC4CAABkcnMvZTJvRG9jLnhtbFBLAQItABQABgAIAAAAIQBNpc7B4wAAABABAAAPAAAA&#13;&#10;AAAAAAAAAAAAAI8EAABkcnMvZG93bnJldi54bWxQSwUGAAAAAAQABADzAAAAnwUAAAAA&#13;&#10;" stroked="f">
                <v:textbox inset="0,0,0,0">
                  <w:txbxContent>
                    <w:p w14:paraId="59A55DD5" w14:textId="1E74F907" w:rsidR="00F61130" w:rsidRPr="000B5019" w:rsidRDefault="00F61130" w:rsidP="000B5019">
                      <w:pPr>
                        <w:pStyle w:val="Caption"/>
                        <w:spacing w:line="360" w:lineRule="auto"/>
                        <w:rPr>
                          <w:b/>
                          <w:color w:val="auto"/>
                          <w:sz w:val="20"/>
                          <w:szCs w:val="20"/>
                        </w:rPr>
                      </w:pPr>
                      <w:bookmarkStart w:id="491" w:name="_Ref518651810"/>
                      <w:bookmarkStart w:id="492" w:name="_Toc525227229"/>
                      <w:bookmarkStart w:id="493" w:name="_Toc536814168"/>
                      <w:r w:rsidRPr="000B5019">
                        <w:rPr>
                          <w:b/>
                          <w:color w:val="auto"/>
                          <w:sz w:val="20"/>
                          <w:szCs w:val="20"/>
                        </w:rPr>
                        <w:t xml:space="preserve">Figure </w:t>
                      </w:r>
                      <w:r>
                        <w:rPr>
                          <w:b/>
                          <w:color w:val="auto"/>
                          <w:sz w:val="20"/>
                          <w:szCs w:val="20"/>
                        </w:rPr>
                        <w:fldChar w:fldCharType="begin"/>
                      </w:r>
                      <w:r>
                        <w:rPr>
                          <w:b/>
                          <w:color w:val="auto"/>
                          <w:sz w:val="20"/>
                          <w:szCs w:val="20"/>
                        </w:rPr>
                        <w:instrText xml:space="preserve"> STYLEREF 1 \s </w:instrText>
                      </w:r>
                      <w:r>
                        <w:rPr>
                          <w:b/>
                          <w:color w:val="auto"/>
                          <w:sz w:val="20"/>
                          <w:szCs w:val="20"/>
                        </w:rPr>
                        <w:fldChar w:fldCharType="separate"/>
                      </w:r>
                      <w:r>
                        <w:rPr>
                          <w:b/>
                          <w:noProof/>
                          <w:color w:val="auto"/>
                          <w:sz w:val="20"/>
                          <w:szCs w:val="20"/>
                        </w:rPr>
                        <w:t>4</w:t>
                      </w:r>
                      <w:r>
                        <w:rPr>
                          <w:b/>
                          <w:color w:val="auto"/>
                          <w:sz w:val="20"/>
                          <w:szCs w:val="20"/>
                        </w:rPr>
                        <w:fldChar w:fldCharType="end"/>
                      </w:r>
                      <w:r>
                        <w:rPr>
                          <w:b/>
                          <w:color w:val="auto"/>
                          <w:sz w:val="20"/>
                          <w:szCs w:val="20"/>
                        </w:rPr>
                        <w:t>.</w:t>
                      </w:r>
                      <w:r>
                        <w:rPr>
                          <w:b/>
                          <w:color w:val="auto"/>
                          <w:sz w:val="20"/>
                          <w:szCs w:val="20"/>
                        </w:rPr>
                        <w:fldChar w:fldCharType="begin"/>
                      </w:r>
                      <w:r>
                        <w:rPr>
                          <w:b/>
                          <w:color w:val="auto"/>
                          <w:sz w:val="20"/>
                          <w:szCs w:val="20"/>
                        </w:rPr>
                        <w:instrText xml:space="preserve"> SEQ Figure \* ARABIC \s 1 </w:instrText>
                      </w:r>
                      <w:r>
                        <w:rPr>
                          <w:b/>
                          <w:color w:val="auto"/>
                          <w:sz w:val="20"/>
                          <w:szCs w:val="20"/>
                        </w:rPr>
                        <w:fldChar w:fldCharType="separate"/>
                      </w:r>
                      <w:r>
                        <w:rPr>
                          <w:b/>
                          <w:noProof/>
                          <w:color w:val="auto"/>
                          <w:sz w:val="20"/>
                          <w:szCs w:val="20"/>
                        </w:rPr>
                        <w:t>24</w:t>
                      </w:r>
                      <w:r>
                        <w:rPr>
                          <w:b/>
                          <w:color w:val="auto"/>
                          <w:sz w:val="20"/>
                          <w:szCs w:val="20"/>
                        </w:rPr>
                        <w:fldChar w:fldCharType="end"/>
                      </w:r>
                      <w:bookmarkEnd w:id="491"/>
                      <w:r w:rsidRPr="000B5019">
                        <w:rPr>
                          <w:b/>
                          <w:color w:val="auto"/>
                          <w:sz w:val="20"/>
                          <w:szCs w:val="20"/>
                        </w:rPr>
                        <w:t xml:space="preserve"> - </w:t>
                      </w:r>
                      <w:r>
                        <w:rPr>
                          <w:b/>
                          <w:color w:val="auto"/>
                          <w:sz w:val="20"/>
                          <w:szCs w:val="20"/>
                        </w:rPr>
                        <w:t>Simplified simulation model of</w:t>
                      </w:r>
                      <w:r w:rsidRPr="000B5019">
                        <w:rPr>
                          <w:b/>
                          <w:color w:val="auto"/>
                          <w:sz w:val="20"/>
                          <w:szCs w:val="20"/>
                        </w:rPr>
                        <w:t xml:space="preserve"> </w:t>
                      </w:r>
                      <w:r>
                        <w:rPr>
                          <w:b/>
                          <w:color w:val="auto"/>
                          <w:sz w:val="20"/>
                          <w:szCs w:val="20"/>
                        </w:rPr>
                        <w:t>T cell and myeloid cell populations</w:t>
                      </w:r>
                      <w:r w:rsidRPr="000B5019">
                        <w:rPr>
                          <w:b/>
                          <w:color w:val="auto"/>
                          <w:sz w:val="20"/>
                          <w:szCs w:val="20"/>
                        </w:rPr>
                        <w:t>.</w:t>
                      </w:r>
                      <w:r>
                        <w:rPr>
                          <w:color w:val="auto"/>
                          <w:sz w:val="20"/>
                          <w:szCs w:val="20"/>
                        </w:rPr>
                        <w:t xml:space="preserve"> A simplified simulation model of the T cell and myeloid cell population kinetics was implemented to allow for the calibration of T Cell parameter values. Myeloid parameters derived here were implemented into a further developed model to allow for determination of the initial extracellular </w:t>
                      </w:r>
                      <w:r>
                        <w:rPr>
                          <w:i/>
                          <w:color w:val="auto"/>
                          <w:sz w:val="20"/>
                          <w:szCs w:val="20"/>
                        </w:rPr>
                        <w:t>L. donovani</w:t>
                      </w:r>
                      <w:r>
                        <w:rPr>
                          <w:color w:val="auto"/>
                          <w:sz w:val="20"/>
                          <w:szCs w:val="20"/>
                        </w:rPr>
                        <w:t xml:space="preserve"> value.</w:t>
                      </w:r>
                      <w:bookmarkEnd w:id="492"/>
                      <w:bookmarkEnd w:id="493"/>
                      <w:r w:rsidRPr="000B5019">
                        <w:rPr>
                          <w:b/>
                          <w:color w:val="auto"/>
                          <w:sz w:val="20"/>
                          <w:szCs w:val="20"/>
                        </w:rPr>
                        <w:t xml:space="preserve"> </w:t>
                      </w:r>
                    </w:p>
                  </w:txbxContent>
                </v:textbox>
                <w10:wrap type="topAndBottom"/>
              </v:shape>
            </w:pict>
          </mc:Fallback>
        </mc:AlternateContent>
      </w:r>
      <w:r w:rsidR="00EA1D57">
        <w:rPr>
          <w:noProof/>
        </w:rPr>
        <w:drawing>
          <wp:anchor distT="0" distB="0" distL="114300" distR="114300" simplePos="0" relativeHeight="252072960" behindDoc="0" locked="0" layoutInCell="1" allowOverlap="1" wp14:anchorId="3405FDD9" wp14:editId="0E6AE425">
            <wp:simplePos x="0" y="0"/>
            <wp:positionH relativeFrom="column">
              <wp:posOffset>105897</wp:posOffset>
            </wp:positionH>
            <wp:positionV relativeFrom="paragraph">
              <wp:posOffset>2200319</wp:posOffset>
            </wp:positionV>
            <wp:extent cx="5262245" cy="1318895"/>
            <wp:effectExtent l="0" t="0" r="0" b="1905"/>
            <wp:wrapTopAndBottom/>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a:picLocks noChangeAspect="1"/>
                    </pic:cNvPicPr>
                  </pic:nvPicPr>
                  <pic:blipFill rotWithShape="1">
                    <a:blip r:embed="rId70" cstate="print">
                      <a:extLst>
                        <a:ext uri="{28A0092B-C50C-407E-A947-70E740481C1C}">
                          <a14:useLocalDpi xmlns:a14="http://schemas.microsoft.com/office/drawing/2010/main" val="0"/>
                        </a:ext>
                      </a:extLst>
                    </a:blip>
                    <a:srcRect r="5596"/>
                    <a:stretch/>
                  </pic:blipFill>
                  <pic:spPr bwMode="auto">
                    <a:xfrm>
                      <a:off x="0" y="0"/>
                      <a:ext cx="5262245" cy="131889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r w:rsidR="00D034D1" w:rsidRPr="001F0D20">
        <w:rPr>
          <w:b/>
        </w:rPr>
        <w:fldChar w:fldCharType="begin"/>
      </w:r>
      <w:r w:rsidR="00D034D1" w:rsidRPr="001F0D20">
        <w:rPr>
          <w:b/>
        </w:rPr>
        <w:instrText xml:space="preserve"> REF _Ref518739917  \* MERGEFORMAT </w:instrText>
      </w:r>
      <w:r w:rsidR="00D034D1" w:rsidRPr="001F0D20">
        <w:rPr>
          <w:b/>
        </w:rPr>
        <w:fldChar w:fldCharType="separate"/>
      </w:r>
      <w:r w:rsidR="00F30350" w:rsidRPr="00F30350">
        <w:rPr>
          <w:b/>
        </w:rPr>
        <w:t xml:space="preserve">Figure </w:t>
      </w:r>
      <w:r w:rsidR="00F30350" w:rsidRPr="00F30350">
        <w:rPr>
          <w:b/>
          <w:noProof/>
        </w:rPr>
        <w:t>4.25</w:t>
      </w:r>
      <w:r w:rsidR="00D034D1" w:rsidRPr="001F0D20">
        <w:rPr>
          <w:b/>
          <w:noProof/>
        </w:rPr>
        <w:fldChar w:fldCharType="end"/>
      </w:r>
      <w:r w:rsidR="002D1A28" w:rsidRPr="001F0D20">
        <w:rPr>
          <w:b/>
        </w:rPr>
        <w:t>D</w:t>
      </w:r>
      <w:r w:rsidR="00611940" w:rsidRPr="008B3AD6">
        <w:t>).</w:t>
      </w:r>
    </w:p>
    <w:p w14:paraId="63D13C92" w14:textId="760DB920" w:rsidR="00B21FF2" w:rsidRPr="008B3AD6" w:rsidRDefault="00B21FF2" w:rsidP="009154C0">
      <w:pPr>
        <w:spacing w:line="360" w:lineRule="auto"/>
        <w:jc w:val="both"/>
      </w:pPr>
    </w:p>
    <w:p w14:paraId="6E12B154" w14:textId="77777777" w:rsidR="00F30350" w:rsidRDefault="00F30350" w:rsidP="009154C0">
      <w:pPr>
        <w:spacing w:line="360" w:lineRule="auto"/>
        <w:jc w:val="both"/>
      </w:pPr>
    </w:p>
    <w:p w14:paraId="5E7737EC" w14:textId="263C3039" w:rsidR="00743EBF" w:rsidRPr="008B3AD6" w:rsidRDefault="00611940" w:rsidP="009154C0">
      <w:pPr>
        <w:spacing w:line="360" w:lineRule="auto"/>
        <w:jc w:val="both"/>
      </w:pPr>
      <w:r w:rsidRPr="008B3AD6">
        <w:t xml:space="preserve">Myeloid cell parameters from this iteration were transient as they </w:t>
      </w:r>
      <w:r w:rsidR="00677FD0">
        <w:t>were</w:t>
      </w:r>
      <w:r w:rsidRPr="008B3AD6">
        <w:t xml:space="preserve"> based upon a simplified representation w</w:t>
      </w:r>
      <w:r w:rsidR="000C4DD6" w:rsidRPr="008B3AD6">
        <w:t>hich would be further developed. T</w:t>
      </w:r>
      <w:r w:rsidRPr="008B3AD6">
        <w:t>he T cell kinetics were not further developed</w:t>
      </w:r>
      <w:r w:rsidR="003367D7">
        <w:t>, as T c</w:t>
      </w:r>
      <w:r w:rsidR="000C4DD6" w:rsidRPr="008B3AD6">
        <w:t xml:space="preserve">ells are not influenced by other entities in </w:t>
      </w:r>
      <w:r w:rsidR="00677FD0">
        <w:t>the final simulation models</w:t>
      </w:r>
      <w:r w:rsidR="000C4DD6" w:rsidRPr="008B3AD6">
        <w:t>,</w:t>
      </w:r>
      <w:r w:rsidRPr="008B3AD6">
        <w:t xml:space="preserve"> and</w:t>
      </w:r>
      <w:r w:rsidR="00677FD0">
        <w:t xml:space="preserve"> so</w:t>
      </w:r>
      <w:r w:rsidR="00366E75" w:rsidRPr="008B3AD6">
        <w:t xml:space="preserve"> the best T cells</w:t>
      </w:r>
      <w:r w:rsidRPr="008B3AD6">
        <w:t xml:space="preserve"> parameters derived from this analysis were </w:t>
      </w:r>
      <w:r w:rsidR="00366E75" w:rsidRPr="008B3AD6">
        <w:t>recorded</w:t>
      </w:r>
      <w:r w:rsidRPr="008B3AD6">
        <w:t xml:space="preserve"> (</w:t>
      </w:r>
      <w:r w:rsidR="00D034D1" w:rsidRPr="001F0D20">
        <w:rPr>
          <w:b/>
        </w:rPr>
        <w:fldChar w:fldCharType="begin"/>
      </w:r>
      <w:r w:rsidR="00D034D1" w:rsidRPr="001F0D20">
        <w:rPr>
          <w:b/>
        </w:rPr>
        <w:instrText xml:space="preserve"> REF _Ref518722346  \* MERGEFORMAT </w:instrText>
      </w:r>
      <w:r w:rsidR="00D034D1" w:rsidRPr="001F0D20">
        <w:rPr>
          <w:b/>
        </w:rPr>
        <w:fldChar w:fldCharType="separate"/>
      </w:r>
      <w:r w:rsidR="00031DCA" w:rsidRPr="00031DCA">
        <w:rPr>
          <w:b/>
        </w:rPr>
        <w:t xml:space="preserve">Table </w:t>
      </w:r>
      <w:r w:rsidR="00031DCA" w:rsidRPr="00031DCA">
        <w:rPr>
          <w:b/>
          <w:noProof/>
        </w:rPr>
        <w:t>4.1</w:t>
      </w:r>
      <w:r w:rsidR="00D034D1" w:rsidRPr="001F0D20">
        <w:rPr>
          <w:b/>
          <w:noProof/>
        </w:rPr>
        <w:fldChar w:fldCharType="end"/>
      </w:r>
      <w:r w:rsidR="00B169B4" w:rsidRPr="008B3AD6">
        <w:t>) for use in future iterations.</w:t>
      </w:r>
    </w:p>
    <w:p w14:paraId="12647A6B" w14:textId="4C5273B7" w:rsidR="00743EBF" w:rsidRPr="008B3AD6" w:rsidRDefault="00743EBF" w:rsidP="009154C0">
      <w:pPr>
        <w:spacing w:line="240" w:lineRule="auto"/>
        <w:jc w:val="both"/>
      </w:pPr>
      <w:r w:rsidRPr="008B3AD6">
        <w:br w:type="page"/>
      </w:r>
    </w:p>
    <w:p w14:paraId="25857357" w14:textId="2356D6BF" w:rsidR="000771C7" w:rsidRPr="008B3AD6" w:rsidRDefault="00B800CC" w:rsidP="009154C0">
      <w:pPr>
        <w:spacing w:line="240" w:lineRule="auto"/>
        <w:jc w:val="both"/>
      </w:pPr>
      <w:r>
        <w:rPr>
          <w:noProof/>
        </w:rPr>
        <w:lastRenderedPageBreak/>
        <mc:AlternateContent>
          <mc:Choice Requires="wps">
            <w:drawing>
              <wp:anchor distT="0" distB="0" distL="114300" distR="114300" simplePos="0" relativeHeight="251573248" behindDoc="0" locked="0" layoutInCell="1" allowOverlap="1" wp14:anchorId="29D94A74" wp14:editId="35BF1E28">
                <wp:simplePos x="0" y="0"/>
                <wp:positionH relativeFrom="column">
                  <wp:posOffset>-5080</wp:posOffset>
                </wp:positionH>
                <wp:positionV relativeFrom="paragraph">
                  <wp:posOffset>3901602</wp:posOffset>
                </wp:positionV>
                <wp:extent cx="5575935" cy="1306195"/>
                <wp:effectExtent l="0" t="0" r="0" b="1905"/>
                <wp:wrapTopAndBottom/>
                <wp:docPr id="523" name="Text Box 523"/>
                <wp:cNvGraphicFramePr/>
                <a:graphic xmlns:a="http://schemas.openxmlformats.org/drawingml/2006/main">
                  <a:graphicData uri="http://schemas.microsoft.com/office/word/2010/wordprocessingShape">
                    <wps:wsp>
                      <wps:cNvSpPr txBox="1"/>
                      <wps:spPr>
                        <a:xfrm>
                          <a:off x="0" y="0"/>
                          <a:ext cx="5575935" cy="1306195"/>
                        </a:xfrm>
                        <a:prstGeom prst="rect">
                          <a:avLst/>
                        </a:prstGeom>
                        <a:solidFill>
                          <a:prstClr val="white"/>
                        </a:solidFill>
                        <a:ln>
                          <a:noFill/>
                        </a:ln>
                      </wps:spPr>
                      <wps:txbx>
                        <w:txbxContent>
                          <w:p w14:paraId="324FB0DB" w14:textId="5CBFF236" w:rsidR="00F61130" w:rsidRPr="00AB206B" w:rsidRDefault="00F61130" w:rsidP="009A7895">
                            <w:pPr>
                              <w:pStyle w:val="Caption"/>
                              <w:spacing w:line="360" w:lineRule="auto"/>
                              <w:jc w:val="both"/>
                              <w:rPr>
                                <w:b/>
                                <w:sz w:val="20"/>
                                <w:szCs w:val="20"/>
                              </w:rPr>
                            </w:pPr>
                            <w:bookmarkStart w:id="494" w:name="_Ref518739917"/>
                            <w:bookmarkStart w:id="495" w:name="_Toc525227230"/>
                            <w:bookmarkStart w:id="496" w:name="_Toc536814169"/>
                            <w:r w:rsidRPr="00AB206B">
                              <w:rPr>
                                <w:b/>
                                <w:sz w:val="20"/>
                                <w:szCs w:val="20"/>
                              </w:rPr>
                              <w:t xml:space="preserve">Figure </w:t>
                            </w:r>
                            <w:r>
                              <w:rPr>
                                <w:b/>
                                <w:sz w:val="20"/>
                                <w:szCs w:val="20"/>
                              </w:rPr>
                              <w:fldChar w:fldCharType="begin"/>
                            </w:r>
                            <w:r>
                              <w:rPr>
                                <w:b/>
                                <w:sz w:val="20"/>
                                <w:szCs w:val="20"/>
                              </w:rPr>
                              <w:instrText xml:space="preserve"> STYLEREF 1 \s </w:instrText>
                            </w:r>
                            <w:r>
                              <w:rPr>
                                <w:b/>
                                <w:sz w:val="20"/>
                                <w:szCs w:val="20"/>
                              </w:rPr>
                              <w:fldChar w:fldCharType="separate"/>
                            </w:r>
                            <w:r>
                              <w:rPr>
                                <w:b/>
                                <w:noProof/>
                                <w:sz w:val="20"/>
                                <w:szCs w:val="20"/>
                              </w:rPr>
                              <w:t>4</w:t>
                            </w:r>
                            <w:r>
                              <w:rPr>
                                <w:b/>
                                <w:sz w:val="20"/>
                                <w:szCs w:val="20"/>
                              </w:rPr>
                              <w:fldChar w:fldCharType="end"/>
                            </w:r>
                            <w:r>
                              <w:rPr>
                                <w:b/>
                                <w:sz w:val="20"/>
                                <w:szCs w:val="20"/>
                              </w:rPr>
                              <w:t>.</w:t>
                            </w:r>
                            <w:r>
                              <w:rPr>
                                <w:b/>
                                <w:sz w:val="20"/>
                                <w:szCs w:val="20"/>
                              </w:rPr>
                              <w:fldChar w:fldCharType="begin"/>
                            </w:r>
                            <w:r>
                              <w:rPr>
                                <w:b/>
                                <w:sz w:val="20"/>
                                <w:szCs w:val="20"/>
                              </w:rPr>
                              <w:instrText xml:space="preserve"> SEQ Figure \* ARABIC \s 1 </w:instrText>
                            </w:r>
                            <w:r>
                              <w:rPr>
                                <w:b/>
                                <w:sz w:val="20"/>
                                <w:szCs w:val="20"/>
                              </w:rPr>
                              <w:fldChar w:fldCharType="separate"/>
                            </w:r>
                            <w:r>
                              <w:rPr>
                                <w:b/>
                                <w:noProof/>
                                <w:sz w:val="20"/>
                                <w:szCs w:val="20"/>
                              </w:rPr>
                              <w:t>25</w:t>
                            </w:r>
                            <w:r>
                              <w:rPr>
                                <w:b/>
                                <w:sz w:val="20"/>
                                <w:szCs w:val="20"/>
                              </w:rPr>
                              <w:fldChar w:fldCharType="end"/>
                            </w:r>
                            <w:bookmarkEnd w:id="494"/>
                            <w:r>
                              <w:rPr>
                                <w:b/>
                                <w:sz w:val="20"/>
                                <w:szCs w:val="20"/>
                              </w:rPr>
                              <w:t xml:space="preserve"> – Calibrating parameters describing </w:t>
                            </w:r>
                            <w:r w:rsidRPr="00AB206B">
                              <w:rPr>
                                <w:b/>
                                <w:sz w:val="20"/>
                                <w:szCs w:val="20"/>
                              </w:rPr>
                              <w:t>T cell and myeloid</w:t>
                            </w:r>
                            <w:r>
                              <w:rPr>
                                <w:b/>
                                <w:sz w:val="20"/>
                                <w:szCs w:val="20"/>
                              </w:rPr>
                              <w:t xml:space="preserve"> cell population</w:t>
                            </w:r>
                            <w:r w:rsidRPr="00AB206B">
                              <w:rPr>
                                <w:b/>
                                <w:sz w:val="20"/>
                                <w:szCs w:val="20"/>
                              </w:rPr>
                              <w:t xml:space="preserve"> kinetics.</w:t>
                            </w:r>
                            <w:r w:rsidRPr="00AB206B">
                              <w:rPr>
                                <w:sz w:val="20"/>
                                <w:szCs w:val="20"/>
                              </w:rPr>
                              <w:t xml:space="preserve"> T cell (A, B) and myeloid cell (C, D) kinetics were fitted using the </w:t>
                            </w:r>
                            <w:r w:rsidRPr="00677FD0">
                              <w:rPr>
                                <w:i/>
                                <w:sz w:val="20"/>
                                <w:szCs w:val="20"/>
                              </w:rPr>
                              <w:t>abc_sequential</w:t>
                            </w:r>
                            <w:r w:rsidRPr="00AB206B">
                              <w:rPr>
                                <w:sz w:val="20"/>
                                <w:szCs w:val="20"/>
                              </w:rPr>
                              <w:t xml:space="preserve"> function of the </w:t>
                            </w:r>
                            <w:r w:rsidRPr="00677FD0">
                              <w:rPr>
                                <w:i/>
                                <w:sz w:val="20"/>
                                <w:szCs w:val="20"/>
                              </w:rPr>
                              <w:t>easyABC</w:t>
                            </w:r>
                            <w:r w:rsidRPr="00AB206B">
                              <w:rPr>
                                <w:sz w:val="20"/>
                                <w:szCs w:val="20"/>
                              </w:rPr>
                              <w:t xml:space="preserve"> package and the best fits selected (B, D) by selecting the lowest root mean square error when comparing observed vs. expected outputs. </w:t>
                            </w:r>
                            <w:r>
                              <w:rPr>
                                <w:sz w:val="20"/>
                                <w:szCs w:val="20"/>
                              </w:rPr>
                              <w:t>B</w:t>
                            </w:r>
                            <w:r w:rsidRPr="00AB206B">
                              <w:rPr>
                                <w:sz w:val="20"/>
                                <w:szCs w:val="20"/>
                              </w:rPr>
                              <w:t xml:space="preserve">lue dots represent the mean of the biological replicates which the model was trained against, grey lines represent </w:t>
                            </w:r>
                            <w:r w:rsidRPr="00AB206B">
                              <w:rPr>
                                <w:i/>
                                <w:sz w:val="20"/>
                                <w:szCs w:val="20"/>
                              </w:rPr>
                              <w:t>in silico</w:t>
                            </w:r>
                            <w:r w:rsidRPr="00AB206B">
                              <w:rPr>
                                <w:sz w:val="20"/>
                                <w:szCs w:val="20"/>
                              </w:rPr>
                              <w:t xml:space="preserve"> parameterisation outputs (n = 50),</w:t>
                            </w:r>
                            <w:r>
                              <w:rPr>
                                <w:sz w:val="20"/>
                                <w:szCs w:val="20"/>
                              </w:rPr>
                              <w:t xml:space="preserve"> red lines represent the 95% Confidence Interval for the </w:t>
                            </w:r>
                            <w:r>
                              <w:rPr>
                                <w:i/>
                                <w:sz w:val="20"/>
                                <w:szCs w:val="20"/>
                              </w:rPr>
                              <w:t>in silico outputs</w:t>
                            </w:r>
                            <w:r w:rsidRPr="00AB206B">
                              <w:rPr>
                                <w:sz w:val="20"/>
                                <w:szCs w:val="20"/>
                              </w:rPr>
                              <w:t xml:space="preserve"> and black lines represent the best fitting </w:t>
                            </w:r>
                            <w:r w:rsidRPr="00AB206B">
                              <w:rPr>
                                <w:i/>
                                <w:sz w:val="20"/>
                                <w:szCs w:val="20"/>
                              </w:rPr>
                              <w:t xml:space="preserve">in silico </w:t>
                            </w:r>
                            <w:r w:rsidRPr="00AB206B">
                              <w:rPr>
                                <w:sz w:val="20"/>
                                <w:szCs w:val="20"/>
                              </w:rPr>
                              <w:t>output.</w:t>
                            </w:r>
                            <w:bookmarkEnd w:id="495"/>
                            <w:bookmarkEnd w:id="496"/>
                          </w:p>
                          <w:p w14:paraId="3640A24B" w14:textId="77777777" w:rsidR="00F61130" w:rsidRPr="00AB206B" w:rsidRDefault="00F61130" w:rsidP="009A7895">
                            <w:pPr>
                              <w:pStyle w:val="Caption"/>
                              <w:spacing w:line="360" w:lineRule="auto"/>
                              <w:jc w:val="both"/>
                              <w:rPr>
                                <w:noProof/>
                                <w:color w:val="FF0000"/>
                                <w:sz w:val="20"/>
                                <w:szCs w:val="20"/>
                                <w:lang w:eastAsia="en-GB"/>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29D94A74" id="Text Box 523" o:spid="_x0000_s1125" type="#_x0000_t202" style="position:absolute;left:0;text-align:left;margin-left:-.4pt;margin-top:307.2pt;width:439.05pt;height:102.85pt;z-index:2515732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mg2zSNQIAAG0EAAAOAAAAZHJzL2Uyb0RvYy54bWysVE2P2yAQvVfqf0DcG+dD3jZWnFWaVapK&#13;&#10;0e5KSbVngiFGwgwFEjv99R1wnG23PVW94GFmGHjvzXhx3zWanIXzCkxJJ6MxJcJwqJQ5lvTbfvPh&#13;&#10;EyU+MFMxDUaU9CI8vV++f7dobSGmUIOuhCNYxPiitSWtQ7BFlnlei4b5EVhhMCjBNSzg1h2zyrEW&#13;&#10;qzc6m47Hd1kLrrIOuPAevQ99kC5TfSkFD09SehGILim+LaTVpfUQ12y5YMXRMVsrfn0G+4dXNEwZ&#13;&#10;vPRW6oEFRk5O/VGqUdyBBxlGHJoMpFRcJAyIZjJ+g2ZXMysSFiTH2xtN/v+V5Y/nZ0dUVdJ8OqPE&#13;&#10;sAZF2osukM/QkehDhlrrC0zcWUwNHQZQ6cHv0RmBd9I18YuQCMaR68uN31iOozPPP+bzWU4Jx9hk&#13;&#10;Nr6bzPNYJ3s9bp0PXwQ0JBoldShg4pWdtz70qUNKvM2DVtVGaR03MbDWjpwZit3WKohr8d+ytIm5&#13;&#10;BuKpvmD0ZBFjjyVaoTt0iZX5fAB6gOqC+B30PeQt3yi8cMt8eGYOmwYh4yCEJ1ykhrakcLUoqcH9&#13;&#10;+Js/5qOWGKWkxSYsqf9+Yk5Qor8aVDl27GC4wTgMhjk1a0CoExwxy5OJB1zQgykdNC84H6t4C4aY&#13;&#10;4XhXScNgrkM/CjhfXKxWKQn70rKwNTvLY+mB2H33wpy9yhJQ0UcY2pMVb9Tpc3uaV6cAUiXpIrE9&#13;&#10;i1e+saeT+Nf5i0Pz6z5lvf4llj8BAAD//wMAUEsDBBQABgAIAAAAIQAhNY1R4wAAAA4BAAAPAAAA&#13;&#10;ZHJzL2Rvd25yZXYueG1sTI9BT8MwDIXvSPyHyEhcEEtbpm3qmk6wwg0OG9POWWPaisapmnTt/j3e&#13;&#10;iV0sW0/v+XvZZrKtOGPvG0cK4lkEAql0pqFKweH743kFwgdNRreOUMEFPWzy+7tMp8aNtMPzPlSC&#13;&#10;Q8inWkEdQpdK6csarfYz1yGx9uN6qwOffSVNr0cOt61MomghrW6IP9S6w22N5e9+sAoWRT+MO9o+&#13;&#10;FYf3T/3VVcnx7XJU6vFhKtY8XtcgAk7h3wHXDswPOYOd3EDGi1bBlT5wXjyfg2B9tVy+gDjxkkQx&#13;&#10;yDyTtzXyPwAAAP//AwBQSwECLQAUAAYACAAAACEAtoM4kv4AAADhAQAAEwAAAAAAAAAAAAAAAAAA&#13;&#10;AAAAW0NvbnRlbnRfVHlwZXNdLnhtbFBLAQItABQABgAIAAAAIQA4/SH/1gAAAJQBAAALAAAAAAAA&#13;&#10;AAAAAAAAAC8BAABfcmVscy8ucmVsc1BLAQItABQABgAIAAAAIQDmg2zSNQIAAG0EAAAOAAAAAAAA&#13;&#10;AAAAAAAAAC4CAABkcnMvZTJvRG9jLnhtbFBLAQItABQABgAIAAAAIQAhNY1R4wAAAA4BAAAPAAAA&#13;&#10;AAAAAAAAAAAAAI8EAABkcnMvZG93bnJldi54bWxQSwUGAAAAAAQABADzAAAAnwUAAAAA&#13;&#10;" stroked="f">
                <v:textbox inset="0,0,0,0">
                  <w:txbxContent>
                    <w:p w14:paraId="324FB0DB" w14:textId="5CBFF236" w:rsidR="00F61130" w:rsidRPr="00AB206B" w:rsidRDefault="00F61130" w:rsidP="009A7895">
                      <w:pPr>
                        <w:pStyle w:val="Caption"/>
                        <w:spacing w:line="360" w:lineRule="auto"/>
                        <w:jc w:val="both"/>
                        <w:rPr>
                          <w:b/>
                          <w:sz w:val="20"/>
                          <w:szCs w:val="20"/>
                        </w:rPr>
                      </w:pPr>
                      <w:bookmarkStart w:id="497" w:name="_Ref518739917"/>
                      <w:bookmarkStart w:id="498" w:name="_Toc525227230"/>
                      <w:bookmarkStart w:id="499" w:name="_Toc536814169"/>
                      <w:r w:rsidRPr="00AB206B">
                        <w:rPr>
                          <w:b/>
                          <w:sz w:val="20"/>
                          <w:szCs w:val="20"/>
                        </w:rPr>
                        <w:t xml:space="preserve">Figure </w:t>
                      </w:r>
                      <w:r>
                        <w:rPr>
                          <w:b/>
                          <w:sz w:val="20"/>
                          <w:szCs w:val="20"/>
                        </w:rPr>
                        <w:fldChar w:fldCharType="begin"/>
                      </w:r>
                      <w:r>
                        <w:rPr>
                          <w:b/>
                          <w:sz w:val="20"/>
                          <w:szCs w:val="20"/>
                        </w:rPr>
                        <w:instrText xml:space="preserve"> STYLEREF 1 \s </w:instrText>
                      </w:r>
                      <w:r>
                        <w:rPr>
                          <w:b/>
                          <w:sz w:val="20"/>
                          <w:szCs w:val="20"/>
                        </w:rPr>
                        <w:fldChar w:fldCharType="separate"/>
                      </w:r>
                      <w:r>
                        <w:rPr>
                          <w:b/>
                          <w:noProof/>
                          <w:sz w:val="20"/>
                          <w:szCs w:val="20"/>
                        </w:rPr>
                        <w:t>4</w:t>
                      </w:r>
                      <w:r>
                        <w:rPr>
                          <w:b/>
                          <w:sz w:val="20"/>
                          <w:szCs w:val="20"/>
                        </w:rPr>
                        <w:fldChar w:fldCharType="end"/>
                      </w:r>
                      <w:r>
                        <w:rPr>
                          <w:b/>
                          <w:sz w:val="20"/>
                          <w:szCs w:val="20"/>
                        </w:rPr>
                        <w:t>.</w:t>
                      </w:r>
                      <w:r>
                        <w:rPr>
                          <w:b/>
                          <w:sz w:val="20"/>
                          <w:szCs w:val="20"/>
                        </w:rPr>
                        <w:fldChar w:fldCharType="begin"/>
                      </w:r>
                      <w:r>
                        <w:rPr>
                          <w:b/>
                          <w:sz w:val="20"/>
                          <w:szCs w:val="20"/>
                        </w:rPr>
                        <w:instrText xml:space="preserve"> SEQ Figure \* ARABIC \s 1 </w:instrText>
                      </w:r>
                      <w:r>
                        <w:rPr>
                          <w:b/>
                          <w:sz w:val="20"/>
                          <w:szCs w:val="20"/>
                        </w:rPr>
                        <w:fldChar w:fldCharType="separate"/>
                      </w:r>
                      <w:r>
                        <w:rPr>
                          <w:b/>
                          <w:noProof/>
                          <w:sz w:val="20"/>
                          <w:szCs w:val="20"/>
                        </w:rPr>
                        <w:t>25</w:t>
                      </w:r>
                      <w:r>
                        <w:rPr>
                          <w:b/>
                          <w:sz w:val="20"/>
                          <w:szCs w:val="20"/>
                        </w:rPr>
                        <w:fldChar w:fldCharType="end"/>
                      </w:r>
                      <w:bookmarkEnd w:id="497"/>
                      <w:r>
                        <w:rPr>
                          <w:b/>
                          <w:sz w:val="20"/>
                          <w:szCs w:val="20"/>
                        </w:rPr>
                        <w:t xml:space="preserve"> – Calibrating parameters describing </w:t>
                      </w:r>
                      <w:r w:rsidRPr="00AB206B">
                        <w:rPr>
                          <w:b/>
                          <w:sz w:val="20"/>
                          <w:szCs w:val="20"/>
                        </w:rPr>
                        <w:t>T cell and myeloid</w:t>
                      </w:r>
                      <w:r>
                        <w:rPr>
                          <w:b/>
                          <w:sz w:val="20"/>
                          <w:szCs w:val="20"/>
                        </w:rPr>
                        <w:t xml:space="preserve"> cell population</w:t>
                      </w:r>
                      <w:r w:rsidRPr="00AB206B">
                        <w:rPr>
                          <w:b/>
                          <w:sz w:val="20"/>
                          <w:szCs w:val="20"/>
                        </w:rPr>
                        <w:t xml:space="preserve"> kinetics.</w:t>
                      </w:r>
                      <w:r w:rsidRPr="00AB206B">
                        <w:rPr>
                          <w:sz w:val="20"/>
                          <w:szCs w:val="20"/>
                        </w:rPr>
                        <w:t xml:space="preserve"> T cell (A, B) and myeloid cell (C, D) kinetics were fitted using the </w:t>
                      </w:r>
                      <w:r w:rsidRPr="00677FD0">
                        <w:rPr>
                          <w:i/>
                          <w:sz w:val="20"/>
                          <w:szCs w:val="20"/>
                        </w:rPr>
                        <w:t>abc_sequential</w:t>
                      </w:r>
                      <w:r w:rsidRPr="00AB206B">
                        <w:rPr>
                          <w:sz w:val="20"/>
                          <w:szCs w:val="20"/>
                        </w:rPr>
                        <w:t xml:space="preserve"> function of the </w:t>
                      </w:r>
                      <w:r w:rsidRPr="00677FD0">
                        <w:rPr>
                          <w:i/>
                          <w:sz w:val="20"/>
                          <w:szCs w:val="20"/>
                        </w:rPr>
                        <w:t>easyABC</w:t>
                      </w:r>
                      <w:r w:rsidRPr="00AB206B">
                        <w:rPr>
                          <w:sz w:val="20"/>
                          <w:szCs w:val="20"/>
                        </w:rPr>
                        <w:t xml:space="preserve"> package and the best fits selected (B, D) by selecting the lowest root mean square error when comparing observed vs. expected outputs. </w:t>
                      </w:r>
                      <w:r>
                        <w:rPr>
                          <w:sz w:val="20"/>
                          <w:szCs w:val="20"/>
                        </w:rPr>
                        <w:t>B</w:t>
                      </w:r>
                      <w:r w:rsidRPr="00AB206B">
                        <w:rPr>
                          <w:sz w:val="20"/>
                          <w:szCs w:val="20"/>
                        </w:rPr>
                        <w:t xml:space="preserve">lue dots represent the mean of the biological replicates which the model was trained against, grey lines represent </w:t>
                      </w:r>
                      <w:r w:rsidRPr="00AB206B">
                        <w:rPr>
                          <w:i/>
                          <w:sz w:val="20"/>
                          <w:szCs w:val="20"/>
                        </w:rPr>
                        <w:t>in silico</w:t>
                      </w:r>
                      <w:r w:rsidRPr="00AB206B">
                        <w:rPr>
                          <w:sz w:val="20"/>
                          <w:szCs w:val="20"/>
                        </w:rPr>
                        <w:t xml:space="preserve"> parameterisation outputs (n = 50),</w:t>
                      </w:r>
                      <w:r>
                        <w:rPr>
                          <w:sz w:val="20"/>
                          <w:szCs w:val="20"/>
                        </w:rPr>
                        <w:t xml:space="preserve"> red lines represent the 95% Confidence Interval for the </w:t>
                      </w:r>
                      <w:r>
                        <w:rPr>
                          <w:i/>
                          <w:sz w:val="20"/>
                          <w:szCs w:val="20"/>
                        </w:rPr>
                        <w:t>in silico outputs</w:t>
                      </w:r>
                      <w:r w:rsidRPr="00AB206B">
                        <w:rPr>
                          <w:sz w:val="20"/>
                          <w:szCs w:val="20"/>
                        </w:rPr>
                        <w:t xml:space="preserve"> and black lines represent the best fitting </w:t>
                      </w:r>
                      <w:r w:rsidRPr="00AB206B">
                        <w:rPr>
                          <w:i/>
                          <w:sz w:val="20"/>
                          <w:szCs w:val="20"/>
                        </w:rPr>
                        <w:t xml:space="preserve">in silico </w:t>
                      </w:r>
                      <w:r w:rsidRPr="00AB206B">
                        <w:rPr>
                          <w:sz w:val="20"/>
                          <w:szCs w:val="20"/>
                        </w:rPr>
                        <w:t>output.</w:t>
                      </w:r>
                      <w:bookmarkEnd w:id="498"/>
                      <w:bookmarkEnd w:id="499"/>
                    </w:p>
                    <w:p w14:paraId="3640A24B" w14:textId="77777777" w:rsidR="00F61130" w:rsidRPr="00AB206B" w:rsidRDefault="00F61130" w:rsidP="009A7895">
                      <w:pPr>
                        <w:pStyle w:val="Caption"/>
                        <w:spacing w:line="360" w:lineRule="auto"/>
                        <w:jc w:val="both"/>
                        <w:rPr>
                          <w:noProof/>
                          <w:color w:val="FF0000"/>
                          <w:sz w:val="20"/>
                          <w:szCs w:val="20"/>
                          <w:lang w:eastAsia="en-GB"/>
                        </w:rPr>
                      </w:pPr>
                    </w:p>
                  </w:txbxContent>
                </v:textbox>
                <w10:wrap type="topAndBottom"/>
              </v:shape>
            </w:pict>
          </mc:Fallback>
        </mc:AlternateContent>
      </w:r>
      <w:r w:rsidRPr="00EF4031">
        <w:rPr>
          <w:noProof/>
        </w:rPr>
        <w:drawing>
          <wp:anchor distT="0" distB="0" distL="114300" distR="114300" simplePos="0" relativeHeight="252186624" behindDoc="0" locked="0" layoutInCell="1" allowOverlap="1" wp14:anchorId="79B74AB1" wp14:editId="7FF4BFA4">
            <wp:simplePos x="0" y="0"/>
            <wp:positionH relativeFrom="column">
              <wp:posOffset>-5080</wp:posOffset>
            </wp:positionH>
            <wp:positionV relativeFrom="paragraph">
              <wp:posOffset>0</wp:posOffset>
            </wp:positionV>
            <wp:extent cx="5575935" cy="3891409"/>
            <wp:effectExtent l="0" t="0" r="0" b="0"/>
            <wp:wrapTopAndBottom/>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extLst>
                        <a:ext uri="{28A0092B-C50C-407E-A947-70E740481C1C}">
                          <a14:useLocalDpi xmlns:a14="http://schemas.microsoft.com/office/drawing/2010/main" val="0"/>
                        </a:ext>
                      </a:extLst>
                    </a:blip>
                    <a:stretch>
                      <a:fillRect/>
                    </a:stretch>
                  </pic:blipFill>
                  <pic:spPr>
                    <a:xfrm>
                      <a:off x="0" y="0"/>
                      <a:ext cx="5575935" cy="3891409"/>
                    </a:xfrm>
                    <a:prstGeom prst="rect">
                      <a:avLst/>
                    </a:prstGeom>
                  </pic:spPr>
                </pic:pic>
              </a:graphicData>
            </a:graphic>
            <wp14:sizeRelH relativeFrom="page">
              <wp14:pctWidth>0</wp14:pctWidth>
            </wp14:sizeRelH>
            <wp14:sizeRelV relativeFrom="page">
              <wp14:pctHeight>0</wp14:pctHeight>
            </wp14:sizeRelV>
          </wp:anchor>
        </w:drawing>
      </w:r>
      <w:r w:rsidR="0084331B" w:rsidRPr="00512A1E">
        <w:rPr>
          <w:noProof/>
        </w:rPr>
        <w:drawing>
          <wp:anchor distT="0" distB="0" distL="114300" distR="114300" simplePos="0" relativeHeight="252181504" behindDoc="0" locked="0" layoutInCell="1" allowOverlap="1" wp14:anchorId="0D0EA292" wp14:editId="6B68F1FC">
            <wp:simplePos x="0" y="0"/>
            <wp:positionH relativeFrom="margin">
              <wp:align>center</wp:align>
            </wp:positionH>
            <wp:positionV relativeFrom="paragraph">
              <wp:posOffset>5857183</wp:posOffset>
            </wp:positionV>
            <wp:extent cx="4848940" cy="2124000"/>
            <wp:effectExtent l="0" t="0" r="0" b="0"/>
            <wp:wrapTopAndBottom/>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extLst>
                        <a:ext uri="{28A0092B-C50C-407E-A947-70E740481C1C}">
                          <a14:useLocalDpi xmlns:a14="http://schemas.microsoft.com/office/drawing/2010/main" val="0"/>
                        </a:ext>
                      </a:extLst>
                    </a:blip>
                    <a:stretch>
                      <a:fillRect/>
                    </a:stretch>
                  </pic:blipFill>
                  <pic:spPr>
                    <a:xfrm>
                      <a:off x="0" y="0"/>
                      <a:ext cx="4848940" cy="2124000"/>
                    </a:xfrm>
                    <a:prstGeom prst="rect">
                      <a:avLst/>
                    </a:prstGeom>
                  </pic:spPr>
                </pic:pic>
              </a:graphicData>
            </a:graphic>
            <wp14:sizeRelH relativeFrom="page">
              <wp14:pctWidth>0</wp14:pctWidth>
            </wp14:sizeRelH>
            <wp14:sizeRelV relativeFrom="page">
              <wp14:pctHeight>0</wp14:pctHeight>
            </wp14:sizeRelV>
          </wp:anchor>
        </w:drawing>
      </w:r>
      <w:r w:rsidR="00936C4E">
        <w:rPr>
          <w:noProof/>
        </w:rPr>
        <mc:AlternateContent>
          <mc:Choice Requires="wps">
            <w:drawing>
              <wp:anchor distT="0" distB="0" distL="114300" distR="114300" simplePos="0" relativeHeight="251569152" behindDoc="0" locked="0" layoutInCell="1" allowOverlap="1" wp14:anchorId="4A589975" wp14:editId="341830AE">
                <wp:simplePos x="0" y="0"/>
                <wp:positionH relativeFrom="column">
                  <wp:posOffset>-5275</wp:posOffset>
                </wp:positionH>
                <wp:positionV relativeFrom="paragraph">
                  <wp:posOffset>537</wp:posOffset>
                </wp:positionV>
                <wp:extent cx="187325" cy="179524"/>
                <wp:effectExtent l="0" t="0" r="3175" b="0"/>
                <wp:wrapTopAndBottom/>
                <wp:docPr id="524" name="Text Box 524"/>
                <wp:cNvGraphicFramePr/>
                <a:graphic xmlns:a="http://schemas.openxmlformats.org/drawingml/2006/main">
                  <a:graphicData uri="http://schemas.microsoft.com/office/word/2010/wordprocessingShape">
                    <wps:wsp>
                      <wps:cNvSpPr txBox="1"/>
                      <wps:spPr>
                        <a:xfrm>
                          <a:off x="0" y="0"/>
                          <a:ext cx="187325" cy="179524"/>
                        </a:xfrm>
                        <a:prstGeom prst="rect">
                          <a:avLst/>
                        </a:prstGeom>
                        <a:noFill/>
                        <a:ln w="6350">
                          <a:noFill/>
                        </a:ln>
                      </wps:spPr>
                      <wps:txbx>
                        <w:txbxContent>
                          <w:p w14:paraId="30B0BD15" w14:textId="77777777" w:rsidR="00F61130" w:rsidRPr="006508D1" w:rsidRDefault="00F61130" w:rsidP="000771C7">
                            <w:r w:rsidRPr="006508D1">
                              <w:t>A</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4A589975" id="Text Box 524" o:spid="_x0000_s1126" type="#_x0000_t202" style="position:absolute;left:0;text-align:left;margin-left:-.4pt;margin-top:.05pt;width:14.75pt;height:14.15pt;z-index:2515691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rRwgCKAIAAE0EAAAOAAAAZHJzL2Uyb0RvYy54bWysVF1v2jAUfZ+0/2D5fSTQ0XYRoWKtmCZV&#13;&#10;bSWY+mwcm0SyfT3bkLBfv2sngarb07QXc3O/fO85xyzuOq3IUTjfgCnpdJJTIgyHqjH7kv7Yrj/d&#13;&#10;UuIDMxVTYERJT8LTu+XHD4vWFmIGNahKOIJNjC9aW9I6BFtkmee10MxPwAqDQQlOs4Cfbp9VjrXY&#13;&#10;XatslufXWQuusg648B69D32QLlN/KQUPz1J6EYgqKc4W0unSuYtntlywYu+YrRs+jMH+YQrNGoOX&#13;&#10;nls9sMDIwTV/tNINd+BBhgkHnYGUDRdpB9xmmr/bZlMzK9IuCI63Z5j8/2vLn44vjjRVSeezz5QY&#13;&#10;ppGkregC+QodiT5EqLW+wMSNxdTQYQCZHv0enXHxTjodf3ElgnHE+nTGN7bjsej25mo2p4RjaHrz&#13;&#10;ZeieXYqt8+GbAE2iUVKH9CVU2fHRBxwEU8eUeJeBdaNUolAZ0pb0+mqep4JzBCuUwcK4Qj9qtEK3&#13;&#10;69LS0zxJIPp2UJ1wPwe9Rrzl6waneGQ+vDCHosCVUOjhGQ+pAG+DwaKkBvfrb/6Yj1xhlJIWRVZS&#13;&#10;//PAnKBEfTfIYlTkaLjR2I2GOeh7QN1O8QlZnkwscEGNpnSgX1H/q3gLhpjheFdJw2jeh17q+H64&#13;&#10;WK1SEurOsvBoNpbH1hHHiOm2e2XODsAHZOwJRvmx4h3+fW7PwOoQQDaJnAuKA+Co2cTZ8L7io3j7&#13;&#10;nbIu/wLL3wAAAP//AwBQSwMEFAAGAAgAAAAhABKcrefdAAAACQEAAA8AAABkcnMvZG93bnJldi54&#13;&#10;bWxMj09PwzAMxe9IfIfISNxYugnB1DWdEIMbf8YACW5pY9qKxKkStyvfnvQEF1v2k59/r9hOzooR&#13;&#10;Q+w8KVguMhBItTcdNQreXu8v1iAiazLaekIFPxhhW56eFDo3/kgvOB64EcmEYq4VtMx9LmWsW3Q6&#13;&#10;LnyPlLQvH5zmNIZGmqCPydxZucqyK+l0R+lDq3u8bbH+PgxOgf2I4aHK+HPcNY+8f5bD+93ySanz&#13;&#10;s2m3SeVmA4Jx4r8LmDMkfigTWOUHMlFYBTM9z2uRxNX6GkQ190uQZSH/Jyh/AQAA//8DAFBLAQIt&#13;&#10;ABQABgAIAAAAIQC2gziS/gAAAOEBAAATAAAAAAAAAAAAAAAAAAAAAABbQ29udGVudF9UeXBlc10u&#13;&#10;eG1sUEsBAi0AFAAGAAgAAAAhADj9If/WAAAAlAEAAAsAAAAAAAAAAAAAAAAALwEAAF9yZWxzLy5y&#13;&#10;ZWxzUEsBAi0AFAAGAAgAAAAhACtHCAIoAgAATQQAAA4AAAAAAAAAAAAAAAAALgIAAGRycy9lMm9E&#13;&#10;b2MueG1sUEsBAi0AFAAGAAgAAAAhABKcrefdAAAACQEAAA8AAAAAAAAAAAAAAAAAggQAAGRycy9k&#13;&#10;b3ducmV2LnhtbFBLBQYAAAAABAAEAPMAAACMBQAAAAA=&#13;&#10;" filled="f" stroked="f" strokeweight=".5pt">
                <v:textbox inset="0,0,0,0">
                  <w:txbxContent>
                    <w:p w14:paraId="30B0BD15" w14:textId="77777777" w:rsidR="00F61130" w:rsidRPr="006508D1" w:rsidRDefault="00F61130" w:rsidP="000771C7">
                      <w:r w:rsidRPr="006508D1">
                        <w:t>A</w:t>
                      </w:r>
                    </w:p>
                  </w:txbxContent>
                </v:textbox>
                <w10:wrap type="topAndBottom"/>
              </v:shape>
            </w:pict>
          </mc:Fallback>
        </mc:AlternateContent>
      </w:r>
      <w:r w:rsidR="00936C4E">
        <w:rPr>
          <w:noProof/>
        </w:rPr>
        <mc:AlternateContent>
          <mc:Choice Requires="wps">
            <w:drawing>
              <wp:anchor distT="0" distB="0" distL="114300" distR="114300" simplePos="0" relativeHeight="251570176" behindDoc="0" locked="0" layoutInCell="1" allowOverlap="1" wp14:anchorId="05C010AF" wp14:editId="1F105EDA">
                <wp:simplePos x="0" y="0"/>
                <wp:positionH relativeFrom="column">
                  <wp:posOffset>2709790</wp:posOffset>
                </wp:positionH>
                <wp:positionV relativeFrom="paragraph">
                  <wp:posOffset>11416</wp:posOffset>
                </wp:positionV>
                <wp:extent cx="187325" cy="179524"/>
                <wp:effectExtent l="0" t="0" r="3175" b="0"/>
                <wp:wrapTopAndBottom/>
                <wp:docPr id="525" name="Text Box 525"/>
                <wp:cNvGraphicFramePr/>
                <a:graphic xmlns:a="http://schemas.openxmlformats.org/drawingml/2006/main">
                  <a:graphicData uri="http://schemas.microsoft.com/office/word/2010/wordprocessingShape">
                    <wps:wsp>
                      <wps:cNvSpPr txBox="1"/>
                      <wps:spPr>
                        <a:xfrm>
                          <a:off x="0" y="0"/>
                          <a:ext cx="187325" cy="179524"/>
                        </a:xfrm>
                        <a:prstGeom prst="rect">
                          <a:avLst/>
                        </a:prstGeom>
                        <a:noFill/>
                        <a:ln w="6350">
                          <a:noFill/>
                        </a:ln>
                      </wps:spPr>
                      <wps:txbx>
                        <w:txbxContent>
                          <w:p w14:paraId="0752A0AE" w14:textId="77777777" w:rsidR="00F61130" w:rsidRPr="006508D1" w:rsidRDefault="00F61130" w:rsidP="000771C7">
                            <w:r>
                              <w:t>B</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05C010AF" id="Text Box 525" o:spid="_x0000_s1127" type="#_x0000_t202" style="position:absolute;left:0;text-align:left;margin-left:213.35pt;margin-top:.9pt;width:14.75pt;height:14.15pt;z-index:2515701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cHfbUKAIAAE0EAAAOAAAAZHJzL2Uyb0RvYy54bWysVMFu2zAMvQ/YPwi6L3bSpe2MOEXWIsOA&#13;&#10;oC2QDD0rshQbkERNUmJnXz9Kjt2i22nYRaFJiuR7fMrirtOKnITzDZiSTic5JcJwqBpzKOmP3frT&#13;&#10;LSU+MFMxBUaU9Cw8vVt+/LBobSFmUIOqhCNYxPiitSWtQ7BFlnleC838BKwwGJTgNAv46Q5Z5ViL&#13;&#10;1bXKZnl+nbXgKuuAC+/R+9AH6TLVl1Lw8CSlF4GokuJsIZ0unft4ZssFKw6O2brhlzHYP0yhWWOw&#13;&#10;6VjqgQVGjq75o5RuuAMPMkw46AykbLhIGBDNNH+HZlszKxIWJMfbkSb//8ryx9OzI01V0vlsTolh&#13;&#10;Gpe0E10gX6Ej0YcMtdYXmLi1mBo6DOCmB79HZwTeSafjL0IiGEeuzyO/sRyPl25vrmIXjqHpzZf5&#13;&#10;7HOskr1ets6HbwI0iUZJHa4vscpOGx/61CEl9jKwbpRKK1SGtCW9vprn6cIYweLKYI8IoR81WqHb&#13;&#10;dwn0NB+B7KE6Iz4HvUa85esGp9gwH56ZQ1EgJBR6eMJDKsBucLEoqcH9+ps/5uOuMEpJiyIrqf95&#13;&#10;ZE5Qor4b3GJU5GC4wdgPhjnqe0DdTvEJWZ5MvOCCGkzpQL+g/lexC4aY4dirpGEw70MvdXw/XKxW&#13;&#10;KQl1Z1nYmK3lsXTkMXK6616YsxfiA27sEQb5seId/31uv4HVMYBs0nIisz2LF8JRs2m9l/cVH8Xb&#13;&#10;75T1+i+w/A0AAP//AwBQSwMEFAAGAAgAAAAhAKUZjz7iAAAADQEAAA8AAABkcnMvZG93bnJldi54&#13;&#10;bWxMj8FOwzAQRO9I/IO1SNyonVBSlMapEIUbFGhBgpuTmCTCXke2k4a/ZznBZaXVzM7OKzazNWzS&#13;&#10;PvQOJSQLAUxj7ZoeWwmvh/uLa2AhKmyUcaglfOsAm/L0pFB54474oqd9bBmFYMiVhC7GIec81J22&#13;&#10;KizcoJG0T+etirT6ljdeHSncGp4KkXGreqQPnRr0bafrr/1oJZj34B8qET+mbfsYn5/4+HaX7KQ8&#13;&#10;P5u3axo3a2BRz/HvAn4ZqD+UVKxyIzaBGQnLNFuRlQTCIH15laXAKgmXIgFeFvw/RfkDAAD//wMA&#13;&#10;UEsBAi0AFAAGAAgAAAAhALaDOJL+AAAA4QEAABMAAAAAAAAAAAAAAAAAAAAAAFtDb250ZW50X1R5&#13;&#10;cGVzXS54bWxQSwECLQAUAAYACAAAACEAOP0h/9YAAACUAQAACwAAAAAAAAAAAAAAAAAvAQAAX3Jl&#13;&#10;bHMvLnJlbHNQSwECLQAUAAYACAAAACEAHB321CgCAABNBAAADgAAAAAAAAAAAAAAAAAuAgAAZHJz&#13;&#10;L2Uyb0RvYy54bWxQSwECLQAUAAYACAAAACEApRmPPuIAAAANAQAADwAAAAAAAAAAAAAAAACCBAAA&#13;&#10;ZHJzL2Rvd25yZXYueG1sUEsFBgAAAAAEAAQA8wAAAJEFAAAAAA==&#13;&#10;" filled="f" stroked="f" strokeweight=".5pt">
                <v:textbox inset="0,0,0,0">
                  <w:txbxContent>
                    <w:p w14:paraId="0752A0AE" w14:textId="77777777" w:rsidR="00F61130" w:rsidRPr="006508D1" w:rsidRDefault="00F61130" w:rsidP="000771C7">
                      <w:r>
                        <w:t>B</w:t>
                      </w:r>
                    </w:p>
                  </w:txbxContent>
                </v:textbox>
                <w10:wrap type="topAndBottom"/>
              </v:shape>
            </w:pict>
          </mc:Fallback>
        </mc:AlternateContent>
      </w:r>
      <w:r w:rsidR="00936C4E">
        <w:rPr>
          <w:noProof/>
        </w:rPr>
        <mc:AlternateContent>
          <mc:Choice Requires="wps">
            <w:drawing>
              <wp:anchor distT="0" distB="0" distL="114300" distR="114300" simplePos="0" relativeHeight="251571200" behindDoc="0" locked="0" layoutInCell="1" allowOverlap="1" wp14:anchorId="345F9F72" wp14:editId="52138A4A">
                <wp:simplePos x="0" y="0"/>
                <wp:positionH relativeFrom="column">
                  <wp:posOffset>8793</wp:posOffset>
                </wp:positionH>
                <wp:positionV relativeFrom="paragraph">
                  <wp:posOffset>2133502</wp:posOffset>
                </wp:positionV>
                <wp:extent cx="187325" cy="179524"/>
                <wp:effectExtent l="0" t="0" r="3175" b="0"/>
                <wp:wrapTopAndBottom/>
                <wp:docPr id="526" name="Text Box 526"/>
                <wp:cNvGraphicFramePr/>
                <a:graphic xmlns:a="http://schemas.openxmlformats.org/drawingml/2006/main">
                  <a:graphicData uri="http://schemas.microsoft.com/office/word/2010/wordprocessingShape">
                    <wps:wsp>
                      <wps:cNvSpPr txBox="1"/>
                      <wps:spPr>
                        <a:xfrm>
                          <a:off x="0" y="0"/>
                          <a:ext cx="187325" cy="179524"/>
                        </a:xfrm>
                        <a:prstGeom prst="rect">
                          <a:avLst/>
                        </a:prstGeom>
                        <a:noFill/>
                        <a:ln w="6350">
                          <a:noFill/>
                        </a:ln>
                      </wps:spPr>
                      <wps:txbx>
                        <w:txbxContent>
                          <w:p w14:paraId="07EAE2B8" w14:textId="77777777" w:rsidR="00F61130" w:rsidRPr="006508D1" w:rsidRDefault="00F61130" w:rsidP="000771C7">
                            <w:r>
                              <w:t>CA</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345F9F72" id="Text Box 526" o:spid="_x0000_s1128" type="#_x0000_t202" style="position:absolute;left:0;text-align:left;margin-left:.7pt;margin-top:168pt;width:14.75pt;height:14.15pt;z-index:2515712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E9YV0KgIAAE0EAAAOAAAAZHJzL2Uyb0RvYy54bWysVMFu2zAMvQ/YPwi6L3bcJe2MOEXWIsOA&#13;&#10;oi2QDD0rshQbkERNUmJnXz9KjtOi22nYRaFJiuR7fMritteKHIXzLZiKTic5JcJwqFuzr+iP7frT&#13;&#10;DSU+MFMzBUZU9CQ8vV1+/LDobCkKaEDVwhEsYnzZ2Yo2IdgyyzxvhGZ+AlYYDEpwmgX8dPusdqzD&#13;&#10;6lplRZ7Psw5cbR1w4T1674cgXab6UgoenqT0IhBVUZwtpNOlcxfPbLlg5d4x27T8PAb7hyk0aw02&#13;&#10;vZS6Z4GRg2v/KKVb7sCDDBMOOgMpWy4SBkQzzd+h2TTMioQFyfH2QpP/f2X54/HZkbau6KyYU2KY&#13;&#10;xiVtRR/IV+hJ9CFDnfUlJm4spoYeA7jp0e/RGYH30un4i5AIxpHr04XfWI7HSzfXV8WMEo6h6fWX&#13;&#10;WfE5VsleL1vnwzcBmkSjog7Xl1hlxwcfhtQxJfYysG6VSitUhnQVnV/N8nThEsHiymCPCGEYNVqh&#13;&#10;3/UJ9DQvRiA7qE+Iz8GgEW/5usUpHpgPz8yhKBASCj084SEVYDc4W5Q04H79zR/zcVcYpaRDkVXU&#13;&#10;/zwwJyhR3w1uMSpyNNxo7EbDHPQdoG6n+IQsTyZecEGNpnSgX1D/q9gFQ8xw7FXRMJp3YZA6vh8u&#13;&#10;VquUhLqzLDyYjeWxdOQxcrrtX5izZ+IDbuwRRvmx8h3/Q+6wgdUhgGzTciKzA4tnwlGzab3n9xUf&#13;&#10;xdvvlPX6L7D8DQAA//8DAFBLAwQUAAYACAAAACEA2Hqnjt8AAAANAQAADwAAAGRycy9kb3ducmV2&#13;&#10;LnhtbExPy07DMBC8I/EP1iJxo3ZJFUEap0IUbjzbIsHNiU0SYa8j20nD37Oc4LKr0ezOo9zMzrLJ&#13;&#10;hNh7lLBcCGAGG697bCUc9vcXV8BiUqiV9WgkfJsIm+r0pFSF9kd8NdMutYxEMBZKQpfSUHAem844&#13;&#10;FRd+MEjcpw9OJYKh5TqoI4k7yy+FyLlTPZJDpwZz25nmazc6CfY9hodapI9p2z6ml2c+vt0tn6Q8&#13;&#10;P5u3axo3a2DJzOnvA347UH6oKFjtR9SRWcIrOpSQZTn1Ij4T18Bq2vkqA16V/H+L6gcAAP//AwBQ&#13;&#10;SwECLQAUAAYACAAAACEAtoM4kv4AAADhAQAAEwAAAAAAAAAAAAAAAAAAAAAAW0NvbnRlbnRfVHlw&#13;&#10;ZXNdLnhtbFBLAQItABQABgAIAAAAIQA4/SH/1gAAAJQBAAALAAAAAAAAAAAAAAAAAC8BAABfcmVs&#13;&#10;cy8ucmVsc1BLAQItABQABgAIAAAAIQAE9YV0KgIAAE0EAAAOAAAAAAAAAAAAAAAAAC4CAABkcnMv&#13;&#10;ZTJvRG9jLnhtbFBLAQItABQABgAIAAAAIQDYeqeO3wAAAA0BAAAPAAAAAAAAAAAAAAAAAIQEAABk&#13;&#10;cnMvZG93bnJldi54bWxQSwUGAAAAAAQABADzAAAAkAUAAAAA&#13;&#10;" filled="f" stroked="f" strokeweight=".5pt">
                <v:textbox inset="0,0,0,0">
                  <w:txbxContent>
                    <w:p w14:paraId="07EAE2B8" w14:textId="77777777" w:rsidR="00F61130" w:rsidRPr="006508D1" w:rsidRDefault="00F61130" w:rsidP="000771C7">
                      <w:r>
                        <w:t>CA</w:t>
                      </w:r>
                    </w:p>
                  </w:txbxContent>
                </v:textbox>
                <w10:wrap type="topAndBottom"/>
              </v:shape>
            </w:pict>
          </mc:Fallback>
        </mc:AlternateContent>
      </w:r>
      <w:r w:rsidR="00936C4E">
        <w:rPr>
          <w:noProof/>
        </w:rPr>
        <mc:AlternateContent>
          <mc:Choice Requires="wps">
            <w:drawing>
              <wp:anchor distT="0" distB="0" distL="114300" distR="114300" simplePos="0" relativeHeight="251572224" behindDoc="0" locked="0" layoutInCell="1" allowOverlap="1" wp14:anchorId="173A7906" wp14:editId="52AD2275">
                <wp:simplePos x="0" y="0"/>
                <wp:positionH relativeFrom="column">
                  <wp:posOffset>2709790</wp:posOffset>
                </wp:positionH>
                <wp:positionV relativeFrom="paragraph">
                  <wp:posOffset>2119449</wp:posOffset>
                </wp:positionV>
                <wp:extent cx="187325" cy="179524"/>
                <wp:effectExtent l="0" t="0" r="3175" b="0"/>
                <wp:wrapTopAndBottom/>
                <wp:docPr id="527" name="Text Box 527"/>
                <wp:cNvGraphicFramePr/>
                <a:graphic xmlns:a="http://schemas.openxmlformats.org/drawingml/2006/main">
                  <a:graphicData uri="http://schemas.microsoft.com/office/word/2010/wordprocessingShape">
                    <wps:wsp>
                      <wps:cNvSpPr txBox="1"/>
                      <wps:spPr>
                        <a:xfrm>
                          <a:off x="0" y="0"/>
                          <a:ext cx="187325" cy="179524"/>
                        </a:xfrm>
                        <a:prstGeom prst="rect">
                          <a:avLst/>
                        </a:prstGeom>
                        <a:noFill/>
                        <a:ln w="6350">
                          <a:noFill/>
                        </a:ln>
                      </wps:spPr>
                      <wps:txbx>
                        <w:txbxContent>
                          <w:p w14:paraId="59086676" w14:textId="77777777" w:rsidR="00F61130" w:rsidRPr="006508D1" w:rsidRDefault="00F61130" w:rsidP="000771C7">
                            <w:r>
                              <w:t>D</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173A7906" id="Text Box 527" o:spid="_x0000_s1129" type="#_x0000_t202" style="position:absolute;left:0;text-align:left;margin-left:213.35pt;margin-top:166.9pt;width:14.75pt;height:14.15pt;z-index:2515722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zr3uiKgIAAE0EAAAOAAAAZHJzL2Uyb0RvYy54bWysVFFv2jAQfp+0/2D5fSTAKF1EqFgrpkmo&#13;&#10;rQRTn41jk0i2z7MNCfv1OzuEVt2epr2Yy9357r7vPrO467QiJ+F8A6ak41FOiTAcqsYcSvpjt/50&#13;&#10;S4kPzFRMgRElPQtP75YfPyxaW4gJ1KAq4QgWMb5obUnrEGyRZZ7XQjM/AisMBiU4zQJ+ukNWOdZi&#13;&#10;da2ySZ7fZC24yjrgwnv0PvRBukz1pRQ8PEnpRSCqpDhbSKdL5z6e2XLBioNjtm74ZQz2D1No1hhs&#13;&#10;ei31wAIjR9f8UUo33IEHGUYcdAZSNlwkDIhmnL9Ds62ZFQkLkuPtlSb//8ryx9OzI01V0tlkTolh&#13;&#10;Gpe0E10gX6Ej0YcMtdYXmLi1mBo6DOCmB79HZwTeSafjL0IiGEeuz1d+YzkeL93Op5MZJRxD4/mX&#13;&#10;2eRzrJK9XrbOh28CNIlGSR2uL7HKThsf+tQhJfYysG6USitUhrQlvZnO8nThGsHiymCPCKEfNVqh&#13;&#10;23cJ9DifDkD2UJ0Rn4NeI97ydYNTbJgPz8yhKBASCj084SEVYDe4WJTU4H79zR/zcVcYpaRFkZXU&#13;&#10;/zwyJyhR3w1uMSpyMNxg7AfDHPU9oG7H+IQsTyZecEENpnSgX1D/q9gFQ8xw7FXSMJj3oZc6vh8u&#13;&#10;VquUhLqzLGzM1vJYOvIYOd11L8zZC/EBN/YIg/xY8Y7/PrffwOoYQDZpOZHZnsUL4ajZtN7L+4qP&#13;&#10;4u13ynr9F1j+BgAA//8DAFBLAwQUAAYACAAAACEA2p9l7OQAAAAQAQAADwAAAGRycy9kb3ducmV2&#13;&#10;LnhtbEyPy07EMAxF90j8Q2Qkdkz6GArqNB0hBnY8B5BglzahrUicKkk75e8xK9hYsn19fU+1Xaxh&#13;&#10;s/ZhcCggXSXANLZODdgJeH25PbsEFqJEJY1DLeBbB9jWx0eVLJU74LOe97FjZIKhlAL6GMeS89D2&#13;&#10;2sqwcqNG2n06b2Wk1ndceXkgc2t4liQFt3JA+tDLUV/3uv3aT1aAeQ/+rknix7zr7uPTI5/ebtIH&#13;&#10;IU5Plt2GytUGWNRL/LuAXwbKDzUFa9yEKjAjYJ0VFyQVkOc5gZBifV5kwBqaFFkKvK74f5D6BwAA&#13;&#10;//8DAFBLAQItABQABgAIAAAAIQC2gziS/gAAAOEBAAATAAAAAAAAAAAAAAAAAAAAAABbQ29udGVu&#13;&#10;dF9UeXBlc10ueG1sUEsBAi0AFAAGAAgAAAAhADj9If/WAAAAlAEAAAsAAAAAAAAAAAAAAAAALwEA&#13;&#10;AF9yZWxzLy5yZWxzUEsBAi0AFAAGAAgAAAAhADOve6IqAgAATQQAAA4AAAAAAAAAAAAAAAAALgIA&#13;&#10;AGRycy9lMm9Eb2MueG1sUEsBAi0AFAAGAAgAAAAhANqfZezkAAAAEAEAAA8AAAAAAAAAAAAAAAAA&#13;&#10;hAQAAGRycy9kb3ducmV2LnhtbFBLBQYAAAAABAAEAPMAAACVBQAAAAA=&#13;&#10;" filled="f" stroked="f" strokeweight=".5pt">
                <v:textbox inset="0,0,0,0">
                  <w:txbxContent>
                    <w:p w14:paraId="59086676" w14:textId="77777777" w:rsidR="00F61130" w:rsidRPr="006508D1" w:rsidRDefault="00F61130" w:rsidP="000771C7">
                      <w:r>
                        <w:t>D</w:t>
                      </w:r>
                    </w:p>
                  </w:txbxContent>
                </v:textbox>
                <w10:wrap type="topAndBottom"/>
              </v:shape>
            </w:pict>
          </mc:Fallback>
        </mc:AlternateContent>
      </w:r>
      <w:r w:rsidR="00936C4E">
        <w:rPr>
          <w:noProof/>
        </w:rPr>
        <mc:AlternateContent>
          <mc:Choice Requires="wps">
            <w:drawing>
              <wp:anchor distT="0" distB="0" distL="114300" distR="114300" simplePos="0" relativeHeight="251316224" behindDoc="0" locked="0" layoutInCell="1" allowOverlap="1" wp14:anchorId="59358405" wp14:editId="570FB9B8">
                <wp:simplePos x="0" y="0"/>
                <wp:positionH relativeFrom="column">
                  <wp:posOffset>-244430</wp:posOffset>
                </wp:positionH>
                <wp:positionV relativeFrom="paragraph">
                  <wp:posOffset>7972455</wp:posOffset>
                </wp:positionV>
                <wp:extent cx="5727313" cy="657977"/>
                <wp:effectExtent l="0" t="0" r="635" b="2540"/>
                <wp:wrapTopAndBottom/>
                <wp:docPr id="531" name="Text Box 531"/>
                <wp:cNvGraphicFramePr/>
                <a:graphic xmlns:a="http://schemas.openxmlformats.org/drawingml/2006/main">
                  <a:graphicData uri="http://schemas.microsoft.com/office/word/2010/wordprocessingShape">
                    <wps:wsp>
                      <wps:cNvSpPr txBox="1"/>
                      <wps:spPr>
                        <a:xfrm>
                          <a:off x="0" y="0"/>
                          <a:ext cx="5727313" cy="657977"/>
                        </a:xfrm>
                        <a:prstGeom prst="rect">
                          <a:avLst/>
                        </a:prstGeom>
                        <a:solidFill>
                          <a:prstClr val="white"/>
                        </a:solidFill>
                        <a:ln>
                          <a:noFill/>
                        </a:ln>
                      </wps:spPr>
                      <wps:txbx>
                        <w:txbxContent>
                          <w:p w14:paraId="4CC2BC1F" w14:textId="759BBA0B" w:rsidR="00F61130" w:rsidRPr="00775A58" w:rsidRDefault="00F61130" w:rsidP="009A7895">
                            <w:pPr>
                              <w:pStyle w:val="Caption"/>
                              <w:spacing w:line="360" w:lineRule="auto"/>
                              <w:jc w:val="both"/>
                              <w:rPr>
                                <w:sz w:val="20"/>
                                <w:szCs w:val="20"/>
                              </w:rPr>
                            </w:pPr>
                            <w:bookmarkStart w:id="500" w:name="_Ref518722346"/>
                            <w:bookmarkStart w:id="501" w:name="_Toc536814202"/>
                            <w:r w:rsidRPr="00775A58">
                              <w:rPr>
                                <w:b/>
                                <w:sz w:val="20"/>
                                <w:szCs w:val="20"/>
                              </w:rPr>
                              <w:t xml:space="preserve">Table </w:t>
                            </w:r>
                            <w:r>
                              <w:rPr>
                                <w:b/>
                                <w:sz w:val="20"/>
                                <w:szCs w:val="20"/>
                              </w:rPr>
                              <w:fldChar w:fldCharType="begin"/>
                            </w:r>
                            <w:r>
                              <w:rPr>
                                <w:b/>
                                <w:sz w:val="20"/>
                                <w:szCs w:val="20"/>
                              </w:rPr>
                              <w:instrText xml:space="preserve"> STYLEREF 1 \s </w:instrText>
                            </w:r>
                            <w:r>
                              <w:rPr>
                                <w:b/>
                                <w:sz w:val="20"/>
                                <w:szCs w:val="20"/>
                              </w:rPr>
                              <w:fldChar w:fldCharType="separate"/>
                            </w:r>
                            <w:r>
                              <w:rPr>
                                <w:b/>
                                <w:noProof/>
                                <w:sz w:val="20"/>
                                <w:szCs w:val="20"/>
                              </w:rPr>
                              <w:t>4</w:t>
                            </w:r>
                            <w:r>
                              <w:rPr>
                                <w:b/>
                                <w:sz w:val="20"/>
                                <w:szCs w:val="20"/>
                              </w:rPr>
                              <w:fldChar w:fldCharType="end"/>
                            </w:r>
                            <w:r>
                              <w:rPr>
                                <w:b/>
                                <w:sz w:val="20"/>
                                <w:szCs w:val="20"/>
                              </w:rPr>
                              <w:t>.</w:t>
                            </w:r>
                            <w:r>
                              <w:rPr>
                                <w:b/>
                                <w:sz w:val="20"/>
                                <w:szCs w:val="20"/>
                              </w:rPr>
                              <w:fldChar w:fldCharType="begin"/>
                            </w:r>
                            <w:r>
                              <w:rPr>
                                <w:b/>
                                <w:sz w:val="20"/>
                                <w:szCs w:val="20"/>
                              </w:rPr>
                              <w:instrText xml:space="preserve"> SEQ Table \* ARABIC \s 1 </w:instrText>
                            </w:r>
                            <w:r>
                              <w:rPr>
                                <w:b/>
                                <w:sz w:val="20"/>
                                <w:szCs w:val="20"/>
                              </w:rPr>
                              <w:fldChar w:fldCharType="separate"/>
                            </w:r>
                            <w:r>
                              <w:rPr>
                                <w:b/>
                                <w:noProof/>
                                <w:sz w:val="20"/>
                                <w:szCs w:val="20"/>
                              </w:rPr>
                              <w:t>1</w:t>
                            </w:r>
                            <w:r>
                              <w:rPr>
                                <w:b/>
                                <w:sz w:val="20"/>
                                <w:szCs w:val="20"/>
                              </w:rPr>
                              <w:fldChar w:fldCharType="end"/>
                            </w:r>
                            <w:bookmarkEnd w:id="500"/>
                            <w:r w:rsidRPr="00775A58">
                              <w:rPr>
                                <w:b/>
                                <w:sz w:val="20"/>
                                <w:szCs w:val="20"/>
                              </w:rPr>
                              <w:t xml:space="preserve"> – T cell parameter values derived from kinetics.</w:t>
                            </w:r>
                            <w:r w:rsidRPr="00775A58">
                              <w:rPr>
                                <w:sz w:val="20"/>
                                <w:szCs w:val="20"/>
                              </w:rPr>
                              <w:t xml:space="preserve"> 50 simulation runs were generated to fit the T cell kinetic data</w:t>
                            </w:r>
                            <w:r>
                              <w:rPr>
                                <w:sz w:val="20"/>
                                <w:szCs w:val="20"/>
                              </w:rPr>
                              <w:t xml:space="preserve"> using parameters sampled from supplied prior distributions</w:t>
                            </w:r>
                            <w:r w:rsidRPr="00775A58">
                              <w:rPr>
                                <w:sz w:val="20"/>
                                <w:szCs w:val="20"/>
                              </w:rPr>
                              <w:t>. The parameters from the best fitting kinetic were selected and implemented in future iterations.</w:t>
                            </w:r>
                            <w:bookmarkEnd w:id="501"/>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59358405" id="Text Box 531" o:spid="_x0000_s1130" type="#_x0000_t202" style="position:absolute;left:0;text-align:left;margin-left:-19.25pt;margin-top:627.75pt;width:450.95pt;height:51.8pt;z-index:2513162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QMgTNQIAAG0EAAAOAAAAZHJzL2Uyb0RvYy54bWysVE1v2zAMvQ/YfxB0X5yPpemMOEWWIsOA&#13;&#10;oi2QDD0rshwLkERNUmJnv36UbKdbt9Owi0yRFKX3HunlXasVOQvnJZiCTkZjSoThUEpzLOi3/fbD&#13;&#10;LSU+MFMyBUYU9CI8vVu9f7dsbC6mUIMqhSNYxPi8sQWtQ7B5lnleC838CKwwGKzAaRZw645Z6ViD&#13;&#10;1bXKpuPxTdaAK60DLrxH730XpKtUv6oED09V5UUgqqD4tpBWl9ZDXLPVkuVHx2wtef8M9g+v0Ewa&#13;&#10;vPRa6p4FRk5O/lFKS+7AQxVGHHQGVSW5SBgQzWT8Bs2uZlYkLEiOt1ea/P8ryx/Pz47IsqDz2YQS&#13;&#10;wzSKtBdtIJ+hJdGHDDXW55i4s5gaWgyg0oPfozMCbyun4xchEYwj15crv7EcR+d8MV3MJjNKOMZu&#13;&#10;5otPi0Usk72ets6HLwI0iUZBHeqXaGXnBx+61CElXuZByXIrlYqbGNgoR84MtW5qGURf/LcsZWKu&#13;&#10;gXiqKxg9WYTYQYlWaA9tImUy/jgAPUB5QfwOuh7ylm8l3vjAfHhmDpsGIeMghCdcKgVNQaG3KKnB&#13;&#10;/fibP+ajlhilpMEmLKj/fmJOUKK+GlQ5duxguME4DIY56Q0gVtQNX5NMPOCCGszKgX7B+VjHWzDE&#13;&#10;DMe7ChoGcxO6UcD54mK9TknYl5aFB7OzPJYemN23L8zZXpeAij7C0J4sfyNPl9vxvD4FqGTSLjLb&#13;&#10;sdgTjj2d1O/nLw7Nr/uU9fqXWP0EAAD//wMAUEsDBBQABgAIAAAAIQB36cXx5QAAABIBAAAPAAAA&#13;&#10;ZHJzL2Rvd25yZXYueG1sTE/BboMwDL1P2j9EnrTL1IbCQJQSqq1st+3Qruo5JSmgEQeRUOjfzztt&#13;&#10;F8v2e35+L9/OpmNXPbjWooDVMgCmsbKqxVrA8et9kQJzXqKSnUUt4KYdbIv7u1xmyk6419eDrxmJ&#13;&#10;oMukgMb7PuPcVY020i1tr5Gwix2M9DQONVeDnEjcdDwMgoQb2SJ9aGSvd42uvg+jEZCUwzjtcfdU&#13;&#10;Ht8+5Gdfh6fX20mIx4e53FB52QDzevZ/F/CbgfxDQcbOdkTlWCdgEaUxUQkI45g6oqRJ9AzsTKso&#13;&#10;Xq+AFzn/H6X4AQAA//8DAFBLAQItABQABgAIAAAAIQC2gziS/gAAAOEBAAATAAAAAAAAAAAAAAAA&#13;&#10;AAAAAABbQ29udGVudF9UeXBlc10ueG1sUEsBAi0AFAAGAAgAAAAhADj9If/WAAAAlAEAAAsAAAAA&#13;&#10;AAAAAAAAAAAALwEAAF9yZWxzLy5yZWxzUEsBAi0AFAAGAAgAAAAhAP9AyBM1AgAAbQQAAA4AAAAA&#13;&#10;AAAAAAAAAAAALgIAAGRycy9lMm9Eb2MueG1sUEsBAi0AFAAGAAgAAAAhAHfpxfHlAAAAEgEAAA8A&#13;&#10;AAAAAAAAAAAAAAAAjwQAAGRycy9kb3ducmV2LnhtbFBLBQYAAAAABAAEAPMAAAChBQAAAAA=&#13;&#10;" stroked="f">
                <v:textbox inset="0,0,0,0">
                  <w:txbxContent>
                    <w:p w14:paraId="4CC2BC1F" w14:textId="759BBA0B" w:rsidR="00F61130" w:rsidRPr="00775A58" w:rsidRDefault="00F61130" w:rsidP="009A7895">
                      <w:pPr>
                        <w:pStyle w:val="Caption"/>
                        <w:spacing w:line="360" w:lineRule="auto"/>
                        <w:jc w:val="both"/>
                        <w:rPr>
                          <w:sz w:val="20"/>
                          <w:szCs w:val="20"/>
                        </w:rPr>
                      </w:pPr>
                      <w:bookmarkStart w:id="502" w:name="_Ref518722346"/>
                      <w:bookmarkStart w:id="503" w:name="_Toc536814202"/>
                      <w:r w:rsidRPr="00775A58">
                        <w:rPr>
                          <w:b/>
                          <w:sz w:val="20"/>
                          <w:szCs w:val="20"/>
                        </w:rPr>
                        <w:t xml:space="preserve">Table </w:t>
                      </w:r>
                      <w:r>
                        <w:rPr>
                          <w:b/>
                          <w:sz w:val="20"/>
                          <w:szCs w:val="20"/>
                        </w:rPr>
                        <w:fldChar w:fldCharType="begin"/>
                      </w:r>
                      <w:r>
                        <w:rPr>
                          <w:b/>
                          <w:sz w:val="20"/>
                          <w:szCs w:val="20"/>
                        </w:rPr>
                        <w:instrText xml:space="preserve"> STYLEREF 1 \s </w:instrText>
                      </w:r>
                      <w:r>
                        <w:rPr>
                          <w:b/>
                          <w:sz w:val="20"/>
                          <w:szCs w:val="20"/>
                        </w:rPr>
                        <w:fldChar w:fldCharType="separate"/>
                      </w:r>
                      <w:r>
                        <w:rPr>
                          <w:b/>
                          <w:noProof/>
                          <w:sz w:val="20"/>
                          <w:szCs w:val="20"/>
                        </w:rPr>
                        <w:t>4</w:t>
                      </w:r>
                      <w:r>
                        <w:rPr>
                          <w:b/>
                          <w:sz w:val="20"/>
                          <w:szCs w:val="20"/>
                        </w:rPr>
                        <w:fldChar w:fldCharType="end"/>
                      </w:r>
                      <w:r>
                        <w:rPr>
                          <w:b/>
                          <w:sz w:val="20"/>
                          <w:szCs w:val="20"/>
                        </w:rPr>
                        <w:t>.</w:t>
                      </w:r>
                      <w:r>
                        <w:rPr>
                          <w:b/>
                          <w:sz w:val="20"/>
                          <w:szCs w:val="20"/>
                        </w:rPr>
                        <w:fldChar w:fldCharType="begin"/>
                      </w:r>
                      <w:r>
                        <w:rPr>
                          <w:b/>
                          <w:sz w:val="20"/>
                          <w:szCs w:val="20"/>
                        </w:rPr>
                        <w:instrText xml:space="preserve"> SEQ Table \* ARABIC \s 1 </w:instrText>
                      </w:r>
                      <w:r>
                        <w:rPr>
                          <w:b/>
                          <w:sz w:val="20"/>
                          <w:szCs w:val="20"/>
                        </w:rPr>
                        <w:fldChar w:fldCharType="separate"/>
                      </w:r>
                      <w:r>
                        <w:rPr>
                          <w:b/>
                          <w:noProof/>
                          <w:sz w:val="20"/>
                          <w:szCs w:val="20"/>
                        </w:rPr>
                        <w:t>1</w:t>
                      </w:r>
                      <w:r>
                        <w:rPr>
                          <w:b/>
                          <w:sz w:val="20"/>
                          <w:szCs w:val="20"/>
                        </w:rPr>
                        <w:fldChar w:fldCharType="end"/>
                      </w:r>
                      <w:bookmarkEnd w:id="502"/>
                      <w:r w:rsidRPr="00775A58">
                        <w:rPr>
                          <w:b/>
                          <w:sz w:val="20"/>
                          <w:szCs w:val="20"/>
                        </w:rPr>
                        <w:t xml:space="preserve"> – T cell parameter values derived from kinetics.</w:t>
                      </w:r>
                      <w:r w:rsidRPr="00775A58">
                        <w:rPr>
                          <w:sz w:val="20"/>
                          <w:szCs w:val="20"/>
                        </w:rPr>
                        <w:t xml:space="preserve"> 50 simulation runs were generated to fit the T cell kinetic data</w:t>
                      </w:r>
                      <w:r>
                        <w:rPr>
                          <w:sz w:val="20"/>
                          <w:szCs w:val="20"/>
                        </w:rPr>
                        <w:t xml:space="preserve"> using parameters sampled from supplied prior distributions</w:t>
                      </w:r>
                      <w:r w:rsidRPr="00775A58">
                        <w:rPr>
                          <w:sz w:val="20"/>
                          <w:szCs w:val="20"/>
                        </w:rPr>
                        <w:t>. The parameters from the best fitting kinetic were selected and implemented in future iterations.</w:t>
                      </w:r>
                      <w:bookmarkEnd w:id="503"/>
                    </w:p>
                  </w:txbxContent>
                </v:textbox>
                <w10:wrap type="topAndBottom"/>
              </v:shape>
            </w:pict>
          </mc:Fallback>
        </mc:AlternateContent>
      </w:r>
      <w:r w:rsidR="00936C4E">
        <w:rPr>
          <w:noProof/>
        </w:rPr>
        <mc:AlternateContent>
          <mc:Choice Requires="wps">
            <w:drawing>
              <wp:anchor distT="0" distB="0" distL="114300" distR="114300" simplePos="0" relativeHeight="251574272" behindDoc="0" locked="0" layoutInCell="1" allowOverlap="1" wp14:anchorId="55184BAD" wp14:editId="1154B22C">
                <wp:simplePos x="0" y="0"/>
                <wp:positionH relativeFrom="column">
                  <wp:posOffset>1082379</wp:posOffset>
                </wp:positionH>
                <wp:positionV relativeFrom="paragraph">
                  <wp:posOffset>1903164</wp:posOffset>
                </wp:positionV>
                <wp:extent cx="856649" cy="327259"/>
                <wp:effectExtent l="0" t="0" r="0" b="3175"/>
                <wp:wrapTopAndBottom/>
                <wp:docPr id="78" name="Rectangle 78"/>
                <wp:cNvGraphicFramePr/>
                <a:graphic xmlns:a="http://schemas.openxmlformats.org/drawingml/2006/main">
                  <a:graphicData uri="http://schemas.microsoft.com/office/word/2010/wordprocessingShape">
                    <wps:wsp>
                      <wps:cNvSpPr/>
                      <wps:spPr>
                        <a:xfrm>
                          <a:off x="0" y="0"/>
                          <a:ext cx="856649" cy="327259"/>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F338271" id="Rectangle 78" o:spid="_x0000_s1026" style="position:absolute;margin-left:85.25pt;margin-top:149.85pt;width:67.45pt;height:25.75pt;z-index:2515742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CH+fJkwIAAIUFAAAOAAAAZHJzL2Uyb0RvYy54bWysVEtv2zAMvg/YfxB0X51kSR9BnSJo0WFA&#13;&#10;0QZth54VWYoFyKImKXGyXz9Ksp22K3YYloMiih8/Pkzy8mrfaLITziswJR2fjCgRhkOlzKakP55v&#13;&#10;v5xT4gMzFdNgREkPwtOrxedPl62diwnUoCvhCJIYP29tSesQ7LwoPK9Fw/wJWGFQKcE1LKDoNkXl&#13;&#10;WIvsjS4mo9Fp0YKrrAMuvMfXm6yki8QvpeDhQUovAtElxdhCOl061/EsFpdsvnHM1op3YbB/iKJh&#13;&#10;yqDTgeqGBUa2Tv1B1SjuwIMMJxyaAqRUXKQcMJvx6F02TzWzIuWCxfF2KJP/f7T8frdyRFUlPcMv&#13;&#10;ZViD3+gRq8bMRguCb1ig1vo54p7synWSx2vMdi9dE/8xD7JPRT0MRRX7QDg+ns9OT6cXlHBUfZ2c&#13;&#10;TWYXkbM4GlvnwzcBDYmXkjr0nkrJdnc+ZGgPib48aFXdKq2TEPtEXGtHdgy/8Hoz7sjfoLSJWAPR&#13;&#10;KhPGlyLmlTNJt3DQIuK0eRQSS4KxT1IgqRmPThjnwoRxVtWsEtn3bIS/3nsfVko0EUZmif4H7o6g&#13;&#10;R2aSnjtH2eGjqUi9PBiP/hZYNh4skmcwYTBulAH3EYHGrDrPGd8XKZcmVmkN1QEbxkGeJG/5rcLP&#13;&#10;dsd8WDGHo4NDhusgPOAhNbQlhe5GSQ3u10fvEY8djVpKWhzFkvqfW+YEJfq7wV6/GE+ncXaTMJ2d&#13;&#10;TVBwrzXr1xqzba4Be2GMi8fydI34oPurdNC84NZYRq+oYoaj75Ly4HrhOuQVgXuHi+UywXBeLQt3&#13;&#10;5snySB6rGtvyef/CnO16N2DT30M/tmz+roUzNloaWG4DSJX6+1jXrt4466lxur0Ul8lrOaGO23Px&#13;&#10;GwAA//8DAFBLAwQUAAYACAAAACEAoGQA0eUAAAAQAQAADwAAAGRycy9kb3ducmV2LnhtbExPy07D&#13;&#10;MBC8I/EP1iJxQdRuTChN41Q8hMSFA21VcXRjE1uN7Sh2k5SvZznBZbWjnZ1HuZ5cSwbdRxu8gPmM&#13;&#10;AdG+Dsr6RsBu+3r7ACQm6ZVsg9cCzjrCurq8KGWhwug/9LBJDUERHwspwKTUFZTG2mgn4yx02uPt&#13;&#10;K/ROJoR9Q1UvRxR3Lc0Yu6dOWo8ORnb62ej6uDk5Ae9nzt+GG34cd5Y39pt+Pu1NEOL6anpZ4Xhc&#13;&#10;AUl6Sn8f8NsB80OFwQ7h5FUkLeIFy5EqIFsuF0CQwVl+B+SASz7PgFYl/V+k+gEAAP//AwBQSwEC&#13;&#10;LQAUAAYACAAAACEAtoM4kv4AAADhAQAAEwAAAAAAAAAAAAAAAAAAAAAAW0NvbnRlbnRfVHlwZXNd&#13;&#10;LnhtbFBLAQItABQABgAIAAAAIQA4/SH/1gAAAJQBAAALAAAAAAAAAAAAAAAAAC8BAABfcmVscy8u&#13;&#10;cmVsc1BLAQItABQABgAIAAAAIQDCH+fJkwIAAIUFAAAOAAAAAAAAAAAAAAAAAC4CAABkcnMvZTJv&#13;&#10;RG9jLnhtbFBLAQItABQABgAIAAAAIQCgZADR5QAAABABAAAPAAAAAAAAAAAAAAAAAO0EAABkcnMv&#13;&#10;ZG93bnJldi54bWxQSwUGAAAAAAQABADzAAAA/wUAAAAA&#13;&#10;" fillcolor="white [3212]" stroked="f" strokeweight="1pt">
                <w10:wrap type="topAndBottom"/>
              </v:rect>
            </w:pict>
          </mc:Fallback>
        </mc:AlternateContent>
      </w:r>
      <w:r w:rsidR="00936C4E">
        <w:rPr>
          <w:noProof/>
        </w:rPr>
        <mc:AlternateContent>
          <mc:Choice Requires="wps">
            <w:drawing>
              <wp:anchor distT="0" distB="0" distL="114300" distR="114300" simplePos="0" relativeHeight="251575296" behindDoc="0" locked="0" layoutInCell="1" allowOverlap="1" wp14:anchorId="61F60242" wp14:editId="7943EBCB">
                <wp:simplePos x="0" y="0"/>
                <wp:positionH relativeFrom="column">
                  <wp:posOffset>3806329</wp:posOffset>
                </wp:positionH>
                <wp:positionV relativeFrom="paragraph">
                  <wp:posOffset>1932040</wp:posOffset>
                </wp:positionV>
                <wp:extent cx="856649" cy="327259"/>
                <wp:effectExtent l="0" t="0" r="0" b="3175"/>
                <wp:wrapTopAndBottom/>
                <wp:docPr id="79" name="Rectangle 79"/>
                <wp:cNvGraphicFramePr/>
                <a:graphic xmlns:a="http://schemas.openxmlformats.org/drawingml/2006/main">
                  <a:graphicData uri="http://schemas.microsoft.com/office/word/2010/wordprocessingShape">
                    <wps:wsp>
                      <wps:cNvSpPr/>
                      <wps:spPr>
                        <a:xfrm>
                          <a:off x="0" y="0"/>
                          <a:ext cx="856649" cy="327259"/>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A8697FB" id="Rectangle 79" o:spid="_x0000_s1026" style="position:absolute;margin-left:299.7pt;margin-top:152.15pt;width:67.45pt;height:25.75pt;z-index:2515752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YqrWvlQIAAIUFAAAOAAAAZHJzL2Uyb0RvYy54bWysVE1v2zAMvQ/YfxB0X51kST+COkXQosOA&#13;&#10;og3aDj0rshQLkEVNUuJkv36UZDttV+wwLAdFFMlH8pnk5dW+0WQnnFdgSjo+GVEiDIdKmU1Jfzzf&#13;&#10;fjmnxAdmKqbBiJIehKdXi8+fLls7FxOoQVfCEQQxft7aktYh2HlReF6LhvkTsMKgUoJrWEDRbYrK&#13;&#10;sRbRG11MRqPTogVXWQdceI+vN1lJFwlfSsHDg5ReBKJLirmFdLp0ruNZLC7ZfOOYrRXv0mD/kEXD&#13;&#10;lMGgA9QNC4xsnfoDqlHcgQcZTjg0BUipuEg1YDXj0btqnmpmRaoFyfF2oMn/P1h+v1s5oqqSnl1Q&#13;&#10;YliD3+gRWWNmowXBNySotX6Odk925TrJ4zVWu5euif9YB9knUg8DqWIfCMfH89np6RSxOaq+Ts4m&#13;&#10;s4RZHJ2t8+GbgIbES0kdRk9Ust2dDxgQTXuTGMuDVtWt0joJsU/EtXZkx/ALrzfjmDB6vLHSJtoa&#13;&#10;iF5ZHV+KWFeuJN3CQYtop82jkEgJ5j5JiaRmPAZhnAsTxllVs0rk2LMR/vrofVoplwQYkSXGH7A7&#13;&#10;gN4yg/TYOcvOPrqK1MuD8+hviWXnwSNFBhMG50YZcB8BaKyqi5zte5IyNZGlNVQHbBgHeZK85bcK&#13;&#10;P9sd82HFHI4ODhmug/CAh9TQlhS6GyU1uF8fvUd77GjUUtLiKJbU/9wyJyjR3w32+sV4Oo2zm4Tp&#13;&#10;7GyCgnutWb/WmG1zDdgLY1w8lqdrtA+6v0oHzQtujWWMiipmOMYuKQ+uF65DXhG4d7hYLpMZzqtl&#13;&#10;4c48WR7BI6uxLZ/3L8zZrncDNv099GPL5u9aONtGTwPLbQCpUn8fee34xllPjdPtpbhMXsvJ6rg9&#13;&#10;F78BAAD//wMAUEsDBBQABgAIAAAAIQD5IecN5AAAABABAAAPAAAAZHJzL2Rvd25yZXYueG1sTE/J&#13;&#10;TsMwEL0j8Q/WIHFB1AE30KZxKhYhceFAqRBHNzax1XgcxW6S8vVMT3AZzfLmLeV68i0bTB9dQAk3&#13;&#10;swyYwTpoh42E7cfL9QJYTAq1agMaCUcTYV2dn5Wq0GHEdzNsUsOIBGOhJNiUuoLzWFvjVZyFziDd&#13;&#10;vkPvVaKxb7ju1UjkvuW3WXbHvXJIClZ15smaer85eAlvRyFehyuxH7dONO6Hfz1+2iDl5cX0vKLy&#13;&#10;sAKWzJT+PuCUgfxDRcZ24YA6slZCvlzOCSpBZHMBjBD34tTsaJPnC+BVyf8HqX4BAAD//wMAUEsB&#13;&#10;Ai0AFAAGAAgAAAAhALaDOJL+AAAA4QEAABMAAAAAAAAAAAAAAAAAAAAAAFtDb250ZW50X1R5cGVz&#13;&#10;XS54bWxQSwECLQAUAAYACAAAACEAOP0h/9YAAACUAQAACwAAAAAAAAAAAAAAAAAvAQAAX3JlbHMv&#13;&#10;LnJlbHNQSwECLQAUAAYACAAAACEAGKq1r5UCAACFBQAADgAAAAAAAAAAAAAAAAAuAgAAZHJzL2Uy&#13;&#10;b0RvYy54bWxQSwECLQAUAAYACAAAACEA+SHnDeQAAAAQAQAADwAAAAAAAAAAAAAAAADvBAAAZHJz&#13;&#10;L2Rvd25yZXYueG1sUEsFBgAAAAAEAAQA8wAAAAAGAAAAAA==&#13;&#10;" fillcolor="white [3212]" stroked="f" strokeweight="1pt">
                <w10:wrap type="topAndBottom"/>
              </v:rect>
            </w:pict>
          </mc:Fallback>
        </mc:AlternateContent>
      </w:r>
      <w:r w:rsidR="000771C7" w:rsidRPr="008B3AD6">
        <w:t xml:space="preserve"> </w:t>
      </w:r>
      <w:r w:rsidR="000771C7" w:rsidRPr="008B3AD6">
        <w:br w:type="page"/>
      </w:r>
    </w:p>
    <w:p w14:paraId="4775BD83" w14:textId="27BF5A3B" w:rsidR="00D912B0" w:rsidRPr="00812C58" w:rsidRDefault="00D8344F" w:rsidP="00D912B0">
      <w:pPr>
        <w:spacing w:line="360" w:lineRule="auto"/>
        <w:jc w:val="both"/>
      </w:pPr>
      <w:r>
        <w:lastRenderedPageBreak/>
        <w:t>A further</w:t>
      </w:r>
      <w:r w:rsidR="00611940" w:rsidRPr="008B3AD6">
        <w:t xml:space="preserve"> model was then developed </w:t>
      </w:r>
      <w:r>
        <w:t xml:space="preserve">to allow for the identification of the extracellular </w:t>
      </w:r>
      <w:r>
        <w:rPr>
          <w:i/>
        </w:rPr>
        <w:t xml:space="preserve">L. </w:t>
      </w:r>
      <w:r w:rsidRPr="00D8344F">
        <w:t>donovani</w:t>
      </w:r>
      <w:r>
        <w:t xml:space="preserve"> initial condition. This model included a simplified representation of the</w:t>
      </w:r>
      <w:r w:rsidR="00611940" w:rsidRPr="008B3AD6">
        <w:t xml:space="preserve"> </w:t>
      </w:r>
      <w:r w:rsidR="00611940" w:rsidRPr="008B3AD6">
        <w:rPr>
          <w:i/>
        </w:rPr>
        <w:t>L. donovani</w:t>
      </w:r>
      <w:r w:rsidR="00611940" w:rsidRPr="008B3AD6">
        <w:t xml:space="preserve"> </w:t>
      </w:r>
      <w:r>
        <w:t>population and the parameter values</w:t>
      </w:r>
      <w:r w:rsidR="00611940" w:rsidRPr="008B3AD6">
        <w:t xml:space="preserve"> </w:t>
      </w:r>
      <w:r>
        <w:t>derived previously for</w:t>
      </w:r>
      <w:r w:rsidR="00611940" w:rsidRPr="008B3AD6">
        <w:t xml:space="preserve"> T cell and myeloid cell kinetics were implemented (</w:t>
      </w:r>
      <w:r w:rsidR="00D034D1" w:rsidRPr="001F0D20">
        <w:rPr>
          <w:b/>
        </w:rPr>
        <w:fldChar w:fldCharType="begin"/>
      </w:r>
      <w:r w:rsidR="00D034D1" w:rsidRPr="001F0D20">
        <w:rPr>
          <w:b/>
        </w:rPr>
        <w:instrText xml:space="preserve"> REF _Ref518720551  \* MERGEFORMAT </w:instrText>
      </w:r>
      <w:r w:rsidR="00D034D1" w:rsidRPr="001F0D20">
        <w:rPr>
          <w:b/>
        </w:rPr>
        <w:fldChar w:fldCharType="separate"/>
      </w:r>
      <w:r w:rsidR="00F30350" w:rsidRPr="00F30350">
        <w:rPr>
          <w:b/>
        </w:rPr>
        <w:t xml:space="preserve">Figure </w:t>
      </w:r>
      <w:r w:rsidR="00F30350" w:rsidRPr="00F30350">
        <w:rPr>
          <w:b/>
          <w:noProof/>
        </w:rPr>
        <w:t>4.26</w:t>
      </w:r>
      <w:r w:rsidR="00D034D1" w:rsidRPr="001F0D20">
        <w:rPr>
          <w:b/>
          <w:noProof/>
        </w:rPr>
        <w:fldChar w:fldCharType="end"/>
      </w:r>
      <w:r w:rsidR="00611940" w:rsidRPr="008B3AD6">
        <w:t xml:space="preserve">). </w:t>
      </w:r>
      <w:r w:rsidR="00D912B0" w:rsidRPr="00812C58">
        <w:t xml:space="preserve">The </w:t>
      </w:r>
      <w:r w:rsidR="00D912B0">
        <w:t xml:space="preserve">model </w:t>
      </w:r>
      <w:r w:rsidR="00D912B0" w:rsidRPr="00812C58">
        <w:t xml:space="preserve">here retains the same population mechanics for T cells and myeloid cells as the previous model but now includes a population representing </w:t>
      </w:r>
      <w:r w:rsidR="00D912B0" w:rsidRPr="00812C58">
        <w:rPr>
          <w:i/>
        </w:rPr>
        <w:t xml:space="preserve">L. donovani </w:t>
      </w:r>
      <w:r w:rsidR="00D912B0" w:rsidRPr="00812C58">
        <w:t>(</w:t>
      </w:r>
      <w:r w:rsidR="00D912B0" w:rsidRPr="00812C58">
        <w:rPr>
          <w:i/>
        </w:rPr>
        <w:t>P</w:t>
      </w:r>
      <w:r w:rsidR="00D912B0" w:rsidRPr="00812C58">
        <w:t>) and an additional population for anti-leishmanial compounds (</w:t>
      </w:r>
      <w:r w:rsidR="00D912B0" w:rsidRPr="00812C58">
        <w:rPr>
          <w:i/>
        </w:rPr>
        <w:t>A</w:t>
      </w:r>
      <w:r w:rsidR="00D912B0" w:rsidRPr="00812C58">
        <w:t>)</w:t>
      </w:r>
      <w:r w:rsidR="003E0A44">
        <w:t>, w</w:t>
      </w:r>
      <w:r w:rsidR="00D912B0" w:rsidRPr="00812C58">
        <w:t xml:space="preserve">hereby </w:t>
      </w:r>
      <w:r w:rsidR="00D912B0" w:rsidRPr="00812C58">
        <w:rPr>
          <w:i/>
        </w:rPr>
        <w:t>L. donovani</w:t>
      </w:r>
      <w:r w:rsidR="00D912B0" w:rsidRPr="00812C58">
        <w:t xml:space="preserve"> can grow at a set rate (</w:t>
      </w:r>
      <w:r w:rsidR="00D912B0" w:rsidRPr="00F77576">
        <w:rPr>
          <w:i/>
        </w:rPr>
        <w:t>a</w:t>
      </w:r>
      <w:r w:rsidR="00D912B0" w:rsidRPr="00F77576">
        <w:rPr>
          <w:i/>
          <w:vertAlign w:val="subscript"/>
        </w:rPr>
        <w:t>P</w:t>
      </w:r>
      <w:r w:rsidR="00D912B0" w:rsidRPr="00812C58">
        <w:t>) and be killed by anti-leishmanial compounds described using Michaelis-Menten-like kinetics where death is proportional to the amount of (</w:t>
      </w:r>
      <w:r w:rsidR="00D912B0" w:rsidRPr="00812C58">
        <w:rPr>
          <w:i/>
        </w:rPr>
        <w:t>A</w:t>
      </w:r>
      <w:r w:rsidR="00D912B0" w:rsidRPr="00812C58">
        <w:t>) but also the concentration of (</w:t>
      </w:r>
      <w:r w:rsidR="00D912B0" w:rsidRPr="00812C58">
        <w:rPr>
          <w:i/>
        </w:rPr>
        <w:t>A</w:t>
      </w:r>
      <w:r w:rsidR="00D912B0" w:rsidRPr="00812C58">
        <w:t>) required to kill half the population (</w:t>
      </w:r>
      <w:r w:rsidR="00D912B0" w:rsidRPr="00812C58">
        <w:rPr>
          <w:i/>
        </w:rPr>
        <w:t>A</w:t>
      </w:r>
      <w:r w:rsidR="00D912B0" w:rsidRPr="00812C58">
        <w:rPr>
          <w:i/>
          <w:vertAlign w:val="subscript"/>
        </w:rPr>
        <w:t>50</w:t>
      </w:r>
      <w:r w:rsidR="00D912B0" w:rsidRPr="00812C58">
        <w:t>). The production of anti-leishmanial compounds is proportional to the number of T cells and myeloid cells, accounting for a temporal delay in production (</w:t>
      </w:r>
      <w:r w:rsidR="00D912B0" w:rsidRPr="00812C58">
        <w:rPr>
          <w:i/>
        </w:rPr>
        <w:t>tau</w:t>
      </w:r>
      <w:r w:rsidR="00D912B0" w:rsidRPr="00812C58">
        <w:t xml:space="preserve">), a simplification based upon a previously published model </w:t>
      </w:r>
      <w:r w:rsidR="00D912B0" w:rsidRPr="00812C58">
        <w:fldChar w:fldCharType="begin"/>
      </w:r>
      <w:r w:rsidR="00D912B0" w:rsidRPr="00812C58">
        <w:instrText xml:space="preserve"> ADDIN ZOTERO_ITEM CSL_CITATION {"citationID":"kdnO8ews","properties":{"formattedCitation":"(Ribeiro et al. 2017)","plainCitation":"(Ribeiro et al. 2017)","noteIndex":0},"citationItems":[{"id":2619,"uris":["http://zotero.org/users/2628971/items/YRG6BW9K"],"uri":["http://zotero.org/users/2628971/items/YRG6BW9K"],"itemData":{"id":2619,"type":"article-journal","title":"Modeling Immune Response to Leishmania Species Indicates Adenosine As an Important Inhibitor of Th-Cell Activation","container-title":"Frontiers in Cellular and Infection Microbiology","page":"309","volume":"7","source":"PubMed","abstract":"Infection by Leishmania protozoan parasites can cause a variety of disease outcomes in humans and other mammals, from single self-healing cutaneous lesions to a visceral dissemination of the parasite. The correlation between chronic lesions and ecto-nucleotidase enzymes activity on the surface of the parasite is addressed here using damage caused in epithelial cells by nitric oxide. In order to explore the role of purinergic metabolism in lesion formation and the outcome of the infection, we implemented a cellular automata/lattice gas model involving major immune characters (Th1 and Th2 cells, IFN-γ, IL-4, IL-12, adenosine-Ado-, NO) and parasite players for the dynamic analysis of the disease progress. The model were analyzed using partial ranking correlation coefficient (PRCC) to indicate the components that most influence the disease progression. Results show that low Ado inhibition rate over Th-cells is shared by L. major and L. braziliensis, while in L. amazonensis infection the Ado inhibition rate over Th-cells reaches 30%. IL-4 inhibition rate over Th-cell priming to Th1 independent of IL-12 are exclusive of L. major. The lesion size and progression showed agreement with published biological data and the model was able to simulate cutaneous leishmaniasis outcomes. The sensitivity analysis suggested that Ado inhibition rate over Th-cells followed by Leishmania survival probability were the most important characteristics of the process, with PRCC of 0.89 and 0.77 respectively. The simulations also showed a non-linear relationship between Ado inhibition rate over Th-cells and lesion size measured as number of dead epithelial cells. In conclusion, this model can be a useful tool for the quantitative understanding of the immune response in leishmaniasis.","DOI":"10.3389/fcimb.2017.00309","ISSN":"2235-2988","note":"PMID: 28775959\nPMCID: PMC5517480","journalAbbreviation":"Front Cell Infect Microbiol","language":"eng","author":[{"family":"Ribeiro","given":"Henrique A. L."},{"family":"Maioli","given":"Tatiani U."},{"family":"Freitas","given":"Leandro M.","non-dropping-particle":"de"},{"family":"Tieri","given":"Paolo"},{"family":"Castiglione","given":"Filippo"}],"issued":{"date-parts":[["2017"]]}}}],"schema":"https://github.com/citation-style-language/schema/raw/master/csl-citation.json"} </w:instrText>
      </w:r>
      <w:r w:rsidR="00D912B0" w:rsidRPr="00812C58">
        <w:fldChar w:fldCharType="separate"/>
      </w:r>
      <w:r w:rsidR="00D912B0" w:rsidRPr="00812C58">
        <w:t>(Ribeiro et al. 2017)</w:t>
      </w:r>
      <w:r w:rsidR="00D912B0" w:rsidRPr="00812C58">
        <w:fldChar w:fldCharType="end"/>
      </w:r>
      <w:r w:rsidR="00D912B0" w:rsidRPr="00812C58">
        <w:t xml:space="preserve">. This temporal delay denotes of the complexity of the immune response upon detection of </w:t>
      </w:r>
      <w:r w:rsidR="00D912B0" w:rsidRPr="00812C58">
        <w:rPr>
          <w:i/>
        </w:rPr>
        <w:t>L. donovani</w:t>
      </w:r>
      <w:r w:rsidR="00D912B0" w:rsidRPr="00812C58">
        <w:t xml:space="preserve"> infection whereby anti-leishmanial compound production is not instantaneous. Anti-leishmanial compounds degrade at a set rate (</w:t>
      </w:r>
      <w:r w:rsidR="00D912B0" w:rsidRPr="00812C58">
        <w:rPr>
          <w:i/>
        </w:rPr>
        <w:t>U</w:t>
      </w:r>
      <w:r w:rsidR="00D912B0" w:rsidRPr="00812C58">
        <w:rPr>
          <w:i/>
          <w:vertAlign w:val="subscript"/>
        </w:rPr>
        <w:t>A</w:t>
      </w:r>
      <w:r w:rsidR="00D912B0">
        <w:t>)</w:t>
      </w:r>
    </w:p>
    <w:p w14:paraId="092B0DF0" w14:textId="5CD08B1D" w:rsidR="00611940" w:rsidRPr="008B3AD6" w:rsidRDefault="00611940" w:rsidP="009154C0">
      <w:pPr>
        <w:spacing w:line="360" w:lineRule="auto"/>
        <w:jc w:val="both"/>
      </w:pPr>
      <w:r w:rsidRPr="008B3AD6">
        <w:t xml:space="preserve"> </w:t>
      </w:r>
    </w:p>
    <w:p w14:paraId="22946098" w14:textId="7B779EB0" w:rsidR="00D8344F" w:rsidRDefault="00031DCA" w:rsidP="009154C0">
      <w:pPr>
        <w:spacing w:line="360" w:lineRule="auto"/>
        <w:jc w:val="both"/>
      </w:pPr>
      <w:r>
        <w:rPr>
          <w:noProof/>
        </w:rPr>
        <w:drawing>
          <wp:anchor distT="0" distB="0" distL="114300" distR="114300" simplePos="0" relativeHeight="252077056" behindDoc="0" locked="0" layoutInCell="1" allowOverlap="1" wp14:anchorId="132950A9" wp14:editId="3DB9B239">
            <wp:simplePos x="0" y="0"/>
            <wp:positionH relativeFrom="column">
              <wp:posOffset>-5080</wp:posOffset>
            </wp:positionH>
            <wp:positionV relativeFrom="paragraph">
              <wp:posOffset>216535</wp:posOffset>
            </wp:positionV>
            <wp:extent cx="5219700" cy="3733800"/>
            <wp:effectExtent l="0" t="0" r="0" b="0"/>
            <wp:wrapTopAndBottom/>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pic:cNvPicPr>
                      <a:picLocks noChangeAspect="1"/>
                    </pic:cNvPicPr>
                  </pic:nvPicPr>
                  <pic:blipFill rotWithShape="1">
                    <a:blip r:embed="rId73" cstate="print">
                      <a:extLst>
                        <a:ext uri="{28A0092B-C50C-407E-A947-70E740481C1C}">
                          <a14:useLocalDpi xmlns:a14="http://schemas.microsoft.com/office/drawing/2010/main" val="0"/>
                        </a:ext>
                      </a:extLst>
                    </a:blip>
                    <a:srcRect r="6374"/>
                    <a:stretch/>
                  </pic:blipFill>
                  <pic:spPr bwMode="auto">
                    <a:xfrm>
                      <a:off x="0" y="0"/>
                      <a:ext cx="5219700" cy="37338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r w:rsidR="00936C4E">
        <w:rPr>
          <w:noProof/>
        </w:rPr>
        <mc:AlternateContent>
          <mc:Choice Requires="wps">
            <w:drawing>
              <wp:anchor distT="0" distB="0" distL="114300" distR="114300" simplePos="0" relativeHeight="252076032" behindDoc="0" locked="0" layoutInCell="1" allowOverlap="1" wp14:anchorId="786B5668" wp14:editId="17F708B4">
                <wp:simplePos x="0" y="0"/>
                <wp:positionH relativeFrom="column">
                  <wp:posOffset>5357</wp:posOffset>
                </wp:positionH>
                <wp:positionV relativeFrom="paragraph">
                  <wp:posOffset>3957501</wp:posOffset>
                </wp:positionV>
                <wp:extent cx="5727228" cy="904206"/>
                <wp:effectExtent l="0" t="0" r="635" b="0"/>
                <wp:wrapTopAndBottom/>
                <wp:docPr id="533" name="Text Box 533"/>
                <wp:cNvGraphicFramePr/>
                <a:graphic xmlns:a="http://schemas.openxmlformats.org/drawingml/2006/main">
                  <a:graphicData uri="http://schemas.microsoft.com/office/word/2010/wordprocessingShape">
                    <wps:wsp>
                      <wps:cNvSpPr txBox="1"/>
                      <wps:spPr>
                        <a:xfrm>
                          <a:off x="0" y="0"/>
                          <a:ext cx="5727228" cy="904206"/>
                        </a:xfrm>
                        <a:prstGeom prst="rect">
                          <a:avLst/>
                        </a:prstGeom>
                        <a:solidFill>
                          <a:prstClr val="white"/>
                        </a:solidFill>
                        <a:ln>
                          <a:noFill/>
                        </a:ln>
                      </wps:spPr>
                      <wps:txbx>
                        <w:txbxContent>
                          <w:p w14:paraId="7640A1E9" w14:textId="4B9404D8" w:rsidR="00F61130" w:rsidRPr="00FB3842" w:rsidRDefault="00F61130" w:rsidP="009A7895">
                            <w:pPr>
                              <w:pStyle w:val="Caption"/>
                              <w:spacing w:line="360" w:lineRule="auto"/>
                              <w:jc w:val="both"/>
                              <w:rPr>
                                <w:b/>
                                <w:color w:val="auto"/>
                                <w:sz w:val="20"/>
                                <w:szCs w:val="20"/>
                              </w:rPr>
                            </w:pPr>
                            <w:bookmarkStart w:id="504" w:name="_Ref518720551"/>
                            <w:bookmarkStart w:id="505" w:name="_Toc525227231"/>
                            <w:bookmarkStart w:id="506" w:name="_Toc536814170"/>
                            <w:r w:rsidRPr="00FB3842">
                              <w:rPr>
                                <w:b/>
                                <w:sz w:val="20"/>
                                <w:szCs w:val="20"/>
                              </w:rPr>
                              <w:t xml:space="preserve">Figure </w:t>
                            </w:r>
                            <w:r>
                              <w:rPr>
                                <w:b/>
                                <w:sz w:val="20"/>
                                <w:szCs w:val="20"/>
                              </w:rPr>
                              <w:fldChar w:fldCharType="begin"/>
                            </w:r>
                            <w:r>
                              <w:rPr>
                                <w:b/>
                                <w:sz w:val="20"/>
                                <w:szCs w:val="20"/>
                              </w:rPr>
                              <w:instrText xml:space="preserve"> STYLEREF 1 \s </w:instrText>
                            </w:r>
                            <w:r>
                              <w:rPr>
                                <w:b/>
                                <w:sz w:val="20"/>
                                <w:szCs w:val="20"/>
                              </w:rPr>
                              <w:fldChar w:fldCharType="separate"/>
                            </w:r>
                            <w:r>
                              <w:rPr>
                                <w:b/>
                                <w:noProof/>
                                <w:sz w:val="20"/>
                                <w:szCs w:val="20"/>
                              </w:rPr>
                              <w:t>4</w:t>
                            </w:r>
                            <w:r>
                              <w:rPr>
                                <w:b/>
                                <w:sz w:val="20"/>
                                <w:szCs w:val="20"/>
                              </w:rPr>
                              <w:fldChar w:fldCharType="end"/>
                            </w:r>
                            <w:r>
                              <w:rPr>
                                <w:b/>
                                <w:sz w:val="20"/>
                                <w:szCs w:val="20"/>
                              </w:rPr>
                              <w:t>.</w:t>
                            </w:r>
                            <w:r>
                              <w:rPr>
                                <w:b/>
                                <w:sz w:val="20"/>
                                <w:szCs w:val="20"/>
                              </w:rPr>
                              <w:fldChar w:fldCharType="begin"/>
                            </w:r>
                            <w:r>
                              <w:rPr>
                                <w:b/>
                                <w:sz w:val="20"/>
                                <w:szCs w:val="20"/>
                              </w:rPr>
                              <w:instrText xml:space="preserve"> SEQ Figure \* ARABIC \s 1 </w:instrText>
                            </w:r>
                            <w:r>
                              <w:rPr>
                                <w:b/>
                                <w:sz w:val="20"/>
                                <w:szCs w:val="20"/>
                              </w:rPr>
                              <w:fldChar w:fldCharType="separate"/>
                            </w:r>
                            <w:r>
                              <w:rPr>
                                <w:b/>
                                <w:noProof/>
                                <w:sz w:val="20"/>
                                <w:szCs w:val="20"/>
                              </w:rPr>
                              <w:t>26</w:t>
                            </w:r>
                            <w:r>
                              <w:rPr>
                                <w:b/>
                                <w:sz w:val="20"/>
                                <w:szCs w:val="20"/>
                              </w:rPr>
                              <w:fldChar w:fldCharType="end"/>
                            </w:r>
                            <w:bookmarkEnd w:id="504"/>
                            <w:r>
                              <w:rPr>
                                <w:b/>
                                <w:sz w:val="20"/>
                                <w:szCs w:val="20"/>
                              </w:rPr>
                              <w:t xml:space="preserve"> </w:t>
                            </w:r>
                            <w:r w:rsidRPr="00FB3842">
                              <w:rPr>
                                <w:b/>
                                <w:color w:val="auto"/>
                                <w:sz w:val="20"/>
                                <w:szCs w:val="20"/>
                              </w:rPr>
                              <w:t xml:space="preserve">- </w:t>
                            </w:r>
                            <w:r>
                              <w:rPr>
                                <w:b/>
                                <w:color w:val="auto"/>
                                <w:sz w:val="20"/>
                                <w:szCs w:val="20"/>
                              </w:rPr>
                              <w:t>Simplified simulation model of</w:t>
                            </w:r>
                            <w:r w:rsidRPr="000B5019">
                              <w:rPr>
                                <w:b/>
                                <w:color w:val="auto"/>
                                <w:sz w:val="20"/>
                                <w:szCs w:val="20"/>
                              </w:rPr>
                              <w:t xml:space="preserve"> </w:t>
                            </w:r>
                            <w:r>
                              <w:rPr>
                                <w:b/>
                                <w:color w:val="auto"/>
                                <w:sz w:val="20"/>
                                <w:szCs w:val="20"/>
                              </w:rPr>
                              <w:t xml:space="preserve">T cell, myeloid cell and </w:t>
                            </w:r>
                            <w:r>
                              <w:rPr>
                                <w:b/>
                                <w:i/>
                                <w:color w:val="auto"/>
                                <w:sz w:val="20"/>
                                <w:szCs w:val="20"/>
                              </w:rPr>
                              <w:t xml:space="preserve">L. </w:t>
                            </w:r>
                            <w:r w:rsidRPr="00D8344F">
                              <w:rPr>
                                <w:b/>
                                <w:i/>
                                <w:color w:val="auto"/>
                                <w:sz w:val="20"/>
                                <w:szCs w:val="20"/>
                              </w:rPr>
                              <w:t>donovani</w:t>
                            </w:r>
                            <w:r>
                              <w:rPr>
                                <w:b/>
                                <w:color w:val="auto"/>
                                <w:sz w:val="20"/>
                                <w:szCs w:val="20"/>
                              </w:rPr>
                              <w:t xml:space="preserve"> </w:t>
                            </w:r>
                            <w:r w:rsidRPr="00D8344F">
                              <w:rPr>
                                <w:b/>
                                <w:color w:val="auto"/>
                                <w:sz w:val="20"/>
                                <w:szCs w:val="20"/>
                              </w:rPr>
                              <w:t>populations</w:t>
                            </w:r>
                            <w:r w:rsidRPr="00FB3842">
                              <w:rPr>
                                <w:b/>
                                <w:color w:val="auto"/>
                                <w:sz w:val="20"/>
                                <w:szCs w:val="20"/>
                              </w:rPr>
                              <w:t>.</w:t>
                            </w:r>
                            <w:r w:rsidRPr="00FB3842">
                              <w:rPr>
                                <w:color w:val="auto"/>
                                <w:sz w:val="20"/>
                                <w:szCs w:val="20"/>
                              </w:rPr>
                              <w:t xml:space="preserve"> </w:t>
                            </w:r>
                            <w:r>
                              <w:rPr>
                                <w:color w:val="auto"/>
                                <w:sz w:val="20"/>
                                <w:szCs w:val="20"/>
                              </w:rPr>
                              <w:t>The</w:t>
                            </w:r>
                            <w:r w:rsidRPr="00FB3842">
                              <w:rPr>
                                <w:color w:val="auto"/>
                                <w:sz w:val="20"/>
                                <w:szCs w:val="20"/>
                              </w:rPr>
                              <w:t xml:space="preserve"> simplified </w:t>
                            </w:r>
                            <w:r>
                              <w:rPr>
                                <w:color w:val="auto"/>
                                <w:sz w:val="20"/>
                                <w:szCs w:val="20"/>
                              </w:rPr>
                              <w:t>system</w:t>
                            </w:r>
                            <w:r w:rsidRPr="00FB3842">
                              <w:rPr>
                                <w:color w:val="auto"/>
                                <w:sz w:val="20"/>
                                <w:szCs w:val="20"/>
                              </w:rPr>
                              <w:t xml:space="preserve"> of</w:t>
                            </w:r>
                            <w:r>
                              <w:rPr>
                                <w:color w:val="auto"/>
                                <w:sz w:val="20"/>
                                <w:szCs w:val="20"/>
                              </w:rPr>
                              <w:t xml:space="preserve"> T c</w:t>
                            </w:r>
                            <w:r w:rsidRPr="00FB3842">
                              <w:rPr>
                                <w:color w:val="auto"/>
                                <w:sz w:val="20"/>
                                <w:szCs w:val="20"/>
                              </w:rPr>
                              <w:t>ell and myeloid c</w:t>
                            </w:r>
                            <w:r>
                              <w:rPr>
                                <w:color w:val="auto"/>
                                <w:sz w:val="20"/>
                                <w:szCs w:val="20"/>
                              </w:rPr>
                              <w:t xml:space="preserve">ell population </w:t>
                            </w:r>
                            <w:r w:rsidRPr="00D873F5">
                              <w:rPr>
                                <w:color w:val="auto"/>
                                <w:sz w:val="20"/>
                                <w:szCs w:val="20"/>
                              </w:rPr>
                              <w:t>kinetics (</w:t>
                            </w:r>
                            <w:r w:rsidRPr="00D873F5">
                              <w:rPr>
                                <w:color w:val="auto"/>
                                <w:sz w:val="20"/>
                                <w:szCs w:val="20"/>
                              </w:rPr>
                              <w:fldChar w:fldCharType="begin"/>
                            </w:r>
                            <w:r w:rsidRPr="00D873F5">
                              <w:rPr>
                                <w:color w:val="auto"/>
                                <w:sz w:val="20"/>
                                <w:szCs w:val="20"/>
                              </w:rPr>
                              <w:instrText xml:space="preserve"> REF _Ref518651810  \* MERGEFORMAT </w:instrText>
                            </w:r>
                            <w:r w:rsidRPr="00D873F5">
                              <w:rPr>
                                <w:color w:val="auto"/>
                                <w:sz w:val="20"/>
                                <w:szCs w:val="20"/>
                              </w:rPr>
                              <w:fldChar w:fldCharType="separate"/>
                            </w:r>
                            <w:r w:rsidRPr="00031DCA">
                              <w:rPr>
                                <w:color w:val="auto"/>
                                <w:sz w:val="20"/>
                                <w:szCs w:val="20"/>
                              </w:rPr>
                              <w:t xml:space="preserve">Figure </w:t>
                            </w:r>
                            <w:r w:rsidRPr="00031DCA">
                              <w:rPr>
                                <w:noProof/>
                                <w:color w:val="auto"/>
                                <w:sz w:val="20"/>
                                <w:szCs w:val="20"/>
                              </w:rPr>
                              <w:t>4.26</w:t>
                            </w:r>
                            <w:r w:rsidRPr="00D873F5">
                              <w:rPr>
                                <w:color w:val="auto"/>
                                <w:sz w:val="20"/>
                                <w:szCs w:val="20"/>
                              </w:rPr>
                              <w:fldChar w:fldCharType="end"/>
                            </w:r>
                            <w:r w:rsidRPr="00D873F5">
                              <w:rPr>
                                <w:color w:val="auto"/>
                                <w:sz w:val="20"/>
                                <w:szCs w:val="20"/>
                              </w:rPr>
                              <w:t>) was expanded</w:t>
                            </w:r>
                            <w:r>
                              <w:rPr>
                                <w:color w:val="auto"/>
                                <w:sz w:val="20"/>
                                <w:szCs w:val="20"/>
                              </w:rPr>
                              <w:t xml:space="preserve"> to include the </w:t>
                            </w:r>
                            <w:r>
                              <w:rPr>
                                <w:i/>
                                <w:color w:val="auto"/>
                                <w:sz w:val="20"/>
                                <w:szCs w:val="20"/>
                              </w:rPr>
                              <w:t>L. donovani</w:t>
                            </w:r>
                            <w:r>
                              <w:rPr>
                                <w:color w:val="auto"/>
                                <w:sz w:val="20"/>
                                <w:szCs w:val="20"/>
                              </w:rPr>
                              <w:t xml:space="preserve"> population. The T cell and (transient)</w:t>
                            </w:r>
                            <w:r w:rsidRPr="00FB3842">
                              <w:rPr>
                                <w:color w:val="auto"/>
                                <w:sz w:val="20"/>
                                <w:szCs w:val="20"/>
                              </w:rPr>
                              <w:t xml:space="preserve"> </w:t>
                            </w:r>
                            <w:r>
                              <w:rPr>
                                <w:color w:val="auto"/>
                                <w:sz w:val="20"/>
                                <w:szCs w:val="20"/>
                              </w:rPr>
                              <w:t>m</w:t>
                            </w:r>
                            <w:r w:rsidRPr="00FB3842">
                              <w:rPr>
                                <w:color w:val="auto"/>
                                <w:sz w:val="20"/>
                                <w:szCs w:val="20"/>
                              </w:rPr>
                              <w:t xml:space="preserve">yeloid parameters derived </w:t>
                            </w:r>
                            <w:r>
                              <w:rPr>
                                <w:color w:val="auto"/>
                                <w:sz w:val="20"/>
                                <w:szCs w:val="20"/>
                              </w:rPr>
                              <w:t>in the previous simplified simulation model</w:t>
                            </w:r>
                            <w:r w:rsidRPr="00FB3842">
                              <w:rPr>
                                <w:color w:val="auto"/>
                                <w:sz w:val="20"/>
                                <w:szCs w:val="20"/>
                              </w:rPr>
                              <w:t xml:space="preserve"> </w:t>
                            </w:r>
                            <w:r>
                              <w:rPr>
                                <w:color w:val="auto"/>
                                <w:sz w:val="20"/>
                                <w:szCs w:val="20"/>
                              </w:rPr>
                              <w:t>were</w:t>
                            </w:r>
                            <w:r w:rsidRPr="00FB3842">
                              <w:rPr>
                                <w:color w:val="auto"/>
                                <w:sz w:val="20"/>
                                <w:szCs w:val="20"/>
                              </w:rPr>
                              <w:t xml:space="preserve"> implemented to allow for determination of the initial extracellular </w:t>
                            </w:r>
                            <w:r w:rsidRPr="00FB3842">
                              <w:rPr>
                                <w:i/>
                                <w:color w:val="auto"/>
                                <w:sz w:val="20"/>
                                <w:szCs w:val="20"/>
                              </w:rPr>
                              <w:t>L. donovani</w:t>
                            </w:r>
                            <w:r w:rsidRPr="00FB3842">
                              <w:rPr>
                                <w:color w:val="auto"/>
                                <w:sz w:val="20"/>
                                <w:szCs w:val="20"/>
                              </w:rPr>
                              <w:t xml:space="preserve"> value.</w:t>
                            </w:r>
                            <w:bookmarkEnd w:id="505"/>
                            <w:bookmarkEnd w:id="506"/>
                            <w:r w:rsidRPr="00FB3842">
                              <w:rPr>
                                <w:b/>
                                <w:color w:val="auto"/>
                                <w:sz w:val="20"/>
                                <w:szCs w:val="20"/>
                              </w:rPr>
                              <w:t xml:space="preserve"> </w:t>
                            </w:r>
                          </w:p>
                          <w:p w14:paraId="426D35A9" w14:textId="7591D260" w:rsidR="00F61130" w:rsidRPr="00FB3842" w:rsidRDefault="00F61130" w:rsidP="009A7895">
                            <w:pPr>
                              <w:pStyle w:val="Caption"/>
                              <w:spacing w:line="360" w:lineRule="auto"/>
                              <w:jc w:val="both"/>
                              <w:rPr>
                                <w:sz w:val="20"/>
                                <w:szCs w:val="20"/>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786B5668" id="Text Box 533" o:spid="_x0000_s1131" type="#_x0000_t202" style="position:absolute;left:0;text-align:left;margin-left:.4pt;margin-top:311.6pt;width:450.95pt;height:71.2pt;z-index:2520760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NkrdzNQIAAG0EAAAOAAAAZHJzL2Uyb0RvYy54bWysVFFv2yAQfp+0/4B4X+y4S9tFcaosVaZJ&#13;&#10;VVspmfpMMI6RgGNAYme/fge2063b07QXfNwdB9/33Xlx12lFTsJ5Caak00lOiTAcKmkOJf2223y4&#13;&#10;pcQHZiqmwIiSnoWnd8v37xatnYsCGlCVcASLGD9vbUmbEOw8yzxvhGZ+AlYYDNbgNAu4dYescqzF&#13;&#10;6lplRZ5fZy24yjrgwnv03vdBukz161rw8FTXXgSiSopvC2l1ad3HNVsu2PzgmG0kH57B/uEVmkmD&#13;&#10;l15K3bPAyNHJP0ppyR14qMOEg86griUXCQOimeZv0GwbZkXCguR4e6HJ/7+y/PH07IisSjq7uqLE&#13;&#10;MI0i7UQXyGfoSPQhQ631c0zcWkwNHQZQ6dHv0RmBd7XT8YuQCMaR6/OF31iOo3N2U9wUBXYEx9in&#13;&#10;/GORX8cy2etp63z4IkCTaJTUoX6JVnZ68KFPHVPiZR6UrDZSqbiJgbVy5MRQ67aRQQzFf8tSJuYa&#13;&#10;iKf6gtGTRYg9lGiFbt8lUqb5bAS6h+qM+B30PeQt30i88YH58MwcNg1CxkEIT7jUCtqSwmBR0oD7&#13;&#10;8Td/zEctMUpJi01YUv/9yJygRH01qHLs2NFwo7EfDXPUa0CsUxwxy5OJB1xQo1k70C84H6t4C4aY&#13;&#10;4XhXScNorkM/CjhfXKxWKQn70rLwYLaWx9Ijs7vuhTk76BJQ0UcY25PN38jT5/Y8r44Bapm0i8z2&#13;&#10;LA6EY08n9Yf5i0Pz6z5lvf4llj8BAAD//wMAUEsDBBQABgAIAAAAIQCtv4/p4gAAAA0BAAAPAAAA&#13;&#10;ZHJzL2Rvd25yZXYueG1sTI/BTsMwDIbvSLxDZCQuiKUE0UHXdIIVbnDYmHbOGtNWNE7VpGv39pgT&#13;&#10;XCxZv/z5+/P17DpxwiG0njTcLRIQSJW3LdUa9p9vt48gQjRkTecJNZwxwLq4vMhNZv1EWzztYi0Y&#13;&#10;QiEzGpoY+0zKUDXoTFj4HomzLz84E3kdamkHMzHcdVIlSSqdaYk/NKbHTYPV9250GtJyGKctbW7K&#13;&#10;/eu7+ehrdXg5H7S+vprLFY/nFYiIc/y7gN8O7A8Fix39SDaITgPLR8apewWC46dELUEcNSzThxRk&#13;&#10;kcv/LYofAAAA//8DAFBLAQItABQABgAIAAAAIQC2gziS/gAAAOEBAAATAAAAAAAAAAAAAAAAAAAA&#13;&#10;AABbQ29udGVudF9UeXBlc10ueG1sUEsBAi0AFAAGAAgAAAAhADj9If/WAAAAlAEAAAsAAAAAAAAA&#13;&#10;AAAAAAAALwEAAF9yZWxzLy5yZWxzUEsBAi0AFAAGAAgAAAAhAA2St3M1AgAAbQQAAA4AAAAAAAAA&#13;&#10;AAAAAAAALgIAAGRycy9lMm9Eb2MueG1sUEsBAi0AFAAGAAgAAAAhAK2/j+niAAAADQEAAA8AAAAA&#13;&#10;AAAAAAAAAAAAjwQAAGRycy9kb3ducmV2LnhtbFBLBQYAAAAABAAEAPMAAACeBQAAAAA=&#13;&#10;" stroked="f">
                <v:textbox inset="0,0,0,0">
                  <w:txbxContent>
                    <w:p w14:paraId="7640A1E9" w14:textId="4B9404D8" w:rsidR="00F61130" w:rsidRPr="00FB3842" w:rsidRDefault="00F61130" w:rsidP="009A7895">
                      <w:pPr>
                        <w:pStyle w:val="Caption"/>
                        <w:spacing w:line="360" w:lineRule="auto"/>
                        <w:jc w:val="both"/>
                        <w:rPr>
                          <w:b/>
                          <w:color w:val="auto"/>
                          <w:sz w:val="20"/>
                          <w:szCs w:val="20"/>
                        </w:rPr>
                      </w:pPr>
                      <w:bookmarkStart w:id="507" w:name="_Ref518720551"/>
                      <w:bookmarkStart w:id="508" w:name="_Toc525227231"/>
                      <w:bookmarkStart w:id="509" w:name="_Toc536814170"/>
                      <w:r w:rsidRPr="00FB3842">
                        <w:rPr>
                          <w:b/>
                          <w:sz w:val="20"/>
                          <w:szCs w:val="20"/>
                        </w:rPr>
                        <w:t xml:space="preserve">Figure </w:t>
                      </w:r>
                      <w:r>
                        <w:rPr>
                          <w:b/>
                          <w:sz w:val="20"/>
                          <w:szCs w:val="20"/>
                        </w:rPr>
                        <w:fldChar w:fldCharType="begin"/>
                      </w:r>
                      <w:r>
                        <w:rPr>
                          <w:b/>
                          <w:sz w:val="20"/>
                          <w:szCs w:val="20"/>
                        </w:rPr>
                        <w:instrText xml:space="preserve"> STYLEREF 1 \s </w:instrText>
                      </w:r>
                      <w:r>
                        <w:rPr>
                          <w:b/>
                          <w:sz w:val="20"/>
                          <w:szCs w:val="20"/>
                        </w:rPr>
                        <w:fldChar w:fldCharType="separate"/>
                      </w:r>
                      <w:r>
                        <w:rPr>
                          <w:b/>
                          <w:noProof/>
                          <w:sz w:val="20"/>
                          <w:szCs w:val="20"/>
                        </w:rPr>
                        <w:t>4</w:t>
                      </w:r>
                      <w:r>
                        <w:rPr>
                          <w:b/>
                          <w:sz w:val="20"/>
                          <w:szCs w:val="20"/>
                        </w:rPr>
                        <w:fldChar w:fldCharType="end"/>
                      </w:r>
                      <w:r>
                        <w:rPr>
                          <w:b/>
                          <w:sz w:val="20"/>
                          <w:szCs w:val="20"/>
                        </w:rPr>
                        <w:t>.</w:t>
                      </w:r>
                      <w:r>
                        <w:rPr>
                          <w:b/>
                          <w:sz w:val="20"/>
                          <w:szCs w:val="20"/>
                        </w:rPr>
                        <w:fldChar w:fldCharType="begin"/>
                      </w:r>
                      <w:r>
                        <w:rPr>
                          <w:b/>
                          <w:sz w:val="20"/>
                          <w:szCs w:val="20"/>
                        </w:rPr>
                        <w:instrText xml:space="preserve"> SEQ Figure \* ARABIC \s 1 </w:instrText>
                      </w:r>
                      <w:r>
                        <w:rPr>
                          <w:b/>
                          <w:sz w:val="20"/>
                          <w:szCs w:val="20"/>
                        </w:rPr>
                        <w:fldChar w:fldCharType="separate"/>
                      </w:r>
                      <w:r>
                        <w:rPr>
                          <w:b/>
                          <w:noProof/>
                          <w:sz w:val="20"/>
                          <w:szCs w:val="20"/>
                        </w:rPr>
                        <w:t>26</w:t>
                      </w:r>
                      <w:r>
                        <w:rPr>
                          <w:b/>
                          <w:sz w:val="20"/>
                          <w:szCs w:val="20"/>
                        </w:rPr>
                        <w:fldChar w:fldCharType="end"/>
                      </w:r>
                      <w:bookmarkEnd w:id="507"/>
                      <w:r>
                        <w:rPr>
                          <w:b/>
                          <w:sz w:val="20"/>
                          <w:szCs w:val="20"/>
                        </w:rPr>
                        <w:t xml:space="preserve"> </w:t>
                      </w:r>
                      <w:r w:rsidRPr="00FB3842">
                        <w:rPr>
                          <w:b/>
                          <w:color w:val="auto"/>
                          <w:sz w:val="20"/>
                          <w:szCs w:val="20"/>
                        </w:rPr>
                        <w:t xml:space="preserve">- </w:t>
                      </w:r>
                      <w:r>
                        <w:rPr>
                          <w:b/>
                          <w:color w:val="auto"/>
                          <w:sz w:val="20"/>
                          <w:szCs w:val="20"/>
                        </w:rPr>
                        <w:t>Simplified simulation model of</w:t>
                      </w:r>
                      <w:r w:rsidRPr="000B5019">
                        <w:rPr>
                          <w:b/>
                          <w:color w:val="auto"/>
                          <w:sz w:val="20"/>
                          <w:szCs w:val="20"/>
                        </w:rPr>
                        <w:t xml:space="preserve"> </w:t>
                      </w:r>
                      <w:r>
                        <w:rPr>
                          <w:b/>
                          <w:color w:val="auto"/>
                          <w:sz w:val="20"/>
                          <w:szCs w:val="20"/>
                        </w:rPr>
                        <w:t xml:space="preserve">T cell, myeloid cell and </w:t>
                      </w:r>
                      <w:r>
                        <w:rPr>
                          <w:b/>
                          <w:i/>
                          <w:color w:val="auto"/>
                          <w:sz w:val="20"/>
                          <w:szCs w:val="20"/>
                        </w:rPr>
                        <w:t xml:space="preserve">L. </w:t>
                      </w:r>
                      <w:r w:rsidRPr="00D8344F">
                        <w:rPr>
                          <w:b/>
                          <w:i/>
                          <w:color w:val="auto"/>
                          <w:sz w:val="20"/>
                          <w:szCs w:val="20"/>
                        </w:rPr>
                        <w:t>donovani</w:t>
                      </w:r>
                      <w:r>
                        <w:rPr>
                          <w:b/>
                          <w:color w:val="auto"/>
                          <w:sz w:val="20"/>
                          <w:szCs w:val="20"/>
                        </w:rPr>
                        <w:t xml:space="preserve"> </w:t>
                      </w:r>
                      <w:r w:rsidRPr="00D8344F">
                        <w:rPr>
                          <w:b/>
                          <w:color w:val="auto"/>
                          <w:sz w:val="20"/>
                          <w:szCs w:val="20"/>
                        </w:rPr>
                        <w:t>populations</w:t>
                      </w:r>
                      <w:r w:rsidRPr="00FB3842">
                        <w:rPr>
                          <w:b/>
                          <w:color w:val="auto"/>
                          <w:sz w:val="20"/>
                          <w:szCs w:val="20"/>
                        </w:rPr>
                        <w:t>.</w:t>
                      </w:r>
                      <w:r w:rsidRPr="00FB3842">
                        <w:rPr>
                          <w:color w:val="auto"/>
                          <w:sz w:val="20"/>
                          <w:szCs w:val="20"/>
                        </w:rPr>
                        <w:t xml:space="preserve"> </w:t>
                      </w:r>
                      <w:r>
                        <w:rPr>
                          <w:color w:val="auto"/>
                          <w:sz w:val="20"/>
                          <w:szCs w:val="20"/>
                        </w:rPr>
                        <w:t>The</w:t>
                      </w:r>
                      <w:r w:rsidRPr="00FB3842">
                        <w:rPr>
                          <w:color w:val="auto"/>
                          <w:sz w:val="20"/>
                          <w:szCs w:val="20"/>
                        </w:rPr>
                        <w:t xml:space="preserve"> simplified </w:t>
                      </w:r>
                      <w:r>
                        <w:rPr>
                          <w:color w:val="auto"/>
                          <w:sz w:val="20"/>
                          <w:szCs w:val="20"/>
                        </w:rPr>
                        <w:t>system</w:t>
                      </w:r>
                      <w:r w:rsidRPr="00FB3842">
                        <w:rPr>
                          <w:color w:val="auto"/>
                          <w:sz w:val="20"/>
                          <w:szCs w:val="20"/>
                        </w:rPr>
                        <w:t xml:space="preserve"> of</w:t>
                      </w:r>
                      <w:r>
                        <w:rPr>
                          <w:color w:val="auto"/>
                          <w:sz w:val="20"/>
                          <w:szCs w:val="20"/>
                        </w:rPr>
                        <w:t xml:space="preserve"> T c</w:t>
                      </w:r>
                      <w:r w:rsidRPr="00FB3842">
                        <w:rPr>
                          <w:color w:val="auto"/>
                          <w:sz w:val="20"/>
                          <w:szCs w:val="20"/>
                        </w:rPr>
                        <w:t>ell and myeloid c</w:t>
                      </w:r>
                      <w:r>
                        <w:rPr>
                          <w:color w:val="auto"/>
                          <w:sz w:val="20"/>
                          <w:szCs w:val="20"/>
                        </w:rPr>
                        <w:t xml:space="preserve">ell population </w:t>
                      </w:r>
                      <w:r w:rsidRPr="00D873F5">
                        <w:rPr>
                          <w:color w:val="auto"/>
                          <w:sz w:val="20"/>
                          <w:szCs w:val="20"/>
                        </w:rPr>
                        <w:t>kinetics (</w:t>
                      </w:r>
                      <w:r w:rsidRPr="00D873F5">
                        <w:rPr>
                          <w:color w:val="auto"/>
                          <w:sz w:val="20"/>
                          <w:szCs w:val="20"/>
                        </w:rPr>
                        <w:fldChar w:fldCharType="begin"/>
                      </w:r>
                      <w:r w:rsidRPr="00D873F5">
                        <w:rPr>
                          <w:color w:val="auto"/>
                          <w:sz w:val="20"/>
                          <w:szCs w:val="20"/>
                        </w:rPr>
                        <w:instrText xml:space="preserve"> REF _Ref518651810  \* MERGEFORMAT </w:instrText>
                      </w:r>
                      <w:r w:rsidRPr="00D873F5">
                        <w:rPr>
                          <w:color w:val="auto"/>
                          <w:sz w:val="20"/>
                          <w:szCs w:val="20"/>
                        </w:rPr>
                        <w:fldChar w:fldCharType="separate"/>
                      </w:r>
                      <w:r w:rsidRPr="00031DCA">
                        <w:rPr>
                          <w:color w:val="auto"/>
                          <w:sz w:val="20"/>
                          <w:szCs w:val="20"/>
                        </w:rPr>
                        <w:t xml:space="preserve">Figure </w:t>
                      </w:r>
                      <w:r w:rsidRPr="00031DCA">
                        <w:rPr>
                          <w:noProof/>
                          <w:color w:val="auto"/>
                          <w:sz w:val="20"/>
                          <w:szCs w:val="20"/>
                        </w:rPr>
                        <w:t>4.26</w:t>
                      </w:r>
                      <w:r w:rsidRPr="00D873F5">
                        <w:rPr>
                          <w:color w:val="auto"/>
                          <w:sz w:val="20"/>
                          <w:szCs w:val="20"/>
                        </w:rPr>
                        <w:fldChar w:fldCharType="end"/>
                      </w:r>
                      <w:r w:rsidRPr="00D873F5">
                        <w:rPr>
                          <w:color w:val="auto"/>
                          <w:sz w:val="20"/>
                          <w:szCs w:val="20"/>
                        </w:rPr>
                        <w:t>) was expanded</w:t>
                      </w:r>
                      <w:r>
                        <w:rPr>
                          <w:color w:val="auto"/>
                          <w:sz w:val="20"/>
                          <w:szCs w:val="20"/>
                        </w:rPr>
                        <w:t xml:space="preserve"> to include the </w:t>
                      </w:r>
                      <w:r>
                        <w:rPr>
                          <w:i/>
                          <w:color w:val="auto"/>
                          <w:sz w:val="20"/>
                          <w:szCs w:val="20"/>
                        </w:rPr>
                        <w:t>L. donovani</w:t>
                      </w:r>
                      <w:r>
                        <w:rPr>
                          <w:color w:val="auto"/>
                          <w:sz w:val="20"/>
                          <w:szCs w:val="20"/>
                        </w:rPr>
                        <w:t xml:space="preserve"> population. The T cell and (transient)</w:t>
                      </w:r>
                      <w:r w:rsidRPr="00FB3842">
                        <w:rPr>
                          <w:color w:val="auto"/>
                          <w:sz w:val="20"/>
                          <w:szCs w:val="20"/>
                        </w:rPr>
                        <w:t xml:space="preserve"> </w:t>
                      </w:r>
                      <w:r>
                        <w:rPr>
                          <w:color w:val="auto"/>
                          <w:sz w:val="20"/>
                          <w:szCs w:val="20"/>
                        </w:rPr>
                        <w:t>m</w:t>
                      </w:r>
                      <w:r w:rsidRPr="00FB3842">
                        <w:rPr>
                          <w:color w:val="auto"/>
                          <w:sz w:val="20"/>
                          <w:szCs w:val="20"/>
                        </w:rPr>
                        <w:t xml:space="preserve">yeloid parameters derived </w:t>
                      </w:r>
                      <w:r>
                        <w:rPr>
                          <w:color w:val="auto"/>
                          <w:sz w:val="20"/>
                          <w:szCs w:val="20"/>
                        </w:rPr>
                        <w:t>in the previous simplified simulation model</w:t>
                      </w:r>
                      <w:r w:rsidRPr="00FB3842">
                        <w:rPr>
                          <w:color w:val="auto"/>
                          <w:sz w:val="20"/>
                          <w:szCs w:val="20"/>
                        </w:rPr>
                        <w:t xml:space="preserve"> </w:t>
                      </w:r>
                      <w:r>
                        <w:rPr>
                          <w:color w:val="auto"/>
                          <w:sz w:val="20"/>
                          <w:szCs w:val="20"/>
                        </w:rPr>
                        <w:t>were</w:t>
                      </w:r>
                      <w:r w:rsidRPr="00FB3842">
                        <w:rPr>
                          <w:color w:val="auto"/>
                          <w:sz w:val="20"/>
                          <w:szCs w:val="20"/>
                        </w:rPr>
                        <w:t xml:space="preserve"> implemented to allow for determination of the initial extracellular </w:t>
                      </w:r>
                      <w:r w:rsidRPr="00FB3842">
                        <w:rPr>
                          <w:i/>
                          <w:color w:val="auto"/>
                          <w:sz w:val="20"/>
                          <w:szCs w:val="20"/>
                        </w:rPr>
                        <w:t>L. donovani</w:t>
                      </w:r>
                      <w:r w:rsidRPr="00FB3842">
                        <w:rPr>
                          <w:color w:val="auto"/>
                          <w:sz w:val="20"/>
                          <w:szCs w:val="20"/>
                        </w:rPr>
                        <w:t xml:space="preserve"> value.</w:t>
                      </w:r>
                      <w:bookmarkEnd w:id="508"/>
                      <w:bookmarkEnd w:id="509"/>
                      <w:r w:rsidRPr="00FB3842">
                        <w:rPr>
                          <w:b/>
                          <w:color w:val="auto"/>
                          <w:sz w:val="20"/>
                          <w:szCs w:val="20"/>
                        </w:rPr>
                        <w:t xml:space="preserve"> </w:t>
                      </w:r>
                    </w:p>
                    <w:p w14:paraId="426D35A9" w14:textId="7591D260" w:rsidR="00F61130" w:rsidRPr="00FB3842" w:rsidRDefault="00F61130" w:rsidP="009A7895">
                      <w:pPr>
                        <w:pStyle w:val="Caption"/>
                        <w:spacing w:line="360" w:lineRule="auto"/>
                        <w:jc w:val="both"/>
                        <w:rPr>
                          <w:sz w:val="20"/>
                          <w:szCs w:val="20"/>
                        </w:rPr>
                      </w:pPr>
                    </w:p>
                  </w:txbxContent>
                </v:textbox>
                <w10:wrap type="topAndBottom"/>
              </v:shape>
            </w:pict>
          </mc:Fallback>
        </mc:AlternateContent>
      </w:r>
    </w:p>
    <w:p w14:paraId="07A16083" w14:textId="77777777" w:rsidR="00185FDB" w:rsidRDefault="00185FDB" w:rsidP="009154C0">
      <w:pPr>
        <w:spacing w:line="360" w:lineRule="auto"/>
        <w:jc w:val="both"/>
      </w:pPr>
    </w:p>
    <w:p w14:paraId="1CC8302C" w14:textId="12CA7345" w:rsidR="00611940" w:rsidRPr="008B3AD6" w:rsidRDefault="00611940" w:rsidP="009154C0">
      <w:pPr>
        <w:spacing w:line="360" w:lineRule="auto"/>
        <w:jc w:val="both"/>
      </w:pPr>
      <w:r w:rsidRPr="008B3AD6">
        <w:lastRenderedPageBreak/>
        <w:t xml:space="preserve">In this second simulation </w:t>
      </w:r>
      <w:r w:rsidR="00D8344F">
        <w:t xml:space="preserve">model </w:t>
      </w:r>
      <w:r w:rsidRPr="008B3AD6">
        <w:t xml:space="preserve">the initial value of </w:t>
      </w:r>
      <w:r w:rsidR="000C4DD6" w:rsidRPr="008B3AD6">
        <w:t xml:space="preserve">(hepatic) </w:t>
      </w:r>
      <w:r w:rsidRPr="008B3AD6">
        <w:rPr>
          <w:i/>
        </w:rPr>
        <w:t>L. donovani</w:t>
      </w:r>
      <w:r w:rsidRPr="008B3AD6">
        <w:t xml:space="preserve"> is unknown, sensibly we assume in a biological system that there is no parasite </w:t>
      </w:r>
      <w:r w:rsidR="00D8344F">
        <w:t xml:space="preserve">at time zero </w:t>
      </w:r>
      <w:r w:rsidRPr="008B3AD6">
        <w:t xml:space="preserve">and they are subsequently delivered by the blood supply post-infection; however, this assumption does not logically extend to a simulation </w:t>
      </w:r>
      <w:r w:rsidR="000C4DD6" w:rsidRPr="008B3AD6">
        <w:t xml:space="preserve">of </w:t>
      </w:r>
      <w:r w:rsidRPr="008B3AD6">
        <w:t>a single liver compartment.</w:t>
      </w:r>
      <w:r w:rsidR="00D912B0">
        <w:t xml:space="preserve"> </w:t>
      </w:r>
      <w:r w:rsidRPr="008B3AD6">
        <w:t>We must assume the parasite in the liver is instant</w:t>
      </w:r>
      <w:r w:rsidR="00D8344F">
        <w:t>aneously initiated at time zero. T</w:t>
      </w:r>
      <w:r w:rsidRPr="008B3AD6">
        <w:t xml:space="preserve">o determine </w:t>
      </w:r>
      <w:r w:rsidR="005237D1">
        <w:t>the likely</w:t>
      </w:r>
      <w:r w:rsidRPr="008B3AD6">
        <w:t xml:space="preserve"> initial value an expected prior range of parasite was selected, a uniform distribution between 6 x 10</w:t>
      </w:r>
      <w:r w:rsidRPr="008B3AD6">
        <w:rPr>
          <w:vertAlign w:val="superscript"/>
        </w:rPr>
        <w:t>5</w:t>
      </w:r>
      <w:r w:rsidRPr="008B3AD6">
        <w:t xml:space="preserve"> and 10 x 10</w:t>
      </w:r>
      <w:r w:rsidRPr="008B3AD6">
        <w:rPr>
          <w:vertAlign w:val="superscript"/>
        </w:rPr>
        <w:t>5</w:t>
      </w:r>
      <w:r w:rsidR="000D6332" w:rsidRPr="008B3AD6">
        <w:t xml:space="preserve"> (</w:t>
      </w:r>
      <w:r w:rsidR="00D034D1" w:rsidRPr="001F0D20">
        <w:rPr>
          <w:b/>
        </w:rPr>
        <w:fldChar w:fldCharType="begin"/>
      </w:r>
      <w:r w:rsidR="00D034D1" w:rsidRPr="001F0D20">
        <w:rPr>
          <w:b/>
        </w:rPr>
        <w:instrText xml:space="preserve"> REF _Ref518722353  \* MERGEFORMAT </w:instrText>
      </w:r>
      <w:r w:rsidR="00D034D1" w:rsidRPr="001F0D20">
        <w:rPr>
          <w:b/>
        </w:rPr>
        <w:fldChar w:fldCharType="separate"/>
      </w:r>
      <w:r w:rsidR="00F30350" w:rsidRPr="00F30350">
        <w:rPr>
          <w:b/>
        </w:rPr>
        <w:t xml:space="preserve">Table </w:t>
      </w:r>
      <w:r w:rsidR="00F30350" w:rsidRPr="00F30350">
        <w:rPr>
          <w:b/>
          <w:noProof/>
        </w:rPr>
        <w:t>4.2</w:t>
      </w:r>
      <w:r w:rsidR="00D034D1" w:rsidRPr="001F0D20">
        <w:rPr>
          <w:b/>
          <w:noProof/>
        </w:rPr>
        <w:fldChar w:fldCharType="end"/>
      </w:r>
      <w:r w:rsidR="000D6332" w:rsidRPr="008B3AD6">
        <w:t>)</w:t>
      </w:r>
      <w:r w:rsidRPr="008B3AD6">
        <w:t xml:space="preserve">. This distribution was supplied to the </w:t>
      </w:r>
      <w:r w:rsidRPr="008B3AD6">
        <w:rPr>
          <w:i/>
        </w:rPr>
        <w:t>ABC_sequential</w:t>
      </w:r>
      <w:r w:rsidR="000D6332" w:rsidRPr="008B3AD6">
        <w:t xml:space="preserve"> function with prior ranges for </w:t>
      </w:r>
      <w:r w:rsidRPr="008B3AD6">
        <w:t>the</w:t>
      </w:r>
      <w:r w:rsidR="000D6332" w:rsidRPr="008B3AD6">
        <w:t xml:space="preserve"> parasite parameters (</w:t>
      </w:r>
      <w:r w:rsidRPr="008B3AD6">
        <w:t>parasite replication rate (</w:t>
      </w:r>
      <w:r w:rsidRPr="008B3AD6">
        <w:rPr>
          <w:i/>
        </w:rPr>
        <w:t>ap</w:t>
      </w:r>
      <w:r w:rsidRPr="008B3AD6">
        <w:t xml:space="preserve">), </w:t>
      </w:r>
      <w:r w:rsidR="000D6332" w:rsidRPr="008B3AD6">
        <w:t>50</w:t>
      </w:r>
      <w:r w:rsidRPr="008B3AD6">
        <w:t>% inhibitory concentration of anti-leishmanial compounds (</w:t>
      </w:r>
      <w:r w:rsidRPr="008B3AD6">
        <w:rPr>
          <w:i/>
        </w:rPr>
        <w:t>a</w:t>
      </w:r>
      <w:r w:rsidRPr="008B3AD6">
        <w:t>), the temporal delay in anti-leishmanial compound production (</w:t>
      </w:r>
      <w:r w:rsidRPr="008B3AD6">
        <w:rPr>
          <w:i/>
        </w:rPr>
        <w:t>tau</w:t>
      </w:r>
      <w:r w:rsidRPr="008B3AD6">
        <w:t>) and</w:t>
      </w:r>
      <w:r w:rsidR="000D6332" w:rsidRPr="008B3AD6">
        <w:t xml:space="preserve"> the </w:t>
      </w:r>
      <w:r w:rsidRPr="008B3AD6">
        <w:t>anti-leishmanial compound decay rate (</w:t>
      </w:r>
      <w:r w:rsidRPr="008B3AD6">
        <w:rPr>
          <w:i/>
        </w:rPr>
        <w:t>da</w:t>
      </w:r>
      <w:r w:rsidR="000D6332" w:rsidRPr="008B3AD6">
        <w:t>)</w:t>
      </w:r>
      <w:r w:rsidR="001F0D20">
        <w:t>)</w:t>
      </w:r>
      <w:r w:rsidR="000D6332" w:rsidRPr="008B3AD6">
        <w:t xml:space="preserve">. Once again these are transient parameters as the representation of </w:t>
      </w:r>
      <w:r w:rsidR="000D6332" w:rsidRPr="008B3AD6">
        <w:rPr>
          <w:i/>
        </w:rPr>
        <w:t>L. donovani</w:t>
      </w:r>
      <w:r w:rsidR="000D6332" w:rsidRPr="008B3AD6">
        <w:t xml:space="preserve"> is further developed in the next, and final, iteration to more adequately represent the platform model. The simplified representation here is sufficient to allow the determination of an initial value without the additional complexity of attempting a full model parameterisation.</w:t>
      </w:r>
      <w:r w:rsidR="0093771E" w:rsidRPr="008B3AD6">
        <w:t xml:space="preserve"> </w:t>
      </w:r>
      <w:r w:rsidRPr="008B3AD6">
        <w:t>The resulting 50 simulations (</w:t>
      </w:r>
      <w:r w:rsidR="004861DF" w:rsidRPr="001F0D20">
        <w:rPr>
          <w:b/>
        </w:rPr>
        <w:fldChar w:fldCharType="begin"/>
      </w:r>
      <w:r w:rsidR="004861DF" w:rsidRPr="001F0D20">
        <w:rPr>
          <w:b/>
        </w:rPr>
        <w:instrText xml:space="preserve"> REF _Ref518740841 </w:instrText>
      </w:r>
      <w:r w:rsidR="00FC227A" w:rsidRPr="001F0D20">
        <w:rPr>
          <w:b/>
        </w:rPr>
        <w:instrText xml:space="preserve"> \* MERGEFORMAT </w:instrText>
      </w:r>
      <w:r w:rsidR="004861DF" w:rsidRPr="001F0D20">
        <w:rPr>
          <w:b/>
        </w:rPr>
        <w:fldChar w:fldCharType="separate"/>
      </w:r>
      <w:r w:rsidR="00F30350" w:rsidRPr="00F30350">
        <w:rPr>
          <w:b/>
        </w:rPr>
        <w:t xml:space="preserve">Figure </w:t>
      </w:r>
      <w:r w:rsidR="00F30350" w:rsidRPr="00F30350">
        <w:rPr>
          <w:b/>
          <w:noProof/>
        </w:rPr>
        <w:t>4.27</w:t>
      </w:r>
      <w:r w:rsidR="004861DF" w:rsidRPr="001F0D20">
        <w:rPr>
          <w:b/>
        </w:rPr>
        <w:fldChar w:fldCharType="end"/>
      </w:r>
      <w:r w:rsidR="00FC227A" w:rsidRPr="001F0D20">
        <w:rPr>
          <w:b/>
        </w:rPr>
        <w:t>A</w:t>
      </w:r>
      <w:r w:rsidRPr="008B3AD6">
        <w:t>) were then analysed, as before, using the RMSE to determine the best fit (</w:t>
      </w:r>
      <w:r w:rsidR="004861DF" w:rsidRPr="001F0D20">
        <w:rPr>
          <w:b/>
        </w:rPr>
        <w:fldChar w:fldCharType="begin"/>
      </w:r>
      <w:r w:rsidR="004861DF" w:rsidRPr="001F0D20">
        <w:rPr>
          <w:b/>
        </w:rPr>
        <w:instrText xml:space="preserve"> REF _Ref518740841 </w:instrText>
      </w:r>
      <w:r w:rsidR="00FC227A" w:rsidRPr="001F0D20">
        <w:rPr>
          <w:b/>
        </w:rPr>
        <w:instrText xml:space="preserve"> \* MERGEFORMAT </w:instrText>
      </w:r>
      <w:r w:rsidR="004861DF" w:rsidRPr="001F0D20">
        <w:rPr>
          <w:b/>
        </w:rPr>
        <w:fldChar w:fldCharType="separate"/>
      </w:r>
      <w:r w:rsidR="00F30350" w:rsidRPr="00F30350">
        <w:rPr>
          <w:b/>
        </w:rPr>
        <w:t xml:space="preserve">Figure </w:t>
      </w:r>
      <w:r w:rsidR="00F30350" w:rsidRPr="00F30350">
        <w:rPr>
          <w:b/>
          <w:noProof/>
        </w:rPr>
        <w:t>4.27</w:t>
      </w:r>
      <w:r w:rsidR="004861DF" w:rsidRPr="001F0D20">
        <w:rPr>
          <w:b/>
        </w:rPr>
        <w:fldChar w:fldCharType="end"/>
      </w:r>
      <w:r w:rsidR="00FC227A" w:rsidRPr="001F0D20">
        <w:rPr>
          <w:b/>
        </w:rPr>
        <w:t>B</w:t>
      </w:r>
      <w:r w:rsidRPr="008B3AD6">
        <w:t xml:space="preserve">) </w:t>
      </w:r>
      <w:r w:rsidR="00FC227A" w:rsidRPr="008B3AD6">
        <w:t>from which</w:t>
      </w:r>
      <w:r w:rsidRPr="008B3AD6">
        <w:t xml:space="preserve"> the initial </w:t>
      </w:r>
      <w:r w:rsidR="004861DF" w:rsidRPr="008B3AD6">
        <w:rPr>
          <w:i/>
        </w:rPr>
        <w:t>L. donovani</w:t>
      </w:r>
      <w:r w:rsidR="004861DF" w:rsidRPr="008B3AD6">
        <w:t xml:space="preserve"> value</w:t>
      </w:r>
      <w:r w:rsidRPr="008B3AD6">
        <w:t xml:space="preserve"> was </w:t>
      </w:r>
      <w:r w:rsidR="004861DF" w:rsidRPr="008B3AD6">
        <w:t>recorded</w:t>
      </w:r>
      <w:r w:rsidRPr="008B3AD6">
        <w:t xml:space="preserve"> (</w:t>
      </w:r>
      <w:r w:rsidR="004861DF" w:rsidRPr="001F0D20">
        <w:rPr>
          <w:b/>
        </w:rPr>
        <w:fldChar w:fldCharType="begin"/>
      </w:r>
      <w:r w:rsidR="004861DF" w:rsidRPr="001F0D20">
        <w:rPr>
          <w:b/>
        </w:rPr>
        <w:instrText xml:space="preserve"> REF _Ref518722353 </w:instrText>
      </w:r>
      <w:r w:rsidR="00FC227A" w:rsidRPr="001F0D20">
        <w:rPr>
          <w:b/>
        </w:rPr>
        <w:instrText xml:space="preserve"> \* MERGEFORMAT </w:instrText>
      </w:r>
      <w:r w:rsidR="004861DF" w:rsidRPr="001F0D20">
        <w:rPr>
          <w:b/>
        </w:rPr>
        <w:fldChar w:fldCharType="separate"/>
      </w:r>
      <w:r w:rsidR="00F30350" w:rsidRPr="00F30350">
        <w:rPr>
          <w:b/>
        </w:rPr>
        <w:t xml:space="preserve">Table </w:t>
      </w:r>
      <w:r w:rsidR="00F30350" w:rsidRPr="00F30350">
        <w:rPr>
          <w:b/>
          <w:noProof/>
        </w:rPr>
        <w:t>4.2</w:t>
      </w:r>
      <w:r w:rsidR="004861DF" w:rsidRPr="001F0D20">
        <w:rPr>
          <w:b/>
        </w:rPr>
        <w:fldChar w:fldCharType="end"/>
      </w:r>
      <w:r w:rsidRPr="008B3AD6">
        <w:t xml:space="preserve">). </w:t>
      </w:r>
    </w:p>
    <w:p w14:paraId="46ECC9B2" w14:textId="39A3C111" w:rsidR="0093771E" w:rsidRPr="008B3AD6" w:rsidRDefault="006E34EC" w:rsidP="009154C0">
      <w:pPr>
        <w:spacing w:line="240" w:lineRule="auto"/>
        <w:jc w:val="both"/>
      </w:pPr>
      <w:r>
        <w:rPr>
          <w:noProof/>
        </w:rPr>
        <mc:AlternateContent>
          <mc:Choice Requires="wps">
            <w:drawing>
              <wp:anchor distT="0" distB="0" distL="114300" distR="114300" simplePos="0" relativeHeight="251585536" behindDoc="0" locked="0" layoutInCell="1" allowOverlap="1" wp14:anchorId="242DBAC0" wp14:editId="7B15AC9E">
                <wp:simplePos x="0" y="0"/>
                <wp:positionH relativeFrom="column">
                  <wp:posOffset>-5080</wp:posOffset>
                </wp:positionH>
                <wp:positionV relativeFrom="paragraph">
                  <wp:posOffset>2628265</wp:posOffset>
                </wp:positionV>
                <wp:extent cx="5575935" cy="1543050"/>
                <wp:effectExtent l="0" t="0" r="0" b="6350"/>
                <wp:wrapTopAndBottom/>
                <wp:docPr id="535" name="Text Box 535"/>
                <wp:cNvGraphicFramePr/>
                <a:graphic xmlns:a="http://schemas.openxmlformats.org/drawingml/2006/main">
                  <a:graphicData uri="http://schemas.microsoft.com/office/word/2010/wordprocessingShape">
                    <wps:wsp>
                      <wps:cNvSpPr txBox="1"/>
                      <wps:spPr>
                        <a:xfrm>
                          <a:off x="0" y="0"/>
                          <a:ext cx="5575935" cy="1543050"/>
                        </a:xfrm>
                        <a:prstGeom prst="rect">
                          <a:avLst/>
                        </a:prstGeom>
                        <a:solidFill>
                          <a:prstClr val="white"/>
                        </a:solidFill>
                        <a:ln>
                          <a:noFill/>
                        </a:ln>
                      </wps:spPr>
                      <wps:txbx>
                        <w:txbxContent>
                          <w:p w14:paraId="44BF32FD" w14:textId="660A892D" w:rsidR="00F61130" w:rsidRPr="00B23FF8" w:rsidRDefault="00F61130" w:rsidP="006E34EC">
                            <w:pPr>
                              <w:pStyle w:val="Caption"/>
                              <w:spacing w:line="360" w:lineRule="auto"/>
                              <w:jc w:val="both"/>
                              <w:rPr>
                                <w:sz w:val="20"/>
                                <w:szCs w:val="20"/>
                              </w:rPr>
                            </w:pPr>
                            <w:bookmarkStart w:id="510" w:name="_Ref518740841"/>
                            <w:bookmarkStart w:id="511" w:name="_Toc536814171"/>
                            <w:bookmarkStart w:id="512" w:name="_Toc525227232"/>
                            <w:r w:rsidRPr="00440E95">
                              <w:rPr>
                                <w:b/>
                                <w:sz w:val="20"/>
                                <w:szCs w:val="20"/>
                              </w:rPr>
                              <w:t xml:space="preserve">Figure </w:t>
                            </w:r>
                            <w:r>
                              <w:rPr>
                                <w:b/>
                                <w:sz w:val="20"/>
                                <w:szCs w:val="20"/>
                              </w:rPr>
                              <w:fldChar w:fldCharType="begin"/>
                            </w:r>
                            <w:r>
                              <w:rPr>
                                <w:b/>
                                <w:sz w:val="20"/>
                                <w:szCs w:val="20"/>
                              </w:rPr>
                              <w:instrText xml:space="preserve"> STYLEREF 1 \s </w:instrText>
                            </w:r>
                            <w:r>
                              <w:rPr>
                                <w:b/>
                                <w:sz w:val="20"/>
                                <w:szCs w:val="20"/>
                              </w:rPr>
                              <w:fldChar w:fldCharType="separate"/>
                            </w:r>
                            <w:r>
                              <w:rPr>
                                <w:b/>
                                <w:noProof/>
                                <w:sz w:val="20"/>
                                <w:szCs w:val="20"/>
                              </w:rPr>
                              <w:t>4</w:t>
                            </w:r>
                            <w:r>
                              <w:rPr>
                                <w:b/>
                                <w:sz w:val="20"/>
                                <w:szCs w:val="20"/>
                              </w:rPr>
                              <w:fldChar w:fldCharType="end"/>
                            </w:r>
                            <w:r>
                              <w:rPr>
                                <w:b/>
                                <w:sz w:val="20"/>
                                <w:szCs w:val="20"/>
                              </w:rPr>
                              <w:t>.</w:t>
                            </w:r>
                            <w:r>
                              <w:rPr>
                                <w:b/>
                                <w:sz w:val="20"/>
                                <w:szCs w:val="20"/>
                              </w:rPr>
                              <w:fldChar w:fldCharType="begin"/>
                            </w:r>
                            <w:r>
                              <w:rPr>
                                <w:b/>
                                <w:sz w:val="20"/>
                                <w:szCs w:val="20"/>
                              </w:rPr>
                              <w:instrText xml:space="preserve"> SEQ Figure \* ARABIC \s 1 </w:instrText>
                            </w:r>
                            <w:r>
                              <w:rPr>
                                <w:b/>
                                <w:sz w:val="20"/>
                                <w:szCs w:val="20"/>
                              </w:rPr>
                              <w:fldChar w:fldCharType="separate"/>
                            </w:r>
                            <w:r>
                              <w:rPr>
                                <w:b/>
                                <w:noProof/>
                                <w:sz w:val="20"/>
                                <w:szCs w:val="20"/>
                              </w:rPr>
                              <w:t>27</w:t>
                            </w:r>
                            <w:r>
                              <w:rPr>
                                <w:b/>
                                <w:sz w:val="20"/>
                                <w:szCs w:val="20"/>
                              </w:rPr>
                              <w:fldChar w:fldCharType="end"/>
                            </w:r>
                            <w:bookmarkEnd w:id="510"/>
                            <w:r>
                              <w:rPr>
                                <w:b/>
                                <w:sz w:val="20"/>
                                <w:szCs w:val="20"/>
                              </w:rPr>
                              <w:t xml:space="preserve"> </w:t>
                            </w:r>
                            <w:r w:rsidRPr="00440E95">
                              <w:rPr>
                                <w:b/>
                                <w:sz w:val="20"/>
                                <w:szCs w:val="20"/>
                              </w:rPr>
                              <w:t xml:space="preserve">- Fitting </w:t>
                            </w:r>
                            <w:r w:rsidRPr="00440E95">
                              <w:rPr>
                                <w:b/>
                                <w:i/>
                                <w:sz w:val="20"/>
                                <w:szCs w:val="20"/>
                              </w:rPr>
                              <w:t>Leishmani</w:t>
                            </w:r>
                            <w:r>
                              <w:rPr>
                                <w:b/>
                                <w:i/>
                                <w:sz w:val="20"/>
                                <w:szCs w:val="20"/>
                              </w:rPr>
                              <w:t>a</w:t>
                            </w:r>
                            <w:r w:rsidRPr="00440E95">
                              <w:rPr>
                                <w:b/>
                                <w:i/>
                                <w:sz w:val="20"/>
                                <w:szCs w:val="20"/>
                              </w:rPr>
                              <w:t xml:space="preserve"> donovani </w:t>
                            </w:r>
                            <w:r w:rsidRPr="00440E95">
                              <w:rPr>
                                <w:b/>
                                <w:sz w:val="20"/>
                                <w:szCs w:val="20"/>
                              </w:rPr>
                              <w:t>kinetics.</w:t>
                            </w:r>
                            <w:r w:rsidRPr="00440E95">
                              <w:rPr>
                                <w:sz w:val="20"/>
                                <w:szCs w:val="20"/>
                              </w:rPr>
                              <w:t xml:space="preserve"> </w:t>
                            </w:r>
                            <w:r w:rsidRPr="00440E95">
                              <w:rPr>
                                <w:i/>
                                <w:sz w:val="20"/>
                                <w:szCs w:val="20"/>
                              </w:rPr>
                              <w:t>L. donovani</w:t>
                            </w:r>
                            <w:r w:rsidRPr="00440E95">
                              <w:rPr>
                                <w:sz w:val="20"/>
                                <w:szCs w:val="20"/>
                              </w:rPr>
                              <w:t xml:space="preserve"> kinetics (A) were fitted using the </w:t>
                            </w:r>
                            <w:r w:rsidRPr="00440E95">
                              <w:rPr>
                                <w:i/>
                                <w:sz w:val="20"/>
                                <w:szCs w:val="20"/>
                              </w:rPr>
                              <w:t>Sequential_ABC</w:t>
                            </w:r>
                            <w:r w:rsidRPr="00440E95">
                              <w:rPr>
                                <w:sz w:val="20"/>
                                <w:szCs w:val="20"/>
                              </w:rPr>
                              <w:t xml:space="preserve"> function of the </w:t>
                            </w:r>
                            <w:r w:rsidRPr="00440E95">
                              <w:rPr>
                                <w:i/>
                                <w:sz w:val="20"/>
                                <w:szCs w:val="20"/>
                              </w:rPr>
                              <w:t>easyABC</w:t>
                            </w:r>
                            <w:r w:rsidRPr="00440E95">
                              <w:rPr>
                                <w:sz w:val="20"/>
                                <w:szCs w:val="20"/>
                              </w:rPr>
                              <w:t xml:space="preserve"> package and the best fit selected (B) by selecting the lowest root mean square error when comparing observed vs. expected outputs. </w:t>
                            </w:r>
                            <w:r>
                              <w:rPr>
                                <w:sz w:val="20"/>
                                <w:szCs w:val="20"/>
                              </w:rPr>
                              <w:t>B</w:t>
                            </w:r>
                            <w:r w:rsidRPr="00AB206B">
                              <w:rPr>
                                <w:sz w:val="20"/>
                                <w:szCs w:val="20"/>
                              </w:rPr>
                              <w:t xml:space="preserve">lue dots represent the mean of the biological replicates which the model was trained against, grey lines represent </w:t>
                            </w:r>
                            <w:r w:rsidRPr="00AB206B">
                              <w:rPr>
                                <w:i/>
                                <w:sz w:val="20"/>
                                <w:szCs w:val="20"/>
                              </w:rPr>
                              <w:t>in silico</w:t>
                            </w:r>
                            <w:r w:rsidRPr="00AB206B">
                              <w:rPr>
                                <w:sz w:val="20"/>
                                <w:szCs w:val="20"/>
                              </w:rPr>
                              <w:t xml:space="preserve"> parameterisation outputs (n = 50),</w:t>
                            </w:r>
                            <w:r>
                              <w:rPr>
                                <w:sz w:val="20"/>
                                <w:szCs w:val="20"/>
                              </w:rPr>
                              <w:t xml:space="preserve"> red lines represent the 95% Confidence Interval for the </w:t>
                            </w:r>
                            <w:r>
                              <w:rPr>
                                <w:i/>
                                <w:sz w:val="20"/>
                                <w:szCs w:val="20"/>
                              </w:rPr>
                              <w:t>in silico outputs</w:t>
                            </w:r>
                            <w:r w:rsidRPr="00AB206B">
                              <w:rPr>
                                <w:sz w:val="20"/>
                                <w:szCs w:val="20"/>
                              </w:rPr>
                              <w:t xml:space="preserve"> and black lines represent the best fitting </w:t>
                            </w:r>
                            <w:r w:rsidRPr="00AB206B">
                              <w:rPr>
                                <w:i/>
                                <w:sz w:val="20"/>
                                <w:szCs w:val="20"/>
                              </w:rPr>
                              <w:t xml:space="preserve">in silico </w:t>
                            </w:r>
                            <w:r w:rsidRPr="00AB206B">
                              <w:rPr>
                                <w:sz w:val="20"/>
                                <w:szCs w:val="20"/>
                              </w:rPr>
                              <w:t>output.</w:t>
                            </w:r>
                            <w:bookmarkEnd w:id="511"/>
                          </w:p>
                          <w:bookmarkEnd w:id="512"/>
                          <w:p w14:paraId="1AC7CAA8" w14:textId="04BB05CC" w:rsidR="00F61130" w:rsidRPr="00440E95" w:rsidRDefault="00F61130" w:rsidP="006E34EC">
                            <w:pPr>
                              <w:pStyle w:val="Caption"/>
                              <w:spacing w:line="360" w:lineRule="auto"/>
                              <w:jc w:val="both"/>
                              <w:rPr>
                                <w:noProof/>
                                <w:color w:val="FF0000"/>
                                <w:sz w:val="20"/>
                                <w:szCs w:val="20"/>
                                <w:lang w:eastAsia="en-GB"/>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242DBAC0" id="Text Box 535" o:spid="_x0000_s1132" type="#_x0000_t202" style="position:absolute;left:0;text-align:left;margin-left:-.4pt;margin-top:206.95pt;width:439.05pt;height:121.5pt;z-index:2515855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KjAVrNwIAAG4EAAAOAAAAZHJzL2Uyb0RvYy54bWysVMFu2zAMvQ/YPwi6L3bauduCOEWWIsOA&#13;&#10;oi2QDD0rshQLkERNUmJnXz9KjtOt22nYRaFJitR7j8z8tjeaHIUPCmxNp5OSEmE5NMrua/ptu373&#13;&#10;kZIQmW2YBitqehKB3i7evpl3biauoAXdCE+wiA2zztW0jdHNiiLwVhgWJuCExaAEb1jET78vGs86&#13;&#10;rG50cVWWN0UHvnEeuAgBvXdDkC5yfSkFj49SBhGJrim+LebT53OXzmIxZ7O9Z65V/PwM9g+vMExZ&#13;&#10;bHopdcciIwev/ihlFPcQQMYJB1OAlIqLjAHRTMtXaDYtcyJjQXKCu9AU/l9Z/nB88kQ1Na2uK0os&#13;&#10;MyjSVvSRfIaeJB8y1Lkww8SNw9TYYwCVHv0BnQl4L71JvwiJYBy5Pl34TeU4OqvqQ/UpteEYm1bv&#13;&#10;r8sqK1C8XHc+xC8CDElGTT0KmHllx/sQ8SmYOqakbgG0atZK6/SRAivtyZGh2F2rokiPxBu/ZWmb&#13;&#10;ci2kW0M4eYqEccCSrNjv+szKtLwZke6gOSEBHoYhCo6vFXa8ZyE+MY9Tg5hxE+IjHlJDV1M4W5S0&#13;&#10;4H/8zZ/yUUyMUtLhFNY0fD8wLyjRXy3KnEZ2NPxo7EbDHswKEOsUd8zxbOIFH/VoSg/mGRdkmbpg&#13;&#10;iFmOvWoaR3MVh13ABeNiucxJOJiOxXu7cTyVHpnd9s/Mu7MuESV9gHE+2eyVPEPuwPPyEEGqrF1i&#13;&#10;dmDxTDgOdRbovIBpa379zlkvfxOLnwAAAP//AwBQSwMEFAAGAAgAAAAhAJR8/9/kAAAADgEAAA8A&#13;&#10;AABkcnMvZG93bnJldi54bWxMj0FPwkAQhe8m/ofNmHgxsgW0QOmWKNWbHkDCeeiubWN3tuluafn3&#13;&#10;Die9TDJ5ee99L92MthFn0/nakYLpJAJhqHC6plLB4ev9cQnCBySNjSOj4GI8bLLbmxQT7QbamfM+&#13;&#10;lIJDyCeooAqhTaT0RWUs+olrDbH27TqLgd+ulLrDgcNtI2dRFEuLNXFDha3ZVqb42fdWQZx3/bCj&#13;&#10;7UN+ePvAz7acHV8vR6Xu78Z8zedlDSKYMfw54LqB+SFjsJPrSXvRKLjSBwVP0/kKBOvLxWIO4sQN&#13;&#10;z/EKZJbK/zOyXwAAAP//AwBQSwECLQAUAAYACAAAACEAtoM4kv4AAADhAQAAEwAAAAAAAAAAAAAA&#13;&#10;AAAAAAAAW0NvbnRlbnRfVHlwZXNdLnhtbFBLAQItABQABgAIAAAAIQA4/SH/1gAAAJQBAAALAAAA&#13;&#10;AAAAAAAAAAAAAC8BAABfcmVscy8ucmVsc1BLAQItABQABgAIAAAAIQBKjAVrNwIAAG4EAAAOAAAA&#13;&#10;AAAAAAAAAAAAAC4CAABkcnMvZTJvRG9jLnhtbFBLAQItABQABgAIAAAAIQCUfP/f5AAAAA4BAAAP&#13;&#10;AAAAAAAAAAAAAAAAAJEEAABkcnMvZG93bnJldi54bWxQSwUGAAAAAAQABADzAAAAogUAAAAA&#13;&#10;" stroked="f">
                <v:textbox inset="0,0,0,0">
                  <w:txbxContent>
                    <w:p w14:paraId="44BF32FD" w14:textId="660A892D" w:rsidR="00F61130" w:rsidRPr="00B23FF8" w:rsidRDefault="00F61130" w:rsidP="006E34EC">
                      <w:pPr>
                        <w:pStyle w:val="Caption"/>
                        <w:spacing w:line="360" w:lineRule="auto"/>
                        <w:jc w:val="both"/>
                        <w:rPr>
                          <w:sz w:val="20"/>
                          <w:szCs w:val="20"/>
                        </w:rPr>
                      </w:pPr>
                      <w:bookmarkStart w:id="513" w:name="_Ref518740841"/>
                      <w:bookmarkStart w:id="514" w:name="_Toc536814171"/>
                      <w:bookmarkStart w:id="515" w:name="_Toc525227232"/>
                      <w:r w:rsidRPr="00440E95">
                        <w:rPr>
                          <w:b/>
                          <w:sz w:val="20"/>
                          <w:szCs w:val="20"/>
                        </w:rPr>
                        <w:t xml:space="preserve">Figure </w:t>
                      </w:r>
                      <w:r>
                        <w:rPr>
                          <w:b/>
                          <w:sz w:val="20"/>
                          <w:szCs w:val="20"/>
                        </w:rPr>
                        <w:fldChar w:fldCharType="begin"/>
                      </w:r>
                      <w:r>
                        <w:rPr>
                          <w:b/>
                          <w:sz w:val="20"/>
                          <w:szCs w:val="20"/>
                        </w:rPr>
                        <w:instrText xml:space="preserve"> STYLEREF 1 \s </w:instrText>
                      </w:r>
                      <w:r>
                        <w:rPr>
                          <w:b/>
                          <w:sz w:val="20"/>
                          <w:szCs w:val="20"/>
                        </w:rPr>
                        <w:fldChar w:fldCharType="separate"/>
                      </w:r>
                      <w:r>
                        <w:rPr>
                          <w:b/>
                          <w:noProof/>
                          <w:sz w:val="20"/>
                          <w:szCs w:val="20"/>
                        </w:rPr>
                        <w:t>4</w:t>
                      </w:r>
                      <w:r>
                        <w:rPr>
                          <w:b/>
                          <w:sz w:val="20"/>
                          <w:szCs w:val="20"/>
                        </w:rPr>
                        <w:fldChar w:fldCharType="end"/>
                      </w:r>
                      <w:r>
                        <w:rPr>
                          <w:b/>
                          <w:sz w:val="20"/>
                          <w:szCs w:val="20"/>
                        </w:rPr>
                        <w:t>.</w:t>
                      </w:r>
                      <w:r>
                        <w:rPr>
                          <w:b/>
                          <w:sz w:val="20"/>
                          <w:szCs w:val="20"/>
                        </w:rPr>
                        <w:fldChar w:fldCharType="begin"/>
                      </w:r>
                      <w:r>
                        <w:rPr>
                          <w:b/>
                          <w:sz w:val="20"/>
                          <w:szCs w:val="20"/>
                        </w:rPr>
                        <w:instrText xml:space="preserve"> SEQ Figure \* ARABIC \s 1 </w:instrText>
                      </w:r>
                      <w:r>
                        <w:rPr>
                          <w:b/>
                          <w:sz w:val="20"/>
                          <w:szCs w:val="20"/>
                        </w:rPr>
                        <w:fldChar w:fldCharType="separate"/>
                      </w:r>
                      <w:r>
                        <w:rPr>
                          <w:b/>
                          <w:noProof/>
                          <w:sz w:val="20"/>
                          <w:szCs w:val="20"/>
                        </w:rPr>
                        <w:t>27</w:t>
                      </w:r>
                      <w:r>
                        <w:rPr>
                          <w:b/>
                          <w:sz w:val="20"/>
                          <w:szCs w:val="20"/>
                        </w:rPr>
                        <w:fldChar w:fldCharType="end"/>
                      </w:r>
                      <w:bookmarkEnd w:id="513"/>
                      <w:r>
                        <w:rPr>
                          <w:b/>
                          <w:sz w:val="20"/>
                          <w:szCs w:val="20"/>
                        </w:rPr>
                        <w:t xml:space="preserve"> </w:t>
                      </w:r>
                      <w:r w:rsidRPr="00440E95">
                        <w:rPr>
                          <w:b/>
                          <w:sz w:val="20"/>
                          <w:szCs w:val="20"/>
                        </w:rPr>
                        <w:t xml:space="preserve">- Fitting </w:t>
                      </w:r>
                      <w:r w:rsidRPr="00440E95">
                        <w:rPr>
                          <w:b/>
                          <w:i/>
                          <w:sz w:val="20"/>
                          <w:szCs w:val="20"/>
                        </w:rPr>
                        <w:t>Leishmani</w:t>
                      </w:r>
                      <w:r>
                        <w:rPr>
                          <w:b/>
                          <w:i/>
                          <w:sz w:val="20"/>
                          <w:szCs w:val="20"/>
                        </w:rPr>
                        <w:t>a</w:t>
                      </w:r>
                      <w:r w:rsidRPr="00440E95">
                        <w:rPr>
                          <w:b/>
                          <w:i/>
                          <w:sz w:val="20"/>
                          <w:szCs w:val="20"/>
                        </w:rPr>
                        <w:t xml:space="preserve"> donovani </w:t>
                      </w:r>
                      <w:r w:rsidRPr="00440E95">
                        <w:rPr>
                          <w:b/>
                          <w:sz w:val="20"/>
                          <w:szCs w:val="20"/>
                        </w:rPr>
                        <w:t>kinetics.</w:t>
                      </w:r>
                      <w:r w:rsidRPr="00440E95">
                        <w:rPr>
                          <w:sz w:val="20"/>
                          <w:szCs w:val="20"/>
                        </w:rPr>
                        <w:t xml:space="preserve"> </w:t>
                      </w:r>
                      <w:r w:rsidRPr="00440E95">
                        <w:rPr>
                          <w:i/>
                          <w:sz w:val="20"/>
                          <w:szCs w:val="20"/>
                        </w:rPr>
                        <w:t>L. donovani</w:t>
                      </w:r>
                      <w:r w:rsidRPr="00440E95">
                        <w:rPr>
                          <w:sz w:val="20"/>
                          <w:szCs w:val="20"/>
                        </w:rPr>
                        <w:t xml:space="preserve"> kinetics (A) were fitted using the </w:t>
                      </w:r>
                      <w:r w:rsidRPr="00440E95">
                        <w:rPr>
                          <w:i/>
                          <w:sz w:val="20"/>
                          <w:szCs w:val="20"/>
                        </w:rPr>
                        <w:t>Sequential_ABC</w:t>
                      </w:r>
                      <w:r w:rsidRPr="00440E95">
                        <w:rPr>
                          <w:sz w:val="20"/>
                          <w:szCs w:val="20"/>
                        </w:rPr>
                        <w:t xml:space="preserve"> function of the </w:t>
                      </w:r>
                      <w:r w:rsidRPr="00440E95">
                        <w:rPr>
                          <w:i/>
                          <w:sz w:val="20"/>
                          <w:szCs w:val="20"/>
                        </w:rPr>
                        <w:t>easyABC</w:t>
                      </w:r>
                      <w:r w:rsidRPr="00440E95">
                        <w:rPr>
                          <w:sz w:val="20"/>
                          <w:szCs w:val="20"/>
                        </w:rPr>
                        <w:t xml:space="preserve"> package and the best fit selected (B) by selecting the lowest root mean square error when comparing observed vs. expected outputs. </w:t>
                      </w:r>
                      <w:r>
                        <w:rPr>
                          <w:sz w:val="20"/>
                          <w:szCs w:val="20"/>
                        </w:rPr>
                        <w:t>B</w:t>
                      </w:r>
                      <w:r w:rsidRPr="00AB206B">
                        <w:rPr>
                          <w:sz w:val="20"/>
                          <w:szCs w:val="20"/>
                        </w:rPr>
                        <w:t xml:space="preserve">lue dots represent the mean of the biological replicates which the model was trained against, grey lines represent </w:t>
                      </w:r>
                      <w:r w:rsidRPr="00AB206B">
                        <w:rPr>
                          <w:i/>
                          <w:sz w:val="20"/>
                          <w:szCs w:val="20"/>
                        </w:rPr>
                        <w:t>in silico</w:t>
                      </w:r>
                      <w:r w:rsidRPr="00AB206B">
                        <w:rPr>
                          <w:sz w:val="20"/>
                          <w:szCs w:val="20"/>
                        </w:rPr>
                        <w:t xml:space="preserve"> parameterisation outputs (n = 50),</w:t>
                      </w:r>
                      <w:r>
                        <w:rPr>
                          <w:sz w:val="20"/>
                          <w:szCs w:val="20"/>
                        </w:rPr>
                        <w:t xml:space="preserve"> red lines represent the 95% Confidence Interval for the </w:t>
                      </w:r>
                      <w:r>
                        <w:rPr>
                          <w:i/>
                          <w:sz w:val="20"/>
                          <w:szCs w:val="20"/>
                        </w:rPr>
                        <w:t>in silico outputs</w:t>
                      </w:r>
                      <w:r w:rsidRPr="00AB206B">
                        <w:rPr>
                          <w:sz w:val="20"/>
                          <w:szCs w:val="20"/>
                        </w:rPr>
                        <w:t xml:space="preserve"> and black lines represent the best fitting </w:t>
                      </w:r>
                      <w:r w:rsidRPr="00AB206B">
                        <w:rPr>
                          <w:i/>
                          <w:sz w:val="20"/>
                          <w:szCs w:val="20"/>
                        </w:rPr>
                        <w:t xml:space="preserve">in silico </w:t>
                      </w:r>
                      <w:r w:rsidRPr="00AB206B">
                        <w:rPr>
                          <w:sz w:val="20"/>
                          <w:szCs w:val="20"/>
                        </w:rPr>
                        <w:t>output.</w:t>
                      </w:r>
                      <w:bookmarkEnd w:id="514"/>
                    </w:p>
                    <w:bookmarkEnd w:id="515"/>
                    <w:p w14:paraId="1AC7CAA8" w14:textId="04BB05CC" w:rsidR="00F61130" w:rsidRPr="00440E95" w:rsidRDefault="00F61130" w:rsidP="006E34EC">
                      <w:pPr>
                        <w:pStyle w:val="Caption"/>
                        <w:spacing w:line="360" w:lineRule="auto"/>
                        <w:jc w:val="both"/>
                        <w:rPr>
                          <w:noProof/>
                          <w:color w:val="FF0000"/>
                          <w:sz w:val="20"/>
                          <w:szCs w:val="20"/>
                          <w:lang w:eastAsia="en-GB"/>
                        </w:rPr>
                      </w:pPr>
                    </w:p>
                  </w:txbxContent>
                </v:textbox>
                <w10:wrap type="topAndBottom"/>
              </v:shape>
            </w:pict>
          </mc:Fallback>
        </mc:AlternateContent>
      </w:r>
      <w:r w:rsidRPr="00993026">
        <w:rPr>
          <w:noProof/>
        </w:rPr>
        <w:drawing>
          <wp:anchor distT="0" distB="0" distL="114300" distR="114300" simplePos="0" relativeHeight="252187648" behindDoc="0" locked="0" layoutInCell="1" allowOverlap="1" wp14:anchorId="0CB1D1EC" wp14:editId="098C1154">
            <wp:simplePos x="0" y="0"/>
            <wp:positionH relativeFrom="column">
              <wp:posOffset>-5080</wp:posOffset>
            </wp:positionH>
            <wp:positionV relativeFrom="paragraph">
              <wp:posOffset>571973</wp:posOffset>
            </wp:positionV>
            <wp:extent cx="5575935" cy="1992630"/>
            <wp:effectExtent l="0" t="0" r="0" b="0"/>
            <wp:wrapTopAndBottom/>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extLst>
                        <a:ext uri="{28A0092B-C50C-407E-A947-70E740481C1C}">
                          <a14:useLocalDpi xmlns:a14="http://schemas.microsoft.com/office/drawing/2010/main" val="0"/>
                        </a:ext>
                      </a:extLst>
                    </a:blip>
                    <a:stretch>
                      <a:fillRect/>
                    </a:stretch>
                  </pic:blipFill>
                  <pic:spPr>
                    <a:xfrm>
                      <a:off x="0" y="0"/>
                      <a:ext cx="5575935" cy="1992630"/>
                    </a:xfrm>
                    <a:prstGeom prst="rect">
                      <a:avLst/>
                    </a:prstGeom>
                  </pic:spPr>
                </pic:pic>
              </a:graphicData>
            </a:graphic>
            <wp14:sizeRelH relativeFrom="page">
              <wp14:pctWidth>0</wp14:pctWidth>
            </wp14:sizeRelH>
            <wp14:sizeRelV relativeFrom="page">
              <wp14:pctHeight>0</wp14:pctHeight>
            </wp14:sizeRelV>
          </wp:anchor>
        </w:drawing>
      </w:r>
      <w:r w:rsidR="00936C4E">
        <w:rPr>
          <w:noProof/>
        </w:rPr>
        <mc:AlternateContent>
          <mc:Choice Requires="wps">
            <w:drawing>
              <wp:anchor distT="0" distB="0" distL="114300" distR="114300" simplePos="0" relativeHeight="251586560" behindDoc="0" locked="0" layoutInCell="1" allowOverlap="1" wp14:anchorId="734DC4B9" wp14:editId="5D817498">
                <wp:simplePos x="0" y="0"/>
                <wp:positionH relativeFrom="column">
                  <wp:posOffset>129636</wp:posOffset>
                </wp:positionH>
                <wp:positionV relativeFrom="paragraph">
                  <wp:posOffset>398292</wp:posOffset>
                </wp:positionV>
                <wp:extent cx="187325" cy="179070"/>
                <wp:effectExtent l="0" t="0" r="3175" b="0"/>
                <wp:wrapTopAndBottom/>
                <wp:docPr id="494" name="Text Box 494"/>
                <wp:cNvGraphicFramePr/>
                <a:graphic xmlns:a="http://schemas.openxmlformats.org/drawingml/2006/main">
                  <a:graphicData uri="http://schemas.microsoft.com/office/word/2010/wordprocessingShape">
                    <wps:wsp>
                      <wps:cNvSpPr txBox="1"/>
                      <wps:spPr>
                        <a:xfrm>
                          <a:off x="0" y="0"/>
                          <a:ext cx="187325" cy="179070"/>
                        </a:xfrm>
                        <a:prstGeom prst="rect">
                          <a:avLst/>
                        </a:prstGeom>
                        <a:noFill/>
                        <a:ln w="6350">
                          <a:noFill/>
                        </a:ln>
                      </wps:spPr>
                      <wps:txbx>
                        <w:txbxContent>
                          <w:p w14:paraId="46CE1596" w14:textId="77777777" w:rsidR="00F61130" w:rsidRPr="006508D1" w:rsidRDefault="00F61130" w:rsidP="00FC227A">
                            <w:r w:rsidRPr="006508D1">
                              <w:t>A</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734DC4B9" id="Text Box 494" o:spid="_x0000_s1133" type="#_x0000_t202" style="position:absolute;left:0;text-align:left;margin-left:10.2pt;margin-top:31.35pt;width:14.75pt;height:14.1pt;z-index:2515865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aRDngKgIAAE0EAAAOAAAAZHJzL2Uyb0RvYy54bWysVF1v2jAUfZ+0/2D5fSTQD9qIULFWTJNQ&#13;&#10;WwmmPhvHJpFsX882JOzX79ohtOr2VPXF3Ph+nnOPmd11WpGDcL4BU9LxKKdEGA5VY3Yl/bVZfruh&#13;&#10;xAdmKqbAiJIehad3869fZq0txARqUJVwBIsYX7S2pHUItsgyz2uhmR+BFQadEpxmAT/dLqsca7G6&#13;&#10;Vtkkz6+zFlxlHXDhPd4+9E46T/WlFDw8SelFIKqkOFtIp0vnNp7ZfMaKnWO2bvhpDPaBKTRrDDY9&#13;&#10;l3pggZG9a/4ppRvuwIMMIw46AykbLhIGRDPO36FZ18yKhAXJ8fZMk/+8svzx8OxIU5X08vaSEsM0&#13;&#10;LmkjukC+Q0fiHTLUWl9g4NpiaOjQgZse7j1eRuCddDr+IiSCfuT6eOY3luMx6WZ6MbmihKNrPL3N&#13;&#10;p4n/7DXZOh9+CNAkGiV1uL7EKjusfMBBMHQIib0MLBul0gqVIW1Jry+u8pRw9mCGMpgYIfSjRit0&#13;&#10;2y6BHufTAcgWqiPic9BrxFu+bHCKFfPhmTkUBUJCoYcnPKQC7AYni5Ia3J//3cd43BV6KWlRZCX1&#13;&#10;v/fMCUrUT4NbjIocDDcY28Ewe30PqNsxPiHLk4kJLqjBlA70C+p/EbugixmOvUoaBvM+9FLH98PF&#13;&#10;YpGCUHeWhZVZWx5LRx4jp5vuhTl7Ij7gxh5hkB8r3vHfx/YbWOwDyCYtJzLbs3giHDWbdnZ6X/FR&#13;&#10;vP1OUa//AvO/AAAA//8DAFBLAwQUAAYACAAAACEAEfwfw+AAAAAMAQAADwAAAGRycy9kb3ducmV2&#13;&#10;LnhtbExPy07DMBC8I/EP1iJxo3ajqpA0ToUo3IBCAQluTrwkEX5EtpOGv2c5wWWl0Tx2ptzO1rAJ&#13;&#10;Q+y9k7BcCGDoGq9710p4fbm7uAIWk3JaGe9QwjdG2FanJ6UqtD+6Z5wOqWUU4mKhJHQpDQXnsenQ&#13;&#10;qrjwAzriPn2wKhEMLddBHSncGp4JseZW9Y4+dGrAmw6br8NoJZj3GO5rkT6mXfuQnvZ8fLtdPkp5&#13;&#10;fjbvNnSuN8ASzunPAb8bqD9UVKz2o9ORGQmZWJFSwjq7BEb8Ks+B1RJykQOvSv5/RPUDAAD//wMA&#13;&#10;UEsBAi0AFAAGAAgAAAAhALaDOJL+AAAA4QEAABMAAAAAAAAAAAAAAAAAAAAAAFtDb250ZW50X1R5&#13;&#10;cGVzXS54bWxQSwECLQAUAAYACAAAACEAOP0h/9YAAACUAQAACwAAAAAAAAAAAAAAAAAvAQAAX3Jl&#13;&#10;bHMvLnJlbHNQSwECLQAUAAYACAAAACEA2kQ54CoCAABNBAAADgAAAAAAAAAAAAAAAAAuAgAAZHJz&#13;&#10;L2Uyb0RvYy54bWxQSwECLQAUAAYACAAAACEAEfwfw+AAAAAMAQAADwAAAAAAAAAAAAAAAACEBAAA&#13;&#10;ZHJzL2Rvd25yZXYueG1sUEsFBgAAAAAEAAQA8wAAAJEFAAAAAA==&#13;&#10;" filled="f" stroked="f" strokeweight=".5pt">
                <v:textbox inset="0,0,0,0">
                  <w:txbxContent>
                    <w:p w14:paraId="46CE1596" w14:textId="77777777" w:rsidR="00F61130" w:rsidRPr="006508D1" w:rsidRDefault="00F61130" w:rsidP="00FC227A">
                      <w:r w:rsidRPr="006508D1">
                        <w:t>A</w:t>
                      </w:r>
                    </w:p>
                  </w:txbxContent>
                </v:textbox>
                <w10:wrap type="topAndBottom"/>
              </v:shape>
            </w:pict>
          </mc:Fallback>
        </mc:AlternateContent>
      </w:r>
      <w:r w:rsidR="00936C4E">
        <w:rPr>
          <w:noProof/>
        </w:rPr>
        <mc:AlternateContent>
          <mc:Choice Requires="wps">
            <w:drawing>
              <wp:anchor distT="0" distB="0" distL="114300" distR="114300" simplePos="0" relativeHeight="251587584" behindDoc="0" locked="0" layoutInCell="1" allowOverlap="1" wp14:anchorId="51EC7077" wp14:editId="4A62C415">
                <wp:simplePos x="0" y="0"/>
                <wp:positionH relativeFrom="column">
                  <wp:posOffset>2842856</wp:posOffset>
                </wp:positionH>
                <wp:positionV relativeFrom="paragraph">
                  <wp:posOffset>413282</wp:posOffset>
                </wp:positionV>
                <wp:extent cx="187325" cy="179070"/>
                <wp:effectExtent l="0" t="0" r="3175" b="0"/>
                <wp:wrapTopAndBottom/>
                <wp:docPr id="545" name="Text Box 545"/>
                <wp:cNvGraphicFramePr/>
                <a:graphic xmlns:a="http://schemas.openxmlformats.org/drawingml/2006/main">
                  <a:graphicData uri="http://schemas.microsoft.com/office/word/2010/wordprocessingShape">
                    <wps:wsp>
                      <wps:cNvSpPr txBox="1"/>
                      <wps:spPr>
                        <a:xfrm>
                          <a:off x="0" y="0"/>
                          <a:ext cx="187325" cy="179070"/>
                        </a:xfrm>
                        <a:prstGeom prst="rect">
                          <a:avLst/>
                        </a:prstGeom>
                        <a:noFill/>
                        <a:ln w="6350">
                          <a:noFill/>
                        </a:ln>
                      </wps:spPr>
                      <wps:txbx>
                        <w:txbxContent>
                          <w:p w14:paraId="1EB6640B" w14:textId="77777777" w:rsidR="00F61130" w:rsidRPr="006508D1" w:rsidRDefault="00F61130" w:rsidP="00FC227A">
                            <w:r>
                              <w:t>B</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51EC7077" id="Text Box 545" o:spid="_x0000_s1134" type="#_x0000_t202" style="position:absolute;left:0;text-align:left;margin-left:223.85pt;margin-top:32.55pt;width:14.75pt;height:14.1pt;z-index:2515875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SGBIOKQIAAE0EAAAOAAAAZHJzL2Uyb0RvYy54bWysVF1v2jAUfZ+0/2D5fSTQUVhEqFgrpkmo&#13;&#10;rQRTn41jk0i2r2cbEvbrd+0QWnV7mvZibnw/z7nHLO46rchJON+AKel4lFMiDIeqMYeS/titP80p&#13;&#10;8YGZiikwoqRn4end8uOHRWsLMYEaVCUcwSLGF60taR2CLbLM81po5kdghUGnBKdZwE93yCrHWqyu&#13;&#10;VTbJ89usBVdZB1x4j7cPvZMuU30pBQ9PUnoRiCopzhbS6dK5j2e2XLDi4JitG34Zg/3DFJo1Bpte&#13;&#10;Sz2wwMjRNX+U0g134EGGEQedgZQNFwkDohnn79Bsa2ZFwoLkeHulyf+/svzx9OxIU5V0+nlKiWEa&#13;&#10;l7QTXSBfoSPxDhlqrS8wcGsxNHTowE0P9x4vI/BOOh1/ERJBP3J9vvIby/GYNJ/dTLALR9d49iWf&#13;&#10;Jf6z12TrfPgmQJNolNTh+hKr7LTxAQfB0CEk9jKwbpRKK1SGtCW9vZnmKeHqwQxlMDFC6EeNVuj2&#13;&#10;XQI9zucDkD1UZ8TnoNeIt3zd4BQb5sMzcygKhIRCD094SAXYDS4WJTW4X3+7j/G4K/RS0qLISup/&#13;&#10;HpkTlKjvBrcYFTkYbjD2g2GO+h5Qt2N8QpYnExNcUIMpHegX1P8qdkEXMxx7lTQM5n3opY7vh4vV&#13;&#10;KgWh7iwLG7O1PJaOPEZOd90Lc/ZCfMCNPcIgP1a847+P7TewOgaQTVpOZLZn8UI4ajbt7PK+4qN4&#13;&#10;+52iXv8Flr8BAAD//wMAUEsDBBQABgAIAAAAIQDfjpvy4QAAAA4BAAAPAAAAZHJzL2Rvd25yZXYu&#13;&#10;eG1sTE/JTsMwEL0j8Q/WIHGjTtrSQppJhSjcWAtIcHNik0TY4yh20vD3DCe4jPQ0b823k7NiNH1o&#13;&#10;PSGkswSEocrrlmqE15fbswsQISrSynoyCN8mwLY4PspVpv2Bns24j7VgEwqZQmhi7DIpQ9UYp8LM&#13;&#10;d4b49+l7pyLDvpa6Vwc2d1bOk2QlnWqJExrVmevGVF/7wSHY99DflUn8GHf1fXx6lMPbTfqAeHoy&#13;&#10;7TZ8rjYgopninwJ+N3B/KLhY6QfSQViE5XK9ZirC6jwFwQTGcxAlwuViAbLI5f8ZxQ8AAAD//wMA&#13;&#10;UEsBAi0AFAAGAAgAAAAhALaDOJL+AAAA4QEAABMAAAAAAAAAAAAAAAAAAAAAAFtDb250ZW50X1R5&#13;&#10;cGVzXS54bWxQSwECLQAUAAYACAAAACEAOP0h/9YAAACUAQAACwAAAAAAAAAAAAAAAAAvAQAAX3Jl&#13;&#10;bHMvLnJlbHNQSwECLQAUAAYACAAAACEA0hgSDikCAABNBAAADgAAAAAAAAAAAAAAAAAuAgAAZHJz&#13;&#10;L2Uyb0RvYy54bWxQSwECLQAUAAYACAAAACEA346b8uEAAAAOAQAADwAAAAAAAAAAAAAAAACDBAAA&#13;&#10;ZHJzL2Rvd25yZXYueG1sUEsFBgAAAAAEAAQA8wAAAJEFAAAAAA==&#13;&#10;" filled="f" stroked="f" strokeweight=".5pt">
                <v:textbox inset="0,0,0,0">
                  <w:txbxContent>
                    <w:p w14:paraId="1EB6640B" w14:textId="77777777" w:rsidR="00F61130" w:rsidRPr="006508D1" w:rsidRDefault="00F61130" w:rsidP="00FC227A">
                      <w:r>
                        <w:t>B</w:t>
                      </w:r>
                    </w:p>
                  </w:txbxContent>
                </v:textbox>
                <w10:wrap type="topAndBottom"/>
              </v:shape>
            </w:pict>
          </mc:Fallback>
        </mc:AlternateContent>
      </w:r>
      <w:r w:rsidR="0093771E" w:rsidRPr="008B3AD6">
        <w:br w:type="page"/>
      </w:r>
    </w:p>
    <w:p w14:paraId="2B223D40" w14:textId="2CBA0B5F" w:rsidR="00F77576" w:rsidRDefault="00674E2C" w:rsidP="00560645">
      <w:pPr>
        <w:spacing w:line="360" w:lineRule="auto"/>
      </w:pPr>
      <w:r w:rsidRPr="006B644E">
        <w:rPr>
          <w:noProof/>
        </w:rPr>
        <w:lastRenderedPageBreak/>
        <w:drawing>
          <wp:anchor distT="0" distB="0" distL="114300" distR="114300" simplePos="0" relativeHeight="252182528" behindDoc="0" locked="0" layoutInCell="1" allowOverlap="1" wp14:anchorId="24CE2335" wp14:editId="4A0943CD">
            <wp:simplePos x="0" y="0"/>
            <wp:positionH relativeFrom="margin">
              <wp:align>center</wp:align>
            </wp:positionH>
            <wp:positionV relativeFrom="paragraph">
              <wp:posOffset>3175</wp:posOffset>
            </wp:positionV>
            <wp:extent cx="4573883" cy="1152000"/>
            <wp:effectExtent l="0" t="0" r="0" b="3810"/>
            <wp:wrapTopAndBottom/>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5">
                      <a:extLst>
                        <a:ext uri="{28A0092B-C50C-407E-A947-70E740481C1C}">
                          <a14:useLocalDpi xmlns:a14="http://schemas.microsoft.com/office/drawing/2010/main" val="0"/>
                        </a:ext>
                      </a:extLst>
                    </a:blip>
                    <a:srcRect r="10343"/>
                    <a:stretch/>
                  </pic:blipFill>
                  <pic:spPr bwMode="auto">
                    <a:xfrm>
                      <a:off x="0" y="0"/>
                      <a:ext cx="4573883" cy="11520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332608" behindDoc="0" locked="0" layoutInCell="1" allowOverlap="1" wp14:anchorId="1045C9EC" wp14:editId="607AF812">
                <wp:simplePos x="0" y="0"/>
                <wp:positionH relativeFrom="column">
                  <wp:posOffset>-149225</wp:posOffset>
                </wp:positionH>
                <wp:positionV relativeFrom="paragraph">
                  <wp:posOffset>1176968</wp:posOffset>
                </wp:positionV>
                <wp:extent cx="5727700" cy="688975"/>
                <wp:effectExtent l="0" t="0" r="0" b="0"/>
                <wp:wrapTopAndBottom/>
                <wp:docPr id="538" name="Text Box 538"/>
                <wp:cNvGraphicFramePr/>
                <a:graphic xmlns:a="http://schemas.openxmlformats.org/drawingml/2006/main">
                  <a:graphicData uri="http://schemas.microsoft.com/office/word/2010/wordprocessingShape">
                    <wps:wsp>
                      <wps:cNvSpPr txBox="1"/>
                      <wps:spPr>
                        <a:xfrm>
                          <a:off x="0" y="0"/>
                          <a:ext cx="5727700" cy="688975"/>
                        </a:xfrm>
                        <a:prstGeom prst="rect">
                          <a:avLst/>
                        </a:prstGeom>
                        <a:solidFill>
                          <a:prstClr val="white"/>
                        </a:solidFill>
                        <a:ln>
                          <a:noFill/>
                        </a:ln>
                      </wps:spPr>
                      <wps:txbx>
                        <w:txbxContent>
                          <w:p w14:paraId="7E758ED9" w14:textId="5F5D95D8" w:rsidR="00F61130" w:rsidRPr="00775A58" w:rsidRDefault="00F61130" w:rsidP="009A7895">
                            <w:pPr>
                              <w:pStyle w:val="Caption"/>
                              <w:spacing w:line="360" w:lineRule="auto"/>
                              <w:jc w:val="both"/>
                              <w:rPr>
                                <w:sz w:val="20"/>
                                <w:szCs w:val="20"/>
                              </w:rPr>
                            </w:pPr>
                            <w:bookmarkStart w:id="516" w:name="_Ref518722353"/>
                            <w:bookmarkStart w:id="517" w:name="_Toc536814203"/>
                            <w:r w:rsidRPr="00440E95">
                              <w:rPr>
                                <w:b/>
                                <w:sz w:val="20"/>
                                <w:szCs w:val="20"/>
                              </w:rPr>
                              <w:t xml:space="preserve">Table </w:t>
                            </w:r>
                            <w:r>
                              <w:rPr>
                                <w:b/>
                                <w:sz w:val="20"/>
                                <w:szCs w:val="20"/>
                              </w:rPr>
                              <w:fldChar w:fldCharType="begin"/>
                            </w:r>
                            <w:r>
                              <w:rPr>
                                <w:b/>
                                <w:sz w:val="20"/>
                                <w:szCs w:val="20"/>
                              </w:rPr>
                              <w:instrText xml:space="preserve"> STYLEREF 1 \s </w:instrText>
                            </w:r>
                            <w:r>
                              <w:rPr>
                                <w:b/>
                                <w:sz w:val="20"/>
                                <w:szCs w:val="20"/>
                              </w:rPr>
                              <w:fldChar w:fldCharType="separate"/>
                            </w:r>
                            <w:r>
                              <w:rPr>
                                <w:b/>
                                <w:noProof/>
                                <w:sz w:val="20"/>
                                <w:szCs w:val="20"/>
                              </w:rPr>
                              <w:t>4</w:t>
                            </w:r>
                            <w:r>
                              <w:rPr>
                                <w:b/>
                                <w:sz w:val="20"/>
                                <w:szCs w:val="20"/>
                              </w:rPr>
                              <w:fldChar w:fldCharType="end"/>
                            </w:r>
                            <w:r>
                              <w:rPr>
                                <w:b/>
                                <w:sz w:val="20"/>
                                <w:szCs w:val="20"/>
                              </w:rPr>
                              <w:t>.</w:t>
                            </w:r>
                            <w:r>
                              <w:rPr>
                                <w:b/>
                                <w:sz w:val="20"/>
                                <w:szCs w:val="20"/>
                              </w:rPr>
                              <w:fldChar w:fldCharType="begin"/>
                            </w:r>
                            <w:r>
                              <w:rPr>
                                <w:b/>
                                <w:sz w:val="20"/>
                                <w:szCs w:val="20"/>
                              </w:rPr>
                              <w:instrText xml:space="preserve"> SEQ Table \* ARABIC \s 1 </w:instrText>
                            </w:r>
                            <w:r>
                              <w:rPr>
                                <w:b/>
                                <w:sz w:val="20"/>
                                <w:szCs w:val="20"/>
                              </w:rPr>
                              <w:fldChar w:fldCharType="separate"/>
                            </w:r>
                            <w:r>
                              <w:rPr>
                                <w:b/>
                                <w:noProof/>
                                <w:sz w:val="20"/>
                                <w:szCs w:val="20"/>
                              </w:rPr>
                              <w:t>2</w:t>
                            </w:r>
                            <w:r>
                              <w:rPr>
                                <w:b/>
                                <w:sz w:val="20"/>
                                <w:szCs w:val="20"/>
                              </w:rPr>
                              <w:fldChar w:fldCharType="end"/>
                            </w:r>
                            <w:bookmarkEnd w:id="516"/>
                            <w:r w:rsidRPr="00440E95">
                              <w:rPr>
                                <w:b/>
                                <w:sz w:val="20"/>
                                <w:szCs w:val="20"/>
                              </w:rPr>
                              <w:t xml:space="preserve"> - Initial </w:t>
                            </w:r>
                            <w:r w:rsidRPr="00440E95">
                              <w:rPr>
                                <w:b/>
                                <w:i/>
                                <w:sz w:val="20"/>
                                <w:szCs w:val="20"/>
                              </w:rPr>
                              <w:t xml:space="preserve">Leishmania donovani </w:t>
                            </w:r>
                            <w:r w:rsidRPr="00440E95">
                              <w:rPr>
                                <w:b/>
                                <w:sz w:val="20"/>
                                <w:szCs w:val="20"/>
                              </w:rPr>
                              <w:t xml:space="preserve">value derived from kinetics. </w:t>
                            </w:r>
                            <w:r w:rsidRPr="00775A58">
                              <w:rPr>
                                <w:sz w:val="20"/>
                                <w:szCs w:val="20"/>
                              </w:rPr>
                              <w:t xml:space="preserve">50 simulation runs were generated to fit the </w:t>
                            </w:r>
                            <w:r>
                              <w:rPr>
                                <w:i/>
                                <w:sz w:val="20"/>
                                <w:szCs w:val="20"/>
                              </w:rPr>
                              <w:t>L. donovani</w:t>
                            </w:r>
                            <w:r w:rsidRPr="00775A58">
                              <w:rPr>
                                <w:sz w:val="20"/>
                                <w:szCs w:val="20"/>
                              </w:rPr>
                              <w:t xml:space="preserve"> kinetic data</w:t>
                            </w:r>
                            <w:r>
                              <w:rPr>
                                <w:sz w:val="20"/>
                                <w:szCs w:val="20"/>
                              </w:rPr>
                              <w:t xml:space="preserve"> using initial values sampled from a supplied prior distribution</w:t>
                            </w:r>
                            <w:r w:rsidRPr="00775A58">
                              <w:rPr>
                                <w:sz w:val="20"/>
                                <w:szCs w:val="20"/>
                              </w:rPr>
                              <w:t xml:space="preserve">. The </w:t>
                            </w:r>
                            <w:r>
                              <w:rPr>
                                <w:sz w:val="20"/>
                                <w:szCs w:val="20"/>
                              </w:rPr>
                              <w:t>initial value</w:t>
                            </w:r>
                            <w:r w:rsidRPr="00775A58">
                              <w:rPr>
                                <w:sz w:val="20"/>
                                <w:szCs w:val="20"/>
                              </w:rPr>
                              <w:t xml:space="preserve"> from the best fitting kinetic were selected and implemented in </w:t>
                            </w:r>
                            <w:r>
                              <w:rPr>
                                <w:sz w:val="20"/>
                                <w:szCs w:val="20"/>
                              </w:rPr>
                              <w:t xml:space="preserve">the </w:t>
                            </w:r>
                            <w:r w:rsidRPr="00775A58">
                              <w:rPr>
                                <w:sz w:val="20"/>
                                <w:szCs w:val="20"/>
                              </w:rPr>
                              <w:t>future iteration.</w:t>
                            </w:r>
                            <w:bookmarkEnd w:id="517"/>
                          </w:p>
                          <w:p w14:paraId="338B97BF" w14:textId="6421C453" w:rsidR="00F61130" w:rsidRPr="00440E95" w:rsidRDefault="00F61130" w:rsidP="00440E95">
                            <w:pPr>
                              <w:pStyle w:val="Caption"/>
                              <w:spacing w:line="360" w:lineRule="auto"/>
                              <w:rPr>
                                <w:sz w:val="20"/>
                                <w:szCs w:val="20"/>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1045C9EC" id="Text Box 538" o:spid="_x0000_s1135" type="#_x0000_t202" style="position:absolute;margin-left:-11.75pt;margin-top:92.65pt;width:451pt;height:54.25pt;z-index:2513326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n3b8+NAIAAG0EAAAOAAAAZHJzL2Uyb0RvYy54bWysVFFv2yAQfp+0/4B4X+xkSpNacaosVaZJ&#13;&#10;UVspmfpMMMRIwDEgsbNfv8OO267b07QXfNwdB9/33Xlx1xpNzsIHBbak41FOibAcKmWPJf2+33ya&#13;&#10;UxIisxXTYEVJLyLQu+XHD4vGFWICNehKeIJFbCgaV9I6RldkWeC1MCyMwAmLQQnesIhbf8wqzxqs&#13;&#10;bnQ2yfObrAFfOQ9chIDe+z5Il119KQWPj1IGEYkuKb4tdqvv1kNas+WCFUfPXK349RnsH15hmLJ4&#13;&#10;6UupexYZOXn1RymjuIcAMo44mAykVFx0GBDNOH+HZlczJzosSE5wLzSF/1eWP5yfPFFVSaefUSrL&#13;&#10;DIq0F20kX6AlyYcMNS4UmLhzmBpbDKDSgz+gMwFvpTfpi5AIxpHrywu/qRxH53Q2mc1yDHGM3czn&#13;&#10;t7NpKpO9nnY+xK8CDElGST3q19HKztsQ+9QhJV0WQKtqo7ROmxRYa0/ODLVuahXFtfhvWdqmXAvp&#13;&#10;VF8webIEsYeSrNge2o6UcX47AD1AdUH8HvoeCo5vFN64ZSE+MY9Ng7hwEOIjLlJDU1K4WpTU4H/+&#13;&#10;zZ/yUUuMUtJgE5Y0/DgxLyjR3yyqnDp2MPxgHAbDnswaEOsYR8zxzsQDPurBlB7MM87HKt2CIWY5&#13;&#10;3lXSOJjr2I8CzhcXq1WXhH3pWNzaneOp9MDsvn1m3l11iajoAwztyYp38vS5Pc+rUwSpOu0Ssz2L&#13;&#10;V8Kxpzv1r/OXhubtvst6/UssfwEAAP//AwBQSwMEFAAGAAgAAAAhAELt5TrkAAAAEAEAAA8AAABk&#13;&#10;cnMvZG93bnJldi54bWxMTz1PwzAQ3ZH4D9YhsaDWIVGLm8apoIGtDC1VZzd2k4j4HMVOk/57jgmW&#13;&#10;k+7eu/eRbSbbsqvpfeNQwvM8AmawdLrBSsLx62MmgPmgUKvWoZFwMx42+f1dplLtRtyb6yFUjETQ&#13;&#10;p0pCHUKXcu7L2ljl564zSNjF9VYFWvuK616NJG5bHkfRklvVIDnUqjPb2pTfh8FKWBb9MO5x+1Qc&#13;&#10;33fqs6vi09vtJOXjw1SsabyugQUzhb8P+O1A+SGnYGc3oPaslTCLkwVRCRCLBBgxxIugy1lCvEoE&#13;&#10;8Dzj/4vkPwAAAP//AwBQSwECLQAUAAYACAAAACEAtoM4kv4AAADhAQAAEwAAAAAAAAAAAAAAAAAA&#13;&#10;AAAAW0NvbnRlbnRfVHlwZXNdLnhtbFBLAQItABQABgAIAAAAIQA4/SH/1gAAAJQBAAALAAAAAAAA&#13;&#10;AAAAAAAAAC8BAABfcmVscy8ucmVsc1BLAQItABQABgAIAAAAIQAn3b8+NAIAAG0EAAAOAAAAAAAA&#13;&#10;AAAAAAAAAC4CAABkcnMvZTJvRG9jLnhtbFBLAQItABQABgAIAAAAIQBC7eU65AAAABABAAAPAAAA&#13;&#10;AAAAAAAAAAAAAI4EAABkcnMvZG93bnJldi54bWxQSwUGAAAAAAQABADzAAAAnwUAAAAA&#13;&#10;" stroked="f">
                <v:textbox inset="0,0,0,0">
                  <w:txbxContent>
                    <w:p w14:paraId="7E758ED9" w14:textId="5F5D95D8" w:rsidR="00F61130" w:rsidRPr="00775A58" w:rsidRDefault="00F61130" w:rsidP="009A7895">
                      <w:pPr>
                        <w:pStyle w:val="Caption"/>
                        <w:spacing w:line="360" w:lineRule="auto"/>
                        <w:jc w:val="both"/>
                        <w:rPr>
                          <w:sz w:val="20"/>
                          <w:szCs w:val="20"/>
                        </w:rPr>
                      </w:pPr>
                      <w:bookmarkStart w:id="518" w:name="_Ref518722353"/>
                      <w:bookmarkStart w:id="519" w:name="_Toc536814203"/>
                      <w:r w:rsidRPr="00440E95">
                        <w:rPr>
                          <w:b/>
                          <w:sz w:val="20"/>
                          <w:szCs w:val="20"/>
                        </w:rPr>
                        <w:t xml:space="preserve">Table </w:t>
                      </w:r>
                      <w:r>
                        <w:rPr>
                          <w:b/>
                          <w:sz w:val="20"/>
                          <w:szCs w:val="20"/>
                        </w:rPr>
                        <w:fldChar w:fldCharType="begin"/>
                      </w:r>
                      <w:r>
                        <w:rPr>
                          <w:b/>
                          <w:sz w:val="20"/>
                          <w:szCs w:val="20"/>
                        </w:rPr>
                        <w:instrText xml:space="preserve"> STYLEREF 1 \s </w:instrText>
                      </w:r>
                      <w:r>
                        <w:rPr>
                          <w:b/>
                          <w:sz w:val="20"/>
                          <w:szCs w:val="20"/>
                        </w:rPr>
                        <w:fldChar w:fldCharType="separate"/>
                      </w:r>
                      <w:r>
                        <w:rPr>
                          <w:b/>
                          <w:noProof/>
                          <w:sz w:val="20"/>
                          <w:szCs w:val="20"/>
                        </w:rPr>
                        <w:t>4</w:t>
                      </w:r>
                      <w:r>
                        <w:rPr>
                          <w:b/>
                          <w:sz w:val="20"/>
                          <w:szCs w:val="20"/>
                        </w:rPr>
                        <w:fldChar w:fldCharType="end"/>
                      </w:r>
                      <w:r>
                        <w:rPr>
                          <w:b/>
                          <w:sz w:val="20"/>
                          <w:szCs w:val="20"/>
                        </w:rPr>
                        <w:t>.</w:t>
                      </w:r>
                      <w:r>
                        <w:rPr>
                          <w:b/>
                          <w:sz w:val="20"/>
                          <w:szCs w:val="20"/>
                        </w:rPr>
                        <w:fldChar w:fldCharType="begin"/>
                      </w:r>
                      <w:r>
                        <w:rPr>
                          <w:b/>
                          <w:sz w:val="20"/>
                          <w:szCs w:val="20"/>
                        </w:rPr>
                        <w:instrText xml:space="preserve"> SEQ Table \* ARABIC \s 1 </w:instrText>
                      </w:r>
                      <w:r>
                        <w:rPr>
                          <w:b/>
                          <w:sz w:val="20"/>
                          <w:szCs w:val="20"/>
                        </w:rPr>
                        <w:fldChar w:fldCharType="separate"/>
                      </w:r>
                      <w:r>
                        <w:rPr>
                          <w:b/>
                          <w:noProof/>
                          <w:sz w:val="20"/>
                          <w:szCs w:val="20"/>
                        </w:rPr>
                        <w:t>2</w:t>
                      </w:r>
                      <w:r>
                        <w:rPr>
                          <w:b/>
                          <w:sz w:val="20"/>
                          <w:szCs w:val="20"/>
                        </w:rPr>
                        <w:fldChar w:fldCharType="end"/>
                      </w:r>
                      <w:bookmarkEnd w:id="518"/>
                      <w:r w:rsidRPr="00440E95">
                        <w:rPr>
                          <w:b/>
                          <w:sz w:val="20"/>
                          <w:szCs w:val="20"/>
                        </w:rPr>
                        <w:t xml:space="preserve"> - Initial </w:t>
                      </w:r>
                      <w:r w:rsidRPr="00440E95">
                        <w:rPr>
                          <w:b/>
                          <w:i/>
                          <w:sz w:val="20"/>
                          <w:szCs w:val="20"/>
                        </w:rPr>
                        <w:t xml:space="preserve">Leishmania donovani </w:t>
                      </w:r>
                      <w:r w:rsidRPr="00440E95">
                        <w:rPr>
                          <w:b/>
                          <w:sz w:val="20"/>
                          <w:szCs w:val="20"/>
                        </w:rPr>
                        <w:t xml:space="preserve">value derived from kinetics. </w:t>
                      </w:r>
                      <w:r w:rsidRPr="00775A58">
                        <w:rPr>
                          <w:sz w:val="20"/>
                          <w:szCs w:val="20"/>
                        </w:rPr>
                        <w:t xml:space="preserve">50 simulation runs were generated to fit the </w:t>
                      </w:r>
                      <w:r>
                        <w:rPr>
                          <w:i/>
                          <w:sz w:val="20"/>
                          <w:szCs w:val="20"/>
                        </w:rPr>
                        <w:t>L. donovani</w:t>
                      </w:r>
                      <w:r w:rsidRPr="00775A58">
                        <w:rPr>
                          <w:sz w:val="20"/>
                          <w:szCs w:val="20"/>
                        </w:rPr>
                        <w:t xml:space="preserve"> kinetic data</w:t>
                      </w:r>
                      <w:r>
                        <w:rPr>
                          <w:sz w:val="20"/>
                          <w:szCs w:val="20"/>
                        </w:rPr>
                        <w:t xml:space="preserve"> using initial values sampled from a supplied prior distribution</w:t>
                      </w:r>
                      <w:r w:rsidRPr="00775A58">
                        <w:rPr>
                          <w:sz w:val="20"/>
                          <w:szCs w:val="20"/>
                        </w:rPr>
                        <w:t xml:space="preserve">. The </w:t>
                      </w:r>
                      <w:r>
                        <w:rPr>
                          <w:sz w:val="20"/>
                          <w:szCs w:val="20"/>
                        </w:rPr>
                        <w:t>initial value</w:t>
                      </w:r>
                      <w:r w:rsidRPr="00775A58">
                        <w:rPr>
                          <w:sz w:val="20"/>
                          <w:szCs w:val="20"/>
                        </w:rPr>
                        <w:t xml:space="preserve"> from the best fitting kinetic were selected and implemented in </w:t>
                      </w:r>
                      <w:r>
                        <w:rPr>
                          <w:sz w:val="20"/>
                          <w:szCs w:val="20"/>
                        </w:rPr>
                        <w:t xml:space="preserve">the </w:t>
                      </w:r>
                      <w:r w:rsidRPr="00775A58">
                        <w:rPr>
                          <w:sz w:val="20"/>
                          <w:szCs w:val="20"/>
                        </w:rPr>
                        <w:t>future iteration.</w:t>
                      </w:r>
                      <w:bookmarkEnd w:id="519"/>
                    </w:p>
                    <w:p w14:paraId="338B97BF" w14:textId="6421C453" w:rsidR="00F61130" w:rsidRPr="00440E95" w:rsidRDefault="00F61130" w:rsidP="00440E95">
                      <w:pPr>
                        <w:pStyle w:val="Caption"/>
                        <w:spacing w:line="360" w:lineRule="auto"/>
                        <w:rPr>
                          <w:sz w:val="20"/>
                          <w:szCs w:val="20"/>
                        </w:rPr>
                      </w:pPr>
                    </w:p>
                  </w:txbxContent>
                </v:textbox>
                <w10:wrap type="topAndBottom"/>
              </v:shape>
            </w:pict>
          </mc:Fallback>
        </mc:AlternateContent>
      </w:r>
    </w:p>
    <w:p w14:paraId="51F482EE" w14:textId="2CC9DEA7" w:rsidR="00682A63" w:rsidRPr="008B3AD6" w:rsidRDefault="006E34EC" w:rsidP="00F30350">
      <w:pPr>
        <w:spacing w:line="360" w:lineRule="auto"/>
        <w:jc w:val="both"/>
      </w:pPr>
      <w:r>
        <w:rPr>
          <w:noProof/>
        </w:rPr>
        <mc:AlternateContent>
          <mc:Choice Requires="wps">
            <w:drawing>
              <wp:anchor distT="0" distB="0" distL="114300" distR="114300" simplePos="0" relativeHeight="251369472" behindDoc="0" locked="0" layoutInCell="1" allowOverlap="1" wp14:anchorId="59EC340F" wp14:editId="688BBA41">
                <wp:simplePos x="0" y="0"/>
                <wp:positionH relativeFrom="column">
                  <wp:posOffset>1718945</wp:posOffset>
                </wp:positionH>
                <wp:positionV relativeFrom="paragraph">
                  <wp:posOffset>1389380</wp:posOffset>
                </wp:positionV>
                <wp:extent cx="187325" cy="361315"/>
                <wp:effectExtent l="0" t="0" r="3175" b="6985"/>
                <wp:wrapTopAndBottom/>
                <wp:docPr id="563" name="Text Box 563"/>
                <wp:cNvGraphicFramePr/>
                <a:graphic xmlns:a="http://schemas.openxmlformats.org/drawingml/2006/main">
                  <a:graphicData uri="http://schemas.microsoft.com/office/word/2010/wordprocessingShape">
                    <wps:wsp>
                      <wps:cNvSpPr txBox="1"/>
                      <wps:spPr>
                        <a:xfrm>
                          <a:off x="0" y="0"/>
                          <a:ext cx="187325" cy="361315"/>
                        </a:xfrm>
                        <a:prstGeom prst="rect">
                          <a:avLst/>
                        </a:prstGeom>
                        <a:noFill/>
                        <a:ln w="6350">
                          <a:noFill/>
                        </a:ln>
                      </wps:spPr>
                      <wps:txbx>
                        <w:txbxContent>
                          <w:p w14:paraId="6ED4897C" w14:textId="77777777" w:rsidR="00F61130" w:rsidRDefault="00F61130" w:rsidP="00B23FF8">
                            <w:pPr>
                              <w:spacing w:line="240" w:lineRule="auto"/>
                              <w:jc w:val="center"/>
                            </w:pPr>
                          </w:p>
                          <w:p w14:paraId="69D714A7" w14:textId="042DDF1A" w:rsidR="00F61130" w:rsidRPr="006508D1" w:rsidRDefault="00F61130" w:rsidP="00B23FF8">
                            <w:pPr>
                              <w:spacing w:line="240" w:lineRule="auto"/>
                              <w:jc w:val="center"/>
                            </w:pPr>
                            <w:r>
                              <w:t>B</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EC340F" id="Text Box 563" o:spid="_x0000_s1136" type="#_x0000_t202" style="position:absolute;left:0;text-align:left;margin-left:135.35pt;margin-top:109.4pt;width:14.75pt;height:28.45pt;z-index:251369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3KfJ6KAIAAE0EAAAOAAAAZHJzL2Uyb0RvYy54bWysVFFv2jAQfp+0/2D5fYSAYFVEqFgrpkmo&#13;&#10;rQRTn41jk0i2z7MNCfv1OzsEpm5PVV/M5e783d13n1ncd1qRk3C+AVPSfDSmRBgOVWMOJf25W3+5&#13;&#10;o8QHZiqmwIiSnoWn98vPnxatLcQEalCVcARBjC9aW9I6BFtkmee10MyPwAqDQQlOs4Cf7pBVjrWI&#13;&#10;rlU2GY/nWQuusg648B69j32QLhO+lIKHZym9CESVFHsL6XTp3MczWy5YcXDM1g2/tMHe0YVmjcGi&#13;&#10;V6hHFhg5uuYfKN1wBx5kGHHQGUjZcJFmwGny8ZtptjWzIs2C5Hh7pcl/HCx/Or040lQlnc2nlBim&#13;&#10;cUk70QXyDToSfchQa32BiVuLqaHDAG568Ht0xsE76XT8xZEIxpHr85XfCMfjpbuv08mMEo6h6Tyf&#13;&#10;5rOIkt0uW+fDdwGaRKOkDteXWGWnjQ996pASaxlYN0qlFSpD2pLOp7NxunCNILgyWCOO0LcardDt&#13;&#10;uzR0nicJRN8eqjPO56DXiLd83WAXG+bDC3MoChwJhR6e8ZAKsBpcLEpqcL//54/5uCuMUtKiyErq&#13;&#10;fx2ZE5SoHwa3GBU5GG4w9oNhjvoBULc5PiHLk4kXXFCDKR3oV9T/KlbBEDMca5U0DOZD6KWO74eL&#13;&#10;1Soloe4sCxuztTxCRx4jp7vulTl7IT7gxp5gkB8r3vDf5/YbWB0DyCYt58bihXDUbFrv5X3FR/H3&#13;&#10;d8q6/Qss/wAAAP//AwBQSwMEFAAGAAgAAAAhAD0DxlbiAAAAEAEAAA8AAABkcnMvZG93bnJldi54&#13;&#10;bWxMT01PwzAMvSPxHyIjcWNJi6BT13RCDG7AYBsS3NLGtBVNUiVpV/493gkulq33/D6K9Wx6NqEP&#13;&#10;nbMSkoUAhrZ2urONhMP+8WoJLERlteqdRQk/GGBdnp8VKtfuaN9w2sWGkYgNuZLQxjjknIe6RaPC&#13;&#10;wg1oCfty3qhIp2+49upI4qbnqRC33KjOkkOrBrxvsf7ejUZC/xH8UyXi57RpnuPrlo/vD8mLlJcX&#13;&#10;82ZF424FLOIc/z7g1IHyQ0nBKjdaHVgvIc1ERlRakiUVIca1ECmw6gTdZMDLgv8vUv4CAAD//wMA&#13;&#10;UEsBAi0AFAAGAAgAAAAhALaDOJL+AAAA4QEAABMAAAAAAAAAAAAAAAAAAAAAAFtDb250ZW50X1R5&#13;&#10;cGVzXS54bWxQSwECLQAUAAYACAAAACEAOP0h/9YAAACUAQAACwAAAAAAAAAAAAAAAAAvAQAAX3Jl&#13;&#10;bHMvLnJlbHNQSwECLQAUAAYACAAAACEAtynyeigCAABNBAAADgAAAAAAAAAAAAAAAAAuAgAAZHJz&#13;&#10;L2Uyb0RvYy54bWxQSwECLQAUAAYACAAAACEAPQPGVuIAAAAQAQAADwAAAAAAAAAAAAAAAACCBAAA&#13;&#10;ZHJzL2Rvd25yZXYueG1sUEsFBgAAAAAEAAQA8wAAAJEFAAAAAA==&#13;&#10;" filled="f" stroked="f" strokeweight=".5pt">
                <v:textbox inset="0,0,0,0">
                  <w:txbxContent>
                    <w:p w14:paraId="6ED4897C" w14:textId="77777777" w:rsidR="00F61130" w:rsidRDefault="00F61130" w:rsidP="00B23FF8">
                      <w:pPr>
                        <w:spacing w:line="240" w:lineRule="auto"/>
                        <w:jc w:val="center"/>
                      </w:pPr>
                    </w:p>
                    <w:p w14:paraId="69D714A7" w14:textId="042DDF1A" w:rsidR="00F61130" w:rsidRPr="006508D1" w:rsidRDefault="00F61130" w:rsidP="00B23FF8">
                      <w:pPr>
                        <w:spacing w:line="240" w:lineRule="auto"/>
                        <w:jc w:val="center"/>
                      </w:pPr>
                      <w:r>
                        <w:t>B</w:t>
                      </w:r>
                    </w:p>
                  </w:txbxContent>
                </v:textbox>
                <w10:wrap type="topAndBottom"/>
              </v:shape>
            </w:pict>
          </mc:Fallback>
        </mc:AlternateContent>
      </w:r>
      <w:r w:rsidRPr="008923BF">
        <w:rPr>
          <w:noProof/>
        </w:rPr>
        <w:drawing>
          <wp:anchor distT="0" distB="0" distL="114300" distR="114300" simplePos="0" relativeHeight="252188672" behindDoc="0" locked="0" layoutInCell="1" allowOverlap="1" wp14:anchorId="6DF3AA36" wp14:editId="53754925">
            <wp:simplePos x="0" y="0"/>
            <wp:positionH relativeFrom="column">
              <wp:posOffset>-356397</wp:posOffset>
            </wp:positionH>
            <wp:positionV relativeFrom="paragraph">
              <wp:posOffset>1670050</wp:posOffset>
            </wp:positionV>
            <wp:extent cx="6087110" cy="3902075"/>
            <wp:effectExtent l="0" t="0" r="0" b="0"/>
            <wp:wrapTopAndBottom/>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extLst>
                        <a:ext uri="{28A0092B-C50C-407E-A947-70E740481C1C}">
                          <a14:useLocalDpi xmlns:a14="http://schemas.microsoft.com/office/drawing/2010/main" val="0"/>
                        </a:ext>
                      </a:extLst>
                    </a:blip>
                    <a:stretch>
                      <a:fillRect/>
                    </a:stretch>
                  </pic:blipFill>
                  <pic:spPr>
                    <a:xfrm>
                      <a:off x="0" y="0"/>
                      <a:ext cx="6087110" cy="3902075"/>
                    </a:xfrm>
                    <a:prstGeom prst="rect">
                      <a:avLst/>
                    </a:prstGeom>
                  </pic:spPr>
                </pic:pic>
              </a:graphicData>
            </a:graphic>
            <wp14:sizeRelH relativeFrom="page">
              <wp14:pctWidth>0</wp14:pctWidth>
            </wp14:sizeRelH>
            <wp14:sizeRelV relativeFrom="page">
              <wp14:pctHeight>0</wp14:pctHeight>
            </wp14:sizeRelV>
          </wp:anchor>
        </w:drawing>
      </w:r>
      <w:r w:rsidR="00F77576">
        <w:rPr>
          <w:noProof/>
        </w:rPr>
        <mc:AlternateContent>
          <mc:Choice Requires="wps">
            <w:drawing>
              <wp:anchor distT="0" distB="0" distL="114300" distR="114300" simplePos="0" relativeHeight="251374592" behindDoc="0" locked="0" layoutInCell="1" allowOverlap="1" wp14:anchorId="44416BBB" wp14:editId="5584021B">
                <wp:simplePos x="0" y="0"/>
                <wp:positionH relativeFrom="column">
                  <wp:posOffset>3725545</wp:posOffset>
                </wp:positionH>
                <wp:positionV relativeFrom="paragraph">
                  <wp:posOffset>4236720</wp:posOffset>
                </wp:positionV>
                <wp:extent cx="187325" cy="178435"/>
                <wp:effectExtent l="0" t="0" r="3175" b="0"/>
                <wp:wrapTopAndBottom/>
                <wp:docPr id="568" name="Text Box 568"/>
                <wp:cNvGraphicFramePr/>
                <a:graphic xmlns:a="http://schemas.openxmlformats.org/drawingml/2006/main">
                  <a:graphicData uri="http://schemas.microsoft.com/office/word/2010/wordprocessingShape">
                    <wps:wsp>
                      <wps:cNvSpPr txBox="1"/>
                      <wps:spPr>
                        <a:xfrm>
                          <a:off x="0" y="0"/>
                          <a:ext cx="187325" cy="178435"/>
                        </a:xfrm>
                        <a:prstGeom prst="rect">
                          <a:avLst/>
                        </a:prstGeom>
                        <a:noFill/>
                        <a:ln w="6350">
                          <a:noFill/>
                        </a:ln>
                      </wps:spPr>
                      <wps:txbx>
                        <w:txbxContent>
                          <w:p w14:paraId="12C761BB" w14:textId="6941017F" w:rsidR="00F61130" w:rsidRPr="006508D1" w:rsidRDefault="00F61130" w:rsidP="00A0367D">
                            <w:pPr>
                              <w:jc w:val="center"/>
                            </w:pPr>
                            <w:r>
                              <w:t>G</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44416BBB" id="Text Box 568" o:spid="_x0000_s1137" type="#_x0000_t202" style="position:absolute;left:0;text-align:left;margin-left:293.35pt;margin-top:333.6pt;width:14.75pt;height:14.05pt;z-index:2513745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ZMqAbKAIAAE0EAAAOAAAAZHJzL2Uyb0RvYy54bWysVF9v2jAQf5+072D5fYTAoCgiVKwV0yTU&#13;&#10;VoKpz8axSSTb59mGhH36nR1Cp25P017MxXe+8++PWd53WpGzcL4BU9J8NKZEGA5VY44l/b7ffFpQ&#13;&#10;4gMzFVNgREkvwtP71ccPy9YWYgI1qEo4gk2ML1pb0joEW2SZ57XQzI/ACoNJCU6zgJ/umFWOtdhd&#13;&#10;q2wyHs+zFlxlHXDhPe4+9km6Sv2lFDw8S+lFIKqkeLeQVpfWQ1yz1ZIVR8ds3fDrNdg/3EKzxuDQ&#13;&#10;W6tHFhg5ueaPVrrhDjzIMOKgM5Cy4SJhQDT5+B2aXc2sSFiQHG9vNPn/15Y/nV8caaqSzuYolWEa&#13;&#10;RdqLLpAv0JG4hwy11hdYuLNYGjpMoNLDvsfNCLyTTsdfhEQwj1xfbvzGdjweWtxNJzNKOKbyu8Xn&#13;&#10;6Sx2yd4OW+fDVwGaxKCkDuVLrLLz1oe+dCiJswxsGqWShMqQtqTz6WycDtwy2FwZnBEh9FeNUegO&#13;&#10;XQKd5zcgB6guiM9B7xFv+abBW2yZDy/MoSkQEho9POMiFeA0uEaU1OB+/m0/1qNWmKWkRZOV1P84&#13;&#10;MScoUd8MqhgdOQRuCA5DYE76AdC3OT4hy1OIB1xQQygd6Ff0/zpOwRQzHGeVNAzhQ+itju+Hi/U6&#13;&#10;FaHvLAtbs7M8to48Rk733Stz9kp8QMWeYLAfK97x39f2CqxPAWSTxInM9ixeCUfPJnmv7ys+it+/&#13;&#10;U9Xbv8DqFwAAAP//AwBQSwMEFAAGAAgAAAAhAEAGHt3jAAAAEAEAAA8AAABkcnMvZG93bnJldi54&#13;&#10;bWxMT01PwzAMvSPxHyIjcWNph5aNrumEGNxgsA0kuKWNaSuapErSrvx7zAku1rP8/D7yzWQ6NqIP&#13;&#10;rbMS0lkCDG3ldGtrCa/Hh6sVsBCV1apzFiV8Y4BNcX6Wq0y7k93jeIg1IxEbMiWhibHPOA9Vg0aF&#13;&#10;mevR0u3TeaMirb7m2qsTiZuOz5NEcKNaSw6N6vGuwerrMBgJ3Xvwj2USP8Zt/RRfnvnwdp/upLy8&#13;&#10;mLZrGrdrYBGn+PcBvx0oPxQUrHSD1YF1EhYrsSSqBCGWc2DEEKkgUBK4WVwDL3L+v0jxAwAA//8D&#13;&#10;AFBLAQItABQABgAIAAAAIQC2gziS/gAAAOEBAAATAAAAAAAAAAAAAAAAAAAAAABbQ29udGVudF9U&#13;&#10;eXBlc10ueG1sUEsBAi0AFAAGAAgAAAAhADj9If/WAAAAlAEAAAsAAAAAAAAAAAAAAAAALwEAAF9y&#13;&#10;ZWxzLy5yZWxzUEsBAi0AFAAGAAgAAAAhABkyoBsoAgAATQQAAA4AAAAAAAAAAAAAAAAALgIAAGRy&#13;&#10;cy9lMm9Eb2MueG1sUEsBAi0AFAAGAAgAAAAhAEAGHt3jAAAAEAEAAA8AAAAAAAAAAAAAAAAAggQA&#13;&#10;AGRycy9kb3ducmV2LnhtbFBLBQYAAAAABAAEAPMAAACSBQAAAAA=&#13;&#10;" filled="f" stroked="f" strokeweight=".5pt">
                <v:textbox inset="0,0,0,0">
                  <w:txbxContent>
                    <w:p w14:paraId="12C761BB" w14:textId="6941017F" w:rsidR="00F61130" w:rsidRPr="006508D1" w:rsidRDefault="00F61130" w:rsidP="00A0367D">
                      <w:pPr>
                        <w:jc w:val="center"/>
                      </w:pPr>
                      <w:r>
                        <w:t>G</w:t>
                      </w:r>
                    </w:p>
                  </w:txbxContent>
                </v:textbox>
                <w10:wrap type="topAndBottom"/>
              </v:shape>
            </w:pict>
          </mc:Fallback>
        </mc:AlternateContent>
      </w:r>
      <w:r w:rsidR="00F77576">
        <w:rPr>
          <w:noProof/>
        </w:rPr>
        <mc:AlternateContent>
          <mc:Choice Requires="wps">
            <w:drawing>
              <wp:anchor distT="0" distB="0" distL="114300" distR="114300" simplePos="0" relativeHeight="251373568" behindDoc="0" locked="0" layoutInCell="1" allowOverlap="1" wp14:anchorId="3B9C887F" wp14:editId="4451B4B4">
                <wp:simplePos x="0" y="0"/>
                <wp:positionH relativeFrom="column">
                  <wp:posOffset>1754505</wp:posOffset>
                </wp:positionH>
                <wp:positionV relativeFrom="paragraph">
                  <wp:posOffset>4236720</wp:posOffset>
                </wp:positionV>
                <wp:extent cx="187325" cy="178435"/>
                <wp:effectExtent l="0" t="0" r="3175" b="0"/>
                <wp:wrapTopAndBottom/>
                <wp:docPr id="567" name="Text Box 567"/>
                <wp:cNvGraphicFramePr/>
                <a:graphic xmlns:a="http://schemas.openxmlformats.org/drawingml/2006/main">
                  <a:graphicData uri="http://schemas.microsoft.com/office/word/2010/wordprocessingShape">
                    <wps:wsp>
                      <wps:cNvSpPr txBox="1"/>
                      <wps:spPr>
                        <a:xfrm>
                          <a:off x="0" y="0"/>
                          <a:ext cx="187325" cy="178435"/>
                        </a:xfrm>
                        <a:prstGeom prst="rect">
                          <a:avLst/>
                        </a:prstGeom>
                        <a:noFill/>
                        <a:ln w="6350">
                          <a:noFill/>
                        </a:ln>
                      </wps:spPr>
                      <wps:txbx>
                        <w:txbxContent>
                          <w:p w14:paraId="22E3A897" w14:textId="1EBF993C" w:rsidR="00F61130" w:rsidRPr="006508D1" w:rsidRDefault="00F61130" w:rsidP="00A0367D">
                            <w:pPr>
                              <w:jc w:val="center"/>
                            </w:pPr>
                            <w:r>
                              <w:t>F</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3B9C887F" id="Text Box 567" o:spid="_x0000_s1138" type="#_x0000_t202" style="position:absolute;left:0;text-align:left;margin-left:138.15pt;margin-top:333.6pt;width:14.75pt;height:14.05pt;z-index:2513735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v1EkxKgIAAE0EAAAOAAAAZHJzL2Uyb0RvYy54bWysVMGO2jAQvVfqP1i+lxAoLIoIK7orqkpo&#13;&#10;dyWo9mwcm0SyPa5tSOjXd+wQttr2VPViJjPjmXlvnlned1qRs3C+AVPSfDSmRBgOVWOOJf2+33xa&#13;&#10;UOIDMxVTYERJL8LT+9XHD8vWFmICNahKOIJFjC9aW9I6BFtkmee10MyPwAqDQQlOs4Cf7phVjrVY&#13;&#10;XatsMh7PsxZcZR1w4T16H/sgXaX6UgoenqX0IhBVUpwtpNOl8xDPbLVkxdExWzf8Ogb7hyk0aww2&#13;&#10;vZV6ZIGRk2v+KKUb7sCDDCMOOgMpGy4SBkSTj9+h2dXMioQFyfH2RpP/f2X50/nFkaYq6Wx+R4lh&#13;&#10;Gpe0F10gX6Aj0YcMtdYXmLizmBo6DOCmB79HZwTeSafjL0IiGEeuLzd+YzkeLy3uppMZJRxD+d3i&#13;&#10;83QWq2Rvl63z4asATaJRUofrS6yy89aHPnVIib0MbBql0gqVIW1J59PZOF24RbC4MtgjQuhHjVbo&#13;&#10;Dl0CneeTAcgBqgvic9BrxFu+aXCKLfPhhTkUBUJCoYdnPKQC7AZXi5Ia3M+/+WM+7gqjlLQospL6&#13;&#10;HyfmBCXqm8EtRkUOhhuMw2CYk34A1G2OT8jyZOIFF9RgSgf6FfW/jl0wxAzHXiUNg/kQeqnj++Fi&#13;&#10;vU5JqDvLwtbsLI+lI4+R0333ypy9Eh9wY08wyI8V7/jvc/sNrE8BZJOWE5ntWbwSjppN672+r/go&#13;&#10;fv9OWW//AqtfAAAA//8DAFBLAwQUAAYACAAAACEAIJgcx+UAAAAQAQAADwAAAGRycy9kb3ducmV2&#13;&#10;LnhtbEyPT0/DMAzF70h8h8hI3Fi6VuugazohBjcYMECCW9qYtiJ/qiTtyrfHnOBiyfbz8/uV29lo&#13;&#10;NqEPvbMClosEGNrGqd62Al5f7i4ugYUorZLaWRTwjQG21elJKQvljvYZp0NsGZnYUEgBXYxDwXlo&#13;&#10;OjQyLNyAlnafzhsZqfUtV14eydxoniZJzo3sLX3o5IA3HTZfh9EI0O/B39dJ/Jh27UN8euTj2+1y&#13;&#10;L8T52bzbULneAIs4x78L+GWg/FBRsNqNVgWmBaTrPCOpgDxfp8BIkSUrIqppcrXKgFcl/w9S/QAA&#13;&#10;AP//AwBQSwECLQAUAAYACAAAACEAtoM4kv4AAADhAQAAEwAAAAAAAAAAAAAAAAAAAAAAW0NvbnRl&#13;&#10;bnRfVHlwZXNdLnhtbFBLAQItABQABgAIAAAAIQA4/SH/1gAAAJQBAAALAAAAAAAAAAAAAAAAAC8B&#13;&#10;AABfcmVscy8ucmVsc1BLAQItABQABgAIAAAAIQDv1EkxKgIAAE0EAAAOAAAAAAAAAAAAAAAAAC4C&#13;&#10;AABkcnMvZTJvRG9jLnhtbFBLAQItABQABgAIAAAAIQAgmBzH5QAAABABAAAPAAAAAAAAAAAAAAAA&#13;&#10;AIQEAABkcnMvZG93bnJldi54bWxQSwUGAAAAAAQABADzAAAAlgUAAAAA&#13;&#10;" filled="f" stroked="f" strokeweight=".5pt">
                <v:textbox inset="0,0,0,0">
                  <w:txbxContent>
                    <w:p w14:paraId="22E3A897" w14:textId="1EBF993C" w:rsidR="00F61130" w:rsidRPr="006508D1" w:rsidRDefault="00F61130" w:rsidP="00A0367D">
                      <w:pPr>
                        <w:jc w:val="center"/>
                      </w:pPr>
                      <w:r>
                        <w:t>F</w:t>
                      </w:r>
                    </w:p>
                  </w:txbxContent>
                </v:textbox>
                <w10:wrap type="topAndBottom"/>
              </v:shape>
            </w:pict>
          </mc:Fallback>
        </mc:AlternateContent>
      </w:r>
      <w:r w:rsidR="00F77576">
        <w:rPr>
          <w:noProof/>
        </w:rPr>
        <mc:AlternateContent>
          <mc:Choice Requires="wps">
            <w:drawing>
              <wp:anchor distT="0" distB="0" distL="114300" distR="114300" simplePos="0" relativeHeight="251372544" behindDoc="0" locked="0" layoutInCell="1" allowOverlap="1" wp14:anchorId="7F07566A" wp14:editId="0D8E30A4">
                <wp:simplePos x="0" y="0"/>
                <wp:positionH relativeFrom="column">
                  <wp:posOffset>3725545</wp:posOffset>
                </wp:positionH>
                <wp:positionV relativeFrom="paragraph">
                  <wp:posOffset>2933065</wp:posOffset>
                </wp:positionV>
                <wp:extent cx="187325" cy="178435"/>
                <wp:effectExtent l="0" t="0" r="3175" b="0"/>
                <wp:wrapTopAndBottom/>
                <wp:docPr id="566" name="Text Box 566"/>
                <wp:cNvGraphicFramePr/>
                <a:graphic xmlns:a="http://schemas.openxmlformats.org/drawingml/2006/main">
                  <a:graphicData uri="http://schemas.microsoft.com/office/word/2010/wordprocessingShape">
                    <wps:wsp>
                      <wps:cNvSpPr txBox="1"/>
                      <wps:spPr>
                        <a:xfrm>
                          <a:off x="0" y="0"/>
                          <a:ext cx="187325" cy="178435"/>
                        </a:xfrm>
                        <a:prstGeom prst="rect">
                          <a:avLst/>
                        </a:prstGeom>
                        <a:noFill/>
                        <a:ln w="6350">
                          <a:noFill/>
                        </a:ln>
                      </wps:spPr>
                      <wps:txbx>
                        <w:txbxContent>
                          <w:p w14:paraId="33AA2E40" w14:textId="2BC897E6" w:rsidR="00F61130" w:rsidRPr="006508D1" w:rsidRDefault="00F61130" w:rsidP="00A0367D">
                            <w:pPr>
                              <w:jc w:val="center"/>
                            </w:pPr>
                            <w:r>
                              <w:t>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7F07566A" id="Text Box 566" o:spid="_x0000_s1139" type="#_x0000_t202" style="position:absolute;left:0;text-align:left;margin-left:293.35pt;margin-top:230.95pt;width:14.75pt;height:14.05pt;z-index:2513725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YjrfnKgIAAE0EAAAOAAAAZHJzL2Uyb0RvYy54bWysVMGO2jAQvVfqP1i+lxAoLIoIK7orqkpo&#13;&#10;dyWo9mwcm0SyPa5tSOjXd+wQttr2VPViJjPjmXlvnlned1qRs3C+AVPSfDSmRBgOVWOOJf2+33xa&#13;&#10;UOIDMxVTYERJL8LT+9XHD8vWFmICNahKOIJFjC9aW9I6BFtkmee10MyPwAqDQQlOs4Cf7phVjrVY&#13;&#10;XatsMh7PsxZcZR1w4T16H/sgXaX6UgoenqX0IhBVUpwtpNOl8xDPbLVkxdExWzf8Ogb7hyk0aww2&#13;&#10;vZV6ZIGRk2v+KKUb7sCDDCMOOgMpGy4SBkSTj9+h2dXMioQFyfH2RpP/f2X50/nFkaYq6Ww+p8Qw&#13;&#10;jUvaiy6QL9CR6EOGWusLTNxZTA0dBnDTg9+jMwLvpNPxFyERjCPXlxu/sRyPlxZ308mMEo6h/G7x&#13;&#10;eTqLVbK3y9b58FWAJtEoqcP1JVbZeetDnzqkxF4GNo1SaYXKkLak8+lsnC7cIlhcGewRIfSjRit0&#13;&#10;hy6BzvPpAOQA1QXxOeg14i3fNDjFlvnwwhyKAiGh0MMzHlIBdoOrRUkN7uff/DEfd4VRSloUWUn9&#13;&#10;jxNzghL1zeAWoyIHww3GYTDMST8A6jbHJ2R5MvGCC2owpQP9ivpfxy4YYoZjr5KGwXwIvdTx/XCx&#13;&#10;Xqck1J1lYWt2lsfSkcfI6b57Zc5eiQ+4sScY5MeKd/z3uf0G1qcAsknLicz2LF4JR82m9V7fV3wU&#13;&#10;v3+nrLd/gdUvAAAA//8DAFBLAwQUAAYACAAAACEAaSl94+MAAAAQAQAADwAAAGRycy9kb3ducmV2&#13;&#10;LnhtbExPyU7DMBC9I/EP1iBxo3YqCG0ap0IUbqwFJLg58ZBEeIlsJw1/z3CCy0gz781byu1sDZsw&#13;&#10;xN47CdlCAEPXeN27VsLry+3ZClhMymllvEMJ3xhhWx0flarQ/uCecdqnlpGIi4WS0KU0FJzHpkOr&#13;&#10;4sIP6Aj79MGqRGtouQ7qQOLW8KUQObeqd+TQqQGvO2y+9qOVYN5juKtF+ph27X16euTj2032IOXp&#13;&#10;ybzb0LjaAEs4p78P+O1A+aGiYLUfnY7MSLhY5ZdElXCeZ2tgxMizfAmspstaCOBVyf8XqX4AAAD/&#13;&#10;/wMAUEsBAi0AFAAGAAgAAAAhALaDOJL+AAAA4QEAABMAAAAAAAAAAAAAAAAAAAAAAFtDb250ZW50&#13;&#10;X1R5cGVzXS54bWxQSwECLQAUAAYACAAAACEAOP0h/9YAAACUAQAACwAAAAAAAAAAAAAAAAAvAQAA&#13;&#10;X3JlbHMvLnJlbHNQSwECLQAUAAYACAAAACEA2I635yoCAABNBAAADgAAAAAAAAAAAAAAAAAuAgAA&#13;&#10;ZHJzL2Uyb0RvYy54bWxQSwECLQAUAAYACAAAACEAaSl94+MAAAAQAQAADwAAAAAAAAAAAAAAAACE&#13;&#10;BAAAZHJzL2Rvd25yZXYueG1sUEsFBgAAAAAEAAQA8wAAAJQFAAAAAA==&#13;&#10;" filled="f" stroked="f" strokeweight=".5pt">
                <v:textbox inset="0,0,0,0">
                  <w:txbxContent>
                    <w:p w14:paraId="33AA2E40" w14:textId="2BC897E6" w:rsidR="00F61130" w:rsidRPr="006508D1" w:rsidRDefault="00F61130" w:rsidP="00A0367D">
                      <w:pPr>
                        <w:jc w:val="center"/>
                      </w:pPr>
                      <w:r>
                        <w:t>E</w:t>
                      </w:r>
                    </w:p>
                  </w:txbxContent>
                </v:textbox>
                <w10:wrap type="topAndBottom"/>
              </v:shape>
            </w:pict>
          </mc:Fallback>
        </mc:AlternateContent>
      </w:r>
      <w:r w:rsidR="00F77576">
        <w:rPr>
          <w:noProof/>
        </w:rPr>
        <mc:AlternateContent>
          <mc:Choice Requires="wps">
            <w:drawing>
              <wp:anchor distT="0" distB="0" distL="114300" distR="114300" simplePos="0" relativeHeight="251371520" behindDoc="0" locked="0" layoutInCell="1" allowOverlap="1" wp14:anchorId="00303678" wp14:editId="22ECAF7D">
                <wp:simplePos x="0" y="0"/>
                <wp:positionH relativeFrom="column">
                  <wp:posOffset>1754505</wp:posOffset>
                </wp:positionH>
                <wp:positionV relativeFrom="paragraph">
                  <wp:posOffset>2925445</wp:posOffset>
                </wp:positionV>
                <wp:extent cx="187325" cy="178435"/>
                <wp:effectExtent l="0" t="0" r="3175" b="0"/>
                <wp:wrapTopAndBottom/>
                <wp:docPr id="565" name="Text Box 565"/>
                <wp:cNvGraphicFramePr/>
                <a:graphic xmlns:a="http://schemas.openxmlformats.org/drawingml/2006/main">
                  <a:graphicData uri="http://schemas.microsoft.com/office/word/2010/wordprocessingShape">
                    <wps:wsp>
                      <wps:cNvSpPr txBox="1"/>
                      <wps:spPr>
                        <a:xfrm>
                          <a:off x="0" y="0"/>
                          <a:ext cx="187325" cy="178435"/>
                        </a:xfrm>
                        <a:prstGeom prst="rect">
                          <a:avLst/>
                        </a:prstGeom>
                        <a:noFill/>
                        <a:ln w="6350">
                          <a:noFill/>
                        </a:ln>
                      </wps:spPr>
                      <wps:txbx>
                        <w:txbxContent>
                          <w:p w14:paraId="64ABF385" w14:textId="0C82C67B" w:rsidR="00F61130" w:rsidRPr="006508D1" w:rsidRDefault="00F61130" w:rsidP="00A0367D">
                            <w:pPr>
                              <w:jc w:val="center"/>
                            </w:pPr>
                            <w:r>
                              <w:t>D</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00303678" id="Text Box 565" o:spid="_x0000_s1140" type="#_x0000_t202" style="position:absolute;left:0;text-align:left;margin-left:138.15pt;margin-top:230.35pt;width:14.75pt;height:14.05pt;z-index:2513715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FbTKQIAAE0EAAAOAAAAZHJzL2Uyb0RvYy54bWysVF1v2jAUfZ+0/2D5fYRAoSgiVKwV06Sq&#13;&#10;rQRTn41jk0i2r2cbEvbrd+0QWnV7mvZibnw/z7nHLO86rchJON+AKWk+GlMiDIeqMYeS/thtviwo&#13;&#10;8YGZiikwoqRn4end6vOnZWsLMYEaVCUcwSLGF60taR2CLbLM81po5kdghUGnBKdZwE93yCrHWqyu&#13;&#10;VTYZj+dZC66yDrjwHm8feiddpfpSCh6epfQiEFVSnC2k06VzH89stWTFwTFbN/wyBvuHKTRrDDa9&#13;&#10;lnpggZGja/4opRvuwIMMIw46AykbLhIGRJOPP6DZ1syKhAXJ8fZKk/9/ZfnT6cWRpirpbD6jxDCN&#13;&#10;S9qJLpCv0JF4hwy11hcYuLUYGjp04KaHe4+XEXgnnY6/CImgH7k+X/mN5XhMWtxOJ9iFoyu/XdxM&#13;&#10;U/XsLdk6H74J0CQaJXW4vsQqOz36gINg6BASexnYNEqlFSpD2pLOp7NxSrh6MEMZTIwQ+lGjFbp9&#13;&#10;l0Dn+c0AZA/VGfE56DXiLd80OMUj8+GFORQFQkKhh2c8pALsBheLkhrcr7/dx3jcFXopaVFkJfU/&#13;&#10;j8wJStR3g1uMihwMNxj7wTBHfQ+o2xyfkOXJxAQX1GBKB/oV9b+OXdDFDMdeJQ2DeR96qeP74WK9&#13;&#10;TkGoO8vCo9laHktHHiOnu+6VOXshPuDGnmCQHys+8N/H9htYHwPIJi0nMtuzeCEcNZt2dnlf8VG8&#13;&#10;/05Rb/8Cq98AAAD//wMAUEsDBBQABgAIAAAAIQD80TMX5QAAABABAAAPAAAAZHJzL2Rvd25yZXYu&#13;&#10;eG1sTI9BT8MwDIXvSPyHyEjcWLINuqprOiEGNxhsAwluaWPaiiapkrQr/x5zgosl28/P78s3k+nY&#13;&#10;iD60zkqYzwQwtJXTra0lvB4frlJgISqrVecsSvjGAJvi/CxXmXYnu8fxEGtGJjZkSkITY59xHqoG&#13;&#10;jQoz16Ol3afzRkVqfc21VycyNx1fCJFwo1pLHxrV412D1ddhMBK69+AfSxE/xm39FF+e+fB2P99J&#13;&#10;eXkxbddUbtfAIk7x7wJ+GSg/FBSsdIPVgXUSFqtkSVIJ14lYASPFUtwQUUmTNE2BFzn/D1L8AAAA&#13;&#10;//8DAFBLAQItABQABgAIAAAAIQC2gziS/gAAAOEBAAATAAAAAAAAAAAAAAAAAAAAAABbQ29udGVu&#13;&#10;dF9UeXBlc10ueG1sUEsBAi0AFAAGAAgAAAAhADj9If/WAAAAlAEAAAsAAAAAAAAAAAAAAAAALwEA&#13;&#10;AF9yZWxzLy5yZWxzUEsBAi0AFAAGAAgAAAAhAMT4VtMpAgAATQQAAA4AAAAAAAAAAAAAAAAALgIA&#13;&#10;AGRycy9lMm9Eb2MueG1sUEsBAi0AFAAGAAgAAAAhAPzRMxflAAAAEAEAAA8AAAAAAAAAAAAAAAAA&#13;&#10;gwQAAGRycy9kb3ducmV2LnhtbFBLBQYAAAAABAAEAPMAAACVBQAAAAA=&#13;&#10;" filled="f" stroked="f" strokeweight=".5pt">
                <v:textbox inset="0,0,0,0">
                  <w:txbxContent>
                    <w:p w14:paraId="64ABF385" w14:textId="0C82C67B" w:rsidR="00F61130" w:rsidRPr="006508D1" w:rsidRDefault="00F61130" w:rsidP="00A0367D">
                      <w:pPr>
                        <w:jc w:val="center"/>
                      </w:pPr>
                      <w:r>
                        <w:t>D</w:t>
                      </w:r>
                    </w:p>
                  </w:txbxContent>
                </v:textbox>
                <w10:wrap type="topAndBottom"/>
              </v:shape>
            </w:pict>
          </mc:Fallback>
        </mc:AlternateContent>
      </w:r>
      <w:r w:rsidR="00F77576">
        <w:rPr>
          <w:noProof/>
        </w:rPr>
        <mc:AlternateContent>
          <mc:Choice Requires="wps">
            <w:drawing>
              <wp:anchor distT="0" distB="0" distL="114300" distR="114300" simplePos="0" relativeHeight="251370496" behindDoc="0" locked="0" layoutInCell="1" allowOverlap="1" wp14:anchorId="7D9BA461" wp14:editId="6D1512D1">
                <wp:simplePos x="0" y="0"/>
                <wp:positionH relativeFrom="column">
                  <wp:posOffset>3725545</wp:posOffset>
                </wp:positionH>
                <wp:positionV relativeFrom="paragraph">
                  <wp:posOffset>1576070</wp:posOffset>
                </wp:positionV>
                <wp:extent cx="187325" cy="179070"/>
                <wp:effectExtent l="0" t="0" r="3175" b="0"/>
                <wp:wrapTopAndBottom/>
                <wp:docPr id="564" name="Text Box 564"/>
                <wp:cNvGraphicFramePr/>
                <a:graphic xmlns:a="http://schemas.openxmlformats.org/drawingml/2006/main">
                  <a:graphicData uri="http://schemas.microsoft.com/office/word/2010/wordprocessingShape">
                    <wps:wsp>
                      <wps:cNvSpPr txBox="1"/>
                      <wps:spPr>
                        <a:xfrm>
                          <a:off x="0" y="0"/>
                          <a:ext cx="187325" cy="179070"/>
                        </a:xfrm>
                        <a:prstGeom prst="rect">
                          <a:avLst/>
                        </a:prstGeom>
                        <a:noFill/>
                        <a:ln w="6350">
                          <a:noFill/>
                        </a:ln>
                      </wps:spPr>
                      <wps:txbx>
                        <w:txbxContent>
                          <w:p w14:paraId="59921691" w14:textId="0541CC7E" w:rsidR="00F61130" w:rsidRPr="006508D1" w:rsidRDefault="00F61130" w:rsidP="00A0367D">
                            <w:pPr>
                              <w:jc w:val="center"/>
                            </w:pPr>
                            <w:r>
                              <w:t>C</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7D9BA461" id="Text Box 564" o:spid="_x0000_s1141" type="#_x0000_t202" style="position:absolute;left:0;text-align:left;margin-left:293.35pt;margin-top:124.1pt;width:14.75pt;height:14.1pt;z-index:2513704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x6VNhKgIAAE0EAAAOAAAAZHJzL2Uyb0RvYy54bWysVF1v2jAUfZ+0/2D5fSShAzpEqFgrpkmo&#13;&#10;rQRTn41jk0i2r2cbEvbrd+0QWnV7mvZibnw/z7nHLO46rchJON+AKWkxyikRhkPVmENJf+zWn24p&#13;&#10;8YGZiikwoqRn4end8uOHRWvnYgw1qEo4gkWMn7e2pHUIdp5lntdCMz8CKww6JTjNAn66Q1Y51mJ1&#13;&#10;rbJxnk+zFlxlHXDhPd4+9E66TPWlFDw8SelFIKqkOFtIp0vnPp7ZcsHmB8ds3fDLGOwfptCsMdj0&#13;&#10;WuqBBUaOrvmjlG64Aw8yjDjoDKRsuEgYEE2Rv0OzrZkVCQuS4+2VJv//yvLH07MjTVXSyfQzJYZp&#13;&#10;XNJOdIF8hY7EO2SotX6OgVuLoaFDB256uPd4GYF30un4i5AI+pHr85XfWI7HpNvZzXhCCUdXMfuS&#13;&#10;zxL/2WuydT58E6BJNErqcH2JVXba+ICDYOgQEnsZWDdKpRUqQ9qSTm8meUq4ejBDGUyMEPpRoxW6&#13;&#10;fZdAF8VkALKH6oz4HPQa8ZavG5xiw3x4Zg5FgZBQ6OEJD6kAu8HFoqQG9+tv9zEed4VeSloUWUn9&#13;&#10;zyNzghL13eAWoyIHww3GfjDMUd8D6rbAJ2R5MjHBBTWY0oF+Qf2vYhd0McOxV0nDYN6HXur4frhY&#13;&#10;rVIQ6s6ysDFby2PpyGPkdNe9MGcvxAfc2CMM8mPzd/z3sf0GVscAsknLicz2LF4IR82mnV3eV3wU&#13;&#10;b79T1Ou/wPI3AAAA//8DAFBLAwQUAAYACAAAACEARgxNW+IAAAAQAQAADwAAAGRycy9kb3ducmV2&#13;&#10;LnhtbExPS0+EMBC+m/gfmjHx5hbI2iUsZWNcvflcNdFboRWIdErawuK/dzzpZTKPb75HuVvswGbj&#13;&#10;Q+9QQrpKgBlsnO6xlfD6cnuRAwtRoVaDQyPh2wTYVacnpSq0O+KzmQ+xZUSCoVASuhjHgvPQdMaq&#13;&#10;sHKjQbp9Om9VpNG3XHt1JHI78CxJBLeqR1Lo1GiuO9N8HSYrYXgP/q5O4se8b+/j0yOf3m7SBynP&#13;&#10;z5b9lsrVFlg0S/z7gN8M5B8qMla7CXVgg4TLXGwIKiFb5xkwQohUUFPTZiPWwKuS/w9S/QAAAP//&#13;&#10;AwBQSwECLQAUAAYACAAAACEAtoM4kv4AAADhAQAAEwAAAAAAAAAAAAAAAAAAAAAAW0NvbnRlbnRf&#13;&#10;VHlwZXNdLnhtbFBLAQItABQABgAIAAAAIQA4/SH/1gAAAJQBAAALAAAAAAAAAAAAAAAAAC8BAABf&#13;&#10;cmVscy8ucmVsc1BLAQItABQABgAIAAAAIQAx6VNhKgIAAE0EAAAOAAAAAAAAAAAAAAAAAC4CAABk&#13;&#10;cnMvZTJvRG9jLnhtbFBLAQItABQABgAIAAAAIQBGDE1b4gAAABABAAAPAAAAAAAAAAAAAAAAAIQE&#13;&#10;AABkcnMvZG93bnJldi54bWxQSwUGAAAAAAQABADzAAAAkwUAAAAA&#13;&#10;" filled="f" stroked="f" strokeweight=".5pt">
                <v:textbox inset="0,0,0,0">
                  <w:txbxContent>
                    <w:p w14:paraId="59921691" w14:textId="0541CC7E" w:rsidR="00F61130" w:rsidRPr="006508D1" w:rsidRDefault="00F61130" w:rsidP="00A0367D">
                      <w:pPr>
                        <w:jc w:val="center"/>
                      </w:pPr>
                      <w:r>
                        <w:t>C</w:t>
                      </w:r>
                    </w:p>
                  </w:txbxContent>
                </v:textbox>
                <w10:wrap type="topAndBottom"/>
              </v:shape>
            </w:pict>
          </mc:Fallback>
        </mc:AlternateContent>
      </w:r>
      <w:r w:rsidR="00F77576">
        <w:rPr>
          <w:noProof/>
        </w:rPr>
        <mc:AlternateContent>
          <mc:Choice Requires="wps">
            <w:drawing>
              <wp:anchor distT="0" distB="0" distL="114300" distR="114300" simplePos="0" relativeHeight="251368448" behindDoc="0" locked="0" layoutInCell="1" allowOverlap="1" wp14:anchorId="44D40232" wp14:editId="5C7FD5E8">
                <wp:simplePos x="0" y="0"/>
                <wp:positionH relativeFrom="column">
                  <wp:posOffset>-299085</wp:posOffset>
                </wp:positionH>
                <wp:positionV relativeFrom="paragraph">
                  <wp:posOffset>1576070</wp:posOffset>
                </wp:positionV>
                <wp:extent cx="187325" cy="179070"/>
                <wp:effectExtent l="0" t="0" r="3175" b="0"/>
                <wp:wrapTopAndBottom/>
                <wp:docPr id="562" name="Text Box 562"/>
                <wp:cNvGraphicFramePr/>
                <a:graphic xmlns:a="http://schemas.openxmlformats.org/drawingml/2006/main">
                  <a:graphicData uri="http://schemas.microsoft.com/office/word/2010/wordprocessingShape">
                    <wps:wsp>
                      <wps:cNvSpPr txBox="1"/>
                      <wps:spPr>
                        <a:xfrm>
                          <a:off x="0" y="0"/>
                          <a:ext cx="187325" cy="179070"/>
                        </a:xfrm>
                        <a:prstGeom prst="rect">
                          <a:avLst/>
                        </a:prstGeom>
                        <a:noFill/>
                        <a:ln w="6350">
                          <a:noFill/>
                        </a:ln>
                      </wps:spPr>
                      <wps:txbx>
                        <w:txbxContent>
                          <w:p w14:paraId="150CBD6F" w14:textId="77777777" w:rsidR="00F61130" w:rsidRPr="006508D1" w:rsidRDefault="00F61130" w:rsidP="00A0367D">
                            <w:pPr>
                              <w:jc w:val="center"/>
                            </w:pPr>
                            <w:r w:rsidRPr="006508D1">
                              <w:t>A</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44D40232" id="Text Box 562" o:spid="_x0000_s1142" type="#_x0000_t202" style="position:absolute;left:0;text-align:left;margin-left:-23.55pt;margin-top:124.1pt;width:14.75pt;height:14.1pt;z-index:2513684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FBnNLKQIAAE0EAAAOAAAAZHJzL2Uyb0RvYy54bWysVF1v2jAUfZ+0/2D5fSShArqIULFWTJOq&#13;&#10;thJMfTaOTSLZvp5tSNiv37VD6NTtadqLufH9POces7zrtSIn4XwLpqLFJKdEGA51aw4V/b7bfLql&#13;&#10;xAdmaqbAiIqehad3q48flp0txRQaULVwBIsYX3a2ok0ItswyzxuhmZ+AFQadEpxmAT/dIasd67C6&#13;&#10;Vtk0z+dZB662DrjwHm8fBiddpfpSCh6epfQiEFVRnC2k06VzH89stWTlwTHbtPwyBvuHKTRrDTa9&#13;&#10;lnpggZGja/8opVvuwIMMEw46AylbLhIGRFPk79BsG2ZFwoLkeHulyf+/svzp9OJIW1d0Np9SYpjG&#13;&#10;Je1EH8gX6Em8Q4Y660sM3FoMDT06cNPjvcfLCLyXTsdfhETQj1yfr/zGcjwm3S5upjNKOLqKxed8&#13;&#10;kfjP3pKt8+GrAE2iUVGH60usstOjDzgIho4hsZeBTatUWqEypKvo/GaWp4SrBzOUwcQIYRg1WqHf&#13;&#10;9wl0UcxHIHuoz4jPwaARb/mmxSkemQ8vzKEoEBIKPTzjIRVgN7hYlDTgfv7tPsbjrtBLSYciq6j/&#13;&#10;cWROUKK+GdxiVORouNHYj4Y56ntA3Rb4hCxPJia4oEZTOtCvqP917IIuZjj2qmgYzfswSB3fDxfr&#13;&#10;dQpC3VkWHs3W8lg68hg53fWvzNkL8QE39gSj/Fj5jv8hdtjA+hhAtmk5kdmBxQvhqNm0s8v7io/i&#13;&#10;9+8U9fYvsPoFAAD//wMAUEsDBBQABgAIAAAAIQAB5Sj/4wAAABABAAAPAAAAZHJzL2Rvd25yZXYu&#13;&#10;eG1sTE9NT4QwEL2b+B+aMfHGFgiBDUvZGFdvfq6a6K3QCkQ6JW1h8d87nvQyycx78z6q/WpGtmjn&#13;&#10;B4sCkk0MTGNr1YCdgNeX22gLzAeJSo4WtYBv7WFfn59VslT2hM96OYaOkQj6UgroQ5hKzn3bayP9&#13;&#10;xk4aCfu0zshAq+u4cvJE4mbkaRzn3MgByaGXk77udft1nI2A8d27uyYOH8uhuw9Pj3x+u0kehLi8&#13;&#10;WA87Glc7YEGv4e8DfjtQfqgpWGNnVJ6NAqKsSIgqIM22KTBiREmRA2voUuQZ8Lri/4vUPwAAAP//&#13;&#10;AwBQSwECLQAUAAYACAAAACEAtoM4kv4AAADhAQAAEwAAAAAAAAAAAAAAAAAAAAAAW0NvbnRlbnRf&#13;&#10;VHlwZXNdLnhtbFBLAQItABQABgAIAAAAIQA4/SH/1gAAAJQBAAALAAAAAAAAAAAAAAAAAC8BAABf&#13;&#10;cmVscy8ucmVsc1BLAQItABQABgAIAAAAIQDFBnNLKQIAAE0EAAAOAAAAAAAAAAAAAAAAAC4CAABk&#13;&#10;cnMvZTJvRG9jLnhtbFBLAQItABQABgAIAAAAIQAB5Sj/4wAAABABAAAPAAAAAAAAAAAAAAAAAIME&#13;&#10;AABkcnMvZG93bnJldi54bWxQSwUGAAAAAAQABADzAAAAkwUAAAAA&#13;&#10;" filled="f" stroked="f" strokeweight=".5pt">
                <v:textbox inset="0,0,0,0">
                  <w:txbxContent>
                    <w:p w14:paraId="150CBD6F" w14:textId="77777777" w:rsidR="00F61130" w:rsidRPr="006508D1" w:rsidRDefault="00F61130" w:rsidP="00A0367D">
                      <w:pPr>
                        <w:jc w:val="center"/>
                      </w:pPr>
                      <w:r w:rsidRPr="006508D1">
                        <w:t>A</w:t>
                      </w:r>
                    </w:p>
                  </w:txbxContent>
                </v:textbox>
                <w10:wrap type="topAndBottom"/>
              </v:shape>
            </w:pict>
          </mc:Fallback>
        </mc:AlternateContent>
      </w:r>
      <w:r w:rsidR="00F77576">
        <w:rPr>
          <w:noProof/>
        </w:rPr>
        <mc:AlternateContent>
          <mc:Choice Requires="wps">
            <w:drawing>
              <wp:anchor distT="0" distB="0" distL="114300" distR="114300" simplePos="0" relativeHeight="251367424" behindDoc="0" locked="0" layoutInCell="1" allowOverlap="1" wp14:anchorId="517A8E78" wp14:editId="2F3E1A65">
                <wp:simplePos x="0" y="0"/>
                <wp:positionH relativeFrom="column">
                  <wp:posOffset>-353060</wp:posOffset>
                </wp:positionH>
                <wp:positionV relativeFrom="paragraph">
                  <wp:posOffset>6311738</wp:posOffset>
                </wp:positionV>
                <wp:extent cx="6144895" cy="1550035"/>
                <wp:effectExtent l="0" t="0" r="1905" b="0"/>
                <wp:wrapTopAndBottom/>
                <wp:docPr id="543" name="Text Box 543"/>
                <wp:cNvGraphicFramePr/>
                <a:graphic xmlns:a="http://schemas.openxmlformats.org/drawingml/2006/main">
                  <a:graphicData uri="http://schemas.microsoft.com/office/word/2010/wordprocessingShape">
                    <wps:wsp>
                      <wps:cNvSpPr txBox="1"/>
                      <wps:spPr>
                        <a:xfrm>
                          <a:off x="0" y="0"/>
                          <a:ext cx="6144895" cy="1550035"/>
                        </a:xfrm>
                        <a:prstGeom prst="rect">
                          <a:avLst/>
                        </a:prstGeom>
                        <a:solidFill>
                          <a:prstClr val="white"/>
                        </a:solidFill>
                        <a:ln>
                          <a:noFill/>
                        </a:ln>
                      </wps:spPr>
                      <wps:txbx>
                        <w:txbxContent>
                          <w:p w14:paraId="037341EB" w14:textId="67DE004C" w:rsidR="00F61130" w:rsidRPr="00C9062C" w:rsidRDefault="00F61130" w:rsidP="009A7895">
                            <w:pPr>
                              <w:pStyle w:val="Caption"/>
                              <w:spacing w:line="360" w:lineRule="auto"/>
                              <w:jc w:val="both"/>
                              <w:rPr>
                                <w:noProof/>
                                <w:sz w:val="20"/>
                                <w:szCs w:val="20"/>
                                <w:lang w:eastAsia="en-GB"/>
                              </w:rPr>
                            </w:pPr>
                            <w:bookmarkStart w:id="520" w:name="_Ref518721117"/>
                            <w:bookmarkStart w:id="521" w:name="_Toc536814172"/>
                            <w:bookmarkStart w:id="522" w:name="_Toc525227233"/>
                            <w:r w:rsidRPr="00C9062C">
                              <w:rPr>
                                <w:b/>
                                <w:sz w:val="20"/>
                                <w:szCs w:val="20"/>
                              </w:rPr>
                              <w:t xml:space="preserve">Figure </w:t>
                            </w:r>
                            <w:r>
                              <w:rPr>
                                <w:b/>
                                <w:sz w:val="20"/>
                                <w:szCs w:val="20"/>
                              </w:rPr>
                              <w:fldChar w:fldCharType="begin"/>
                            </w:r>
                            <w:r>
                              <w:rPr>
                                <w:b/>
                                <w:sz w:val="20"/>
                                <w:szCs w:val="20"/>
                              </w:rPr>
                              <w:instrText xml:space="preserve"> STYLEREF 1 \s </w:instrText>
                            </w:r>
                            <w:r>
                              <w:rPr>
                                <w:b/>
                                <w:sz w:val="20"/>
                                <w:szCs w:val="20"/>
                              </w:rPr>
                              <w:fldChar w:fldCharType="separate"/>
                            </w:r>
                            <w:r>
                              <w:rPr>
                                <w:b/>
                                <w:noProof/>
                                <w:sz w:val="20"/>
                                <w:szCs w:val="20"/>
                              </w:rPr>
                              <w:t>4</w:t>
                            </w:r>
                            <w:r>
                              <w:rPr>
                                <w:b/>
                                <w:sz w:val="20"/>
                                <w:szCs w:val="20"/>
                              </w:rPr>
                              <w:fldChar w:fldCharType="end"/>
                            </w:r>
                            <w:r>
                              <w:rPr>
                                <w:b/>
                                <w:sz w:val="20"/>
                                <w:szCs w:val="20"/>
                              </w:rPr>
                              <w:t>.</w:t>
                            </w:r>
                            <w:r>
                              <w:rPr>
                                <w:b/>
                                <w:sz w:val="20"/>
                                <w:szCs w:val="20"/>
                              </w:rPr>
                              <w:fldChar w:fldCharType="begin"/>
                            </w:r>
                            <w:r>
                              <w:rPr>
                                <w:b/>
                                <w:sz w:val="20"/>
                                <w:szCs w:val="20"/>
                              </w:rPr>
                              <w:instrText xml:space="preserve"> SEQ Figure \* ARABIC \s 1 </w:instrText>
                            </w:r>
                            <w:r>
                              <w:rPr>
                                <w:b/>
                                <w:sz w:val="20"/>
                                <w:szCs w:val="20"/>
                              </w:rPr>
                              <w:fldChar w:fldCharType="separate"/>
                            </w:r>
                            <w:r>
                              <w:rPr>
                                <w:b/>
                                <w:noProof/>
                                <w:sz w:val="20"/>
                                <w:szCs w:val="20"/>
                              </w:rPr>
                              <w:t>28</w:t>
                            </w:r>
                            <w:r>
                              <w:rPr>
                                <w:b/>
                                <w:sz w:val="20"/>
                                <w:szCs w:val="20"/>
                              </w:rPr>
                              <w:fldChar w:fldCharType="end"/>
                            </w:r>
                            <w:bookmarkEnd w:id="520"/>
                            <w:r w:rsidRPr="00C9062C">
                              <w:rPr>
                                <w:b/>
                                <w:sz w:val="20"/>
                                <w:szCs w:val="20"/>
                              </w:rPr>
                              <w:t xml:space="preserve"> - Fitting of myeloid cells and </w:t>
                            </w:r>
                            <w:r w:rsidRPr="00C9062C">
                              <w:rPr>
                                <w:b/>
                                <w:i/>
                                <w:sz w:val="20"/>
                                <w:szCs w:val="20"/>
                              </w:rPr>
                              <w:t>Leishmania donovani</w:t>
                            </w:r>
                            <w:r w:rsidRPr="00C9062C">
                              <w:rPr>
                                <w:b/>
                                <w:sz w:val="20"/>
                                <w:szCs w:val="20"/>
                              </w:rPr>
                              <w:t xml:space="preserve"> kinetics with parasitic behaviours. </w:t>
                            </w:r>
                            <w:r w:rsidRPr="00C9062C">
                              <w:rPr>
                                <w:sz w:val="20"/>
                                <w:szCs w:val="20"/>
                              </w:rPr>
                              <w:t xml:space="preserve">Parameters derived in Iteration 1 were used to model T Cells (A). Myeloid cell (B) and </w:t>
                            </w:r>
                            <w:r w:rsidRPr="00C9062C">
                              <w:rPr>
                                <w:i/>
                                <w:sz w:val="20"/>
                                <w:szCs w:val="20"/>
                              </w:rPr>
                              <w:t>Leishmania donovani</w:t>
                            </w:r>
                            <w:r w:rsidRPr="00C9062C">
                              <w:rPr>
                                <w:sz w:val="20"/>
                                <w:szCs w:val="20"/>
                              </w:rPr>
                              <w:t xml:space="preserve"> kinetics (C) were fitted, as the sum of susceptible (D) &amp; infected (F) myeloid cells and extracellular (E) &amp; intracellular (G) </w:t>
                            </w:r>
                            <w:r w:rsidRPr="00C9062C">
                              <w:rPr>
                                <w:i/>
                                <w:sz w:val="20"/>
                                <w:szCs w:val="20"/>
                              </w:rPr>
                              <w:t>Leishmania donovani</w:t>
                            </w:r>
                            <w:r w:rsidRPr="00C9062C">
                              <w:rPr>
                                <w:sz w:val="20"/>
                                <w:szCs w:val="20"/>
                              </w:rPr>
                              <w:t xml:space="preserve">, respectively, using the </w:t>
                            </w:r>
                            <w:r>
                              <w:rPr>
                                <w:i/>
                                <w:sz w:val="20"/>
                                <w:szCs w:val="20"/>
                              </w:rPr>
                              <w:t>nsga2</w:t>
                            </w:r>
                            <w:r w:rsidRPr="00C9062C">
                              <w:rPr>
                                <w:sz w:val="20"/>
                                <w:szCs w:val="20"/>
                              </w:rPr>
                              <w:t xml:space="preserve"> function of the </w:t>
                            </w:r>
                            <w:r>
                              <w:rPr>
                                <w:i/>
                                <w:sz w:val="20"/>
                                <w:szCs w:val="20"/>
                              </w:rPr>
                              <w:t>mco</w:t>
                            </w:r>
                            <w:r w:rsidRPr="00C9062C">
                              <w:rPr>
                                <w:sz w:val="20"/>
                                <w:szCs w:val="20"/>
                              </w:rPr>
                              <w:t xml:space="preserve"> package. </w:t>
                            </w:r>
                            <w:r>
                              <w:rPr>
                                <w:sz w:val="20"/>
                                <w:szCs w:val="20"/>
                              </w:rPr>
                              <w:t>Blue</w:t>
                            </w:r>
                            <w:r w:rsidRPr="00C9062C">
                              <w:rPr>
                                <w:sz w:val="20"/>
                                <w:szCs w:val="20"/>
                              </w:rPr>
                              <w:t xml:space="preserve"> dots represent the mean of the biological replicates which the model was trained against, grey lines represent </w:t>
                            </w:r>
                            <w:r w:rsidRPr="00C9062C">
                              <w:rPr>
                                <w:i/>
                                <w:sz w:val="20"/>
                                <w:szCs w:val="20"/>
                              </w:rPr>
                              <w:t>in silico</w:t>
                            </w:r>
                            <w:r w:rsidRPr="00C9062C">
                              <w:rPr>
                                <w:sz w:val="20"/>
                                <w:szCs w:val="20"/>
                              </w:rPr>
                              <w:t xml:space="preserve"> parameterisation outputs (n = </w:t>
                            </w:r>
                            <w:r>
                              <w:rPr>
                                <w:sz w:val="20"/>
                                <w:szCs w:val="20"/>
                              </w:rPr>
                              <w:t xml:space="preserve">100) and the red lines are the 95% confidence interval for the </w:t>
                            </w:r>
                            <w:r>
                              <w:rPr>
                                <w:i/>
                                <w:sz w:val="20"/>
                                <w:szCs w:val="20"/>
                              </w:rPr>
                              <w:t xml:space="preserve">in silico </w:t>
                            </w:r>
                            <w:r>
                              <w:rPr>
                                <w:sz w:val="20"/>
                                <w:szCs w:val="20"/>
                              </w:rPr>
                              <w:t>outputs.</w:t>
                            </w:r>
                            <w:bookmarkEnd w:id="521"/>
                            <w:bookmarkEnd w:id="522"/>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517A8E78" id="Text Box 543" o:spid="_x0000_s1143" type="#_x0000_t202" style="position:absolute;left:0;text-align:left;margin-left:-27.8pt;margin-top:497pt;width:483.85pt;height:122.05pt;z-index:2513674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7px3FNgIAAG4EAAAOAAAAZHJzL2Uyb0RvYy54bWysVFFv2yAQfp+0/4B4X2y3SddZcaosVaZJ&#13;&#10;VVspmfpMMI6RgGNAYme/fgeO063b07QXfNwdH9z33Xl+12tFjsJ5CaaixSSnRBgOtTT7in7brj/c&#13;&#10;UuIDMzVTYERFT8LTu8X7d/POluIKWlC1cARBjC87W9E2BFtmmeet0MxPwAqDwQacZgG3bp/VjnWI&#13;&#10;rlV2lec3WQeutg648B6990OQLhJ+0wgenprGi0BURfFtIa0urbu4Zos5K/eO2Vby8zPYP7xCM2nw&#13;&#10;0gvUPQuMHJz8A0pL7sBDEyYcdAZNI7lINWA1Rf6mmk3LrEi1IDneXmjy/w+WPx6fHZF1RWfTa0oM&#13;&#10;0yjSVvSBfIaeRB8y1FlfYuLGYmroMYBKj36Pzlh43zgdv1gSwThyfbrwG+E4Om+K6fT204wSjrFi&#13;&#10;Nsvz61nEyV6PW+fDFwGaRKOiDgVMvLLjgw9D6pgSb/OgZL2WSsVNDKyUI0eGYnetDOIM/luWMjHX&#13;&#10;QDw1AEZPFmscaolW6Hd9YqUoPo6V7qA+IQEOhibylq8l3vjAfHhmDrsGa8ZJCE+4NAq6isLZoqQF&#13;&#10;9+Nv/piPYmKUkg67sKL++4E5QYn6alDm2LKj4UZjNxrmoFeAtRY4Y5YnEw+4oEazcaBfcECW8RYM&#13;&#10;McPxroqG0VyFYRZwwLhYLlMSNqZl4cFsLI/QI7Pb/oU5e9YloKSPMPYnK9/IM+QOPC8PARqZtIvM&#13;&#10;DiyeCcemTuqfBzBOza/7lPX6m1j8BAAA//8DAFBLAwQUAAYACAAAACEAY3vAzOYAAAARAQAADwAA&#13;&#10;AGRycy9kb3ducmV2LnhtbEyPwU7DMBBE70j8g7VIXFDrJNCoSeNU0MANDi1Vz25skoh4HdlOk/49&#13;&#10;ywkuK632zexMsZ1Nzy7a+c6igHgZAdNYW9VhI+D4+bZYA/NBopK9RS3gqj1sy9ubQubKTrjXl0No&#13;&#10;GJmgz6WANoQh59zXrTbSL+2gkW5f1hkZaHUNV05OZG56nkRRyo3skD60ctC7Vtffh9EISCs3Tnvc&#13;&#10;PVTH13f5MTTJ6eV6EuL+bq42NJ43wIKew58CfjtQfigp2NmOqDzrBSxWq5RQAVn2RM2IyOIkBnYm&#13;&#10;NHlcx8DLgv9vUv4AAAD//wMAUEsBAi0AFAAGAAgAAAAhALaDOJL+AAAA4QEAABMAAAAAAAAAAAAA&#13;&#10;AAAAAAAAAFtDb250ZW50X1R5cGVzXS54bWxQSwECLQAUAAYACAAAACEAOP0h/9YAAACUAQAACwAA&#13;&#10;AAAAAAAAAAAAAAAvAQAAX3JlbHMvLnJlbHNQSwECLQAUAAYACAAAACEAO6cdxTYCAABuBAAADgAA&#13;&#10;AAAAAAAAAAAAAAAuAgAAZHJzL2Uyb0RvYy54bWxQSwECLQAUAAYACAAAACEAY3vAzOYAAAARAQAA&#13;&#10;DwAAAAAAAAAAAAAAAACQBAAAZHJzL2Rvd25yZXYueG1sUEsFBgAAAAAEAAQA8wAAAKMFAAAAAA==&#13;&#10;" stroked="f">
                <v:textbox inset="0,0,0,0">
                  <w:txbxContent>
                    <w:p w14:paraId="037341EB" w14:textId="67DE004C" w:rsidR="00F61130" w:rsidRPr="00C9062C" w:rsidRDefault="00F61130" w:rsidP="009A7895">
                      <w:pPr>
                        <w:pStyle w:val="Caption"/>
                        <w:spacing w:line="360" w:lineRule="auto"/>
                        <w:jc w:val="both"/>
                        <w:rPr>
                          <w:noProof/>
                          <w:sz w:val="20"/>
                          <w:szCs w:val="20"/>
                          <w:lang w:eastAsia="en-GB"/>
                        </w:rPr>
                      </w:pPr>
                      <w:bookmarkStart w:id="523" w:name="_Ref518721117"/>
                      <w:bookmarkStart w:id="524" w:name="_Toc536814172"/>
                      <w:bookmarkStart w:id="525" w:name="_Toc525227233"/>
                      <w:r w:rsidRPr="00C9062C">
                        <w:rPr>
                          <w:b/>
                          <w:sz w:val="20"/>
                          <w:szCs w:val="20"/>
                        </w:rPr>
                        <w:t xml:space="preserve">Figure </w:t>
                      </w:r>
                      <w:r>
                        <w:rPr>
                          <w:b/>
                          <w:sz w:val="20"/>
                          <w:szCs w:val="20"/>
                        </w:rPr>
                        <w:fldChar w:fldCharType="begin"/>
                      </w:r>
                      <w:r>
                        <w:rPr>
                          <w:b/>
                          <w:sz w:val="20"/>
                          <w:szCs w:val="20"/>
                        </w:rPr>
                        <w:instrText xml:space="preserve"> STYLEREF 1 \s </w:instrText>
                      </w:r>
                      <w:r>
                        <w:rPr>
                          <w:b/>
                          <w:sz w:val="20"/>
                          <w:szCs w:val="20"/>
                        </w:rPr>
                        <w:fldChar w:fldCharType="separate"/>
                      </w:r>
                      <w:r>
                        <w:rPr>
                          <w:b/>
                          <w:noProof/>
                          <w:sz w:val="20"/>
                          <w:szCs w:val="20"/>
                        </w:rPr>
                        <w:t>4</w:t>
                      </w:r>
                      <w:r>
                        <w:rPr>
                          <w:b/>
                          <w:sz w:val="20"/>
                          <w:szCs w:val="20"/>
                        </w:rPr>
                        <w:fldChar w:fldCharType="end"/>
                      </w:r>
                      <w:r>
                        <w:rPr>
                          <w:b/>
                          <w:sz w:val="20"/>
                          <w:szCs w:val="20"/>
                        </w:rPr>
                        <w:t>.</w:t>
                      </w:r>
                      <w:r>
                        <w:rPr>
                          <w:b/>
                          <w:sz w:val="20"/>
                          <w:szCs w:val="20"/>
                        </w:rPr>
                        <w:fldChar w:fldCharType="begin"/>
                      </w:r>
                      <w:r>
                        <w:rPr>
                          <w:b/>
                          <w:sz w:val="20"/>
                          <w:szCs w:val="20"/>
                        </w:rPr>
                        <w:instrText xml:space="preserve"> SEQ Figure \* ARABIC \s 1 </w:instrText>
                      </w:r>
                      <w:r>
                        <w:rPr>
                          <w:b/>
                          <w:sz w:val="20"/>
                          <w:szCs w:val="20"/>
                        </w:rPr>
                        <w:fldChar w:fldCharType="separate"/>
                      </w:r>
                      <w:r>
                        <w:rPr>
                          <w:b/>
                          <w:noProof/>
                          <w:sz w:val="20"/>
                          <w:szCs w:val="20"/>
                        </w:rPr>
                        <w:t>28</w:t>
                      </w:r>
                      <w:r>
                        <w:rPr>
                          <w:b/>
                          <w:sz w:val="20"/>
                          <w:szCs w:val="20"/>
                        </w:rPr>
                        <w:fldChar w:fldCharType="end"/>
                      </w:r>
                      <w:bookmarkEnd w:id="523"/>
                      <w:r w:rsidRPr="00C9062C">
                        <w:rPr>
                          <w:b/>
                          <w:sz w:val="20"/>
                          <w:szCs w:val="20"/>
                        </w:rPr>
                        <w:t xml:space="preserve"> - Fitting of myeloid cells and </w:t>
                      </w:r>
                      <w:r w:rsidRPr="00C9062C">
                        <w:rPr>
                          <w:b/>
                          <w:i/>
                          <w:sz w:val="20"/>
                          <w:szCs w:val="20"/>
                        </w:rPr>
                        <w:t>Leishmania donovani</w:t>
                      </w:r>
                      <w:r w:rsidRPr="00C9062C">
                        <w:rPr>
                          <w:b/>
                          <w:sz w:val="20"/>
                          <w:szCs w:val="20"/>
                        </w:rPr>
                        <w:t xml:space="preserve"> kinetics with parasitic behaviours. </w:t>
                      </w:r>
                      <w:r w:rsidRPr="00C9062C">
                        <w:rPr>
                          <w:sz w:val="20"/>
                          <w:szCs w:val="20"/>
                        </w:rPr>
                        <w:t xml:space="preserve">Parameters derived in Iteration 1 were used to model T Cells (A). Myeloid cell (B) and </w:t>
                      </w:r>
                      <w:r w:rsidRPr="00C9062C">
                        <w:rPr>
                          <w:i/>
                          <w:sz w:val="20"/>
                          <w:szCs w:val="20"/>
                        </w:rPr>
                        <w:t>Leishmania donovani</w:t>
                      </w:r>
                      <w:r w:rsidRPr="00C9062C">
                        <w:rPr>
                          <w:sz w:val="20"/>
                          <w:szCs w:val="20"/>
                        </w:rPr>
                        <w:t xml:space="preserve"> kinetics (C) were fitted, as the sum of susceptible (D) &amp; infected (F) myeloid cells and extracellular (E) &amp; intracellular (G) </w:t>
                      </w:r>
                      <w:r w:rsidRPr="00C9062C">
                        <w:rPr>
                          <w:i/>
                          <w:sz w:val="20"/>
                          <w:szCs w:val="20"/>
                        </w:rPr>
                        <w:t>Leishmania donovani</w:t>
                      </w:r>
                      <w:r w:rsidRPr="00C9062C">
                        <w:rPr>
                          <w:sz w:val="20"/>
                          <w:szCs w:val="20"/>
                        </w:rPr>
                        <w:t xml:space="preserve">, respectively, using the </w:t>
                      </w:r>
                      <w:r>
                        <w:rPr>
                          <w:i/>
                          <w:sz w:val="20"/>
                          <w:szCs w:val="20"/>
                        </w:rPr>
                        <w:t>nsga2</w:t>
                      </w:r>
                      <w:r w:rsidRPr="00C9062C">
                        <w:rPr>
                          <w:sz w:val="20"/>
                          <w:szCs w:val="20"/>
                        </w:rPr>
                        <w:t xml:space="preserve"> function of the </w:t>
                      </w:r>
                      <w:r>
                        <w:rPr>
                          <w:i/>
                          <w:sz w:val="20"/>
                          <w:szCs w:val="20"/>
                        </w:rPr>
                        <w:t>mco</w:t>
                      </w:r>
                      <w:r w:rsidRPr="00C9062C">
                        <w:rPr>
                          <w:sz w:val="20"/>
                          <w:szCs w:val="20"/>
                        </w:rPr>
                        <w:t xml:space="preserve"> package. </w:t>
                      </w:r>
                      <w:r>
                        <w:rPr>
                          <w:sz w:val="20"/>
                          <w:szCs w:val="20"/>
                        </w:rPr>
                        <w:t>Blue</w:t>
                      </w:r>
                      <w:r w:rsidRPr="00C9062C">
                        <w:rPr>
                          <w:sz w:val="20"/>
                          <w:szCs w:val="20"/>
                        </w:rPr>
                        <w:t xml:space="preserve"> dots represent the mean of the biological replicates which the model was trained against, grey lines represent </w:t>
                      </w:r>
                      <w:r w:rsidRPr="00C9062C">
                        <w:rPr>
                          <w:i/>
                          <w:sz w:val="20"/>
                          <w:szCs w:val="20"/>
                        </w:rPr>
                        <w:t>in silico</w:t>
                      </w:r>
                      <w:r w:rsidRPr="00C9062C">
                        <w:rPr>
                          <w:sz w:val="20"/>
                          <w:szCs w:val="20"/>
                        </w:rPr>
                        <w:t xml:space="preserve"> parameterisation outputs (n = </w:t>
                      </w:r>
                      <w:r>
                        <w:rPr>
                          <w:sz w:val="20"/>
                          <w:szCs w:val="20"/>
                        </w:rPr>
                        <w:t xml:space="preserve">100) and the red lines are the 95% confidence interval for the </w:t>
                      </w:r>
                      <w:r>
                        <w:rPr>
                          <w:i/>
                          <w:sz w:val="20"/>
                          <w:szCs w:val="20"/>
                        </w:rPr>
                        <w:t xml:space="preserve">in silico </w:t>
                      </w:r>
                      <w:r>
                        <w:rPr>
                          <w:sz w:val="20"/>
                          <w:szCs w:val="20"/>
                        </w:rPr>
                        <w:t>outputs.</w:t>
                      </w:r>
                      <w:bookmarkEnd w:id="524"/>
                      <w:bookmarkEnd w:id="525"/>
                    </w:p>
                  </w:txbxContent>
                </v:textbox>
                <w10:wrap type="topAndBottom"/>
              </v:shape>
            </w:pict>
          </mc:Fallback>
        </mc:AlternateContent>
      </w:r>
      <w:r w:rsidR="00F77576">
        <w:t>Derivation</w:t>
      </w:r>
      <w:r w:rsidR="00560645">
        <w:t xml:space="preserve"> of the T cell parameters and initial condition of extracellular </w:t>
      </w:r>
      <w:r w:rsidR="00560645">
        <w:rPr>
          <w:i/>
        </w:rPr>
        <w:t xml:space="preserve">L. donovani </w:t>
      </w:r>
      <w:r w:rsidR="00560645">
        <w:t xml:space="preserve">concluded calibration of isolated/simplified processes from the final simulation model. The values derived in these investigations were included within the final simulation model leaving a reduced number of free parameters to be calibrated. </w:t>
      </w:r>
      <w:r w:rsidR="00611940" w:rsidRPr="008B3AD6">
        <w:t xml:space="preserve"> </w:t>
      </w:r>
      <w:r w:rsidR="00560645">
        <w:t xml:space="preserve">When considering the </w:t>
      </w:r>
      <w:r w:rsidR="001B69B7" w:rsidRPr="008B3AD6">
        <w:t xml:space="preserve">differences in scale between the myeloid </w:t>
      </w:r>
      <w:r w:rsidR="00560645">
        <w:t xml:space="preserve">cells </w:t>
      </w:r>
      <w:r w:rsidR="001B69B7" w:rsidRPr="008B3AD6">
        <w:t xml:space="preserve">and </w:t>
      </w:r>
      <w:r w:rsidR="001B69B7" w:rsidRPr="008B3AD6">
        <w:rPr>
          <w:i/>
        </w:rPr>
        <w:t>L. donovani</w:t>
      </w:r>
      <w:r w:rsidR="001B69B7" w:rsidRPr="008B3AD6">
        <w:t xml:space="preserve"> </w:t>
      </w:r>
      <w:r w:rsidR="00560645">
        <w:t>numbers with</w:t>
      </w:r>
      <w:r w:rsidR="001B69B7" w:rsidRPr="008B3AD6">
        <w:t xml:space="preserve">in the expected </w:t>
      </w:r>
      <w:r w:rsidR="001B69B7" w:rsidRPr="008B3AD6">
        <w:lastRenderedPageBreak/>
        <w:t xml:space="preserve">data </w:t>
      </w:r>
      <w:r w:rsidR="00560645">
        <w:t xml:space="preserve">it </w:t>
      </w:r>
      <w:r w:rsidR="005D3305">
        <w:t xml:space="preserve">was deemed that calibration of these as a single objection may result in a </w:t>
      </w:r>
      <w:r w:rsidR="001B69B7" w:rsidRPr="008B3AD6">
        <w:t xml:space="preserve">biased approach to fitting and so the </w:t>
      </w:r>
      <w:r w:rsidR="001B69B7" w:rsidRPr="008B3AD6">
        <w:rPr>
          <w:i/>
        </w:rPr>
        <w:t>nsga2</w:t>
      </w:r>
      <w:r w:rsidR="001B69B7" w:rsidRPr="008B3AD6">
        <w:t xml:space="preserve"> function of the </w:t>
      </w:r>
      <w:r w:rsidR="001B69B7" w:rsidRPr="008B3AD6">
        <w:rPr>
          <w:i/>
        </w:rPr>
        <w:t>mco</w:t>
      </w:r>
      <w:r w:rsidR="001B69B7" w:rsidRPr="008B3AD6">
        <w:t xml:space="preserve"> package was implemented for its multi-objective approach</w:t>
      </w:r>
      <w:r w:rsidR="00F63785" w:rsidRPr="008B3AD6">
        <w:t>,</w:t>
      </w:r>
      <w:r w:rsidR="00B21FF2" w:rsidRPr="008B3AD6">
        <w:t xml:space="preserve"> as described in Section </w:t>
      </w:r>
      <w:r w:rsidR="00B21FF2" w:rsidRPr="008B3AD6">
        <w:fldChar w:fldCharType="begin"/>
      </w:r>
      <w:r w:rsidR="00B21FF2" w:rsidRPr="008B3AD6">
        <w:instrText xml:space="preserve"> REF _Ref519095478 \n </w:instrText>
      </w:r>
      <w:r w:rsidR="007C2CB7" w:rsidRPr="008B3AD6">
        <w:instrText xml:space="preserve"> \* MERGEFORMAT </w:instrText>
      </w:r>
      <w:r w:rsidR="00B21FF2" w:rsidRPr="008B3AD6">
        <w:fldChar w:fldCharType="separate"/>
      </w:r>
      <w:r w:rsidR="00031DCA">
        <w:t>2.15.6</w:t>
      </w:r>
      <w:r w:rsidR="00B21FF2" w:rsidRPr="008B3AD6">
        <w:fldChar w:fldCharType="end"/>
      </w:r>
      <w:r w:rsidR="001B69B7" w:rsidRPr="008B3AD6">
        <w:t>. For each parameter a minimum and maximum value was supplied and 100 parameter sets returned which were used to generate full time courses for all entities (</w:t>
      </w:r>
      <w:r w:rsidR="00D034D1" w:rsidRPr="001F0D20">
        <w:rPr>
          <w:b/>
        </w:rPr>
        <w:fldChar w:fldCharType="begin"/>
      </w:r>
      <w:r w:rsidR="00D034D1" w:rsidRPr="001F0D20">
        <w:rPr>
          <w:b/>
        </w:rPr>
        <w:instrText xml:space="preserve"> REF _Ref518721117  \* MERGEFORMAT </w:instrText>
      </w:r>
      <w:r w:rsidR="00D034D1" w:rsidRPr="001F0D20">
        <w:rPr>
          <w:b/>
        </w:rPr>
        <w:fldChar w:fldCharType="separate"/>
      </w:r>
      <w:r w:rsidR="00921CAF" w:rsidRPr="00921CAF">
        <w:rPr>
          <w:b/>
        </w:rPr>
        <w:t xml:space="preserve">Figure </w:t>
      </w:r>
      <w:r w:rsidR="00921CAF" w:rsidRPr="00921CAF">
        <w:rPr>
          <w:b/>
          <w:noProof/>
        </w:rPr>
        <w:t>4.28</w:t>
      </w:r>
      <w:r w:rsidR="00D034D1" w:rsidRPr="001F0D20">
        <w:rPr>
          <w:b/>
          <w:noProof/>
        </w:rPr>
        <w:fldChar w:fldCharType="end"/>
      </w:r>
      <w:r w:rsidR="001B69B7" w:rsidRPr="008B3AD6">
        <w:t>).</w:t>
      </w:r>
    </w:p>
    <w:p w14:paraId="1B6BD612" w14:textId="77777777" w:rsidR="00936C4E" w:rsidRDefault="00936C4E" w:rsidP="009154C0">
      <w:pPr>
        <w:spacing w:line="360" w:lineRule="auto"/>
        <w:jc w:val="both"/>
      </w:pPr>
    </w:p>
    <w:p w14:paraId="3CE40782" w14:textId="350DA17A" w:rsidR="0005163C" w:rsidRPr="008B3AD6" w:rsidRDefault="00611940" w:rsidP="009154C0">
      <w:pPr>
        <w:spacing w:line="360" w:lineRule="auto"/>
        <w:jc w:val="both"/>
      </w:pPr>
      <w:r w:rsidRPr="008B3AD6">
        <w:t>The best fitting parameters for the total myeloid</w:t>
      </w:r>
      <w:r w:rsidR="0019319E" w:rsidRPr="008B3AD6">
        <w:t xml:space="preserve"> cell population</w:t>
      </w:r>
      <w:r w:rsidRPr="008B3AD6">
        <w:t xml:space="preserve"> </w:t>
      </w:r>
      <w:r w:rsidR="0019319E" w:rsidRPr="008B3AD6">
        <w:t>(</w:t>
      </w:r>
      <w:r w:rsidR="00D034D1" w:rsidRPr="004B5A31">
        <w:rPr>
          <w:b/>
        </w:rPr>
        <w:fldChar w:fldCharType="begin"/>
      </w:r>
      <w:r w:rsidR="00D034D1" w:rsidRPr="004B5A31">
        <w:rPr>
          <w:b/>
        </w:rPr>
        <w:instrText xml:space="preserve"> REF _Ref518741638  \* MERGEFORMAT </w:instrText>
      </w:r>
      <w:r w:rsidR="00D034D1" w:rsidRPr="004B5A31">
        <w:rPr>
          <w:b/>
        </w:rPr>
        <w:fldChar w:fldCharType="separate"/>
      </w:r>
      <w:r w:rsidR="00921CAF" w:rsidRPr="00921CAF">
        <w:rPr>
          <w:b/>
        </w:rPr>
        <w:t xml:space="preserve">Figure </w:t>
      </w:r>
      <w:r w:rsidR="00921CAF" w:rsidRPr="00921CAF">
        <w:rPr>
          <w:b/>
          <w:noProof/>
        </w:rPr>
        <w:t>4.29</w:t>
      </w:r>
      <w:r w:rsidR="00D034D1" w:rsidRPr="004B5A31">
        <w:rPr>
          <w:b/>
          <w:noProof/>
        </w:rPr>
        <w:fldChar w:fldCharType="end"/>
      </w:r>
      <w:r w:rsidR="0019319E" w:rsidRPr="004B5A31">
        <w:rPr>
          <w:b/>
        </w:rPr>
        <w:t>B</w:t>
      </w:r>
      <w:r w:rsidR="0019319E" w:rsidRPr="008B3AD6">
        <w:t>), calculated from the sum of s</w:t>
      </w:r>
      <w:r w:rsidRPr="008B3AD6">
        <w:t>usceptible myeloid cells (</w:t>
      </w:r>
      <w:r w:rsidR="00D034D1" w:rsidRPr="004B5A31">
        <w:rPr>
          <w:b/>
        </w:rPr>
        <w:fldChar w:fldCharType="begin"/>
      </w:r>
      <w:r w:rsidR="00D034D1" w:rsidRPr="004B5A31">
        <w:rPr>
          <w:b/>
        </w:rPr>
        <w:instrText xml:space="preserve"> REF _Ref518741638  \* MERGEFORMAT </w:instrText>
      </w:r>
      <w:r w:rsidR="00D034D1" w:rsidRPr="004B5A31">
        <w:rPr>
          <w:b/>
        </w:rPr>
        <w:fldChar w:fldCharType="separate"/>
      </w:r>
      <w:r w:rsidR="00921CAF" w:rsidRPr="00921CAF">
        <w:rPr>
          <w:b/>
        </w:rPr>
        <w:t xml:space="preserve">Figure </w:t>
      </w:r>
      <w:r w:rsidR="00921CAF" w:rsidRPr="00921CAF">
        <w:rPr>
          <w:b/>
          <w:noProof/>
        </w:rPr>
        <w:t>4.29</w:t>
      </w:r>
      <w:r w:rsidR="00D034D1" w:rsidRPr="004B5A31">
        <w:rPr>
          <w:b/>
          <w:noProof/>
        </w:rPr>
        <w:fldChar w:fldCharType="end"/>
      </w:r>
      <w:r w:rsidR="0019319E" w:rsidRPr="004B5A31">
        <w:rPr>
          <w:b/>
        </w:rPr>
        <w:t>D</w:t>
      </w:r>
      <w:r w:rsidRPr="008B3AD6">
        <w:t>) and infected myeloid cells (</w:t>
      </w:r>
      <w:r w:rsidR="00D034D1" w:rsidRPr="004B5A31">
        <w:rPr>
          <w:b/>
        </w:rPr>
        <w:fldChar w:fldCharType="begin"/>
      </w:r>
      <w:r w:rsidR="00D034D1" w:rsidRPr="004B5A31">
        <w:rPr>
          <w:b/>
        </w:rPr>
        <w:instrText xml:space="preserve"> REF _Ref518741638  \* MERGEFORMAT </w:instrText>
      </w:r>
      <w:r w:rsidR="00D034D1" w:rsidRPr="004B5A31">
        <w:rPr>
          <w:b/>
        </w:rPr>
        <w:fldChar w:fldCharType="separate"/>
      </w:r>
      <w:r w:rsidR="00921CAF" w:rsidRPr="00921CAF">
        <w:rPr>
          <w:b/>
        </w:rPr>
        <w:t xml:space="preserve">Figure </w:t>
      </w:r>
      <w:r w:rsidR="00921CAF" w:rsidRPr="00921CAF">
        <w:rPr>
          <w:b/>
          <w:noProof/>
        </w:rPr>
        <w:t>4.29</w:t>
      </w:r>
      <w:r w:rsidR="00D034D1" w:rsidRPr="004B5A31">
        <w:rPr>
          <w:b/>
          <w:noProof/>
        </w:rPr>
        <w:fldChar w:fldCharType="end"/>
      </w:r>
      <w:r w:rsidR="0019319E" w:rsidRPr="004B5A31">
        <w:rPr>
          <w:b/>
        </w:rPr>
        <w:t>F</w:t>
      </w:r>
      <w:r w:rsidR="000C4DD6" w:rsidRPr="008B3AD6">
        <w:rPr>
          <w:b/>
        </w:rPr>
        <w:t>)</w:t>
      </w:r>
      <w:r w:rsidR="0019319E" w:rsidRPr="008B3AD6">
        <w:t xml:space="preserve"> </w:t>
      </w:r>
      <w:r w:rsidRPr="008B3AD6">
        <w:t xml:space="preserve">and </w:t>
      </w:r>
      <w:r w:rsidR="0019319E" w:rsidRPr="008B3AD6">
        <w:t xml:space="preserve">the total </w:t>
      </w:r>
      <w:r w:rsidRPr="008B3AD6">
        <w:rPr>
          <w:i/>
        </w:rPr>
        <w:t>L. donovani</w:t>
      </w:r>
      <w:r w:rsidR="0019319E" w:rsidRPr="008B3AD6">
        <w:rPr>
          <w:i/>
        </w:rPr>
        <w:t xml:space="preserve"> </w:t>
      </w:r>
      <w:r w:rsidR="0019319E" w:rsidRPr="008B3AD6">
        <w:t>(</w:t>
      </w:r>
      <w:r w:rsidR="00D034D1" w:rsidRPr="004B5A31">
        <w:rPr>
          <w:b/>
        </w:rPr>
        <w:fldChar w:fldCharType="begin"/>
      </w:r>
      <w:r w:rsidR="00D034D1" w:rsidRPr="004B5A31">
        <w:rPr>
          <w:b/>
        </w:rPr>
        <w:instrText xml:space="preserve"> REF _Ref518741638  \* MERGEFORMAT </w:instrText>
      </w:r>
      <w:r w:rsidR="00D034D1" w:rsidRPr="004B5A31">
        <w:rPr>
          <w:b/>
        </w:rPr>
        <w:fldChar w:fldCharType="separate"/>
      </w:r>
      <w:r w:rsidR="00921CAF" w:rsidRPr="00921CAF">
        <w:rPr>
          <w:b/>
        </w:rPr>
        <w:t xml:space="preserve">Figure </w:t>
      </w:r>
      <w:r w:rsidR="00921CAF" w:rsidRPr="00921CAF">
        <w:rPr>
          <w:b/>
          <w:noProof/>
        </w:rPr>
        <w:t>4.29</w:t>
      </w:r>
      <w:r w:rsidR="00D034D1" w:rsidRPr="004B5A31">
        <w:rPr>
          <w:b/>
          <w:noProof/>
        </w:rPr>
        <w:fldChar w:fldCharType="end"/>
      </w:r>
      <w:r w:rsidR="0005163C" w:rsidRPr="004B5A31">
        <w:rPr>
          <w:b/>
        </w:rPr>
        <w:t>C</w:t>
      </w:r>
      <w:r w:rsidR="0019319E" w:rsidRPr="008B3AD6">
        <w:t>), the sum of e</w:t>
      </w:r>
      <w:r w:rsidRPr="008B3AD6">
        <w:t xml:space="preserve">xtracellular </w:t>
      </w:r>
      <w:r w:rsidRPr="008B3AD6">
        <w:rPr>
          <w:i/>
        </w:rPr>
        <w:t>L. donovani</w:t>
      </w:r>
      <w:r w:rsidRPr="008B3AD6">
        <w:t xml:space="preserve"> </w:t>
      </w:r>
      <w:r w:rsidR="0005163C" w:rsidRPr="008B3AD6">
        <w:t>(</w:t>
      </w:r>
      <w:r w:rsidR="00D034D1" w:rsidRPr="004B5A31">
        <w:rPr>
          <w:b/>
        </w:rPr>
        <w:fldChar w:fldCharType="begin"/>
      </w:r>
      <w:r w:rsidR="00D034D1" w:rsidRPr="004B5A31">
        <w:rPr>
          <w:b/>
        </w:rPr>
        <w:instrText xml:space="preserve"> REF _Ref518741638  \* MERGEFORMAT </w:instrText>
      </w:r>
      <w:r w:rsidR="00D034D1" w:rsidRPr="004B5A31">
        <w:rPr>
          <w:b/>
        </w:rPr>
        <w:fldChar w:fldCharType="separate"/>
      </w:r>
      <w:r w:rsidR="00921CAF" w:rsidRPr="00921CAF">
        <w:rPr>
          <w:b/>
        </w:rPr>
        <w:t xml:space="preserve">Figure </w:t>
      </w:r>
      <w:r w:rsidR="00921CAF" w:rsidRPr="00921CAF">
        <w:rPr>
          <w:b/>
          <w:noProof/>
        </w:rPr>
        <w:t>4.29</w:t>
      </w:r>
      <w:r w:rsidR="00D034D1" w:rsidRPr="004B5A31">
        <w:rPr>
          <w:b/>
          <w:noProof/>
        </w:rPr>
        <w:fldChar w:fldCharType="end"/>
      </w:r>
      <w:r w:rsidR="0005163C" w:rsidRPr="004B5A31">
        <w:rPr>
          <w:b/>
        </w:rPr>
        <w:t>E</w:t>
      </w:r>
      <w:r w:rsidR="0005163C" w:rsidRPr="008B3AD6">
        <w:t>)</w:t>
      </w:r>
      <w:r w:rsidRPr="008B3AD6">
        <w:t xml:space="preserve"> and intracellular </w:t>
      </w:r>
      <w:r w:rsidRPr="008B3AD6">
        <w:rPr>
          <w:i/>
        </w:rPr>
        <w:t>L. donovani</w:t>
      </w:r>
      <w:r w:rsidRPr="008B3AD6">
        <w:t xml:space="preserve"> (</w:t>
      </w:r>
      <w:r w:rsidR="00D034D1" w:rsidRPr="004B5A31">
        <w:rPr>
          <w:b/>
        </w:rPr>
        <w:fldChar w:fldCharType="begin"/>
      </w:r>
      <w:r w:rsidR="00D034D1" w:rsidRPr="004B5A31">
        <w:rPr>
          <w:b/>
        </w:rPr>
        <w:instrText xml:space="preserve"> REF _Ref518741638  \* MERGEFORMAT </w:instrText>
      </w:r>
      <w:r w:rsidR="00D034D1" w:rsidRPr="004B5A31">
        <w:rPr>
          <w:b/>
        </w:rPr>
        <w:fldChar w:fldCharType="separate"/>
      </w:r>
      <w:r w:rsidR="00921CAF" w:rsidRPr="00921CAF">
        <w:rPr>
          <w:b/>
        </w:rPr>
        <w:t xml:space="preserve">Figure </w:t>
      </w:r>
      <w:r w:rsidR="00921CAF" w:rsidRPr="00921CAF">
        <w:rPr>
          <w:b/>
          <w:noProof/>
        </w:rPr>
        <w:t>4.29</w:t>
      </w:r>
      <w:r w:rsidR="00D034D1" w:rsidRPr="004B5A31">
        <w:rPr>
          <w:b/>
          <w:noProof/>
        </w:rPr>
        <w:fldChar w:fldCharType="end"/>
      </w:r>
      <w:r w:rsidR="0005163C" w:rsidRPr="004B5A31">
        <w:rPr>
          <w:b/>
        </w:rPr>
        <w:t>F</w:t>
      </w:r>
      <w:r w:rsidRPr="008B3AD6">
        <w:t xml:space="preserve">) </w:t>
      </w:r>
      <w:r w:rsidR="0019319E" w:rsidRPr="008B3AD6">
        <w:t xml:space="preserve">were </w:t>
      </w:r>
      <w:r w:rsidRPr="008B3AD6">
        <w:t xml:space="preserve">derived from </w:t>
      </w:r>
      <w:r w:rsidR="0005163C" w:rsidRPr="008B3AD6">
        <w:t>using RMSE, as above.</w:t>
      </w:r>
    </w:p>
    <w:p w14:paraId="285481C0" w14:textId="7BE8479B" w:rsidR="0005163C" w:rsidRPr="008B3AD6" w:rsidRDefault="00936C4E" w:rsidP="009154C0">
      <w:pPr>
        <w:spacing w:line="360" w:lineRule="auto"/>
        <w:jc w:val="both"/>
      </w:pPr>
      <w:r>
        <w:rPr>
          <w:noProof/>
        </w:rPr>
        <w:drawing>
          <wp:anchor distT="0" distB="0" distL="114300" distR="114300" simplePos="0" relativeHeight="251122174" behindDoc="0" locked="0" layoutInCell="1" allowOverlap="1" wp14:anchorId="24AFB0D7" wp14:editId="7C876ADB">
            <wp:simplePos x="0" y="0"/>
            <wp:positionH relativeFrom="column">
              <wp:posOffset>-202223</wp:posOffset>
            </wp:positionH>
            <wp:positionV relativeFrom="paragraph">
              <wp:posOffset>502867</wp:posOffset>
            </wp:positionV>
            <wp:extent cx="5991225" cy="3958201"/>
            <wp:effectExtent l="0" t="0" r="3175" b="4445"/>
            <wp:wrapTopAndBottom/>
            <wp:docPr id="541" name="Picture 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1" name="Picture 541"/>
                    <pic:cNvPicPr>
                      <a:picLocks noChangeAspect="1"/>
                    </pic:cNvPicPr>
                  </pic:nvPicPr>
                  <pic:blipFill>
                    <a:blip r:embed="rId77">
                      <a:extLst>
                        <a:ext uri="{28A0092B-C50C-407E-A947-70E740481C1C}">
                          <a14:useLocalDpi xmlns:a14="http://schemas.microsoft.com/office/drawing/2010/main" val="0"/>
                        </a:ext>
                      </a:extLst>
                    </a:blip>
                    <a:stretch>
                      <a:fillRect/>
                    </a:stretch>
                  </pic:blipFill>
                  <pic:spPr>
                    <a:xfrm>
                      <a:off x="0" y="0"/>
                      <a:ext cx="5991225" cy="3958201"/>
                    </a:xfrm>
                    <a:prstGeom prst="rect">
                      <a:avLst/>
                    </a:prstGeom>
                  </pic:spPr>
                </pic:pic>
              </a:graphicData>
            </a:graphic>
          </wp:anchor>
        </w:drawing>
      </w:r>
      <w:r>
        <w:rPr>
          <w:noProof/>
        </w:rPr>
        <mc:AlternateContent>
          <mc:Choice Requires="wps">
            <w:drawing>
              <wp:anchor distT="0" distB="0" distL="114300" distR="114300" simplePos="0" relativeHeight="251123198" behindDoc="0" locked="0" layoutInCell="1" allowOverlap="1" wp14:anchorId="3F38E861" wp14:editId="721B4F6A">
                <wp:simplePos x="0" y="0"/>
                <wp:positionH relativeFrom="column">
                  <wp:posOffset>-195189</wp:posOffset>
                </wp:positionH>
                <wp:positionV relativeFrom="paragraph">
                  <wp:posOffset>390372</wp:posOffset>
                </wp:positionV>
                <wp:extent cx="187325" cy="178995"/>
                <wp:effectExtent l="0" t="0" r="3175" b="0"/>
                <wp:wrapTopAndBottom/>
                <wp:docPr id="570" name="Text Box 570"/>
                <wp:cNvGraphicFramePr/>
                <a:graphic xmlns:a="http://schemas.openxmlformats.org/drawingml/2006/main">
                  <a:graphicData uri="http://schemas.microsoft.com/office/word/2010/wordprocessingShape">
                    <wps:wsp>
                      <wps:cNvSpPr txBox="1"/>
                      <wps:spPr>
                        <a:xfrm>
                          <a:off x="0" y="0"/>
                          <a:ext cx="187325" cy="178995"/>
                        </a:xfrm>
                        <a:prstGeom prst="rect">
                          <a:avLst/>
                        </a:prstGeom>
                        <a:noFill/>
                        <a:ln w="6350">
                          <a:noFill/>
                        </a:ln>
                      </wps:spPr>
                      <wps:txbx>
                        <w:txbxContent>
                          <w:p w14:paraId="1F7DC624" w14:textId="77777777" w:rsidR="00F61130" w:rsidRPr="006508D1" w:rsidRDefault="00F61130" w:rsidP="002C69AE">
                            <w:pPr>
                              <w:jc w:val="center"/>
                            </w:pPr>
                            <w:r w:rsidRPr="006508D1">
                              <w:t>A</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3F38E861" id="Text Box 570" o:spid="_x0000_s1144" type="#_x0000_t202" style="position:absolute;left:0;text-align:left;margin-left:-15.35pt;margin-top:30.75pt;width:14.75pt;height:14.1pt;z-index:25112319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H9953KQIAAE0EAAAOAAAAZHJzL2Uyb0RvYy54bWysVFFv2jAQfp+0/2D5fYRQUWhEqFgrpkmo&#13;&#10;rQRTn41jk0i2z7MNCfv1OzuEVt2epr2Yi+/8nb/vPrO477QiJ+F8A6ak+WhMiTAcqsYcSvpjt/4y&#13;&#10;p8QHZiqmwIiSnoWn98vPnxatLcQEalCVcARBjC9aW9I6BFtkmee10MyPwAqDSQlOs4Cf7pBVjrWI&#13;&#10;rlU2GY9vsxZcZR1w4T3uPvZJukz4UgoenqX0IhBVUrxbSKtL6z6u2XLBioNjtm745RrsH26hWWOw&#13;&#10;6RXqkQVGjq75A0o33IEHGUYcdAZSNlwkDsgmH39gs62ZFYkLiuPtVSb//2D50+nFkaYq6XSG+him&#13;&#10;cUg70QXyFToS91Ch1voCC7cWS0OHCZz0sO9xMxLvpNPxFykRzCPW+apvhOPx0Hx2M5lSwjGVz+Z3&#13;&#10;d9OIkr0dts6HbwI0iUFJHY4vqcpOGx/60qEk9jKwbpRKI1SGtCW9vZmO04FrBsGVwR6RQn/VGIVu&#13;&#10;3yXSeT4fiOyhOiM/B71HvOXrBm+xYT68MIemQEpo9PCMi1SA3eASUVKD+/W3/ViPs8IsJS2arKT+&#13;&#10;55E5QYn6bnCK0ZFD4IZgPwTmqB8AfZvjE7I8hXjABTWE0oF+Rf+vYhdMMcOxV0nDED6E3ur4frhY&#13;&#10;rVIR+s6ysDFbyyN01DFquutembMX4QNO7AkG+7Hig/59bT+B1TGAbNJworK9ihfB0bNpvJf3FR/F&#13;&#10;++9U9fYvsPwNAAD//wMAUEsDBBQABgAIAAAAIQCAgEsH4QAAAA0BAAAPAAAAZHJzL2Rvd25yZXYu&#13;&#10;eG1sTE89T8MwEN2R+A/WIbGldopoSxqnQhQ2KLQFCTYnNkmEfY5iJw3/nmOC5aSne5/5ZnKWjaYP&#13;&#10;rUcJ6UwAM1h53WIt4fX4kKyAhahQK+vRSPg2ATbF+VmuMu1PuDfjIdaMTDBkSkITY5dxHqrGOBVm&#13;&#10;vjNIv0/fOxUJ9jXXvTqRubN8LsSCO9UiJTSqM3eNqb4Og5Ng30P/WIr4MW7rp/jyzIe3+3Qn5eXF&#13;&#10;tF3TuV0Di2aKfwr43UD9oaBipR9QB2YlJFdiSVQJi/QaGBGSdA6slLC6WQIvcv5/RfEDAAD//wMA&#13;&#10;UEsBAi0AFAAGAAgAAAAhALaDOJL+AAAA4QEAABMAAAAAAAAAAAAAAAAAAAAAAFtDb250ZW50X1R5&#13;&#10;cGVzXS54bWxQSwECLQAUAAYACAAAACEAOP0h/9YAAACUAQAACwAAAAAAAAAAAAAAAAAvAQAAX3Jl&#13;&#10;bHMvLnJlbHNQSwECLQAUAAYACAAAACEAx/fedykCAABNBAAADgAAAAAAAAAAAAAAAAAuAgAAZHJz&#13;&#10;L2Uyb0RvYy54bWxQSwECLQAUAAYACAAAACEAgIBLB+EAAAANAQAADwAAAAAAAAAAAAAAAACDBAAA&#13;&#10;ZHJzL2Rvd25yZXYueG1sUEsFBgAAAAAEAAQA8wAAAJEFAAAAAA==&#13;&#10;" filled="f" stroked="f" strokeweight=".5pt">
                <v:textbox inset="0,0,0,0">
                  <w:txbxContent>
                    <w:p w14:paraId="1F7DC624" w14:textId="77777777" w:rsidR="00F61130" w:rsidRPr="006508D1" w:rsidRDefault="00F61130" w:rsidP="002C69AE">
                      <w:pPr>
                        <w:jc w:val="center"/>
                      </w:pPr>
                      <w:r w:rsidRPr="006508D1">
                        <w:t>A</w:t>
                      </w:r>
                    </w:p>
                  </w:txbxContent>
                </v:textbox>
                <w10:wrap type="topAndBottom"/>
              </v:shape>
            </w:pict>
          </mc:Fallback>
        </mc:AlternateContent>
      </w:r>
      <w:r>
        <w:rPr>
          <w:noProof/>
        </w:rPr>
        <mc:AlternateContent>
          <mc:Choice Requires="wps">
            <w:drawing>
              <wp:anchor distT="0" distB="0" distL="114300" distR="114300" simplePos="0" relativeHeight="251124222" behindDoc="0" locked="0" layoutInCell="1" allowOverlap="1" wp14:anchorId="09D72210" wp14:editId="1CC27917">
                <wp:simplePos x="0" y="0"/>
                <wp:positionH relativeFrom="column">
                  <wp:posOffset>1802423</wp:posOffset>
                </wp:positionH>
                <wp:positionV relativeFrom="paragraph">
                  <wp:posOffset>376311</wp:posOffset>
                </wp:positionV>
                <wp:extent cx="187325" cy="178995"/>
                <wp:effectExtent l="0" t="0" r="3175" b="0"/>
                <wp:wrapTopAndBottom/>
                <wp:docPr id="571" name="Text Box 571"/>
                <wp:cNvGraphicFramePr/>
                <a:graphic xmlns:a="http://schemas.openxmlformats.org/drawingml/2006/main">
                  <a:graphicData uri="http://schemas.microsoft.com/office/word/2010/wordprocessingShape">
                    <wps:wsp>
                      <wps:cNvSpPr txBox="1"/>
                      <wps:spPr>
                        <a:xfrm>
                          <a:off x="0" y="0"/>
                          <a:ext cx="187325" cy="178995"/>
                        </a:xfrm>
                        <a:prstGeom prst="rect">
                          <a:avLst/>
                        </a:prstGeom>
                        <a:noFill/>
                        <a:ln w="6350">
                          <a:noFill/>
                        </a:ln>
                      </wps:spPr>
                      <wps:txbx>
                        <w:txbxContent>
                          <w:p w14:paraId="6F5E6551" w14:textId="77777777" w:rsidR="00F61130" w:rsidRPr="006508D1" w:rsidRDefault="00F61130" w:rsidP="002C69AE">
                            <w:pPr>
                              <w:jc w:val="center"/>
                            </w:pPr>
                            <w:r>
                              <w:t>B</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09D72210" id="Text Box 571" o:spid="_x0000_s1145" type="#_x0000_t202" style="position:absolute;left:0;text-align:left;margin-left:141.9pt;margin-top:29.65pt;width:14.75pt;height:14.1pt;z-index:25112422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wrSChKQIAAE0EAAAOAAAAZHJzL2Uyb0RvYy54bWysVFFv2jAQfp+0/2D5fYRQUUpEqFgrpkmo&#13;&#10;rQRTn41jk0i2z7MNCfv1OzuEVt2epr2Yy9357r7vPrO477QiJ+F8A6ak+WhMiTAcqsYcSvpjt/5y&#13;&#10;R4kPzFRMgRElPQtP75efPy1aW4gJ1KAq4QgWMb5obUnrEGyRZZ7XQjM/AisMBiU4zQJ+ukNWOdZi&#13;&#10;da2yyXh8m7XgKuuAC+/R+9gH6TLVl1Lw8CylF4GokuJsIZ0unft4ZssFKw6O2brhlzHYP0yhWWOw&#13;&#10;6bXUIwuMHF3zRyndcAceZBhx0BlI2XCRMCCafPwBzbZmViQsSI63V5r8/yvLn04vjjRVSaeznBLD&#13;&#10;NC5pJ7pAvkJHog8Zaq0vMHFrMTV0GMBND36Pzgi8k07HX4REMI5cn6/8xnI8Xrqb3UymlHAM5bO7&#13;&#10;+Xwaq2Rvl63z4ZsATaJRUofrS6yy08aHPnVIib0MrBul0gqVIW1Jb2+m43ThGsHiymCPCKEfNVqh&#13;&#10;23cJdJ7PByB7qM6Iz0GvEW/5usEpNsyHF+ZQFAgJhR6e8ZAKsBtcLEpqcL/+5o/5uCuMUtKiyErq&#13;&#10;fx6ZE5So7wa3GBU5GG4w9oNhjvoBULe4F5wmmXjBBTWY0oF+Rf2vYhcMMcOxV0nDYD6EXur4frhY&#13;&#10;rVIS6s6ysDFby2PpyGPkdNe9MmcvxAfc2BMM8mPFB/773H4Dq2MA2aTlRGZ7Fi+Eo2bTei/vKz6K&#13;&#10;998p6+1fYPkbAAD//wMAUEsDBBQABgAIAAAAIQDWbViD5AAAAA4BAAAPAAAAZHJzL2Rvd25yZXYu&#13;&#10;eG1sTI9PT8MwDMXvSHyHyEjcWNpVg65rOiEGN/5uIMEtbUJbkThVknbl22NOcLFs2X7v98rtbA2b&#13;&#10;tA+9QwHpIgGmsXGqx1bA6+HuIgcWokQljUMt4FsH2FanJ6UslDvii572sWUkgqGQAroYh4Lz0HTa&#13;&#10;yrBwg0bafTpvZaTRt1x5eSRxa/gySS65lT2SQycHfdPp5ms/WgHmPfj7Ookf0659iM9PfHy7TR+F&#13;&#10;OD+bdxsq1xtgUc/x7wN+MxA/VARWuxFVYEbAMs+IPwpYrTNgdJClGTW1gPxqBbwq+f8Y1Q8AAAD/&#13;&#10;/wMAUEsBAi0AFAAGAAgAAAAhALaDOJL+AAAA4QEAABMAAAAAAAAAAAAAAAAAAAAAAFtDb250ZW50&#13;&#10;X1R5cGVzXS54bWxQSwECLQAUAAYACAAAACEAOP0h/9YAAACUAQAACwAAAAAAAAAAAAAAAAAvAQAA&#13;&#10;X3JlbHMvLnJlbHNQSwECLQAUAAYACAAAACEA8K0goSkCAABNBAAADgAAAAAAAAAAAAAAAAAuAgAA&#13;&#10;ZHJzL2Uyb0RvYy54bWxQSwECLQAUAAYACAAAACEA1m1Yg+QAAAAOAQAADwAAAAAAAAAAAAAAAACD&#13;&#10;BAAAZHJzL2Rvd25yZXYueG1sUEsFBgAAAAAEAAQA8wAAAJQFAAAAAA==&#13;&#10;" filled="f" stroked="f" strokeweight=".5pt">
                <v:textbox inset="0,0,0,0">
                  <w:txbxContent>
                    <w:p w14:paraId="6F5E6551" w14:textId="77777777" w:rsidR="00F61130" w:rsidRPr="006508D1" w:rsidRDefault="00F61130" w:rsidP="002C69AE">
                      <w:pPr>
                        <w:jc w:val="center"/>
                      </w:pPr>
                      <w:r>
                        <w:t>B</w:t>
                      </w:r>
                    </w:p>
                  </w:txbxContent>
                </v:textbox>
                <w10:wrap type="topAndBottom"/>
              </v:shape>
            </w:pict>
          </mc:Fallback>
        </mc:AlternateContent>
      </w:r>
      <w:r>
        <w:rPr>
          <w:noProof/>
        </w:rPr>
        <mc:AlternateContent>
          <mc:Choice Requires="wps">
            <w:drawing>
              <wp:anchor distT="0" distB="0" distL="114300" distR="114300" simplePos="0" relativeHeight="251125246" behindDoc="0" locked="0" layoutInCell="1" allowOverlap="1" wp14:anchorId="64A23B46" wp14:editId="6BAC2A44">
                <wp:simplePos x="0" y="0"/>
                <wp:positionH relativeFrom="column">
                  <wp:posOffset>3828171</wp:posOffset>
                </wp:positionH>
                <wp:positionV relativeFrom="paragraph">
                  <wp:posOffset>383341</wp:posOffset>
                </wp:positionV>
                <wp:extent cx="187325" cy="178995"/>
                <wp:effectExtent l="0" t="0" r="3175" b="0"/>
                <wp:wrapTopAndBottom/>
                <wp:docPr id="572" name="Text Box 572"/>
                <wp:cNvGraphicFramePr/>
                <a:graphic xmlns:a="http://schemas.openxmlformats.org/drawingml/2006/main">
                  <a:graphicData uri="http://schemas.microsoft.com/office/word/2010/wordprocessingShape">
                    <wps:wsp>
                      <wps:cNvSpPr txBox="1"/>
                      <wps:spPr>
                        <a:xfrm>
                          <a:off x="0" y="0"/>
                          <a:ext cx="187325" cy="178995"/>
                        </a:xfrm>
                        <a:prstGeom prst="rect">
                          <a:avLst/>
                        </a:prstGeom>
                        <a:noFill/>
                        <a:ln w="6350">
                          <a:noFill/>
                        </a:ln>
                      </wps:spPr>
                      <wps:txbx>
                        <w:txbxContent>
                          <w:p w14:paraId="2791FF6B" w14:textId="77777777" w:rsidR="00F61130" w:rsidRPr="006508D1" w:rsidRDefault="00F61130" w:rsidP="002C69AE">
                            <w:pPr>
                              <w:jc w:val="center"/>
                            </w:pPr>
                            <w:r>
                              <w:t>C</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64A23B46" id="Text Box 572" o:spid="_x0000_s1146" type="#_x0000_t202" style="position:absolute;left:0;text-align:left;margin-left:301.45pt;margin-top:30.2pt;width:14.75pt;height:14.1pt;z-index:25112524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Rj5DNKQIAAE0EAAAOAAAAZHJzL2Uyb0RvYy54bWysVFFv2jAQfp+0/2D5fQSoKDQiVKwV0yTU&#13;&#10;VoKpz8axSSTb59mGhP36nR0CVdenai/mcnf+7u67z8zvW63IUThfgynoaDCkRBgOZW32Bf21XX2b&#13;&#10;UeIDMyVTYERBT8LT+8XXL/PG5mIMFahSOIIgxueNLWgVgs2zzPNKaOYHYIXBoASnWcBPt89KxxpE&#13;&#10;1yobD4e3WQOutA648B69j12QLhK+lIKHZym9CEQVFHsL6XTp3MUzW8xZvnfMVjU/t8E+0YVmtcGi&#13;&#10;F6hHFhg5uPofKF1zBx5kGHDQGUhZc5FmwGlGw3fTbCpmRZoFyfH2QpP/f7D86fjiSF0WdDIdU2KY&#13;&#10;xiVtRRvId2hJ9CFDjfU5Jm4spoYWA7jp3u/RGQdvpdPxF0ciGEeuTxd+IxyPl2bTm/GEEo6h0XR2&#13;&#10;dzeJKNn1snU+/BCgSTQK6nB9iVV2XPvQpfYpsZaBVa1UWqEypCno7c1kmC5cIgiuDNaII3StRiu0&#13;&#10;uzYNPRonCUTfDsoTzueg04i3fFVjF2vmwwtzKAocCYUenvGQCrAanC1KKnB/PvLHfNwVRilpUGQF&#13;&#10;9b8PzAlK1E+DW4yK7A3XG7veMAf9AKjbET4hy5OJF1xQvSkd6FfU/zJWwRAzHGsVNPTmQ+ikju+H&#13;&#10;i+UyJaHuLAtrs7E8QkceI6fb9pU5eyY+4MaeoJcfy9/x3+V2G1geAsg6LefK4plw1Gxa7/l9xUfx&#13;&#10;9jtlXf8FFn8BAAD//wMAUEsDBBQABgAIAAAAIQArj5Z24QAAAA4BAAAPAAAAZHJzL2Rvd25yZXYu&#13;&#10;eG1sTE/LTsMwELwj8Q/WInGjTgOK0jROhSjcgEILEtyceEki/IhsJw1/z/YEl9WsdnYe5WY2mk3o&#13;&#10;Q++sgOUiAYa2caq3rYC3w8NVDixEaZXUzqKAHwywqc7PSlkod7SvOO1jy0jEhkIK6GIcCs5D06GR&#13;&#10;YeEGtHT7ct7ISKtvufLySOJG8zRJMm5kb8mhkwPeddh870cjQH8E/1gn8XPatk/xZcfH9/vlsxCX&#13;&#10;F/N2TeN2DSziHP8+4NSB8kNFwWo3WhWYFpAl6YqoJ3ADjAjZdUqgFpDnGfCq5P9rVL8AAAD//wMA&#13;&#10;UEsBAi0AFAAGAAgAAAAhALaDOJL+AAAA4QEAABMAAAAAAAAAAAAAAAAAAAAAAFtDb250ZW50X1R5&#13;&#10;cGVzXS54bWxQSwECLQAUAAYACAAAACEAOP0h/9YAAACUAQAACwAAAAAAAAAAAAAAAAAvAQAAX3Jl&#13;&#10;bHMvLnJlbHNQSwECLQAUAAYACAAAACEA0Y+QzSkCAABNBAAADgAAAAAAAAAAAAAAAAAuAgAAZHJz&#13;&#10;L2Uyb0RvYy54bWxQSwECLQAUAAYACAAAACEAK4+WduEAAAAOAQAADwAAAAAAAAAAAAAAAACDBAAA&#13;&#10;ZHJzL2Rvd25yZXYueG1sUEsFBgAAAAAEAAQA8wAAAJEFAAAAAA==&#13;&#10;" filled="f" stroked="f" strokeweight=".5pt">
                <v:textbox inset="0,0,0,0">
                  <w:txbxContent>
                    <w:p w14:paraId="2791FF6B" w14:textId="77777777" w:rsidR="00F61130" w:rsidRPr="006508D1" w:rsidRDefault="00F61130" w:rsidP="002C69AE">
                      <w:pPr>
                        <w:jc w:val="center"/>
                      </w:pPr>
                      <w:r>
                        <w:t>C</w:t>
                      </w:r>
                    </w:p>
                  </w:txbxContent>
                </v:textbox>
                <w10:wrap type="topAndBottom"/>
              </v:shape>
            </w:pict>
          </mc:Fallback>
        </mc:AlternateContent>
      </w:r>
      <w:r>
        <w:rPr>
          <w:noProof/>
        </w:rPr>
        <mc:AlternateContent>
          <mc:Choice Requires="wps">
            <w:drawing>
              <wp:anchor distT="0" distB="0" distL="114300" distR="114300" simplePos="0" relativeHeight="251126270" behindDoc="0" locked="0" layoutInCell="1" allowOverlap="1" wp14:anchorId="163CFF86" wp14:editId="46DE5469">
                <wp:simplePos x="0" y="0"/>
                <wp:positionH relativeFrom="column">
                  <wp:posOffset>1802423</wp:posOffset>
                </wp:positionH>
                <wp:positionV relativeFrom="paragraph">
                  <wp:posOffset>1733274</wp:posOffset>
                </wp:positionV>
                <wp:extent cx="187325" cy="178995"/>
                <wp:effectExtent l="0" t="0" r="3175" b="0"/>
                <wp:wrapTopAndBottom/>
                <wp:docPr id="573" name="Text Box 573"/>
                <wp:cNvGraphicFramePr/>
                <a:graphic xmlns:a="http://schemas.openxmlformats.org/drawingml/2006/main">
                  <a:graphicData uri="http://schemas.microsoft.com/office/word/2010/wordprocessingShape">
                    <wps:wsp>
                      <wps:cNvSpPr txBox="1"/>
                      <wps:spPr>
                        <a:xfrm>
                          <a:off x="0" y="0"/>
                          <a:ext cx="187325" cy="178995"/>
                        </a:xfrm>
                        <a:prstGeom prst="rect">
                          <a:avLst/>
                        </a:prstGeom>
                        <a:noFill/>
                        <a:ln w="6350">
                          <a:noFill/>
                        </a:ln>
                      </wps:spPr>
                      <wps:txbx>
                        <w:txbxContent>
                          <w:p w14:paraId="55CF3A10" w14:textId="77777777" w:rsidR="00F61130" w:rsidRPr="006508D1" w:rsidRDefault="00F61130" w:rsidP="002C69AE">
                            <w:pPr>
                              <w:jc w:val="center"/>
                            </w:pPr>
                            <w:r>
                              <w:t>D</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163CFF86" id="Text Box 573" o:spid="_x0000_s1147" type="#_x0000_t202" style="position:absolute;left:0;text-align:left;margin-left:141.9pt;margin-top:136.5pt;width:14.75pt;height:14.1pt;z-index:25112627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m1W4bKgIAAE0EAAAOAAAAZHJzL2Uyb0RvYy54bWysVE1v2zAMvQ/YfxB0X5wPpEmNOEXWIsOA&#13;&#10;oC2QDD0rshQbkERNUmJnv36UHKdF11Oxi0KTFMn3+JTFXasVOQnnazAFHQ2GlAjDoazNoaC/dutv&#13;&#10;c0p8YKZkCowo6Fl4erf8+mXR2FyMoQJVCkewiPF5YwtahWDzLPO8Epr5AVhhMCjBaRbw0x2y0rEG&#13;&#10;q2uVjYfDm6wBV1oHXHiP3ocuSJepvpSChycpvQhEFRRnC+l06dzHM1suWH5wzFY1v4zBPjGFZrXB&#13;&#10;ptdSDywwcnT1P6V0zR14kGHAQWcgZc1FwoBoRsN3aLYVsyJhQXK8vdLk/19Z/nh6dqQuCzqdTSgx&#13;&#10;TOOSdqIN5Du0JPqQocb6HBO3FlNDiwHcdO/36IzAW+l0/EVIBOPI9fnKbyzH46X5bDKeUsIxNJrN&#13;&#10;b2+nsUr2etk6H34I0CQaBXW4vsQqO2186FL7lNjLwLpWKq1QGdIU9GYyHaYL1wgWVwZ7RAjdqNEK&#13;&#10;7b5NoEfjK5A9lGfE56DTiLd8XeMUG+bDM3MoCoSEQg9PeEgF2A0uFiUVuD8f+WM+7gqjlDQosoL6&#13;&#10;30fmBCXqp8EtRkX2huuNfW+Yo74H1O0In5DlycQLLqjelA70C+p/FbtgiBmOvQoaevM+dFLH98PF&#13;&#10;apWSUHeWhY3ZWh5LRx4jp7v2hTl7IT7gxh6hlx/L3/Hf5XYbWB0DyDotJzLbsXghHDWb1nt5X/FR&#13;&#10;vP1OWa//Asu/AAAA//8DAFBLAwQUAAYACAAAACEAv3UYS+QAAAAQAQAADwAAAGRycy9kb3ducmV2&#13;&#10;LnhtbEyPy07EMAxF90j8Q2QkdkzaRoJRp+kIMbDjMQwgwS5tTFuRR5WknfL3mBVsrGvZvj632i7W&#13;&#10;sBlDHLyTkK8yYOharwfXSXh9ubtYA4tJOa2MdyjhGyNs69OTSpXaH90zzofUMTJxsVQS+pTGkvPY&#13;&#10;9mhVXPkRHc0+fbAqURs6roM6krk1vMiyS27V4OhDr0a86bH9OkxWgnmP4b7J0se86x7S/olPb7f5&#13;&#10;o5TnZ8tuQ+V6Ayzhkv4u4DcD8UNNYI2fnI7MSCjWgvgTiStByWhD5EIAa0hkeQG8rvj/IPUPAAAA&#13;&#10;//8DAFBLAQItABQABgAIAAAAIQC2gziS/gAAAOEBAAATAAAAAAAAAAAAAAAAAAAAAABbQ29udGVu&#13;&#10;dF9UeXBlc10ueG1sUEsBAi0AFAAGAAgAAAAhADj9If/WAAAAlAEAAAsAAAAAAAAAAAAAAAAALwEA&#13;&#10;AF9yZWxzLy5yZWxzUEsBAi0AFAAGAAgAAAAhAObVbhsqAgAATQQAAA4AAAAAAAAAAAAAAAAALgIA&#13;&#10;AGRycy9lMm9Eb2MueG1sUEsBAi0AFAAGAAgAAAAhAL91GEvkAAAAEAEAAA8AAAAAAAAAAAAAAAAA&#13;&#10;hAQAAGRycy9kb3ducmV2LnhtbFBLBQYAAAAABAAEAPMAAACVBQAAAAA=&#13;&#10;" filled="f" stroked="f" strokeweight=".5pt">
                <v:textbox inset="0,0,0,0">
                  <w:txbxContent>
                    <w:p w14:paraId="55CF3A10" w14:textId="77777777" w:rsidR="00F61130" w:rsidRPr="006508D1" w:rsidRDefault="00F61130" w:rsidP="002C69AE">
                      <w:pPr>
                        <w:jc w:val="center"/>
                      </w:pPr>
                      <w:r>
                        <w:t>D</w:t>
                      </w:r>
                    </w:p>
                  </w:txbxContent>
                </v:textbox>
                <w10:wrap type="topAndBottom"/>
              </v:shape>
            </w:pict>
          </mc:Fallback>
        </mc:AlternateContent>
      </w:r>
      <w:r>
        <w:rPr>
          <w:noProof/>
        </w:rPr>
        <mc:AlternateContent>
          <mc:Choice Requires="wps">
            <w:drawing>
              <wp:anchor distT="0" distB="0" distL="114300" distR="114300" simplePos="0" relativeHeight="251127294" behindDoc="0" locked="0" layoutInCell="1" allowOverlap="1" wp14:anchorId="3125C2DF" wp14:editId="5A591496">
                <wp:simplePos x="0" y="0"/>
                <wp:positionH relativeFrom="column">
                  <wp:posOffset>3828171</wp:posOffset>
                </wp:positionH>
                <wp:positionV relativeFrom="paragraph">
                  <wp:posOffset>1740305</wp:posOffset>
                </wp:positionV>
                <wp:extent cx="187325" cy="178995"/>
                <wp:effectExtent l="0" t="0" r="3175" b="0"/>
                <wp:wrapTopAndBottom/>
                <wp:docPr id="574" name="Text Box 574"/>
                <wp:cNvGraphicFramePr/>
                <a:graphic xmlns:a="http://schemas.openxmlformats.org/drawingml/2006/main">
                  <a:graphicData uri="http://schemas.microsoft.com/office/word/2010/wordprocessingShape">
                    <wps:wsp>
                      <wps:cNvSpPr txBox="1"/>
                      <wps:spPr>
                        <a:xfrm>
                          <a:off x="0" y="0"/>
                          <a:ext cx="187325" cy="178995"/>
                        </a:xfrm>
                        <a:prstGeom prst="rect">
                          <a:avLst/>
                        </a:prstGeom>
                        <a:noFill/>
                        <a:ln w="6350">
                          <a:noFill/>
                        </a:ln>
                      </wps:spPr>
                      <wps:txbx>
                        <w:txbxContent>
                          <w:p w14:paraId="5614AAE6" w14:textId="77777777" w:rsidR="00F61130" w:rsidRPr="006508D1" w:rsidRDefault="00F61130" w:rsidP="002C69AE">
                            <w:pPr>
                              <w:jc w:val="center"/>
                            </w:pPr>
                            <w:r>
                              <w:t>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3125C2DF" id="Text Box 574" o:spid="_x0000_s1148" type="#_x0000_t202" style="position:absolute;left:0;text-align:left;margin-left:301.45pt;margin-top:137.05pt;width:14.75pt;height:14.1pt;z-index:25112729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kx5TCKgIAAE0EAAAOAAAAZHJzL2Uyb0RvYy54bWysVFFv2jAQfp+0/2D5fSTQUWhEqFgrpkmo&#13;&#10;rQRTn41jk0i2z7MNCfv1OzuETt2epr2Yy9357r7vPrO477QiJ+F8A6ak41FOiTAcqsYcSvp9t/40&#13;&#10;p8QHZiqmwIiSnoWn98uPHxatLcQEalCVcASLGF+0tqR1CLbIMs9roZkfgRUGgxKcZgE/3SGrHGux&#13;&#10;ulbZJM9vsxZcZR1w4T16H/sgXab6UgoenqX0IhBVUpwtpNOlcx/PbLlgxcExWzf8Mgb7hyk0aww2&#13;&#10;vZZ6ZIGRo2v+KKUb7sCDDCMOOgMpGy4SBkQzzt+h2dbMioQFyfH2SpP/f2X50+nFkaYq6XT2mRLD&#13;&#10;NC5pJ7pAvkBHog8Zaq0vMHFrMTV0GMBND36Pzgi8k07HX4REMI5cn6/8xnI8XprPbiZTSjiGxrP5&#13;&#10;3d00VsneLlvnw1cBmkSjpA7Xl1hlp40PfeqQEnsZWDdKpRUqQ9qS3t5M83ThGsHiymCPCKEfNVqh&#13;&#10;23cJ9HgyGYDsoTojPge9Rrzl6wan2DAfXphDUSAkFHp4xkMqwG5wsSipwf38mz/m464wSkmLIiup&#13;&#10;/3FkTlCivhncYlTkYLjB2A+GOeoHQN2O8QlZnky84IIaTOlAv6L+V7ELhpjh2KukYTAfQi91fD9c&#13;&#10;rFYpCXVnWdiYreWxdOQxcrrrXpmzF+IDbuwJBvmx4h3/fW6/gdUxgGzSciKzPYsXwlGzab2X9xUf&#13;&#10;xe/fKevtX2D5CwAA//8DAFBLAwQUAAYACAAAACEANLPx/+IAAAAQAQAADwAAAGRycy9kb3ducmV2&#13;&#10;LnhtbExPy06EMBTdm/gPzTVx57SUCSpDmRhHdz5HTXRX6BWIfZC2MPj31pVubnJyz7PaLkaTGX0Y&#13;&#10;nBWQrRgQtK1Tg+0EvL7cnl0ACVFaJbWzKOAbA2zr46NKlsod7DPO+9iRZGJDKQX0MY4lpaHt0ciw&#13;&#10;ciPa9Pt03siYoO+o8vKQzI2mnLGCGjnYlNDLEa97bL/2kxGg34O/a1j8mHfdfXx6pNPbTfYgxOnJ&#13;&#10;stukc7UBEnGJfwr43ZD6Q52KNW6yKhAtoGD8MlEF8PN1BiQxipyvgTQCcsZzoHVF/w+pfwAAAP//&#13;&#10;AwBQSwECLQAUAAYACAAAACEAtoM4kv4AAADhAQAAEwAAAAAAAAAAAAAAAAAAAAAAW0NvbnRlbnRf&#13;&#10;VHlwZXNdLnhtbFBLAQItABQABgAIAAAAIQA4/SH/1gAAAJQBAAALAAAAAAAAAAAAAAAAAC8BAABf&#13;&#10;cmVscy8ucmVsc1BLAQItABQABgAIAAAAIQCkx5TCKgIAAE0EAAAOAAAAAAAAAAAAAAAAAC4CAABk&#13;&#10;cnMvZTJvRG9jLnhtbFBLAQItABQABgAIAAAAIQA0s/H/4gAAABABAAAPAAAAAAAAAAAAAAAAAIQE&#13;&#10;AABkcnMvZG93bnJldi54bWxQSwUGAAAAAAQABADzAAAAkwUAAAAA&#13;&#10;" filled="f" stroked="f" strokeweight=".5pt">
                <v:textbox inset="0,0,0,0">
                  <w:txbxContent>
                    <w:p w14:paraId="5614AAE6" w14:textId="77777777" w:rsidR="00F61130" w:rsidRPr="006508D1" w:rsidRDefault="00F61130" w:rsidP="002C69AE">
                      <w:pPr>
                        <w:jc w:val="center"/>
                      </w:pPr>
                      <w:r>
                        <w:t>E</w:t>
                      </w:r>
                    </w:p>
                  </w:txbxContent>
                </v:textbox>
                <w10:wrap type="topAndBottom"/>
              </v:shape>
            </w:pict>
          </mc:Fallback>
        </mc:AlternateContent>
      </w:r>
      <w:r>
        <w:rPr>
          <w:noProof/>
        </w:rPr>
        <mc:AlternateContent>
          <mc:Choice Requires="wps">
            <w:drawing>
              <wp:anchor distT="0" distB="0" distL="114300" distR="114300" simplePos="0" relativeHeight="251128318" behindDoc="0" locked="0" layoutInCell="1" allowOverlap="1" wp14:anchorId="52D85048" wp14:editId="2677B388">
                <wp:simplePos x="0" y="0"/>
                <wp:positionH relativeFrom="column">
                  <wp:posOffset>1802423</wp:posOffset>
                </wp:positionH>
                <wp:positionV relativeFrom="paragraph">
                  <wp:posOffset>3083206</wp:posOffset>
                </wp:positionV>
                <wp:extent cx="187325" cy="178995"/>
                <wp:effectExtent l="0" t="0" r="3175" b="0"/>
                <wp:wrapTopAndBottom/>
                <wp:docPr id="575" name="Text Box 575"/>
                <wp:cNvGraphicFramePr/>
                <a:graphic xmlns:a="http://schemas.openxmlformats.org/drawingml/2006/main">
                  <a:graphicData uri="http://schemas.microsoft.com/office/word/2010/wordprocessingShape">
                    <wps:wsp>
                      <wps:cNvSpPr txBox="1"/>
                      <wps:spPr>
                        <a:xfrm>
                          <a:off x="0" y="0"/>
                          <a:ext cx="187325" cy="178995"/>
                        </a:xfrm>
                        <a:prstGeom prst="rect">
                          <a:avLst/>
                        </a:prstGeom>
                        <a:noFill/>
                        <a:ln w="6350">
                          <a:noFill/>
                        </a:ln>
                      </wps:spPr>
                      <wps:txbx>
                        <w:txbxContent>
                          <w:p w14:paraId="328BD325" w14:textId="77777777" w:rsidR="00F61130" w:rsidRPr="006508D1" w:rsidRDefault="00F61130" w:rsidP="002C69AE">
                            <w:pPr>
                              <w:jc w:val="center"/>
                            </w:pPr>
                            <w:r>
                              <w:t>F</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52D85048" id="Text Box 575" o:spid="_x0000_s1149" type="#_x0000_t202" style="position:absolute;left:0;text-align:left;margin-left:141.9pt;margin-top:242.75pt;width:14.75pt;height:14.1pt;z-index:25112831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TnWoUKQIAAE0EAAAOAAAAZHJzL2Uyb0RvYy54bWysVF1v2jAUfZ+0/2D5fYQPUWhEqFgrpkmo&#13;&#10;rQRTn41jk0i2r2cbEvbrd+0QWnV9qvZibnw/z7nHLO5archJOF+DKehoMKREGA5lbQ4F/bVbf5tT&#13;&#10;4gMzJVNgREHPwtO75dcvi8bmYgwVqFI4gkWMzxtb0CoEm2eZ55XQzA/ACoNOCU6zgJ/ukJWONVhd&#13;&#10;q2w8HN5kDbjSOuDCe7x96Jx0mepLKXh4ktKLQFRBcbaQTpfOfTyz5YLlB8dsVfPLGOwTU2hWG2x6&#13;&#10;LfXAAiNHV/9TStfcgQcZBhx0BlLWXCQMiGY0fIdmWzErEhYkx9srTf7/leWPp2dH6rKg09mUEsM0&#13;&#10;Lmkn2kC+Q0viHTLUWJ9j4NZiaGjRgZvu7z1eRuCtdDr+IiSCfuT6fOU3luMxaT6bjLELR9doNr+9&#13;&#10;TdWz12TrfPghQJNoFNTh+hKr7LTxAQfB0D4k9jKwrpVKK1SGNAW9mUyHKeHqwQxlMDFC6EaNVmj3&#13;&#10;bQI9Gk96IHsoz4jPQacRb/m6xik2zIdn5lAUCAmFHp7wkAqwG1wsSipwfz66j/G4K/RS0qDICup/&#13;&#10;H5kTlKifBrcYFdkbrjf2vWGO+h5QtyN8QpYnExNcUL0pHegX1P8qdkEXMxx7FTT05n3opI7vh4vV&#13;&#10;KgWh7iwLG7O1PJaOPEZOd+0Lc/ZCfMCNPUIvP5a/47+L7TawOgaQdVpOZLZj8UI4ajbt7PK+4qN4&#13;&#10;+52iXv8Fln8BAAD//wMAUEsDBBQABgAIAAAAIQB8FGhZ5QAAABABAAAPAAAAZHJzL2Rvd25yZXYu&#13;&#10;eG1sTI9LT4RAEITvJv6HSZt4cwcWUcIybIyrN5+rJnobmBGI8yAzDYv/3vakl04q3V31VbVdrGGz&#13;&#10;DnHwTkC6SoBp13o1uE7A68vtWQEsonRKGu+0gG8dYVsfH1WyVP7gnvW8x46RiYulFNAjjiXnse21&#13;&#10;lXHlR+1o9+mDlUgydFwFeSBza/g6SS64lYOjhF6O+rrX7dd+sgLMewx3TYIf8667x6dHPr3dpA9C&#13;&#10;nJ4suw2Nqw0w1Av+fcBvB+KHmsAaPzkVmRGwLjLiRwHnRZ4Do4sszTJgjYA8zS6B1xX/X6T+AQAA&#13;&#10;//8DAFBLAQItABQABgAIAAAAIQC2gziS/gAAAOEBAAATAAAAAAAAAAAAAAAAAAAAAABbQ29udGVu&#13;&#10;dF9UeXBlc10ueG1sUEsBAi0AFAAGAAgAAAAhADj9If/WAAAAlAEAAAsAAAAAAAAAAAAAAAAALwEA&#13;&#10;AF9yZWxzLy5yZWxzUEsBAi0AFAAGAAgAAAAhAJOdahQpAgAATQQAAA4AAAAAAAAAAAAAAAAALgIA&#13;&#10;AGRycy9lMm9Eb2MueG1sUEsBAi0AFAAGAAgAAAAhAHwUaFnlAAAAEAEAAA8AAAAAAAAAAAAAAAAA&#13;&#10;gwQAAGRycy9kb3ducmV2LnhtbFBLBQYAAAAABAAEAPMAAACVBQAAAAA=&#13;&#10;" filled="f" stroked="f" strokeweight=".5pt">
                <v:textbox inset="0,0,0,0">
                  <w:txbxContent>
                    <w:p w14:paraId="328BD325" w14:textId="77777777" w:rsidR="00F61130" w:rsidRPr="006508D1" w:rsidRDefault="00F61130" w:rsidP="002C69AE">
                      <w:pPr>
                        <w:jc w:val="center"/>
                      </w:pPr>
                      <w:r>
                        <w:t>F</w:t>
                      </w:r>
                    </w:p>
                  </w:txbxContent>
                </v:textbox>
                <w10:wrap type="topAndBottom"/>
              </v:shape>
            </w:pict>
          </mc:Fallback>
        </mc:AlternateContent>
      </w:r>
      <w:r>
        <w:rPr>
          <w:noProof/>
        </w:rPr>
        <mc:AlternateContent>
          <mc:Choice Requires="wps">
            <w:drawing>
              <wp:anchor distT="0" distB="0" distL="114300" distR="114300" simplePos="0" relativeHeight="251129342" behindDoc="0" locked="0" layoutInCell="1" allowOverlap="1" wp14:anchorId="190FF781" wp14:editId="592F379B">
                <wp:simplePos x="0" y="0"/>
                <wp:positionH relativeFrom="column">
                  <wp:posOffset>3828171</wp:posOffset>
                </wp:positionH>
                <wp:positionV relativeFrom="paragraph">
                  <wp:posOffset>3083206</wp:posOffset>
                </wp:positionV>
                <wp:extent cx="187325" cy="178995"/>
                <wp:effectExtent l="0" t="0" r="3175" b="0"/>
                <wp:wrapTopAndBottom/>
                <wp:docPr id="576" name="Text Box 576"/>
                <wp:cNvGraphicFramePr/>
                <a:graphic xmlns:a="http://schemas.openxmlformats.org/drawingml/2006/main">
                  <a:graphicData uri="http://schemas.microsoft.com/office/word/2010/wordprocessingShape">
                    <wps:wsp>
                      <wps:cNvSpPr txBox="1"/>
                      <wps:spPr>
                        <a:xfrm>
                          <a:off x="0" y="0"/>
                          <a:ext cx="187325" cy="178995"/>
                        </a:xfrm>
                        <a:prstGeom prst="rect">
                          <a:avLst/>
                        </a:prstGeom>
                        <a:noFill/>
                        <a:ln w="6350">
                          <a:noFill/>
                        </a:ln>
                      </wps:spPr>
                      <wps:txbx>
                        <w:txbxContent>
                          <w:p w14:paraId="00ECD382" w14:textId="77777777" w:rsidR="00F61130" w:rsidRPr="006508D1" w:rsidRDefault="00F61130" w:rsidP="002C69AE">
                            <w:pPr>
                              <w:jc w:val="center"/>
                            </w:pPr>
                            <w:r>
                              <w:t>G</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190FF781" id="Text Box 576" o:spid="_x0000_s1150" type="#_x0000_t202" style="position:absolute;left:0;text-align:left;margin-left:301.45pt;margin-top:242.75pt;width:14.75pt;height:14.1pt;z-index:25112934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64sgKwIAAE0EAAAOAAAAZHJzL2Uyb0RvYy54bWysVE1v2zAMvQ/ofxB0X5yky0eNOEXaIsOA&#13;&#10;oC2QDD0rshQbkERNUmJnv36UHKdDt9Owi0KTFMn3+JTFfasVOQnnazAFHQ2GlAjDoazNoaDfd+vP&#13;&#10;c0p8YKZkCowo6Fl4er+8+bRobC7GUIEqhSNYxPi8sQWtQrB5lnleCc38AKwwGJTgNAv46Q5Z6ViD&#13;&#10;1bXKxsPhNGvAldYBF96j96kL0mWqL6Xg4UVKLwJRBcXZQjpdOvfxzJYLlh8cs1XNL2Owf5hCs9pg&#13;&#10;02upJxYYObr6j1K65g48yDDgoDOQsuYiYUA0o+EHNNuKWZGwIDneXmny/68sfz69OlKXBZ3MppQY&#13;&#10;pnFJO9EG8gAtiT5kqLE+x8StxdTQYgA33fs9OiPwVjodfxESwThyfb7yG8vxeGk+ux1PKOEYGs3m&#13;&#10;d3eTWCV7v2ydD18FaBKNgjpcX2KVnTY+dKl9SuxlYF0rlVaoDGkKOr2dDNOFawSLK4M9IoRu1GiF&#13;&#10;dt8m0KPxlx7IHsoz4nPQacRbvq5xig3z4ZU5FAVCQqGHFzykAuwGF4uSCtzPv/ljPu4Ko5Q0KLKC&#13;&#10;+h9H5gQl6pvBLUZF9obrjX1vmKN+BNTtCJ+Q5cnECy6o3pQO9BvqfxW7YIgZjr0KGnrzMXRSx/fD&#13;&#10;xWqVklB3loWN2VoeS0ceI6e79o05eyE+4MaeoZcfyz/w3+V2G1gdA8g6LScy27F4IRw1m9Z7eV/x&#13;&#10;Ufz+nbLe/wWWvwAAAP//AwBQSwMEFAAGAAgAAAAhAFb1YgPkAAAAEAEAAA8AAABkcnMvZG93bnJl&#13;&#10;di54bWxMT8lOwzAQvSPxD9YgcaN20iaUNE6FKNwoSwEJbk5skggvke2k4e8ZTnAZ6WneWm5no8mk&#13;&#10;fOid5ZAsGBBlGyd723J4fbm7WAMJUVgptLOKw7cKsK1OT0pRSHe0z2o6xJagiQ2F4NDFOBSUhqZT&#13;&#10;RoSFG5TF36fzRkSEvqXSiyOaG01TxnJqRG8xoRODuulU83UYDQf9Hvx9zeLHtGv38emRjm+3yQPn&#13;&#10;52fzboPnegMkqjn+KeB3A/aHCovVbrQyEM0hZ+kVUjms1lkGBBn5Ml0BqTlkyfISaFXS/0OqHwAA&#13;&#10;AP//AwBQSwECLQAUAAYACAAAACEAtoM4kv4AAADhAQAAEwAAAAAAAAAAAAAAAAAAAAAAW0NvbnRl&#13;&#10;bnRfVHlwZXNdLnhtbFBLAQItABQABgAIAAAAIQA4/SH/1gAAAJQBAAALAAAAAAAAAAAAAAAAAC8B&#13;&#10;AABfcmVscy8ucmVsc1BLAQItABQABgAIAAAAIQCP64sgKwIAAE0EAAAOAAAAAAAAAAAAAAAAAC4C&#13;&#10;AABkcnMvZTJvRG9jLnhtbFBLAQItABQABgAIAAAAIQBW9WID5AAAABABAAAPAAAAAAAAAAAAAAAA&#13;&#10;AIUEAABkcnMvZG93bnJldi54bWxQSwUGAAAAAAQABADzAAAAlgUAAAAA&#13;&#10;" filled="f" stroked="f" strokeweight=".5pt">
                <v:textbox inset="0,0,0,0">
                  <w:txbxContent>
                    <w:p w14:paraId="00ECD382" w14:textId="77777777" w:rsidR="00F61130" w:rsidRPr="006508D1" w:rsidRDefault="00F61130" w:rsidP="002C69AE">
                      <w:pPr>
                        <w:jc w:val="center"/>
                      </w:pPr>
                      <w:r>
                        <w:t>G</w:t>
                      </w:r>
                    </w:p>
                  </w:txbxContent>
                </v:textbox>
                <w10:wrap type="topAndBottom"/>
              </v:shape>
            </w:pict>
          </mc:Fallback>
        </mc:AlternateContent>
      </w:r>
      <w:r>
        <w:rPr>
          <w:noProof/>
        </w:rPr>
        <mc:AlternateContent>
          <mc:Choice Requires="wps">
            <w:drawing>
              <wp:anchor distT="0" distB="0" distL="114300" distR="114300" simplePos="0" relativeHeight="251130366" behindDoc="0" locked="0" layoutInCell="1" allowOverlap="1" wp14:anchorId="70CB9A26" wp14:editId="03750EED">
                <wp:simplePos x="0" y="0"/>
                <wp:positionH relativeFrom="column">
                  <wp:posOffset>-202223</wp:posOffset>
                </wp:positionH>
                <wp:positionV relativeFrom="paragraph">
                  <wp:posOffset>4497847</wp:posOffset>
                </wp:positionV>
                <wp:extent cx="5991225" cy="1066414"/>
                <wp:effectExtent l="0" t="0" r="3175" b="635"/>
                <wp:wrapTopAndBottom/>
                <wp:docPr id="578" name="Text Box 578"/>
                <wp:cNvGraphicFramePr/>
                <a:graphic xmlns:a="http://schemas.openxmlformats.org/drawingml/2006/main">
                  <a:graphicData uri="http://schemas.microsoft.com/office/word/2010/wordprocessingShape">
                    <wps:wsp>
                      <wps:cNvSpPr txBox="1"/>
                      <wps:spPr>
                        <a:xfrm>
                          <a:off x="0" y="0"/>
                          <a:ext cx="5991225" cy="1066414"/>
                        </a:xfrm>
                        <a:prstGeom prst="rect">
                          <a:avLst/>
                        </a:prstGeom>
                        <a:noFill/>
                        <a:ln>
                          <a:noFill/>
                        </a:ln>
                      </wps:spPr>
                      <wps:txbx>
                        <w:txbxContent>
                          <w:p w14:paraId="6689610E" w14:textId="242252E7" w:rsidR="00F61130" w:rsidRPr="00BF6F34" w:rsidRDefault="00F61130" w:rsidP="009A7895">
                            <w:pPr>
                              <w:pStyle w:val="Caption"/>
                              <w:spacing w:line="360" w:lineRule="auto"/>
                              <w:jc w:val="both"/>
                              <w:rPr>
                                <w:noProof/>
                                <w:sz w:val="20"/>
                                <w:szCs w:val="20"/>
                              </w:rPr>
                            </w:pPr>
                            <w:bookmarkStart w:id="526" w:name="_Ref518741638"/>
                            <w:bookmarkStart w:id="527" w:name="_Toc525227234"/>
                            <w:bookmarkStart w:id="528" w:name="_Toc536814173"/>
                            <w:r w:rsidRPr="00BF6F34">
                              <w:rPr>
                                <w:b/>
                                <w:sz w:val="20"/>
                                <w:szCs w:val="20"/>
                              </w:rPr>
                              <w:t xml:space="preserve">Figure </w:t>
                            </w:r>
                            <w:r>
                              <w:rPr>
                                <w:b/>
                                <w:sz w:val="20"/>
                                <w:szCs w:val="20"/>
                              </w:rPr>
                              <w:fldChar w:fldCharType="begin"/>
                            </w:r>
                            <w:r>
                              <w:rPr>
                                <w:b/>
                                <w:sz w:val="20"/>
                                <w:szCs w:val="20"/>
                              </w:rPr>
                              <w:instrText xml:space="preserve"> STYLEREF 1 \s </w:instrText>
                            </w:r>
                            <w:r>
                              <w:rPr>
                                <w:b/>
                                <w:sz w:val="20"/>
                                <w:szCs w:val="20"/>
                              </w:rPr>
                              <w:fldChar w:fldCharType="separate"/>
                            </w:r>
                            <w:r>
                              <w:rPr>
                                <w:b/>
                                <w:noProof/>
                                <w:sz w:val="20"/>
                                <w:szCs w:val="20"/>
                              </w:rPr>
                              <w:t>4</w:t>
                            </w:r>
                            <w:r>
                              <w:rPr>
                                <w:b/>
                                <w:sz w:val="20"/>
                                <w:szCs w:val="20"/>
                              </w:rPr>
                              <w:fldChar w:fldCharType="end"/>
                            </w:r>
                            <w:r>
                              <w:rPr>
                                <w:b/>
                                <w:sz w:val="20"/>
                                <w:szCs w:val="20"/>
                              </w:rPr>
                              <w:t>.</w:t>
                            </w:r>
                            <w:r>
                              <w:rPr>
                                <w:b/>
                                <w:sz w:val="20"/>
                                <w:szCs w:val="20"/>
                              </w:rPr>
                              <w:fldChar w:fldCharType="begin"/>
                            </w:r>
                            <w:r>
                              <w:rPr>
                                <w:b/>
                                <w:sz w:val="20"/>
                                <w:szCs w:val="20"/>
                              </w:rPr>
                              <w:instrText xml:space="preserve"> SEQ Figure \* ARABIC \s 1 </w:instrText>
                            </w:r>
                            <w:r>
                              <w:rPr>
                                <w:b/>
                                <w:sz w:val="20"/>
                                <w:szCs w:val="20"/>
                              </w:rPr>
                              <w:fldChar w:fldCharType="separate"/>
                            </w:r>
                            <w:r>
                              <w:rPr>
                                <w:b/>
                                <w:noProof/>
                                <w:sz w:val="20"/>
                                <w:szCs w:val="20"/>
                              </w:rPr>
                              <w:t>29</w:t>
                            </w:r>
                            <w:r>
                              <w:rPr>
                                <w:b/>
                                <w:sz w:val="20"/>
                                <w:szCs w:val="20"/>
                              </w:rPr>
                              <w:fldChar w:fldCharType="end"/>
                            </w:r>
                            <w:bookmarkEnd w:id="526"/>
                            <w:r w:rsidRPr="00BF6F34">
                              <w:rPr>
                                <w:b/>
                                <w:sz w:val="20"/>
                                <w:szCs w:val="20"/>
                              </w:rPr>
                              <w:t xml:space="preserve"> – Best fits of myeloid cells and </w:t>
                            </w:r>
                            <w:r w:rsidRPr="00BF6F34">
                              <w:rPr>
                                <w:b/>
                                <w:i/>
                                <w:sz w:val="20"/>
                                <w:szCs w:val="20"/>
                              </w:rPr>
                              <w:t>Leishmania donovani</w:t>
                            </w:r>
                            <w:r w:rsidRPr="00BF6F34">
                              <w:rPr>
                                <w:b/>
                                <w:sz w:val="20"/>
                                <w:szCs w:val="20"/>
                              </w:rPr>
                              <w:t xml:space="preserve"> kinetics with parasitic behaviours.</w:t>
                            </w:r>
                            <w:r w:rsidRPr="00BF6F34">
                              <w:rPr>
                                <w:sz w:val="20"/>
                                <w:szCs w:val="20"/>
                              </w:rPr>
                              <w:t xml:space="preserve"> The best fit from the </w:t>
                            </w:r>
                            <w:r>
                              <w:rPr>
                                <w:sz w:val="20"/>
                                <w:szCs w:val="20"/>
                              </w:rPr>
                              <w:t>100</w:t>
                            </w:r>
                            <w:r w:rsidRPr="00BF6F34">
                              <w:rPr>
                                <w:sz w:val="20"/>
                                <w:szCs w:val="20"/>
                              </w:rPr>
                              <w:t xml:space="preserve"> runs derived using </w:t>
                            </w:r>
                            <w:r>
                              <w:rPr>
                                <w:sz w:val="20"/>
                                <w:szCs w:val="20"/>
                              </w:rPr>
                              <w:t xml:space="preserve">the </w:t>
                            </w:r>
                            <w:r>
                              <w:rPr>
                                <w:i/>
                                <w:sz w:val="20"/>
                                <w:szCs w:val="20"/>
                              </w:rPr>
                              <w:t>nsga2</w:t>
                            </w:r>
                            <w:r>
                              <w:rPr>
                                <w:sz w:val="20"/>
                                <w:szCs w:val="20"/>
                              </w:rPr>
                              <w:t xml:space="preserve"> function from the </w:t>
                            </w:r>
                            <w:r>
                              <w:rPr>
                                <w:i/>
                                <w:sz w:val="20"/>
                                <w:szCs w:val="20"/>
                              </w:rPr>
                              <w:t>mco</w:t>
                            </w:r>
                            <w:r>
                              <w:rPr>
                                <w:sz w:val="20"/>
                                <w:szCs w:val="20"/>
                              </w:rPr>
                              <w:t xml:space="preserve"> package, </w:t>
                            </w:r>
                            <w:r w:rsidRPr="00BF6F34">
                              <w:rPr>
                                <w:sz w:val="20"/>
                                <w:szCs w:val="20"/>
                              </w:rPr>
                              <w:fldChar w:fldCharType="begin"/>
                            </w:r>
                            <w:r w:rsidRPr="00BF6F34">
                              <w:rPr>
                                <w:sz w:val="20"/>
                                <w:szCs w:val="20"/>
                              </w:rPr>
                              <w:instrText xml:space="preserve"> REF _Ref518721117  \* MERGEFORMAT </w:instrText>
                            </w:r>
                            <w:r w:rsidRPr="00BF6F34">
                              <w:rPr>
                                <w:sz w:val="20"/>
                                <w:szCs w:val="20"/>
                              </w:rPr>
                              <w:fldChar w:fldCharType="separate"/>
                            </w:r>
                            <w:r w:rsidRPr="00031DCA">
                              <w:rPr>
                                <w:sz w:val="20"/>
                                <w:szCs w:val="20"/>
                              </w:rPr>
                              <w:t xml:space="preserve">Figure </w:t>
                            </w:r>
                            <w:r w:rsidRPr="00031DCA">
                              <w:rPr>
                                <w:noProof/>
                                <w:sz w:val="20"/>
                                <w:szCs w:val="20"/>
                              </w:rPr>
                              <w:t>4.30</w:t>
                            </w:r>
                            <w:r w:rsidRPr="00BF6F34">
                              <w:rPr>
                                <w:sz w:val="20"/>
                                <w:szCs w:val="20"/>
                              </w:rPr>
                              <w:fldChar w:fldCharType="end"/>
                            </w:r>
                            <w:r>
                              <w:rPr>
                                <w:sz w:val="20"/>
                                <w:szCs w:val="20"/>
                              </w:rPr>
                              <w:t>,</w:t>
                            </w:r>
                            <w:r w:rsidRPr="00BF6F34">
                              <w:rPr>
                                <w:sz w:val="20"/>
                                <w:szCs w:val="20"/>
                              </w:rPr>
                              <w:t xml:space="preserve"> </w:t>
                            </w:r>
                            <w:r>
                              <w:rPr>
                                <w:sz w:val="20"/>
                                <w:szCs w:val="20"/>
                              </w:rPr>
                              <w:t xml:space="preserve">were analysed, were the intracellular per infected myeloid was lower than 150 throughout the time course, to derive the </w:t>
                            </w:r>
                            <w:r w:rsidRPr="00BF6F34">
                              <w:rPr>
                                <w:sz w:val="20"/>
                                <w:szCs w:val="20"/>
                              </w:rPr>
                              <w:t>lowest root mean square error from observed vs. expected</w:t>
                            </w:r>
                            <w:r>
                              <w:rPr>
                                <w:sz w:val="20"/>
                                <w:szCs w:val="20"/>
                              </w:rPr>
                              <w:t>. The best fit was plotted (</w:t>
                            </w:r>
                            <w:r w:rsidRPr="00BF6F34">
                              <w:rPr>
                                <w:sz w:val="20"/>
                                <w:szCs w:val="20"/>
                              </w:rPr>
                              <w:t>Black lines</w:t>
                            </w:r>
                            <w:r>
                              <w:rPr>
                                <w:sz w:val="20"/>
                                <w:szCs w:val="20"/>
                              </w:rPr>
                              <w:t>) with</w:t>
                            </w:r>
                            <w:r w:rsidRPr="00BF6F34">
                              <w:rPr>
                                <w:sz w:val="20"/>
                                <w:szCs w:val="20"/>
                              </w:rPr>
                              <w:t xml:space="preserve"> blue dots represent</w:t>
                            </w:r>
                            <w:r>
                              <w:rPr>
                                <w:sz w:val="20"/>
                                <w:szCs w:val="20"/>
                              </w:rPr>
                              <w:t>ing the</w:t>
                            </w:r>
                            <w:r w:rsidRPr="00BF6F34">
                              <w:rPr>
                                <w:sz w:val="20"/>
                                <w:szCs w:val="20"/>
                              </w:rPr>
                              <w:t xml:space="preserve"> mean of biological replicates (n = 4-5).</w:t>
                            </w:r>
                            <w:bookmarkEnd w:id="527"/>
                            <w:bookmarkEnd w:id="528"/>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70CB9A26" id="Text Box 578" o:spid="_x0000_s1151" type="#_x0000_t202" style="position:absolute;left:0;text-align:left;margin-left:-15.9pt;margin-top:354.15pt;width:471.75pt;height:83.95pt;z-index:25113036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1alcSIwIAAEYEAAAOAAAAZHJzL2Uyb0RvYy54bWysU8Fu2zAMvQ/YPwi6L46DJluNOEXWIsOA&#13;&#10;oC2QDD0rshQLsERNUmJnXz9KttOt22nYRaZJ6ol8fFzedbohZ+G8AlPSfDKlRBgOlTLHkn7bbz58&#13;&#10;osQHZirWgBElvQhP71bv3y1bW4gZ1NBUwhEEMb5obUnrEGyRZZ7XQjM/ASsMBiU4zQL+umNWOdYi&#13;&#10;um6y2XS6yFpwlXXAhffofeiDdJXwpRQ8PEnpRSBNSbG2kE6XzkM8s9WSFUfHbK34UAb7hyo0UwYf&#13;&#10;vUI9sMDIyak/oLTiDjzIMOGgM5BScZF6wG7y6ZtudjWzIvWC5Hh7pcn/P1j+eH52RFUlnX/EURmm&#13;&#10;cUh70QXyGToSfchQa32BiTuLqaHDAE569Ht0xsY76XT8YksE48j15cpvhOPonN/e5rPZnBKOsXy6&#13;&#10;WNzkNxEne71unQ9fBGgSjZI6HGDilZ23PvSpY0p8zcBGNU0aYmN+cyBm9GSx9r7GaIXu0KVucyxj&#13;&#10;6OwA1QUbc9CLw1u+Ufj4lvnwzByqAXtBhYcnPGQDbUlhsCipwf34mz/m45AwSkmL6iqp/35iTlDS&#13;&#10;fDU4vijF0XCjcRgNc9L3gILNcXcsTyZecKEZTelAv6Dw1/EVDDHD8a2ShtG8D73GcXG4WK9TEgrO&#13;&#10;srA1O8sjdGQrUrnvXpizA98BR/UIo+5Y8Yb2PrfneX0KIFWaSWS2Z3EgHMWapjosVtyGX/9T1uv6&#13;&#10;r34CAAD//wMAUEsDBBQABgAIAAAAIQAjy0Lp5gAAABABAAAPAAAAZHJzL2Rvd25yZXYueG1sTI/N&#13;&#10;boMwEITvlfoO1lbqLTEkEhCCiaL+nCpVJfTQo8EbsILXFDsJffu6p/Sy0mh3Z74pdrMZ2AUnpy0J&#13;&#10;iJcRMKTWKk2dgM/6dZEBc16SkoMlFPCDDnbl/V0hc2WvVOHl4DsWTMjlUkDv/Zhz7toejXRLOyKF&#13;&#10;3dFORvogp46rSV6DuRn4KooSbqSmkNDLEZ96bE+HsxGw/6LqRX+/Nx/VsdJ1vYnoLTkJ8fgwP2/D&#13;&#10;2G+BeZz97QP+OgR+KANYY8+kHBsELNZx4PcC0ihbAwsXmzhOgTUCsjRZAS8L/r9I+QsAAP//AwBQ&#13;&#10;SwECLQAUAAYACAAAACEAtoM4kv4AAADhAQAAEwAAAAAAAAAAAAAAAAAAAAAAW0NvbnRlbnRfVHlw&#13;&#10;ZXNdLnhtbFBLAQItABQABgAIAAAAIQA4/SH/1gAAAJQBAAALAAAAAAAAAAAAAAAAAC8BAABfcmVs&#13;&#10;cy8ucmVsc1BLAQItABQABgAIAAAAIQC1alcSIwIAAEYEAAAOAAAAAAAAAAAAAAAAAC4CAABkcnMv&#13;&#10;ZTJvRG9jLnhtbFBLAQItABQABgAIAAAAIQAjy0Lp5gAAABABAAAPAAAAAAAAAAAAAAAAAH0EAABk&#13;&#10;cnMvZG93bnJldi54bWxQSwUGAAAAAAQABADzAAAAkAUAAAAA&#13;&#10;" filled="f" stroked="f">
                <v:textbox inset="0,0,0,0">
                  <w:txbxContent>
                    <w:p w14:paraId="6689610E" w14:textId="242252E7" w:rsidR="00F61130" w:rsidRPr="00BF6F34" w:rsidRDefault="00F61130" w:rsidP="009A7895">
                      <w:pPr>
                        <w:pStyle w:val="Caption"/>
                        <w:spacing w:line="360" w:lineRule="auto"/>
                        <w:jc w:val="both"/>
                        <w:rPr>
                          <w:noProof/>
                          <w:sz w:val="20"/>
                          <w:szCs w:val="20"/>
                        </w:rPr>
                      </w:pPr>
                      <w:bookmarkStart w:id="529" w:name="_Ref518741638"/>
                      <w:bookmarkStart w:id="530" w:name="_Toc525227234"/>
                      <w:bookmarkStart w:id="531" w:name="_Toc536814173"/>
                      <w:r w:rsidRPr="00BF6F34">
                        <w:rPr>
                          <w:b/>
                          <w:sz w:val="20"/>
                          <w:szCs w:val="20"/>
                        </w:rPr>
                        <w:t xml:space="preserve">Figure </w:t>
                      </w:r>
                      <w:r>
                        <w:rPr>
                          <w:b/>
                          <w:sz w:val="20"/>
                          <w:szCs w:val="20"/>
                        </w:rPr>
                        <w:fldChar w:fldCharType="begin"/>
                      </w:r>
                      <w:r>
                        <w:rPr>
                          <w:b/>
                          <w:sz w:val="20"/>
                          <w:szCs w:val="20"/>
                        </w:rPr>
                        <w:instrText xml:space="preserve"> STYLEREF 1 \s </w:instrText>
                      </w:r>
                      <w:r>
                        <w:rPr>
                          <w:b/>
                          <w:sz w:val="20"/>
                          <w:szCs w:val="20"/>
                        </w:rPr>
                        <w:fldChar w:fldCharType="separate"/>
                      </w:r>
                      <w:r>
                        <w:rPr>
                          <w:b/>
                          <w:noProof/>
                          <w:sz w:val="20"/>
                          <w:szCs w:val="20"/>
                        </w:rPr>
                        <w:t>4</w:t>
                      </w:r>
                      <w:r>
                        <w:rPr>
                          <w:b/>
                          <w:sz w:val="20"/>
                          <w:szCs w:val="20"/>
                        </w:rPr>
                        <w:fldChar w:fldCharType="end"/>
                      </w:r>
                      <w:r>
                        <w:rPr>
                          <w:b/>
                          <w:sz w:val="20"/>
                          <w:szCs w:val="20"/>
                        </w:rPr>
                        <w:t>.</w:t>
                      </w:r>
                      <w:r>
                        <w:rPr>
                          <w:b/>
                          <w:sz w:val="20"/>
                          <w:szCs w:val="20"/>
                        </w:rPr>
                        <w:fldChar w:fldCharType="begin"/>
                      </w:r>
                      <w:r>
                        <w:rPr>
                          <w:b/>
                          <w:sz w:val="20"/>
                          <w:szCs w:val="20"/>
                        </w:rPr>
                        <w:instrText xml:space="preserve"> SEQ Figure \* ARABIC \s 1 </w:instrText>
                      </w:r>
                      <w:r>
                        <w:rPr>
                          <w:b/>
                          <w:sz w:val="20"/>
                          <w:szCs w:val="20"/>
                        </w:rPr>
                        <w:fldChar w:fldCharType="separate"/>
                      </w:r>
                      <w:r>
                        <w:rPr>
                          <w:b/>
                          <w:noProof/>
                          <w:sz w:val="20"/>
                          <w:szCs w:val="20"/>
                        </w:rPr>
                        <w:t>29</w:t>
                      </w:r>
                      <w:r>
                        <w:rPr>
                          <w:b/>
                          <w:sz w:val="20"/>
                          <w:szCs w:val="20"/>
                        </w:rPr>
                        <w:fldChar w:fldCharType="end"/>
                      </w:r>
                      <w:bookmarkEnd w:id="529"/>
                      <w:r w:rsidRPr="00BF6F34">
                        <w:rPr>
                          <w:b/>
                          <w:sz w:val="20"/>
                          <w:szCs w:val="20"/>
                        </w:rPr>
                        <w:t xml:space="preserve"> – Best fits of myeloid cells and </w:t>
                      </w:r>
                      <w:r w:rsidRPr="00BF6F34">
                        <w:rPr>
                          <w:b/>
                          <w:i/>
                          <w:sz w:val="20"/>
                          <w:szCs w:val="20"/>
                        </w:rPr>
                        <w:t>Leishmania donovani</w:t>
                      </w:r>
                      <w:r w:rsidRPr="00BF6F34">
                        <w:rPr>
                          <w:b/>
                          <w:sz w:val="20"/>
                          <w:szCs w:val="20"/>
                        </w:rPr>
                        <w:t xml:space="preserve"> kinetics with parasitic behaviours.</w:t>
                      </w:r>
                      <w:r w:rsidRPr="00BF6F34">
                        <w:rPr>
                          <w:sz w:val="20"/>
                          <w:szCs w:val="20"/>
                        </w:rPr>
                        <w:t xml:space="preserve"> The best fit from the </w:t>
                      </w:r>
                      <w:r>
                        <w:rPr>
                          <w:sz w:val="20"/>
                          <w:szCs w:val="20"/>
                        </w:rPr>
                        <w:t>100</w:t>
                      </w:r>
                      <w:r w:rsidRPr="00BF6F34">
                        <w:rPr>
                          <w:sz w:val="20"/>
                          <w:szCs w:val="20"/>
                        </w:rPr>
                        <w:t xml:space="preserve"> runs derived using </w:t>
                      </w:r>
                      <w:r>
                        <w:rPr>
                          <w:sz w:val="20"/>
                          <w:szCs w:val="20"/>
                        </w:rPr>
                        <w:t xml:space="preserve">the </w:t>
                      </w:r>
                      <w:r>
                        <w:rPr>
                          <w:i/>
                          <w:sz w:val="20"/>
                          <w:szCs w:val="20"/>
                        </w:rPr>
                        <w:t>nsga2</w:t>
                      </w:r>
                      <w:r>
                        <w:rPr>
                          <w:sz w:val="20"/>
                          <w:szCs w:val="20"/>
                        </w:rPr>
                        <w:t xml:space="preserve"> function from the </w:t>
                      </w:r>
                      <w:r>
                        <w:rPr>
                          <w:i/>
                          <w:sz w:val="20"/>
                          <w:szCs w:val="20"/>
                        </w:rPr>
                        <w:t>mco</w:t>
                      </w:r>
                      <w:r>
                        <w:rPr>
                          <w:sz w:val="20"/>
                          <w:szCs w:val="20"/>
                        </w:rPr>
                        <w:t xml:space="preserve"> package, </w:t>
                      </w:r>
                      <w:r w:rsidRPr="00BF6F34">
                        <w:rPr>
                          <w:sz w:val="20"/>
                          <w:szCs w:val="20"/>
                        </w:rPr>
                        <w:fldChar w:fldCharType="begin"/>
                      </w:r>
                      <w:r w:rsidRPr="00BF6F34">
                        <w:rPr>
                          <w:sz w:val="20"/>
                          <w:szCs w:val="20"/>
                        </w:rPr>
                        <w:instrText xml:space="preserve"> REF _Ref518721117  \* MERGEFORMAT </w:instrText>
                      </w:r>
                      <w:r w:rsidRPr="00BF6F34">
                        <w:rPr>
                          <w:sz w:val="20"/>
                          <w:szCs w:val="20"/>
                        </w:rPr>
                        <w:fldChar w:fldCharType="separate"/>
                      </w:r>
                      <w:r w:rsidRPr="00031DCA">
                        <w:rPr>
                          <w:sz w:val="20"/>
                          <w:szCs w:val="20"/>
                        </w:rPr>
                        <w:t xml:space="preserve">Figure </w:t>
                      </w:r>
                      <w:r w:rsidRPr="00031DCA">
                        <w:rPr>
                          <w:noProof/>
                          <w:sz w:val="20"/>
                          <w:szCs w:val="20"/>
                        </w:rPr>
                        <w:t>4.30</w:t>
                      </w:r>
                      <w:r w:rsidRPr="00BF6F34">
                        <w:rPr>
                          <w:sz w:val="20"/>
                          <w:szCs w:val="20"/>
                        </w:rPr>
                        <w:fldChar w:fldCharType="end"/>
                      </w:r>
                      <w:r>
                        <w:rPr>
                          <w:sz w:val="20"/>
                          <w:szCs w:val="20"/>
                        </w:rPr>
                        <w:t>,</w:t>
                      </w:r>
                      <w:r w:rsidRPr="00BF6F34">
                        <w:rPr>
                          <w:sz w:val="20"/>
                          <w:szCs w:val="20"/>
                        </w:rPr>
                        <w:t xml:space="preserve"> </w:t>
                      </w:r>
                      <w:r>
                        <w:rPr>
                          <w:sz w:val="20"/>
                          <w:szCs w:val="20"/>
                        </w:rPr>
                        <w:t xml:space="preserve">were analysed, were the intracellular per infected myeloid was lower than 150 throughout the time course, to derive the </w:t>
                      </w:r>
                      <w:r w:rsidRPr="00BF6F34">
                        <w:rPr>
                          <w:sz w:val="20"/>
                          <w:szCs w:val="20"/>
                        </w:rPr>
                        <w:t>lowest root mean square error from observed vs. expected</w:t>
                      </w:r>
                      <w:r>
                        <w:rPr>
                          <w:sz w:val="20"/>
                          <w:szCs w:val="20"/>
                        </w:rPr>
                        <w:t>. The best fit was plotted (</w:t>
                      </w:r>
                      <w:r w:rsidRPr="00BF6F34">
                        <w:rPr>
                          <w:sz w:val="20"/>
                          <w:szCs w:val="20"/>
                        </w:rPr>
                        <w:t>Black lines</w:t>
                      </w:r>
                      <w:r>
                        <w:rPr>
                          <w:sz w:val="20"/>
                          <w:szCs w:val="20"/>
                        </w:rPr>
                        <w:t>) with</w:t>
                      </w:r>
                      <w:r w:rsidRPr="00BF6F34">
                        <w:rPr>
                          <w:sz w:val="20"/>
                          <w:szCs w:val="20"/>
                        </w:rPr>
                        <w:t xml:space="preserve"> blue dots represent</w:t>
                      </w:r>
                      <w:r>
                        <w:rPr>
                          <w:sz w:val="20"/>
                          <w:szCs w:val="20"/>
                        </w:rPr>
                        <w:t>ing the</w:t>
                      </w:r>
                      <w:r w:rsidRPr="00BF6F34">
                        <w:rPr>
                          <w:sz w:val="20"/>
                          <w:szCs w:val="20"/>
                        </w:rPr>
                        <w:t xml:space="preserve"> mean of biological replicates (n = 4-5).</w:t>
                      </w:r>
                      <w:bookmarkEnd w:id="530"/>
                      <w:bookmarkEnd w:id="531"/>
                    </w:p>
                  </w:txbxContent>
                </v:textbox>
                <w10:wrap type="topAndBottom"/>
              </v:shape>
            </w:pict>
          </mc:Fallback>
        </mc:AlternateContent>
      </w:r>
    </w:p>
    <w:p w14:paraId="46B3ECD2" w14:textId="77777777" w:rsidR="00936C4E" w:rsidRDefault="00936C4E" w:rsidP="009154C0">
      <w:pPr>
        <w:spacing w:line="360" w:lineRule="auto"/>
        <w:jc w:val="both"/>
      </w:pPr>
    </w:p>
    <w:p w14:paraId="56FE1983" w14:textId="2FE8ACF2" w:rsidR="00611940" w:rsidRPr="008B3AD6" w:rsidRDefault="000C4DD6" w:rsidP="009154C0">
      <w:pPr>
        <w:spacing w:line="360" w:lineRule="auto"/>
        <w:jc w:val="both"/>
      </w:pPr>
      <w:r w:rsidRPr="008B3AD6">
        <w:t>This i</w:t>
      </w:r>
      <w:r w:rsidR="00611940" w:rsidRPr="008B3AD6">
        <w:t>nitially produced a result that</w:t>
      </w:r>
      <w:r w:rsidRPr="008B3AD6">
        <w:t>,</w:t>
      </w:r>
      <w:r w:rsidR="00611940" w:rsidRPr="008B3AD6">
        <w:t xml:space="preserve"> whilst the best fit mathematically</w:t>
      </w:r>
      <w:r w:rsidRPr="008B3AD6">
        <w:t>,</w:t>
      </w:r>
      <w:r w:rsidR="00611940" w:rsidRPr="008B3AD6">
        <w:t xml:space="preserve"> was revealed to be a biologically unrealistic result, with a maximal intracellular parasite per infected myeloid </w:t>
      </w:r>
      <w:r w:rsidR="00611940" w:rsidRPr="008B3AD6">
        <w:lastRenderedPageBreak/>
        <w:t>count of approximately 68,000</w:t>
      </w:r>
      <w:r w:rsidR="0015319C">
        <w:t>, calculated by dividing the number of intracellular parasite by the number of infected myeloid cells at each time point for the best fitting value and selecting the maximum value from this new set of values</w:t>
      </w:r>
      <w:r w:rsidR="00611940" w:rsidRPr="008B3AD6">
        <w:t xml:space="preserve">. To avoid this scenario only parameter sets that generated a result where the maximal intracellular parasite per infected myeloid count was less than 150 </w:t>
      </w:r>
      <w:r w:rsidR="00447BD3" w:rsidRPr="008B3AD6">
        <w:t xml:space="preserve">were considered, a value higher than seen in published literature for </w:t>
      </w:r>
      <w:r w:rsidR="00447BD3" w:rsidRPr="008B3AD6">
        <w:rPr>
          <w:i/>
        </w:rPr>
        <w:t>in vitro</w:t>
      </w:r>
      <w:r w:rsidR="00447BD3" w:rsidRPr="008B3AD6">
        <w:t xml:space="preserve"> studies  </w:t>
      </w:r>
      <w:r w:rsidR="00447BD3" w:rsidRPr="008B3AD6">
        <w:fldChar w:fldCharType="begin"/>
      </w:r>
      <w:r w:rsidR="007A6EED">
        <w:instrText xml:space="preserve"> ADDIN ZOTERO_ITEM CSL_CITATION {"citationID":"UyX2C5O0","properties":{"formattedCitation":"(Nacy and Diggs 1981; Chakraborty et al. 2005; Mookerjee Basu et al. 2006; Phillips et al. 2010; Roy et al. 2011; Kumari et al. 2017; S. Verma et al. 2018)","plainCitation":"(Nacy and Diggs 1981; Chakraborty et al. 2005; Mookerjee Basu et al. 2006; Phillips et al. 2010; Roy et al. 2011; Kumari et al. 2017; S. Verma et al. 2018)","noteIndex":0},"citationItems":[{"id":2764,"uris":["http://zotero.org/users/2628971/items/P649FJJR"],"uri":["http://zotero.org/users/2628971/items/P649FJJR"],"itemData":{"id":2764,"type":"article-journal","title":"Intracellular replication of Leishmania tropica in mouse peritoneal macrophages: comparison of amastigote replication in adherent and nonadherent macrophages","container-title":"Infection and Immunity","page":"310-313","volume":"34","issue":"1","source":"PubMed","abstract":"Intracellular replication of Leishmania tropica was assessed in mouse peritoneal macrophage cultures. L. tropica replicated poorly in macrophage monolayers: both the percentage of cells infected and the number of intracellular amastigotes decreased with time in culture. In contrast, nonadherent macrophages supported continuous replication of the parasite, and intracellular amastigotes increased more than 10-fold in these cultures over 8 days.","ISSN":"0019-9567","note":"PMID: 7298191\nPMCID: PMC350860","shortTitle":"Intracellular replication of Leishmania tropica in mouse peritoneal macrophages","journalAbbreviation":"Infect. Immun.","language":"eng","author":[{"family":"Nacy","given":"C. A."},{"family":"Diggs","given":"C. L."}],"issued":{"date-parts":[["1981",10]]}}},{"id":2755,"uris":["http://zotero.org/users/2628971/items/DRE69SWI"],"uri":["http://zotero.org/users/2628971/items/DRE69SWI"],"itemData":{"id":2755,"type":"article-journal","title":"Leishmania donovani affects antigen presentation of macrophage by disrupting lipid rafts","container-title":"Journal of Immunology (Baltimore, Md.: 1950)","page":"3214-3224","volume":"175","issue":"5","source":"PubMed","abstract":"Leishmania donovani-infected splenic macrophages and P388D1 (P388D1(I)) failed to activate T cells in response to low dose of exogenous peptide. The membrane fluidity of P388D1(I) was greater than that of the normal counterpart P388D1(N), but could be reduced either by exposing the cell below phase transition point or by loading cholesterol into membrane (L-P388D1(I)), and this was associated with enhanced Ag-presenting ability of P388D1(I). Presentation of endogenous leishmanial Ag, kinetoplastid membrane protein-11, was also defective, but could be corrected by loading cholesterol into membrane. Because membrane rafts are important for Ag presentation at a low peptide dose, raft architecture of P388D1(I) was studied using raft (CD48 and cholera toxin-B) and non-raft (CD71) markers in terms of their colocalization with I-A(d). Binding of anti-CD48 mAb and cholera toxin B subunit decreased significantly in P388D1(I), and consequently, colocalization with I-A(d) was not seen, but this could be restored in L-P388D1(I). Conversely, colocalization between I-A(d) and CD71 remained unaffected regardless of the presence or the absence of intracellular parasites. P388D1(N) and L-P388D1(I), but not P388D1(I), formed peptide-dependent synapse with T cells quite efficiently and this was found to be corroborated with both intracellular Ca2+ mobilization in T cells and IL-2 production. This indicated that intracellular parasites disrupt the membrane rafts, possibly by increasing the membrane fluidity, which could be corrected by making the membrane rigid. This may be a strategy that intracellular L. donovani adopts to evade host immune system.","ISSN":"0022-1767","note":"PMID: 16116212","journalAbbreviation":"J. Immunol.","language":"eng","author":[{"family":"Chakraborty","given":"Debabani"},{"family":"Banerjee","given":"Subha"},{"family":"Sen","given":"Abhik"},{"family":"Banerjee","given":"Kalyan K."},{"family":"Das","given":"Pradip"},{"family":"Roy","given":"Syamal"}],"issued":{"date-parts":[["2005",9,1]]}}},{"id":2761,"uris":["http://zotero.org/users/2628971/items/KMAVYHT7"],"uri":["http://zotero.org/users/2628971/items/KMAVYHT7"],"itemData":{"id":2761,"type":"article-journal","title":"Sodium antimony gluconate induces generation of reactive oxygen species and nitric oxide via phosphoinositide 3-kinase and mitogen-activated protein kinase activation in Leishmania donovani-infected macrophages","container-title":"Antimicrobial Agents and Chemotherapy","page":"1788-1797","volume":"50","issue":"5","source":"PubMed","abstract":"Pentavalent antimony complexes, such as sodium stibogluconate and sodium antimony gluconate (SAG), are still the first choice for chemotherapy against various forms of leishmaniasis, including visceral leishmaniasis, or kala-azar. Although the requirement of a somewhat functional immune system for the antileishmanial action of antimony was reported previously, the cellular and molecular mechanism of action of SAG was not clear. Herein, we show that SAG induces extracellular signal-regulated kinase 1 (ERK-1) and ERK-2 phosphorylation through phosphoinositide 3-kinase (PI3K), protein kinase C, and Ras activation and p38 mitogen-activated protein kinase (MAPK) phosphorylation through PI3K and Akt activation. ERK-1 and ERK-2 activation results in an increase in the production of reactive oxygen species (ROS) 3 to 6 h after SAG treatment, while p38 MAPK activation and subsequent tumor necrosis factor alpha release result in the production of nitric oxide (NO) 24 h after SAG treatment. Thus, this study has provided the first evidence that SAG treatment induces activation of some important components of the intracellular signaling pathway, which results in an early wave of ROS-dependent parasite killing and a stronger late wave of NO-dependent parasite killing. This opens up the possibility of this metalloid chelate being used in the treatment of various diseases either alone or in combination with other drugs and vaccines.","DOI":"10.1128/AAC.50.5.1788-1797.2006","ISSN":"0066-4804","note":"PMID: 16641451\nPMCID: PMC1472228","journalAbbreviation":"Antimicrob. Agents Chemother.","language":"eng","author":[{"family":"Mookerjee Basu","given":"Jayati"},{"family":"Mookerjee","given":"Ananda"},{"family":"Sen","given":"Prosenjit"},{"family":"Bhaumik","given":"Suniti"},{"family":"Sen","given":"Pradip"},{"family":"Banerjee","given":"Subha"},{"family":"Naskar","given":"Ksudiram"},{"family":"Choudhuri","given":"Soumitra K."},{"family":"Saha","given":"Bhaskar"},{"family":"Raha","given":"Sanghamitra"},{"family":"Roy","given":"Syamal"}],"issued":{"date-parts":[["2006",5]]}}},{"id":2766,"uris":["http://zotero.org/users/2628971/items/PV27X74B"],"uri":["http://zotero.org/users/2628971/items/PV27X74B"],"itemData":{"id":2766,"type":"article-journal","title":"Innate killing of Leishmania donovani by macrophages of the splenic marginal zone requires IRF-7","container-title":"PLoS pathogens","page":"e1000813","volume":"6","issue":"3","source":"PubMed","abstract":"Highly phagocytic macrophages line the marginal zone (MZ) of the spleen and the lymph node subcapsular sinus. Although these macrophages have been attributed with a variety of functions, including the uptake and clearance of blood and lymph-borne pathogens, little is known about the effector mechanisms they employ after pathogen uptake. Here, we have combined gene expression profiling and RNAi using a stromal macrophage cell line with in situ analysis of the leishmanicidal activity of marginal zone macrophages (MZM) and marginal metallophilic macrophages (MMM) in wild type and gene targeted mice. Our data demonstrate a critical role for interferon regulatory factor-7 (IRF-7) in regulating the killing of intracellular Leishmania donovani by these specialised splenic macrophage sub-populations. This study, therefore, identifies a new role for IRF-7 as a regulator of innate microbicidal activity against this, and perhaps other, non-viral intracellular pathogens. This study also highlights the importance of selecting appropriate macrophage populations when studying pathogen interactions with this functionally diverse lineage of cells.","DOI":"10.1371/journal.ppat.1000813","ISSN":"1553-7374","note":"PMID: 20300600\nPMCID: PMC2837405","journalAbbreviation":"PLoS Pathog.","language":"eng","author":[{"family":"Phillips","given":"Rebecca"},{"family":"Svensson","given":"Mattias"},{"family":"Aziz","given":"Naveed"},{"family":"Maroof","given":"Asher"},{"family":"Brown","given":"Najmeeyah"},{"family":"Beattie","given":"Lynette"},{"family":"Signoret","given":"Nathalie"},{"family":"Kaye","given":"Paul M."}],"issued":{"date-parts":[["2010",3,12]]}}},{"id":2771,"uris":["http://zotero.org/users/2628971/items/UENQZN75"],"uri":["http://zotero.org/users/2628971/items/UENQZN75"],"itemData":{"id":2771,"type":"article-journal","title":"Development of derivatives of 3, 3'-diindolylmethane as potent Leishmania donovani bi-subunit topoisomerase IB poisons","container-title":"PloS One","page":"e28493","volume":"6","issue":"12","source":"PubMed","abstract":"BACKGROUND: The development of 3, 3'-diindolyl methane (DIM) resistant parasite Leishmania donovani (LdDR50) by adaptation with increasing concentrations of the drug generates random mutations in the large and small subunits of heterodimeric DNA topoisomerase I of Leishmania (LdTOP1LS). Mutation of large subunit of LdTOP1LS at F270L is responsible for resistance to DIM up to 50 µM concentration.\nMETHODOLOGY/PRINCIPAL FINDINGS: In search of compounds that inhibit the growth of the DIM resistant parasite and inhibit the catalytic activity of mutated topoisomerase I (F270L), we have prepared three derivatives of DIM namely DPDIM (2,2'-diphenyl 3,3'-diindolyl methane), DMDIM (2,2'-dimethyl 3,3'-diindolyl methane) and DMODIM (5,5'-dimethoxy 3,3'-diindolyl methane) from parent compound DIM. All the compounds inhibit the growth of DIM resistant parasites, induce DNA fragmentation and stabilize topo1-DNA cleavable complex with the wild type and mutant enzyme.\nCONCLUSION: The results suggest that the three derivatives of DIM can act as promising lead molecules for the generation of new anti-leishmanial agents.","DOI":"10.1371/journal.pone.0028493","ISSN":"1932-6203","note":"PMID: 22174820\nPMCID: PMC3236199","journalAbbreviation":"PLoS ONE","language":"eng","author":[{"family":"Roy","given":"Amit"},{"family":"Chowdhury","given":"Sayan"},{"family":"Sengupta","given":"Souvik"},{"family":"Mandal","given":"Madhumita"},{"family":"Jaisankar","given":"Parasuraman"},{"family":"D'Annessa","given":"Ilda"},{"family":"Desideri","given":"Alessandro"},{"family":"Majumder","given":"Hemanta K."}],"issued":{"date-parts":[["2011"]]}}},{"id":2740,"uris":["http://zotero.org/users/2628971/items/3N4KTQF7"],"uri":["http://zotero.org/users/2628971/items/3N4KTQF7"],"itemData":{"id":2740,"type":"article-journal","title":"Intracellular zinc flux causes reactive oxygen species mediated mitochondrial dysfunction leading to cell death in Leishmania donovani","container-title":"PloS One","page":"e0178800","volume":"12","issue":"6","source":"PubMed","abstract":"Leishmaniasis caused by Leishmania parasite is a global threat to public health and one of the most neglected tropical diseases. Therefore, the discovery of novel drug targets and effective drug is a major challenge and an important goal. Leishmania is an obligate intracellular parasite that alternates between sand fly and human host. To survive and establish infections, Leishmania parasites scavenge and internalize nutrients from the host. Nevertheless, host cells presents mechanism like nutrient restriction to inhibit microbial growth and control infection. Zinc is crucial for cellular growth and disruption in its homeostasis hinders growth and survival in many cells. However, little is known about the role of zinc in Leishmania growth and survival. In this study, the effect of zinc on the growth and survival of L.donovani was analyzed by both Zinc-depletion and Zinc-supplementation using Zinc-specific chelator N, N, N', N'-tetrakis (2-pyridylmethyl) ethylenediamine (TPEN) and Zinc Sulfate (ZnSO4). Treatment of parasites with TPEN rather than ZnSO4 had significantly affected the growth in a dose- and time-dependent manner. The pre-treatment of promastigotes with TPEN resulted into reduced host-parasite interaction as indicated by decreased association index. Zn depletion resulted into flux in intracellular labile Zn pool and increased in ROS generation correlated with decreased intracellular total thiol and retention of plasma membrane integrity without phosphatidylserine exposure in TPEN treated promastigotes. We also observed that TPEN-induced Zn depletion resulted into collapse of mitochondrial membrane potential which is associated with increase in cytosolic calcium and cytochrome-c. DNA fragmentation analysis showed increased DNA fragments in Zn-depleted cells. In summary, intracellular Zn depletion in the L. donovani promastigotes led to ROS-mediated caspase-independent mitochondrial dysfunction resulting into apoptosis-like cell death. Therefore, cellular zinc homeostasis in Leishmania can be explored for new drug targets and chemotherapeutics to control Leishmanial growth and disease progression.","DOI":"10.1371/journal.pone.0178800","ISSN":"1932-6203","note":"PMID: 28586364\nPMCID: PMC5460814","journalAbbreviation":"PLoS ONE","language":"eng","author":[{"family":"Kumari","given":"Anjali"},{"family":"Singh","given":"Krishn Pratap"},{"family":"Mandal","given":"Abhishek"},{"family":"Paswan","given":"Ranjeet Kumar"},{"family":"Sinha","given":"Preeti"},{"family":"Das","given":"Pradeep"},{"family":"Ali","given":"Vahab"},{"family":"Bimal","given":"Sanjiva"},{"family":"Lal","given":"Chandra Shekhar"}],"issued":{"date-parts":[["2017"]]}}},{"id":2757,"uris":["http://zotero.org/users/2628971/items/FRTPDE32"],"uri":["http://zotero.org/users/2628971/items/FRTPDE32"],"itemData":{"id":2757,"type":"article-journal","title":"Leishmania donovani Inhibitor of Serine Peptidases 2 Mediated Inhibition of Lectin Pathway and Upregulation of C5aR Signaling Promote Parasite Survival inside Host","container-title":"Frontiers in Immunology","page":"63","volume":"9","source":"PubMed","abstract":"Leishmania donovani, the causative agent of Indian visceral leishmaniasis has to face several barriers of the immune system inside the mammalian host for its survival. The complement system is one of the first barriers and consists of a well-balanced network of proteases including S1A family serine proteases (SPs). Inhibitor of serine peptidases (ISPs) is considered as inhibitor of S1A family serine peptidases and is reported to be present in trypanosomes, including Leishmania. In our previous study, we have deciphered the role of ISPs [LdISP1 and L. donovani inhibitor of serine peptidases 2 (LdISP2)] in the survival of L. donovani inside the sandfly midgut. However, the role of theses ISPs in the survival of L. donovani inside mammalian host still remains elusive. In the present study, we have deciphered the inhibitory effect of LdISPs on the host complement S1A serine peptidases, such as C1r/C1s and MASP1/MASP2. Our study suggested that although both rLdISP1 and rLdISP2 inferred strong interaction with C1complex and MBL-associated serine proteases (MASPs) but rLdISP2 showed the stronger inhibitory effect on MASP2 than rLdISP1. Moreover, we found that rLdISP2 significantly reduces the formation of C3, C5 convertase, and membrane attacking complex (MAC) by lectin pathway (LP) resulting in significant reduction in serum mediated lysis of the parasites. The role of LdISP2 on neutrophil elastase-mediated C5aR signaling was also evaluated. Notably, our results showed that infection of macrophages with ISP2-overexpressed Leishmania parasites significantly induces the expression of C5aR both at the transcript and translational level. Simultaneously, infection with ISP2KD parasites results in downregulation of host PI3K/AKT phosphorylation and increased in IL-12 production. Taken together, our findings clearly suggest that LdISP2 promotes parasite survival inside host by inhibiting MAC formation and complement-mediated lysis via LP and by upregulation of C5aR signaling.","DOI":"10.3389/fimmu.2018.00063","ISSN":"1664-3224","note":"PMID: 29434593\nPMCID: PMC5796892","journalAbbreviation":"Front Immunol","language":"eng","author":[{"family":"Verma","given":"Sudha"},{"family":"Mandal","given":"Abhishek"},{"family":"Ansari","given":"Md Yousuf"},{"family":"Kumar","given":"Ajay"},{"family":"Abhishek","given":"Kumar"},{"family":"Ghosh","given":"Ayan Kumar"},{"family":"Kumar","given":"Ashish"},{"family":"Kumar","given":"Vinod"},{"family":"Das","given":"Sushmita"},{"family":"Das","given":"Pradeep"}],"issued":{"date-parts":[["2018"]]}}}],"schema":"https://github.com/citation-style-language/schema/raw/master/csl-citation.json"} </w:instrText>
      </w:r>
      <w:r w:rsidR="00447BD3" w:rsidRPr="008B3AD6">
        <w:fldChar w:fldCharType="separate"/>
      </w:r>
      <w:r w:rsidR="007A6EED">
        <w:rPr>
          <w:color w:val="000000"/>
        </w:rPr>
        <w:t>(Nacy and Diggs 1981; Chakraborty et al. 2005; Mookerjee Basu et al. 2006; Phillips et al. 2010; Roy et</w:t>
      </w:r>
      <w:r w:rsidR="00921CAF">
        <w:rPr>
          <w:color w:val="000000"/>
        </w:rPr>
        <w:t xml:space="preserve"> al. 2011; Kumari et al. 2017; </w:t>
      </w:r>
      <w:r w:rsidR="007A6EED">
        <w:rPr>
          <w:color w:val="000000"/>
        </w:rPr>
        <w:t>Verma et al. 2018)</w:t>
      </w:r>
      <w:r w:rsidR="00447BD3" w:rsidRPr="008B3AD6">
        <w:fldChar w:fldCharType="end"/>
      </w:r>
      <w:r w:rsidR="00447BD3" w:rsidRPr="008B3AD6">
        <w:t xml:space="preserve"> to allow for the probability that </w:t>
      </w:r>
      <w:r w:rsidR="00447BD3" w:rsidRPr="008B3AD6">
        <w:rPr>
          <w:i/>
        </w:rPr>
        <w:t xml:space="preserve">in vivo </w:t>
      </w:r>
      <w:r w:rsidR="00447BD3" w:rsidRPr="008B3AD6">
        <w:t xml:space="preserve">values may not directly match attained </w:t>
      </w:r>
      <w:r w:rsidR="00447BD3" w:rsidRPr="008B3AD6">
        <w:rPr>
          <w:i/>
        </w:rPr>
        <w:t xml:space="preserve">in vitro </w:t>
      </w:r>
      <w:r w:rsidR="00447BD3" w:rsidRPr="008B3AD6">
        <w:t xml:space="preserve">levels.  </w:t>
      </w:r>
      <w:r w:rsidRPr="008B3AD6">
        <w:t>T</w:t>
      </w:r>
      <w:r w:rsidR="00611940" w:rsidRPr="008B3AD6">
        <w:t>he best fit</w:t>
      </w:r>
      <w:r w:rsidRPr="008B3AD6">
        <w:t xml:space="preserve"> was </w:t>
      </w:r>
      <w:r w:rsidR="00611940" w:rsidRPr="008B3AD6">
        <w:t>recalculated and plotted (</w:t>
      </w:r>
      <w:r w:rsidR="00D034D1" w:rsidRPr="001F0D20">
        <w:rPr>
          <w:b/>
        </w:rPr>
        <w:fldChar w:fldCharType="begin"/>
      </w:r>
      <w:r w:rsidR="00D034D1" w:rsidRPr="001F0D20">
        <w:rPr>
          <w:b/>
        </w:rPr>
        <w:instrText xml:space="preserve"> REF _Ref518741638  \* MERGEFORMAT </w:instrText>
      </w:r>
      <w:r w:rsidR="00D034D1" w:rsidRPr="001F0D20">
        <w:rPr>
          <w:b/>
        </w:rPr>
        <w:fldChar w:fldCharType="separate"/>
      </w:r>
      <w:r w:rsidR="00921CAF" w:rsidRPr="00921CAF">
        <w:rPr>
          <w:b/>
        </w:rPr>
        <w:t xml:space="preserve">Figure </w:t>
      </w:r>
      <w:r w:rsidR="00921CAF" w:rsidRPr="00921CAF">
        <w:rPr>
          <w:b/>
          <w:noProof/>
        </w:rPr>
        <w:t>4.29</w:t>
      </w:r>
      <w:r w:rsidR="00D034D1" w:rsidRPr="001F0D20">
        <w:rPr>
          <w:b/>
          <w:noProof/>
        </w:rPr>
        <w:fldChar w:fldCharType="end"/>
      </w:r>
      <w:r w:rsidR="00611940" w:rsidRPr="008B3AD6">
        <w:t>) and the parameter values derived</w:t>
      </w:r>
      <w:r w:rsidRPr="008B3AD6">
        <w:t xml:space="preserve"> </w:t>
      </w:r>
      <w:r w:rsidR="006E34EC">
        <w:rPr>
          <w:noProof/>
        </w:rPr>
        <mc:AlternateContent>
          <mc:Choice Requires="wps">
            <w:drawing>
              <wp:anchor distT="0" distB="0" distL="114300" distR="114300" simplePos="0" relativeHeight="251592704" behindDoc="0" locked="0" layoutInCell="1" allowOverlap="1" wp14:anchorId="70CA4DBA" wp14:editId="3CCA56DD">
                <wp:simplePos x="0" y="0"/>
                <wp:positionH relativeFrom="column">
                  <wp:posOffset>36830</wp:posOffset>
                </wp:positionH>
                <wp:positionV relativeFrom="paragraph">
                  <wp:posOffset>8301990</wp:posOffset>
                </wp:positionV>
                <wp:extent cx="5396230" cy="871855"/>
                <wp:effectExtent l="0" t="0" r="1270" b="4445"/>
                <wp:wrapTopAndBottom/>
                <wp:docPr id="448" name="Text Box 448"/>
                <wp:cNvGraphicFramePr/>
                <a:graphic xmlns:a="http://schemas.openxmlformats.org/drawingml/2006/main">
                  <a:graphicData uri="http://schemas.microsoft.com/office/word/2010/wordprocessingShape">
                    <wps:wsp>
                      <wps:cNvSpPr txBox="1"/>
                      <wps:spPr>
                        <a:xfrm>
                          <a:off x="0" y="0"/>
                          <a:ext cx="5396230" cy="871855"/>
                        </a:xfrm>
                        <a:prstGeom prst="rect">
                          <a:avLst/>
                        </a:prstGeom>
                        <a:solidFill>
                          <a:prstClr val="white"/>
                        </a:solidFill>
                        <a:ln>
                          <a:noFill/>
                        </a:ln>
                      </wps:spPr>
                      <wps:txbx>
                        <w:txbxContent>
                          <w:p w14:paraId="0FBEED02" w14:textId="7E106B9B" w:rsidR="00F61130" w:rsidRPr="005078D7" w:rsidRDefault="00F61130" w:rsidP="009A7895">
                            <w:pPr>
                              <w:pStyle w:val="Caption"/>
                              <w:spacing w:line="360" w:lineRule="auto"/>
                              <w:jc w:val="both"/>
                              <w:rPr>
                                <w:noProof/>
                                <w:sz w:val="20"/>
                                <w:szCs w:val="20"/>
                              </w:rPr>
                            </w:pPr>
                            <w:bookmarkStart w:id="532" w:name="_Ref518742073"/>
                            <w:bookmarkStart w:id="533" w:name="_Toc536814204"/>
                            <w:r w:rsidRPr="005078D7">
                              <w:rPr>
                                <w:b/>
                                <w:sz w:val="20"/>
                                <w:szCs w:val="20"/>
                              </w:rPr>
                              <w:t xml:space="preserve">Table </w:t>
                            </w:r>
                            <w:r>
                              <w:rPr>
                                <w:b/>
                                <w:sz w:val="20"/>
                                <w:szCs w:val="20"/>
                              </w:rPr>
                              <w:fldChar w:fldCharType="begin"/>
                            </w:r>
                            <w:r>
                              <w:rPr>
                                <w:b/>
                                <w:sz w:val="20"/>
                                <w:szCs w:val="20"/>
                              </w:rPr>
                              <w:instrText xml:space="preserve"> STYLEREF 1 \s </w:instrText>
                            </w:r>
                            <w:r>
                              <w:rPr>
                                <w:b/>
                                <w:sz w:val="20"/>
                                <w:szCs w:val="20"/>
                              </w:rPr>
                              <w:fldChar w:fldCharType="separate"/>
                            </w:r>
                            <w:r>
                              <w:rPr>
                                <w:b/>
                                <w:noProof/>
                                <w:sz w:val="20"/>
                                <w:szCs w:val="20"/>
                              </w:rPr>
                              <w:t>4</w:t>
                            </w:r>
                            <w:r>
                              <w:rPr>
                                <w:b/>
                                <w:sz w:val="20"/>
                                <w:szCs w:val="20"/>
                              </w:rPr>
                              <w:fldChar w:fldCharType="end"/>
                            </w:r>
                            <w:r>
                              <w:rPr>
                                <w:b/>
                                <w:sz w:val="20"/>
                                <w:szCs w:val="20"/>
                              </w:rPr>
                              <w:t>.</w:t>
                            </w:r>
                            <w:r>
                              <w:rPr>
                                <w:b/>
                                <w:sz w:val="20"/>
                                <w:szCs w:val="20"/>
                              </w:rPr>
                              <w:fldChar w:fldCharType="begin"/>
                            </w:r>
                            <w:r>
                              <w:rPr>
                                <w:b/>
                                <w:sz w:val="20"/>
                                <w:szCs w:val="20"/>
                              </w:rPr>
                              <w:instrText xml:space="preserve"> SEQ Table \* ARABIC \s 1 </w:instrText>
                            </w:r>
                            <w:r>
                              <w:rPr>
                                <w:b/>
                                <w:sz w:val="20"/>
                                <w:szCs w:val="20"/>
                              </w:rPr>
                              <w:fldChar w:fldCharType="separate"/>
                            </w:r>
                            <w:r>
                              <w:rPr>
                                <w:b/>
                                <w:noProof/>
                                <w:sz w:val="20"/>
                                <w:szCs w:val="20"/>
                              </w:rPr>
                              <w:t>3</w:t>
                            </w:r>
                            <w:r>
                              <w:rPr>
                                <w:b/>
                                <w:sz w:val="20"/>
                                <w:szCs w:val="20"/>
                              </w:rPr>
                              <w:fldChar w:fldCharType="end"/>
                            </w:r>
                            <w:bookmarkEnd w:id="532"/>
                            <w:r w:rsidRPr="005078D7">
                              <w:rPr>
                                <w:b/>
                                <w:sz w:val="20"/>
                                <w:szCs w:val="20"/>
                              </w:rPr>
                              <w:t xml:space="preserve"> - Final Parameter Values derived for the final model.</w:t>
                            </w:r>
                            <w:r w:rsidRPr="005078D7">
                              <w:rPr>
                                <w:sz w:val="20"/>
                                <w:szCs w:val="20"/>
                              </w:rPr>
                              <w:t xml:space="preserve"> The final iteration of the model used the </w:t>
                            </w:r>
                            <w:r w:rsidRPr="005078D7">
                              <w:rPr>
                                <w:i/>
                                <w:sz w:val="20"/>
                                <w:szCs w:val="20"/>
                              </w:rPr>
                              <w:t>NSGA2</w:t>
                            </w:r>
                            <w:r w:rsidRPr="005078D7">
                              <w:rPr>
                                <w:sz w:val="20"/>
                                <w:szCs w:val="20"/>
                              </w:rPr>
                              <w:t xml:space="preserve"> function of the </w:t>
                            </w:r>
                            <w:r w:rsidRPr="005078D7">
                              <w:rPr>
                                <w:i/>
                                <w:sz w:val="20"/>
                                <w:szCs w:val="20"/>
                              </w:rPr>
                              <w:t>mco</w:t>
                            </w:r>
                            <w:r w:rsidRPr="005078D7">
                              <w:rPr>
                                <w:sz w:val="20"/>
                                <w:szCs w:val="20"/>
                              </w:rPr>
                              <w:t xml:space="preserve"> package to derive the remaining unknown parameter values (iteration derived: 3), in combination with parameters and initial conditions already derived (</w:t>
                            </w:r>
                            <w:r w:rsidRPr="005078D7">
                              <w:rPr>
                                <w:sz w:val="20"/>
                                <w:szCs w:val="20"/>
                              </w:rPr>
                              <w:fldChar w:fldCharType="begin"/>
                            </w:r>
                            <w:r w:rsidRPr="005078D7">
                              <w:rPr>
                                <w:sz w:val="20"/>
                                <w:szCs w:val="20"/>
                              </w:rPr>
                              <w:instrText xml:space="preserve"> REF _Ref518722346  \* MERGEFORMAT </w:instrText>
                            </w:r>
                            <w:r w:rsidRPr="005078D7">
                              <w:rPr>
                                <w:sz w:val="20"/>
                                <w:szCs w:val="20"/>
                              </w:rPr>
                              <w:fldChar w:fldCharType="separate"/>
                            </w:r>
                            <w:r w:rsidRPr="00031DCA">
                              <w:rPr>
                                <w:sz w:val="20"/>
                                <w:szCs w:val="20"/>
                              </w:rPr>
                              <w:t xml:space="preserve">Table </w:t>
                            </w:r>
                            <w:r w:rsidRPr="00031DCA">
                              <w:rPr>
                                <w:noProof/>
                                <w:sz w:val="20"/>
                                <w:szCs w:val="20"/>
                              </w:rPr>
                              <w:t>4.1</w:t>
                            </w:r>
                            <w:r w:rsidRPr="005078D7">
                              <w:rPr>
                                <w:sz w:val="20"/>
                                <w:szCs w:val="20"/>
                              </w:rPr>
                              <w:fldChar w:fldCharType="end"/>
                            </w:r>
                            <w:r w:rsidRPr="005078D7">
                              <w:rPr>
                                <w:sz w:val="20"/>
                                <w:szCs w:val="20"/>
                              </w:rPr>
                              <w:t xml:space="preserve"> and </w:t>
                            </w:r>
                            <w:r w:rsidRPr="005078D7">
                              <w:rPr>
                                <w:sz w:val="20"/>
                                <w:szCs w:val="20"/>
                              </w:rPr>
                              <w:fldChar w:fldCharType="begin"/>
                            </w:r>
                            <w:r w:rsidRPr="005078D7">
                              <w:rPr>
                                <w:sz w:val="20"/>
                                <w:szCs w:val="20"/>
                              </w:rPr>
                              <w:instrText xml:space="preserve"> REF _Ref518722353  \* MERGEFORMAT </w:instrText>
                            </w:r>
                            <w:r w:rsidRPr="005078D7">
                              <w:rPr>
                                <w:sz w:val="20"/>
                                <w:szCs w:val="20"/>
                              </w:rPr>
                              <w:fldChar w:fldCharType="separate"/>
                            </w:r>
                            <w:r w:rsidRPr="00031DCA">
                              <w:rPr>
                                <w:sz w:val="20"/>
                                <w:szCs w:val="20"/>
                              </w:rPr>
                              <w:t xml:space="preserve">Table </w:t>
                            </w:r>
                            <w:r w:rsidRPr="00031DCA">
                              <w:rPr>
                                <w:noProof/>
                                <w:sz w:val="20"/>
                                <w:szCs w:val="20"/>
                              </w:rPr>
                              <w:t>4.2</w:t>
                            </w:r>
                            <w:r w:rsidRPr="005078D7">
                              <w:rPr>
                                <w:sz w:val="20"/>
                                <w:szCs w:val="20"/>
                              </w:rPr>
                              <w:fldChar w:fldCharType="end"/>
                            </w:r>
                            <w:r w:rsidRPr="005078D7">
                              <w:rPr>
                                <w:sz w:val="20"/>
                                <w:szCs w:val="20"/>
                              </w:rPr>
                              <w:t>).</w:t>
                            </w:r>
                            <w:bookmarkEnd w:id="533"/>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0CA4DBA" id="Text Box 448" o:spid="_x0000_s1152" type="#_x0000_t202" style="position:absolute;left:0;text-align:left;margin-left:2.9pt;margin-top:653.7pt;width:424.9pt;height:68.65pt;z-index:2515927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rHmWBNAIAAG0EAAAOAAAAZHJzL2Uyb0RvYy54bWysVFFv2yAQfp+0/4B4X5ykTZZZcaosVaZJ&#13;&#10;VVspmfpMMMRImGNAYme/fge2063b07QXfNwdB9/33Xl519aanIXzCkxBJ6MxJcJwKJU5FvTbfvth&#13;&#10;QYkPzJRMgxEFvQhP71bv3y0bm4spVKBL4QgWMT5vbEGrEGyeZZ5XomZ+BFYYDEpwNQu4dcesdKzB&#13;&#10;6rXOpuPxPGvAldYBF96j974L0lWqL6Xg4UlKLwLRBcW3hbS6tB7imq2WLD86ZivF+2ewf3hFzZTB&#13;&#10;S6+l7llg5OTUH6VqxR14kGHEoc5ASsVFwoBoJuM3aHYVsyJhQXK8vdLk/19Z/nh+dkSVBb29RakM&#13;&#10;q1GkvWgD+QwtiT5kqLE+x8SdxdTQYgCVHvwenRF4K10dvwiJYBy5vlz5jeU4Omc3n+bTGwxxjC0+&#13;&#10;ThazWSyTvZ62zocvAmoSjYI61C/Rys4PPnSpQ0q8zINW5VZpHTcxsNGOnBlq3VQqiL74b1naxFwD&#13;&#10;8VRXMHqyCLGDEq3QHtpEymQ6H4AeoLwgfgddD3nLtwpvfGA+PDOHTYO4cBDCEy5SQ1NQ6C1KKnA/&#13;&#10;/uaP+aglRilpsAkL6r+fmBOU6K8GVY4dOxhuMA6DYU71BhDrBEfM8mTiARf0YEoH9QvOxzregiFm&#13;&#10;ON5V0DCYm9CNAs4XF+t1SsK+tCw8mJ3lsfTA7L59Yc72ugRU9BGG9mT5G3m63I7n9SmAVEm7yGzH&#13;&#10;Yk849nRSv5+/ODS/7lPW619i9RMAAP//AwBQSwMEFAAGAAgAAAAhAPaL8srlAAAAEAEAAA8AAABk&#13;&#10;cnMvZG93bnJldi54bWxMj0FPwzAMhe9I/IfIk7ggljLabuqaTrDCbRw2pp2zJmsrGqdK0rX795gT&#13;&#10;XCz52X7+Xr6ZTMeu2vnWooDneQRMY2VVi7WA49fH0wqYDxKV7CxqATftYVPc3+UyU3bEvb4eQs3I&#13;&#10;BH0mBTQh9Bnnvmq0kX5ue400u1hnZKDW1Vw5OZK56fgiilJuZIv0oZG93ja6+j4MRkBaumHc4/ax&#13;&#10;PL7v5GdfL05vt5MQD7OpXFN5XQMLegp/F/CbgfihILCzHVB51glIiD6Q/BItY2C0sEqSFNiZpDiO&#13;&#10;l8CLnP8PUvwAAAD//wMAUEsBAi0AFAAGAAgAAAAhALaDOJL+AAAA4QEAABMAAAAAAAAAAAAAAAAA&#13;&#10;AAAAAFtDb250ZW50X1R5cGVzXS54bWxQSwECLQAUAAYACAAAACEAOP0h/9YAAACUAQAACwAAAAAA&#13;&#10;AAAAAAAAAAAvAQAAX3JlbHMvLnJlbHNQSwECLQAUAAYACAAAACEA6x5lgTQCAABtBAAADgAAAAAA&#13;&#10;AAAAAAAAAAAuAgAAZHJzL2Uyb0RvYy54bWxQSwECLQAUAAYACAAAACEA9ovyyuUAAAAQAQAADwAA&#13;&#10;AAAAAAAAAAAAAACOBAAAZHJzL2Rvd25yZXYueG1sUEsFBgAAAAAEAAQA8wAAAKAFAAAAAA==&#13;&#10;" stroked="f">
                <v:textbox inset="0,0,0,0">
                  <w:txbxContent>
                    <w:p w14:paraId="0FBEED02" w14:textId="7E106B9B" w:rsidR="00F61130" w:rsidRPr="005078D7" w:rsidRDefault="00F61130" w:rsidP="009A7895">
                      <w:pPr>
                        <w:pStyle w:val="Caption"/>
                        <w:spacing w:line="360" w:lineRule="auto"/>
                        <w:jc w:val="both"/>
                        <w:rPr>
                          <w:noProof/>
                          <w:sz w:val="20"/>
                          <w:szCs w:val="20"/>
                        </w:rPr>
                      </w:pPr>
                      <w:bookmarkStart w:id="534" w:name="_Ref518742073"/>
                      <w:bookmarkStart w:id="535" w:name="_Toc536814204"/>
                      <w:r w:rsidRPr="005078D7">
                        <w:rPr>
                          <w:b/>
                          <w:sz w:val="20"/>
                          <w:szCs w:val="20"/>
                        </w:rPr>
                        <w:t xml:space="preserve">Table </w:t>
                      </w:r>
                      <w:r>
                        <w:rPr>
                          <w:b/>
                          <w:sz w:val="20"/>
                          <w:szCs w:val="20"/>
                        </w:rPr>
                        <w:fldChar w:fldCharType="begin"/>
                      </w:r>
                      <w:r>
                        <w:rPr>
                          <w:b/>
                          <w:sz w:val="20"/>
                          <w:szCs w:val="20"/>
                        </w:rPr>
                        <w:instrText xml:space="preserve"> STYLEREF 1 \s </w:instrText>
                      </w:r>
                      <w:r>
                        <w:rPr>
                          <w:b/>
                          <w:sz w:val="20"/>
                          <w:szCs w:val="20"/>
                        </w:rPr>
                        <w:fldChar w:fldCharType="separate"/>
                      </w:r>
                      <w:r>
                        <w:rPr>
                          <w:b/>
                          <w:noProof/>
                          <w:sz w:val="20"/>
                          <w:szCs w:val="20"/>
                        </w:rPr>
                        <w:t>4</w:t>
                      </w:r>
                      <w:r>
                        <w:rPr>
                          <w:b/>
                          <w:sz w:val="20"/>
                          <w:szCs w:val="20"/>
                        </w:rPr>
                        <w:fldChar w:fldCharType="end"/>
                      </w:r>
                      <w:r>
                        <w:rPr>
                          <w:b/>
                          <w:sz w:val="20"/>
                          <w:szCs w:val="20"/>
                        </w:rPr>
                        <w:t>.</w:t>
                      </w:r>
                      <w:r>
                        <w:rPr>
                          <w:b/>
                          <w:sz w:val="20"/>
                          <w:szCs w:val="20"/>
                        </w:rPr>
                        <w:fldChar w:fldCharType="begin"/>
                      </w:r>
                      <w:r>
                        <w:rPr>
                          <w:b/>
                          <w:sz w:val="20"/>
                          <w:szCs w:val="20"/>
                        </w:rPr>
                        <w:instrText xml:space="preserve"> SEQ Table \* ARABIC \s 1 </w:instrText>
                      </w:r>
                      <w:r>
                        <w:rPr>
                          <w:b/>
                          <w:sz w:val="20"/>
                          <w:szCs w:val="20"/>
                        </w:rPr>
                        <w:fldChar w:fldCharType="separate"/>
                      </w:r>
                      <w:r>
                        <w:rPr>
                          <w:b/>
                          <w:noProof/>
                          <w:sz w:val="20"/>
                          <w:szCs w:val="20"/>
                        </w:rPr>
                        <w:t>3</w:t>
                      </w:r>
                      <w:r>
                        <w:rPr>
                          <w:b/>
                          <w:sz w:val="20"/>
                          <w:szCs w:val="20"/>
                        </w:rPr>
                        <w:fldChar w:fldCharType="end"/>
                      </w:r>
                      <w:bookmarkEnd w:id="534"/>
                      <w:r w:rsidRPr="005078D7">
                        <w:rPr>
                          <w:b/>
                          <w:sz w:val="20"/>
                          <w:szCs w:val="20"/>
                        </w:rPr>
                        <w:t xml:space="preserve"> - Final Parameter Values derived for the final model.</w:t>
                      </w:r>
                      <w:r w:rsidRPr="005078D7">
                        <w:rPr>
                          <w:sz w:val="20"/>
                          <w:szCs w:val="20"/>
                        </w:rPr>
                        <w:t xml:space="preserve"> The final iteration of the model used the </w:t>
                      </w:r>
                      <w:r w:rsidRPr="005078D7">
                        <w:rPr>
                          <w:i/>
                          <w:sz w:val="20"/>
                          <w:szCs w:val="20"/>
                        </w:rPr>
                        <w:t>NSGA2</w:t>
                      </w:r>
                      <w:r w:rsidRPr="005078D7">
                        <w:rPr>
                          <w:sz w:val="20"/>
                          <w:szCs w:val="20"/>
                        </w:rPr>
                        <w:t xml:space="preserve"> function of the </w:t>
                      </w:r>
                      <w:r w:rsidRPr="005078D7">
                        <w:rPr>
                          <w:i/>
                          <w:sz w:val="20"/>
                          <w:szCs w:val="20"/>
                        </w:rPr>
                        <w:t>mco</w:t>
                      </w:r>
                      <w:r w:rsidRPr="005078D7">
                        <w:rPr>
                          <w:sz w:val="20"/>
                          <w:szCs w:val="20"/>
                        </w:rPr>
                        <w:t xml:space="preserve"> package to derive the remaining unknown parameter values (iteration derived: 3), in combination with parameters and initial conditions already derived (</w:t>
                      </w:r>
                      <w:r w:rsidRPr="005078D7">
                        <w:rPr>
                          <w:sz w:val="20"/>
                          <w:szCs w:val="20"/>
                        </w:rPr>
                        <w:fldChar w:fldCharType="begin"/>
                      </w:r>
                      <w:r w:rsidRPr="005078D7">
                        <w:rPr>
                          <w:sz w:val="20"/>
                          <w:szCs w:val="20"/>
                        </w:rPr>
                        <w:instrText xml:space="preserve"> REF _Ref518722346  \* MERGEFORMAT </w:instrText>
                      </w:r>
                      <w:r w:rsidRPr="005078D7">
                        <w:rPr>
                          <w:sz w:val="20"/>
                          <w:szCs w:val="20"/>
                        </w:rPr>
                        <w:fldChar w:fldCharType="separate"/>
                      </w:r>
                      <w:r w:rsidRPr="00031DCA">
                        <w:rPr>
                          <w:sz w:val="20"/>
                          <w:szCs w:val="20"/>
                        </w:rPr>
                        <w:t xml:space="preserve">Table </w:t>
                      </w:r>
                      <w:r w:rsidRPr="00031DCA">
                        <w:rPr>
                          <w:noProof/>
                          <w:sz w:val="20"/>
                          <w:szCs w:val="20"/>
                        </w:rPr>
                        <w:t>4.1</w:t>
                      </w:r>
                      <w:r w:rsidRPr="005078D7">
                        <w:rPr>
                          <w:sz w:val="20"/>
                          <w:szCs w:val="20"/>
                        </w:rPr>
                        <w:fldChar w:fldCharType="end"/>
                      </w:r>
                      <w:r w:rsidRPr="005078D7">
                        <w:rPr>
                          <w:sz w:val="20"/>
                          <w:szCs w:val="20"/>
                        </w:rPr>
                        <w:t xml:space="preserve"> and </w:t>
                      </w:r>
                      <w:r w:rsidRPr="005078D7">
                        <w:rPr>
                          <w:sz w:val="20"/>
                          <w:szCs w:val="20"/>
                        </w:rPr>
                        <w:fldChar w:fldCharType="begin"/>
                      </w:r>
                      <w:r w:rsidRPr="005078D7">
                        <w:rPr>
                          <w:sz w:val="20"/>
                          <w:szCs w:val="20"/>
                        </w:rPr>
                        <w:instrText xml:space="preserve"> REF _Ref518722353  \* MERGEFORMAT </w:instrText>
                      </w:r>
                      <w:r w:rsidRPr="005078D7">
                        <w:rPr>
                          <w:sz w:val="20"/>
                          <w:szCs w:val="20"/>
                        </w:rPr>
                        <w:fldChar w:fldCharType="separate"/>
                      </w:r>
                      <w:r w:rsidRPr="00031DCA">
                        <w:rPr>
                          <w:sz w:val="20"/>
                          <w:szCs w:val="20"/>
                        </w:rPr>
                        <w:t xml:space="preserve">Table </w:t>
                      </w:r>
                      <w:r w:rsidRPr="00031DCA">
                        <w:rPr>
                          <w:noProof/>
                          <w:sz w:val="20"/>
                          <w:szCs w:val="20"/>
                        </w:rPr>
                        <w:t>4.2</w:t>
                      </w:r>
                      <w:r w:rsidRPr="005078D7">
                        <w:rPr>
                          <w:sz w:val="20"/>
                          <w:szCs w:val="20"/>
                        </w:rPr>
                        <w:fldChar w:fldCharType="end"/>
                      </w:r>
                      <w:r w:rsidRPr="005078D7">
                        <w:rPr>
                          <w:sz w:val="20"/>
                          <w:szCs w:val="20"/>
                        </w:rPr>
                        <w:t>).</w:t>
                      </w:r>
                      <w:bookmarkEnd w:id="535"/>
                    </w:p>
                  </w:txbxContent>
                </v:textbox>
                <w10:wrap type="topAndBottom"/>
              </v:shape>
            </w:pict>
          </mc:Fallback>
        </mc:AlternateContent>
      </w:r>
      <w:r w:rsidR="006E34EC" w:rsidRPr="00D6231B">
        <w:rPr>
          <w:noProof/>
        </w:rPr>
        <w:drawing>
          <wp:anchor distT="0" distB="0" distL="114300" distR="114300" simplePos="0" relativeHeight="252183552" behindDoc="0" locked="0" layoutInCell="1" allowOverlap="1" wp14:anchorId="0BA100C8" wp14:editId="3973420A">
            <wp:simplePos x="0" y="0"/>
            <wp:positionH relativeFrom="margin">
              <wp:posOffset>364490</wp:posOffset>
            </wp:positionH>
            <wp:positionV relativeFrom="paragraph">
              <wp:posOffset>2778088</wp:posOffset>
            </wp:positionV>
            <wp:extent cx="4846320" cy="5363845"/>
            <wp:effectExtent l="0" t="0" r="0" b="0"/>
            <wp:wrapTopAndBottom/>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extLst>
                        <a:ext uri="{28A0092B-C50C-407E-A947-70E740481C1C}">
                          <a14:useLocalDpi xmlns:a14="http://schemas.microsoft.com/office/drawing/2010/main" val="0"/>
                        </a:ext>
                      </a:extLst>
                    </a:blip>
                    <a:stretch>
                      <a:fillRect/>
                    </a:stretch>
                  </pic:blipFill>
                  <pic:spPr>
                    <a:xfrm>
                      <a:off x="0" y="0"/>
                      <a:ext cx="4846320" cy="5363845"/>
                    </a:xfrm>
                    <a:prstGeom prst="rect">
                      <a:avLst/>
                    </a:prstGeom>
                  </pic:spPr>
                </pic:pic>
              </a:graphicData>
            </a:graphic>
            <wp14:sizeRelH relativeFrom="page">
              <wp14:pctWidth>0</wp14:pctWidth>
            </wp14:sizeRelH>
            <wp14:sizeRelV relativeFrom="page">
              <wp14:pctHeight>0</wp14:pctHeight>
            </wp14:sizeRelV>
          </wp:anchor>
        </w:drawing>
      </w:r>
      <w:r w:rsidRPr="008B3AD6">
        <w:t>(</w:t>
      </w:r>
      <w:r w:rsidR="00D034D1" w:rsidRPr="001F0D20">
        <w:rPr>
          <w:b/>
        </w:rPr>
        <w:fldChar w:fldCharType="begin"/>
      </w:r>
      <w:r w:rsidR="00D034D1" w:rsidRPr="001F0D20">
        <w:rPr>
          <w:b/>
        </w:rPr>
        <w:instrText xml:space="preserve"> REF _Ref518742073  \* MERGEFORMAT </w:instrText>
      </w:r>
      <w:r w:rsidR="00D034D1" w:rsidRPr="001F0D20">
        <w:rPr>
          <w:b/>
        </w:rPr>
        <w:fldChar w:fldCharType="separate"/>
      </w:r>
      <w:r w:rsidR="00921CAF" w:rsidRPr="00921CAF">
        <w:rPr>
          <w:b/>
        </w:rPr>
        <w:t xml:space="preserve">Table </w:t>
      </w:r>
      <w:r w:rsidR="00921CAF" w:rsidRPr="00921CAF">
        <w:rPr>
          <w:b/>
          <w:noProof/>
        </w:rPr>
        <w:t>4.3</w:t>
      </w:r>
      <w:r w:rsidR="00D034D1" w:rsidRPr="001F0D20">
        <w:rPr>
          <w:b/>
          <w:noProof/>
        </w:rPr>
        <w:fldChar w:fldCharType="end"/>
      </w:r>
      <w:r w:rsidR="00611940" w:rsidRPr="008B3AD6">
        <w:t>).</w:t>
      </w:r>
    </w:p>
    <w:p w14:paraId="0D1BC260" w14:textId="77777777" w:rsidR="00090F43" w:rsidRPr="008B3AD6" w:rsidRDefault="00F20C78" w:rsidP="004D3F97">
      <w:pPr>
        <w:pStyle w:val="Heading3"/>
      </w:pPr>
      <w:bookmarkStart w:id="536" w:name="_Toc536814088"/>
      <w:bookmarkStart w:id="537" w:name="_Toc536814089"/>
      <w:bookmarkStart w:id="538" w:name="_Ref518744298"/>
      <w:bookmarkStart w:id="539" w:name="_Toc3716110"/>
      <w:bookmarkEnd w:id="536"/>
      <w:bookmarkEnd w:id="537"/>
      <w:r w:rsidRPr="008B3AD6">
        <w:lastRenderedPageBreak/>
        <w:t>Statistical Validation of the Simulation Model</w:t>
      </w:r>
      <w:bookmarkEnd w:id="538"/>
      <w:bookmarkEnd w:id="539"/>
    </w:p>
    <w:p w14:paraId="7CFCA76D" w14:textId="1759347F" w:rsidR="00090F43" w:rsidRPr="003C2C1D" w:rsidRDefault="00090F43" w:rsidP="009154C0">
      <w:pPr>
        <w:spacing w:line="360" w:lineRule="auto"/>
        <w:jc w:val="both"/>
        <w:rPr>
          <w:b/>
        </w:rPr>
      </w:pPr>
      <w:r w:rsidRPr="008B3AD6">
        <w:t>T</w:t>
      </w:r>
      <w:r w:rsidR="004B5A31">
        <w:t xml:space="preserve">o check that the model calibration </w:t>
      </w:r>
      <w:r w:rsidR="003C2C1D">
        <w:t>resulted in</w:t>
      </w:r>
      <w:r w:rsidRPr="008B3AD6">
        <w:t xml:space="preserve"> a robust </w:t>
      </w:r>
      <w:r w:rsidR="003C2C1D">
        <w:t>simulation model</w:t>
      </w:r>
      <w:r w:rsidR="001E42D9" w:rsidRPr="008B3AD6">
        <w:t xml:space="preserve"> </w:t>
      </w:r>
      <w:r w:rsidR="003C2C1D">
        <w:t>that is</w:t>
      </w:r>
      <w:r w:rsidRPr="008B3AD6">
        <w:t xml:space="preserve"> not biased for only the data upon which it had been parameterised, </w:t>
      </w:r>
      <w:r w:rsidR="003C2C1D">
        <w:t>validation</w:t>
      </w:r>
      <w:r w:rsidRPr="008B3AD6">
        <w:t xml:space="preserve"> </w:t>
      </w:r>
      <w:r w:rsidR="001E42D9" w:rsidRPr="008B3AD6">
        <w:t>was</w:t>
      </w:r>
      <w:r w:rsidRPr="008B3AD6">
        <w:t xml:space="preserve"> needed</w:t>
      </w:r>
      <w:r w:rsidR="00A26ADA" w:rsidRPr="008B3AD6">
        <w:t xml:space="preserve">, as described in Section </w:t>
      </w:r>
      <w:r w:rsidR="00A26ADA" w:rsidRPr="008B3AD6">
        <w:fldChar w:fldCharType="begin"/>
      </w:r>
      <w:r w:rsidR="00A26ADA" w:rsidRPr="008B3AD6">
        <w:instrText xml:space="preserve"> REF _Ref519095669 \n </w:instrText>
      </w:r>
      <w:r w:rsidR="007C2CB7" w:rsidRPr="008B3AD6">
        <w:instrText xml:space="preserve"> \* MERGEFORMAT </w:instrText>
      </w:r>
      <w:r w:rsidR="00A26ADA" w:rsidRPr="008B3AD6">
        <w:fldChar w:fldCharType="separate"/>
      </w:r>
      <w:r w:rsidR="00031DCA">
        <w:t>2.15.7</w:t>
      </w:r>
      <w:r w:rsidR="00A26ADA" w:rsidRPr="008B3AD6">
        <w:fldChar w:fldCharType="end"/>
      </w:r>
      <w:r w:rsidRPr="008B3AD6">
        <w:t>. To check this</w:t>
      </w:r>
      <w:r w:rsidR="003C2C1D">
        <w:t>,</w:t>
      </w:r>
      <w:r w:rsidRPr="008B3AD6">
        <w:t xml:space="preserve"> the </w:t>
      </w:r>
      <w:r w:rsidR="003C2C1D">
        <w:t xml:space="preserve">simulation model was adjusted to represent an </w:t>
      </w:r>
      <w:r w:rsidR="003C2C1D">
        <w:rPr>
          <w:i/>
        </w:rPr>
        <w:t xml:space="preserve">in </w:t>
      </w:r>
      <w:r w:rsidR="003C2C1D" w:rsidRPr="003C2C1D">
        <w:rPr>
          <w:i/>
        </w:rPr>
        <w:t>vitro</w:t>
      </w:r>
      <w:r w:rsidR="003C2C1D">
        <w:t xml:space="preserve"> system and so the initial T cell value was set to zero. The </w:t>
      </w:r>
      <w:r w:rsidR="003D019B">
        <w:t>parameter</w:t>
      </w:r>
      <w:r w:rsidR="003C2C1D">
        <w:t xml:space="preserve"> values from the</w:t>
      </w:r>
      <w:r w:rsidRPr="008B3AD6">
        <w:t xml:space="preserve"> best fitting </w:t>
      </w:r>
      <w:r w:rsidR="003C2C1D">
        <w:t xml:space="preserve">model calibration were supplied to the model and output collected. From this output the number of intracellular </w:t>
      </w:r>
      <w:r w:rsidR="003C2C1D">
        <w:rPr>
          <w:i/>
        </w:rPr>
        <w:t xml:space="preserve">L. </w:t>
      </w:r>
      <w:r w:rsidR="003C2C1D" w:rsidRPr="003C2C1D">
        <w:rPr>
          <w:i/>
        </w:rPr>
        <w:t>donovani</w:t>
      </w:r>
      <w:r w:rsidR="003C2C1D">
        <w:t xml:space="preserve"> per infected myeloid cell </w:t>
      </w:r>
      <w:r w:rsidRPr="003C2C1D">
        <w:t>was</w:t>
      </w:r>
      <w:r w:rsidRPr="008B3AD6">
        <w:t xml:space="preserve"> </w:t>
      </w:r>
      <w:r w:rsidR="003D019B">
        <w:t xml:space="preserve">collected and rounded to the nearest whole number. This was then </w:t>
      </w:r>
      <w:r w:rsidRPr="008B3AD6">
        <w:t xml:space="preserve">compared against </w:t>
      </w:r>
      <w:r w:rsidRPr="008B3AD6">
        <w:rPr>
          <w:i/>
        </w:rPr>
        <w:t>in vitro</w:t>
      </w:r>
      <w:r w:rsidRPr="008B3AD6">
        <w:t xml:space="preserve"> data of intracellular </w:t>
      </w:r>
      <w:r w:rsidRPr="003C2C1D">
        <w:rPr>
          <w:i/>
        </w:rPr>
        <w:t>L. donovani</w:t>
      </w:r>
      <w:r w:rsidRPr="008B3AD6">
        <w:t xml:space="preserve"> growth for 10 days in J774.2 macrophages</w:t>
      </w:r>
      <w:r w:rsidR="003D019B">
        <w:t xml:space="preserve"> </w:t>
      </w:r>
      <w:r w:rsidR="003D019B" w:rsidRPr="008B3AD6">
        <w:t>(</w:t>
      </w:r>
      <w:r w:rsidR="003D019B" w:rsidRPr="001F0D20">
        <w:rPr>
          <w:b/>
        </w:rPr>
        <w:fldChar w:fldCharType="begin"/>
      </w:r>
      <w:r w:rsidR="003D019B" w:rsidRPr="001F0D20">
        <w:rPr>
          <w:b/>
        </w:rPr>
        <w:instrText xml:space="preserve"> REF _Ref518742176  \* MERGEFORMAT </w:instrText>
      </w:r>
      <w:r w:rsidR="003D019B" w:rsidRPr="001F0D20">
        <w:rPr>
          <w:b/>
        </w:rPr>
        <w:fldChar w:fldCharType="separate"/>
      </w:r>
      <w:r w:rsidR="00921CAF" w:rsidRPr="00921CAF">
        <w:rPr>
          <w:b/>
        </w:rPr>
        <w:t>Figure 4.30</w:t>
      </w:r>
      <w:r w:rsidR="003D019B" w:rsidRPr="001F0D20">
        <w:rPr>
          <w:b/>
        </w:rPr>
        <w:fldChar w:fldCharType="end"/>
      </w:r>
      <w:r w:rsidR="003D019B">
        <w:t>), rounded to the nearest whole number</w:t>
      </w:r>
      <w:r w:rsidRPr="008B3AD6">
        <w:t xml:space="preserve"> </w:t>
      </w:r>
      <w:r w:rsidR="001E42D9" w:rsidRPr="008B3AD6">
        <w:fldChar w:fldCharType="begin"/>
      </w:r>
      <w:r w:rsidR="00812605" w:rsidRPr="008B3AD6">
        <w:instrText xml:space="preserve"> ADDIN ZOTERO_ITEM CSL_CITATION {"citationID":"yqGlMumD","properties":{"formattedCitation":"(Mart\\uc0\\u237{}n-Montes et al. 2017)","plainCitation":"(Martín-Montes et al. 2017)","noteIndex":0},"citationItems":[{"id":2742,"uris":["http://zotero.org/users/2628971/items/4FBMZRCI"],"uri":["http://zotero.org/users/2628971/items/4FBMZRCI"],"itemData":{"id":2742,"type":"article-journal","title":"Synthesis and in vitro leishmanicidal activity of novel [1,2,3]triazolo[1,5-a]pyridine salts","container-title":"RSC Advances","page":"15715-15726","volume":"7","issue":"26","source":"Crossref","DOI":"10.1039/C7RA01070B","ISSN":"2046-2069","language":"en","author":[{"family":"Martín-Montes","given":"Álvaro"},{"family":"Ballesteros-Garrido","given":"Rafael"},{"family":"Martín-Escolano","given":"Rubén"},{"family":"Marín","given":"Clotilde"},{"family":"Guitiérrez-Sánchez","given":"Ramón"},{"family":"Abarca","given":"Belén"},{"family":"Ballesteros","given":"Rafael"},{"family":"Sanchez-Moreno","given":"Manuel"}],"issued":{"date-parts":[["2017"]]}}}],"schema":"https://github.com/citation-style-language/schema/raw/master/csl-citation.json"} </w:instrText>
      </w:r>
      <w:r w:rsidR="001E42D9" w:rsidRPr="008B3AD6">
        <w:fldChar w:fldCharType="separate"/>
      </w:r>
      <w:r w:rsidR="00812605" w:rsidRPr="008B3AD6">
        <w:rPr>
          <w:lang w:val="en-US"/>
        </w:rPr>
        <w:t>(Martín-Montes et al. 2017)</w:t>
      </w:r>
      <w:r w:rsidR="001E42D9" w:rsidRPr="008B3AD6">
        <w:fldChar w:fldCharType="end"/>
      </w:r>
      <w:r w:rsidRPr="008B3AD6">
        <w:t xml:space="preserve"> </w:t>
      </w:r>
      <w:r w:rsidR="003D019B">
        <w:t>using a Chi-square test</w:t>
      </w:r>
      <w:r w:rsidRPr="008B3AD6">
        <w:t xml:space="preserve"> </w:t>
      </w:r>
      <w:r w:rsidR="003D019B">
        <w:t xml:space="preserve"> which returned a statistically</w:t>
      </w:r>
      <w:r w:rsidRPr="008B3AD6">
        <w:t xml:space="preserve"> significan</w:t>
      </w:r>
      <w:r w:rsidR="003D019B">
        <w:t>t</w:t>
      </w:r>
      <w:r w:rsidRPr="008B3AD6">
        <w:t xml:space="preserve"> </w:t>
      </w:r>
      <w:r w:rsidR="003D019B">
        <w:t>difference</w:t>
      </w:r>
      <w:r w:rsidRPr="008B3AD6">
        <w:t xml:space="preserve"> between the two</w:t>
      </w:r>
      <w:r w:rsidR="003C2C1D">
        <w:t xml:space="preserve"> datasets</w:t>
      </w:r>
      <w:r w:rsidR="003D019B">
        <w:t xml:space="preserve"> (</w:t>
      </w:r>
      <w:r w:rsidR="003C2C1D">
        <w:t xml:space="preserve">p </w:t>
      </w:r>
      <w:r w:rsidR="003D019B">
        <w:t>=</w:t>
      </w:r>
      <w:r w:rsidR="003C2C1D">
        <w:t xml:space="preserve"> </w:t>
      </w:r>
      <w:r w:rsidR="003C2C1D">
        <w:softHyphen/>
      </w:r>
      <w:r w:rsidR="003C2C1D">
        <w:softHyphen/>
      </w:r>
      <w:r w:rsidR="003C2C1D">
        <w:softHyphen/>
        <w:t>0.</w:t>
      </w:r>
      <w:r w:rsidR="003D019B">
        <w:t>012)</w:t>
      </w:r>
      <w:r w:rsidR="003C2C1D">
        <w:t>.</w:t>
      </w:r>
      <w:r w:rsidR="003D019B">
        <w:t xml:space="preserve"> </w:t>
      </w:r>
      <w:r w:rsidR="0015319C">
        <w:t xml:space="preserve">The Chi-square test offers no further explanation as to why these two datasets differ however it is likely that inherent differences between the </w:t>
      </w:r>
      <w:r w:rsidR="0015319C">
        <w:rPr>
          <w:i/>
        </w:rPr>
        <w:t xml:space="preserve">in vivo </w:t>
      </w:r>
      <w:r w:rsidR="0015319C">
        <w:t xml:space="preserve">system being modelled and the </w:t>
      </w:r>
      <w:r w:rsidR="0015319C">
        <w:rPr>
          <w:i/>
        </w:rPr>
        <w:t xml:space="preserve">in vitro </w:t>
      </w:r>
      <w:r w:rsidR="0015319C">
        <w:t xml:space="preserve">dataset being compared against are the main reason for this difference. Going forward if an </w:t>
      </w:r>
      <w:r w:rsidR="0015319C">
        <w:rPr>
          <w:i/>
        </w:rPr>
        <w:t xml:space="preserve">in vivo </w:t>
      </w:r>
      <w:r w:rsidR="0015319C">
        <w:t xml:space="preserve">dataset can be sourced this would likely prove a better comparator. </w:t>
      </w:r>
      <w:r w:rsidR="003D019B" w:rsidRPr="0015319C">
        <w:t>At</w:t>
      </w:r>
      <w:r w:rsidR="003D019B">
        <w:t xml:space="preserve"> this time the model has not been fully validated </w:t>
      </w:r>
      <w:r w:rsidR="00560645">
        <w:t>and so whilst it can still be implemented for further investigations, a further statistical validation should be completed for full confidence in model output.</w:t>
      </w:r>
    </w:p>
    <w:p w14:paraId="39F89ED6" w14:textId="17349D26" w:rsidR="006514DD" w:rsidRPr="008B3AD6" w:rsidRDefault="00936C4E" w:rsidP="00D52156">
      <w:r>
        <w:rPr>
          <w:noProof/>
        </w:rPr>
        <mc:AlternateContent>
          <mc:Choice Requires="wps">
            <w:drawing>
              <wp:anchor distT="0" distB="0" distL="114300" distR="114300" simplePos="0" relativeHeight="252080128" behindDoc="0" locked="0" layoutInCell="1" allowOverlap="1" wp14:anchorId="0F5C39F1" wp14:editId="15B946BD">
                <wp:simplePos x="0" y="0"/>
                <wp:positionH relativeFrom="column">
                  <wp:posOffset>-92075</wp:posOffset>
                </wp:positionH>
                <wp:positionV relativeFrom="paragraph">
                  <wp:posOffset>3556635</wp:posOffset>
                </wp:positionV>
                <wp:extent cx="5638036" cy="957133"/>
                <wp:effectExtent l="0" t="0" r="1270" b="0"/>
                <wp:wrapTopAndBottom/>
                <wp:docPr id="587" name="Text Box 587"/>
                <wp:cNvGraphicFramePr/>
                <a:graphic xmlns:a="http://schemas.openxmlformats.org/drawingml/2006/main">
                  <a:graphicData uri="http://schemas.microsoft.com/office/word/2010/wordprocessingShape">
                    <wps:wsp>
                      <wps:cNvSpPr txBox="1"/>
                      <wps:spPr>
                        <a:xfrm>
                          <a:off x="0" y="0"/>
                          <a:ext cx="5638036" cy="957133"/>
                        </a:xfrm>
                        <a:prstGeom prst="rect">
                          <a:avLst/>
                        </a:prstGeom>
                        <a:solidFill>
                          <a:prstClr val="white"/>
                        </a:solidFill>
                        <a:ln>
                          <a:noFill/>
                        </a:ln>
                      </wps:spPr>
                      <wps:txbx>
                        <w:txbxContent>
                          <w:p w14:paraId="3F575AE8" w14:textId="263DA0EB" w:rsidR="00F61130" w:rsidRPr="003D019B" w:rsidRDefault="00F61130" w:rsidP="009A7895">
                            <w:pPr>
                              <w:pStyle w:val="Caption"/>
                              <w:spacing w:line="360" w:lineRule="auto"/>
                              <w:jc w:val="both"/>
                              <w:rPr>
                                <w:color w:val="FF0000"/>
                                <w:sz w:val="20"/>
                                <w:szCs w:val="20"/>
                              </w:rPr>
                            </w:pPr>
                            <w:bookmarkStart w:id="540" w:name="_Ref518742176"/>
                            <w:bookmarkStart w:id="541" w:name="_Toc525227235"/>
                            <w:bookmarkStart w:id="542" w:name="_Toc536814174"/>
                            <w:r w:rsidRPr="003D019B">
                              <w:rPr>
                                <w:b/>
                                <w:sz w:val="20"/>
                                <w:szCs w:val="20"/>
                              </w:rPr>
                              <w:t xml:space="preserve">Figure </w:t>
                            </w:r>
                            <w:r>
                              <w:rPr>
                                <w:b/>
                                <w:sz w:val="20"/>
                                <w:szCs w:val="20"/>
                              </w:rPr>
                              <w:fldChar w:fldCharType="begin"/>
                            </w:r>
                            <w:r>
                              <w:rPr>
                                <w:b/>
                                <w:sz w:val="20"/>
                                <w:szCs w:val="20"/>
                              </w:rPr>
                              <w:instrText xml:space="preserve"> STYLEREF 1 \s </w:instrText>
                            </w:r>
                            <w:r>
                              <w:rPr>
                                <w:b/>
                                <w:sz w:val="20"/>
                                <w:szCs w:val="20"/>
                              </w:rPr>
                              <w:fldChar w:fldCharType="separate"/>
                            </w:r>
                            <w:r>
                              <w:rPr>
                                <w:b/>
                                <w:noProof/>
                                <w:sz w:val="20"/>
                                <w:szCs w:val="20"/>
                              </w:rPr>
                              <w:t>4</w:t>
                            </w:r>
                            <w:r>
                              <w:rPr>
                                <w:b/>
                                <w:sz w:val="20"/>
                                <w:szCs w:val="20"/>
                              </w:rPr>
                              <w:fldChar w:fldCharType="end"/>
                            </w:r>
                            <w:r>
                              <w:rPr>
                                <w:b/>
                                <w:sz w:val="20"/>
                                <w:szCs w:val="20"/>
                              </w:rPr>
                              <w:t>.</w:t>
                            </w:r>
                            <w:r>
                              <w:rPr>
                                <w:b/>
                                <w:sz w:val="20"/>
                                <w:szCs w:val="20"/>
                              </w:rPr>
                              <w:fldChar w:fldCharType="begin"/>
                            </w:r>
                            <w:r>
                              <w:rPr>
                                <w:b/>
                                <w:sz w:val="20"/>
                                <w:szCs w:val="20"/>
                              </w:rPr>
                              <w:instrText xml:space="preserve"> SEQ Figure \* ARABIC \s 1 </w:instrText>
                            </w:r>
                            <w:r>
                              <w:rPr>
                                <w:b/>
                                <w:sz w:val="20"/>
                                <w:szCs w:val="20"/>
                              </w:rPr>
                              <w:fldChar w:fldCharType="separate"/>
                            </w:r>
                            <w:r>
                              <w:rPr>
                                <w:b/>
                                <w:noProof/>
                                <w:sz w:val="20"/>
                                <w:szCs w:val="20"/>
                              </w:rPr>
                              <w:t>30</w:t>
                            </w:r>
                            <w:r>
                              <w:rPr>
                                <w:b/>
                                <w:sz w:val="20"/>
                                <w:szCs w:val="20"/>
                              </w:rPr>
                              <w:fldChar w:fldCharType="end"/>
                            </w:r>
                            <w:bookmarkEnd w:id="540"/>
                            <w:r w:rsidRPr="003D019B">
                              <w:rPr>
                                <w:b/>
                                <w:sz w:val="20"/>
                                <w:szCs w:val="20"/>
                              </w:rPr>
                              <w:t xml:space="preserve"> - Statistical validation of model output.</w:t>
                            </w:r>
                            <w:r w:rsidRPr="003D019B">
                              <w:rPr>
                                <w:sz w:val="20"/>
                                <w:szCs w:val="20"/>
                              </w:rPr>
                              <w:t xml:space="preserve"> The number of intracellular </w:t>
                            </w:r>
                            <w:r w:rsidRPr="003D019B">
                              <w:rPr>
                                <w:i/>
                                <w:sz w:val="20"/>
                                <w:szCs w:val="20"/>
                              </w:rPr>
                              <w:t>Leishmania donovani</w:t>
                            </w:r>
                            <w:r w:rsidRPr="003D019B">
                              <w:rPr>
                                <w:sz w:val="20"/>
                                <w:szCs w:val="20"/>
                              </w:rPr>
                              <w:t xml:space="preserve"> per infected myeloid cell was calculated from the output from </w:t>
                            </w:r>
                            <w:r w:rsidRPr="003D019B">
                              <w:rPr>
                                <w:sz w:val="20"/>
                                <w:szCs w:val="20"/>
                              </w:rPr>
                              <w:fldChar w:fldCharType="begin"/>
                            </w:r>
                            <w:r w:rsidRPr="003D019B">
                              <w:rPr>
                                <w:sz w:val="20"/>
                                <w:szCs w:val="20"/>
                              </w:rPr>
                              <w:instrText xml:space="preserve"> REF _Ref518741638  \* MERGEFORMAT </w:instrText>
                            </w:r>
                            <w:r w:rsidRPr="003D019B">
                              <w:rPr>
                                <w:sz w:val="20"/>
                                <w:szCs w:val="20"/>
                              </w:rPr>
                              <w:fldChar w:fldCharType="separate"/>
                            </w:r>
                            <w:r w:rsidRPr="00031DCA">
                              <w:rPr>
                                <w:sz w:val="20"/>
                                <w:szCs w:val="20"/>
                              </w:rPr>
                              <w:t xml:space="preserve">Figure </w:t>
                            </w:r>
                            <w:r w:rsidRPr="00031DCA">
                              <w:rPr>
                                <w:noProof/>
                                <w:sz w:val="20"/>
                                <w:szCs w:val="20"/>
                              </w:rPr>
                              <w:t>4.31</w:t>
                            </w:r>
                            <w:r w:rsidRPr="003D019B">
                              <w:rPr>
                                <w:sz w:val="20"/>
                                <w:szCs w:val="20"/>
                              </w:rPr>
                              <w:fldChar w:fldCharType="end"/>
                            </w:r>
                            <w:r w:rsidRPr="003D019B">
                              <w:rPr>
                                <w:sz w:val="20"/>
                                <w:szCs w:val="20"/>
                              </w:rPr>
                              <w:t xml:space="preserve"> and was compared to an </w:t>
                            </w:r>
                            <w:r w:rsidRPr="003D019B">
                              <w:rPr>
                                <w:i/>
                                <w:sz w:val="20"/>
                                <w:szCs w:val="20"/>
                              </w:rPr>
                              <w:t>in vitro</w:t>
                            </w:r>
                            <w:r w:rsidRPr="003D019B">
                              <w:rPr>
                                <w:sz w:val="20"/>
                                <w:szCs w:val="20"/>
                              </w:rPr>
                              <w:t xml:space="preserve"> amastigote per infected host cell growth curve derived from </w:t>
                            </w:r>
                            <w:r w:rsidRPr="003D019B">
                              <w:rPr>
                                <w:sz w:val="20"/>
                                <w:szCs w:val="20"/>
                              </w:rPr>
                              <w:fldChar w:fldCharType="begin"/>
                            </w:r>
                            <w:r w:rsidRPr="003D019B">
                              <w:rPr>
                                <w:sz w:val="20"/>
                                <w:szCs w:val="20"/>
                              </w:rPr>
                              <w:instrText xml:space="preserve"> ADDIN ZOTERO_ITEM CSL_CITATION {"citationID":"yqGlMumD","properties":{"formattedCitation":"(Mart\\uc0\\u237{}n-Montes et al. 2017)","plainCitation":"(Martín-Montes et al. 2017)","noteIndex":0},"citationItems":[{"id":2808,"uris":["http://zotero.org/users/2628971/items/4FBMZRCI"],"uri":["http://zotero.org/users/2628971/items/4FBMZRCI"],"itemData":{"id":2808,"type":"article-journal","title":"Synthesis and in vitro leishmanicidal activity of novel [1,2,3]triazolo[1,5-a]pyridine salts","container-title":"RSC Advances","page":"15715-15726","volume":"7","issue":"26","source":"Crossref","DOI":"10.1039/C7RA01070B","ISSN":"2046-2069","language":"en","author":[{"family":"Martín-Montes","given":"Álvaro"},{"family":"Ballesteros-Garrido","given":"Rafael"},{"family":"Martín-Escolano","given":"Rubén"},{"family":"Marín","given":"Clotilde"},{"family":"Guitiérrez-Sánchez","given":"Ramón"},{"family":"Abarca","given":"Belén"},{"family":"Ballesteros","given":"Rafael"},{"family":"Sanchez-Moreno","given":"Manuel"}],"issued":{"date-parts":[["2017"]]}}}],"schema":"https://github.com/citation-style-language/schema/raw/master/csl-citation.json"} </w:instrText>
                            </w:r>
                            <w:r w:rsidRPr="003D019B">
                              <w:rPr>
                                <w:sz w:val="20"/>
                                <w:szCs w:val="20"/>
                              </w:rPr>
                              <w:fldChar w:fldCharType="separate"/>
                            </w:r>
                            <w:r w:rsidRPr="003D019B">
                              <w:rPr>
                                <w:color w:val="000000"/>
                                <w:sz w:val="20"/>
                                <w:szCs w:val="20"/>
                              </w:rPr>
                              <w:t>(Martín-Montes et al. 2017)</w:t>
                            </w:r>
                            <w:r w:rsidRPr="003D019B">
                              <w:rPr>
                                <w:sz w:val="20"/>
                                <w:szCs w:val="20"/>
                              </w:rPr>
                              <w:fldChar w:fldCharType="end"/>
                            </w:r>
                            <w:r w:rsidRPr="003D019B">
                              <w:rPr>
                                <w:sz w:val="20"/>
                                <w:szCs w:val="20"/>
                              </w:rPr>
                              <w:t xml:space="preserve">, using a Chi-square test. A statistically significant difference between the two datasets was found (p = </w:t>
                            </w:r>
                            <w:r w:rsidRPr="003D019B">
                              <w:rPr>
                                <w:sz w:val="20"/>
                                <w:szCs w:val="20"/>
                              </w:rPr>
                              <w:softHyphen/>
                            </w:r>
                            <w:r w:rsidRPr="003D019B">
                              <w:rPr>
                                <w:sz w:val="20"/>
                                <w:szCs w:val="20"/>
                              </w:rPr>
                              <w:softHyphen/>
                            </w:r>
                            <w:r w:rsidRPr="003D019B">
                              <w:rPr>
                                <w:sz w:val="20"/>
                                <w:szCs w:val="20"/>
                              </w:rPr>
                              <w:softHyphen/>
                              <w:t>0.012).</w:t>
                            </w:r>
                            <w:bookmarkEnd w:id="541"/>
                            <w:bookmarkEnd w:id="542"/>
                          </w:p>
                          <w:p w14:paraId="7B2BE1DA" w14:textId="43195ED1" w:rsidR="00F61130" w:rsidRPr="006514DD" w:rsidRDefault="00F61130" w:rsidP="006514DD">
                            <w:pPr>
                              <w:pStyle w:val="Caption"/>
                              <w:spacing w:line="360" w:lineRule="auto"/>
                              <w:rPr>
                                <w:b/>
                                <w:noProof/>
                                <w:color w:val="FF0000"/>
                                <w:sz w:val="20"/>
                                <w:szCs w:val="20"/>
                                <w:lang w:eastAsia="en-GB"/>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0F5C39F1" id="Text Box 587" o:spid="_x0000_s1153" type="#_x0000_t202" style="position:absolute;margin-left:-7.25pt;margin-top:280.05pt;width:443.95pt;height:75.35pt;z-index:2520801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dXeUINQIAAG0EAAAOAAAAZHJzL2Uyb0RvYy54bWysVE2P2yAQvVfqf0DcG+dDyWatOKs0q1SV&#13;&#10;ot2VkmrPBOMYCRgKJHb66zvgONtue6p6wcPM8GDem/HiodWKnIXzEkxBR4MhJcJwKKU5FvTbfvNp&#13;&#10;TokPzJRMgREFvQhPH5YfPywam4sx1KBK4QiCGJ83tqB1CDbPMs9roZkfgBUGgxU4zQJu3TErHWsQ&#13;&#10;XatsPBzOsgZcaR1w4T16H7sgXSb8qhI8PFeVF4GoguLbQlpdWg9xzZYLlh8ds7Xk12ewf3iFZtLg&#13;&#10;pTeoRxYYOTn5B5SW3IGHKgw46AyqSnKRasBqRsN31exqZkWqBcnx9kaT/3+w/On84ogsCzqd31Fi&#13;&#10;mEaR9qIN5DO0JPqQocb6HBN3FlNDiwFUuvd7dMbC28rp+MWSCMaR68uN3wjH0TmdTebDyYwSjrH7&#13;&#10;6d1oMokw2dtp63z4IkCTaBTUoX6JVnbe+tCl9inxMg9KlhupVNzEwFo5cmaodVPLIK7gv2UpE3MN&#13;&#10;xFMdYPRkscSulGiF9tAmUkbjGwEHKC9Yv4Ouh7zlG4k3bpkPL8xh02DJOAjhGZdKQVNQuFqU1OB+&#13;&#10;/M0f81FLjFLSYBMW1H8/MScoUV8Nqhw7tjdcbxx6w5z0GrDWEY6Y5cnEAy6o3qwc6Fecj1W8BUPM&#13;&#10;cLyroKE316EbBZwvLlarlIR9aVnYmp3lEbpndt++MmevugRU9An69mT5O3m63I7n1SlAJZN2kdmO&#13;&#10;xSvh2NNJ/ev8xaH5dZ+y3v4Sy58AAAD//wMAUEsDBBQABgAIAAAAIQDGDS7L5AAAABABAAAPAAAA&#13;&#10;ZHJzL2Rvd25yZXYueG1sTE89T8MwEN2R+A/WIbGg1k5p0yiNU0EDWxlaqs5ubJKI+BzFTpP+e44J&#13;&#10;lpOe7n1m28m27Gp63ziUEM0FMIOl0w1WEk6f77MEmA8KtWodGgk342Gb399lKtVuxIO5HkPFyAR9&#13;&#10;qiTUIXQp576sjVV+7jqD9PtyvVWBYF9x3auRzG3LF0LE3KoGKaFWndnVpvw+DlZCXPTDeMDdU3F6&#13;&#10;26uPrlqcX29nKR8fpmJD52UDLJgp/CngdwP1h5yKXdyA2rNWwixarogqYRWLCBgxkvXzEthFwjoS&#13;&#10;CfA84/+H5D8AAAD//wMAUEsBAi0AFAAGAAgAAAAhALaDOJL+AAAA4QEAABMAAAAAAAAAAAAAAAAA&#13;&#10;AAAAAFtDb250ZW50X1R5cGVzXS54bWxQSwECLQAUAAYACAAAACEAOP0h/9YAAACUAQAACwAAAAAA&#13;&#10;AAAAAAAAAAAvAQAAX3JlbHMvLnJlbHNQSwECLQAUAAYACAAAACEAnV3lCDUCAABtBAAADgAAAAAA&#13;&#10;AAAAAAAAAAAuAgAAZHJzL2Uyb0RvYy54bWxQSwECLQAUAAYACAAAACEAxg0uy+QAAAAQAQAADwAA&#13;&#10;AAAAAAAAAAAAAACPBAAAZHJzL2Rvd25yZXYueG1sUEsFBgAAAAAEAAQA8wAAAKAFAAAAAA==&#13;&#10;" stroked="f">
                <v:textbox inset="0,0,0,0">
                  <w:txbxContent>
                    <w:p w14:paraId="3F575AE8" w14:textId="263DA0EB" w:rsidR="00F61130" w:rsidRPr="003D019B" w:rsidRDefault="00F61130" w:rsidP="009A7895">
                      <w:pPr>
                        <w:pStyle w:val="Caption"/>
                        <w:spacing w:line="360" w:lineRule="auto"/>
                        <w:jc w:val="both"/>
                        <w:rPr>
                          <w:color w:val="FF0000"/>
                          <w:sz w:val="20"/>
                          <w:szCs w:val="20"/>
                        </w:rPr>
                      </w:pPr>
                      <w:bookmarkStart w:id="543" w:name="_Ref518742176"/>
                      <w:bookmarkStart w:id="544" w:name="_Toc525227235"/>
                      <w:bookmarkStart w:id="545" w:name="_Toc536814174"/>
                      <w:r w:rsidRPr="003D019B">
                        <w:rPr>
                          <w:b/>
                          <w:sz w:val="20"/>
                          <w:szCs w:val="20"/>
                        </w:rPr>
                        <w:t xml:space="preserve">Figure </w:t>
                      </w:r>
                      <w:r>
                        <w:rPr>
                          <w:b/>
                          <w:sz w:val="20"/>
                          <w:szCs w:val="20"/>
                        </w:rPr>
                        <w:fldChar w:fldCharType="begin"/>
                      </w:r>
                      <w:r>
                        <w:rPr>
                          <w:b/>
                          <w:sz w:val="20"/>
                          <w:szCs w:val="20"/>
                        </w:rPr>
                        <w:instrText xml:space="preserve"> STYLEREF 1 \s </w:instrText>
                      </w:r>
                      <w:r>
                        <w:rPr>
                          <w:b/>
                          <w:sz w:val="20"/>
                          <w:szCs w:val="20"/>
                        </w:rPr>
                        <w:fldChar w:fldCharType="separate"/>
                      </w:r>
                      <w:r>
                        <w:rPr>
                          <w:b/>
                          <w:noProof/>
                          <w:sz w:val="20"/>
                          <w:szCs w:val="20"/>
                        </w:rPr>
                        <w:t>4</w:t>
                      </w:r>
                      <w:r>
                        <w:rPr>
                          <w:b/>
                          <w:sz w:val="20"/>
                          <w:szCs w:val="20"/>
                        </w:rPr>
                        <w:fldChar w:fldCharType="end"/>
                      </w:r>
                      <w:r>
                        <w:rPr>
                          <w:b/>
                          <w:sz w:val="20"/>
                          <w:szCs w:val="20"/>
                        </w:rPr>
                        <w:t>.</w:t>
                      </w:r>
                      <w:r>
                        <w:rPr>
                          <w:b/>
                          <w:sz w:val="20"/>
                          <w:szCs w:val="20"/>
                        </w:rPr>
                        <w:fldChar w:fldCharType="begin"/>
                      </w:r>
                      <w:r>
                        <w:rPr>
                          <w:b/>
                          <w:sz w:val="20"/>
                          <w:szCs w:val="20"/>
                        </w:rPr>
                        <w:instrText xml:space="preserve"> SEQ Figure \* ARABIC \s 1 </w:instrText>
                      </w:r>
                      <w:r>
                        <w:rPr>
                          <w:b/>
                          <w:sz w:val="20"/>
                          <w:szCs w:val="20"/>
                        </w:rPr>
                        <w:fldChar w:fldCharType="separate"/>
                      </w:r>
                      <w:r>
                        <w:rPr>
                          <w:b/>
                          <w:noProof/>
                          <w:sz w:val="20"/>
                          <w:szCs w:val="20"/>
                        </w:rPr>
                        <w:t>30</w:t>
                      </w:r>
                      <w:r>
                        <w:rPr>
                          <w:b/>
                          <w:sz w:val="20"/>
                          <w:szCs w:val="20"/>
                        </w:rPr>
                        <w:fldChar w:fldCharType="end"/>
                      </w:r>
                      <w:bookmarkEnd w:id="543"/>
                      <w:r w:rsidRPr="003D019B">
                        <w:rPr>
                          <w:b/>
                          <w:sz w:val="20"/>
                          <w:szCs w:val="20"/>
                        </w:rPr>
                        <w:t xml:space="preserve"> - Statistical validation of model output.</w:t>
                      </w:r>
                      <w:r w:rsidRPr="003D019B">
                        <w:rPr>
                          <w:sz w:val="20"/>
                          <w:szCs w:val="20"/>
                        </w:rPr>
                        <w:t xml:space="preserve"> The number of intracellular </w:t>
                      </w:r>
                      <w:r w:rsidRPr="003D019B">
                        <w:rPr>
                          <w:i/>
                          <w:sz w:val="20"/>
                          <w:szCs w:val="20"/>
                        </w:rPr>
                        <w:t>Leishmania donovani</w:t>
                      </w:r>
                      <w:r w:rsidRPr="003D019B">
                        <w:rPr>
                          <w:sz w:val="20"/>
                          <w:szCs w:val="20"/>
                        </w:rPr>
                        <w:t xml:space="preserve"> per infected myeloid cell was calculated from the output from </w:t>
                      </w:r>
                      <w:r w:rsidRPr="003D019B">
                        <w:rPr>
                          <w:sz w:val="20"/>
                          <w:szCs w:val="20"/>
                        </w:rPr>
                        <w:fldChar w:fldCharType="begin"/>
                      </w:r>
                      <w:r w:rsidRPr="003D019B">
                        <w:rPr>
                          <w:sz w:val="20"/>
                          <w:szCs w:val="20"/>
                        </w:rPr>
                        <w:instrText xml:space="preserve"> REF _Ref518741638  \* MERGEFORMAT </w:instrText>
                      </w:r>
                      <w:r w:rsidRPr="003D019B">
                        <w:rPr>
                          <w:sz w:val="20"/>
                          <w:szCs w:val="20"/>
                        </w:rPr>
                        <w:fldChar w:fldCharType="separate"/>
                      </w:r>
                      <w:r w:rsidRPr="00031DCA">
                        <w:rPr>
                          <w:sz w:val="20"/>
                          <w:szCs w:val="20"/>
                        </w:rPr>
                        <w:t xml:space="preserve">Figure </w:t>
                      </w:r>
                      <w:r w:rsidRPr="00031DCA">
                        <w:rPr>
                          <w:noProof/>
                          <w:sz w:val="20"/>
                          <w:szCs w:val="20"/>
                        </w:rPr>
                        <w:t>4.31</w:t>
                      </w:r>
                      <w:r w:rsidRPr="003D019B">
                        <w:rPr>
                          <w:sz w:val="20"/>
                          <w:szCs w:val="20"/>
                        </w:rPr>
                        <w:fldChar w:fldCharType="end"/>
                      </w:r>
                      <w:r w:rsidRPr="003D019B">
                        <w:rPr>
                          <w:sz w:val="20"/>
                          <w:szCs w:val="20"/>
                        </w:rPr>
                        <w:t xml:space="preserve"> and was compared to an </w:t>
                      </w:r>
                      <w:r w:rsidRPr="003D019B">
                        <w:rPr>
                          <w:i/>
                          <w:sz w:val="20"/>
                          <w:szCs w:val="20"/>
                        </w:rPr>
                        <w:t>in vitro</w:t>
                      </w:r>
                      <w:r w:rsidRPr="003D019B">
                        <w:rPr>
                          <w:sz w:val="20"/>
                          <w:szCs w:val="20"/>
                        </w:rPr>
                        <w:t xml:space="preserve"> amastigote per infected host cell growth curve derived from </w:t>
                      </w:r>
                      <w:r w:rsidRPr="003D019B">
                        <w:rPr>
                          <w:sz w:val="20"/>
                          <w:szCs w:val="20"/>
                        </w:rPr>
                        <w:fldChar w:fldCharType="begin"/>
                      </w:r>
                      <w:r w:rsidRPr="003D019B">
                        <w:rPr>
                          <w:sz w:val="20"/>
                          <w:szCs w:val="20"/>
                        </w:rPr>
                        <w:instrText xml:space="preserve"> ADDIN ZOTERO_ITEM CSL_CITATION {"citationID":"yqGlMumD","properties":{"formattedCitation":"(Mart\\uc0\\u237{}n-Montes et al. 2017)","plainCitation":"(Martín-Montes et al. 2017)","noteIndex":0},"citationItems":[{"id":2808,"uris":["http://zotero.org/users/2628971/items/4FBMZRCI"],"uri":["http://zotero.org/users/2628971/items/4FBMZRCI"],"itemData":{"id":2808,"type":"article-journal","title":"Synthesis and in vitro leishmanicidal activity of novel [1,2,3]triazolo[1,5-a]pyridine salts","container-title":"RSC Advances","page":"15715-15726","volume":"7","issue":"26","source":"Crossref","DOI":"10.1039/C7RA01070B","ISSN":"2046-2069","language":"en","author":[{"family":"Martín-Montes","given":"Álvaro"},{"family":"Ballesteros-Garrido","given":"Rafael"},{"family":"Martín-Escolano","given":"Rubén"},{"family":"Marín","given":"Clotilde"},{"family":"Guitiérrez-Sánchez","given":"Ramón"},{"family":"Abarca","given":"Belén"},{"family":"Ballesteros","given":"Rafael"},{"family":"Sanchez-Moreno","given":"Manuel"}],"issued":{"date-parts":[["2017"]]}}}],"schema":"https://github.com/citation-style-language/schema/raw/master/csl-citation.json"} </w:instrText>
                      </w:r>
                      <w:r w:rsidRPr="003D019B">
                        <w:rPr>
                          <w:sz w:val="20"/>
                          <w:szCs w:val="20"/>
                        </w:rPr>
                        <w:fldChar w:fldCharType="separate"/>
                      </w:r>
                      <w:r w:rsidRPr="003D019B">
                        <w:rPr>
                          <w:color w:val="000000"/>
                          <w:sz w:val="20"/>
                          <w:szCs w:val="20"/>
                        </w:rPr>
                        <w:t>(Martín-Montes et al. 2017)</w:t>
                      </w:r>
                      <w:r w:rsidRPr="003D019B">
                        <w:rPr>
                          <w:sz w:val="20"/>
                          <w:szCs w:val="20"/>
                        </w:rPr>
                        <w:fldChar w:fldCharType="end"/>
                      </w:r>
                      <w:r w:rsidRPr="003D019B">
                        <w:rPr>
                          <w:sz w:val="20"/>
                          <w:szCs w:val="20"/>
                        </w:rPr>
                        <w:t xml:space="preserve">, using a Chi-square test. A statistically significant difference between the two datasets was found (p = </w:t>
                      </w:r>
                      <w:r w:rsidRPr="003D019B">
                        <w:rPr>
                          <w:sz w:val="20"/>
                          <w:szCs w:val="20"/>
                        </w:rPr>
                        <w:softHyphen/>
                      </w:r>
                      <w:r w:rsidRPr="003D019B">
                        <w:rPr>
                          <w:sz w:val="20"/>
                          <w:szCs w:val="20"/>
                        </w:rPr>
                        <w:softHyphen/>
                      </w:r>
                      <w:r w:rsidRPr="003D019B">
                        <w:rPr>
                          <w:sz w:val="20"/>
                          <w:szCs w:val="20"/>
                        </w:rPr>
                        <w:softHyphen/>
                        <w:t>0.012).</w:t>
                      </w:r>
                      <w:bookmarkEnd w:id="544"/>
                      <w:bookmarkEnd w:id="545"/>
                    </w:p>
                    <w:p w14:paraId="7B2BE1DA" w14:textId="43195ED1" w:rsidR="00F61130" w:rsidRPr="006514DD" w:rsidRDefault="00F61130" w:rsidP="006514DD">
                      <w:pPr>
                        <w:pStyle w:val="Caption"/>
                        <w:spacing w:line="360" w:lineRule="auto"/>
                        <w:rPr>
                          <w:b/>
                          <w:noProof/>
                          <w:color w:val="FF0000"/>
                          <w:sz w:val="20"/>
                          <w:szCs w:val="20"/>
                          <w:lang w:eastAsia="en-GB"/>
                        </w:rPr>
                      </w:pPr>
                    </w:p>
                  </w:txbxContent>
                </v:textbox>
                <w10:wrap type="topAndBottom"/>
              </v:shape>
            </w:pict>
          </mc:Fallback>
        </mc:AlternateContent>
      </w:r>
      <w:r>
        <w:rPr>
          <w:noProof/>
        </w:rPr>
        <w:drawing>
          <wp:anchor distT="0" distB="0" distL="114300" distR="114300" simplePos="0" relativeHeight="252081152" behindDoc="0" locked="0" layoutInCell="1" allowOverlap="1" wp14:anchorId="587D66A3" wp14:editId="7FDB709C">
            <wp:simplePos x="0" y="0"/>
            <wp:positionH relativeFrom="column">
              <wp:posOffset>-65405</wp:posOffset>
            </wp:positionH>
            <wp:positionV relativeFrom="paragraph">
              <wp:posOffset>431165</wp:posOffset>
            </wp:positionV>
            <wp:extent cx="5575807" cy="3009541"/>
            <wp:effectExtent l="0" t="0" r="0" b="635"/>
            <wp:wrapTopAndBottom/>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pic:cNvPicPr>
                      <a:picLocks noChangeAspect="1"/>
                    </pic:cNvPicPr>
                  </pic:nvPicPr>
                  <pic:blipFill>
                    <a:blip r:embed="rId79">
                      <a:extLst>
                        <a:ext uri="{28A0092B-C50C-407E-A947-70E740481C1C}">
                          <a14:useLocalDpi xmlns:a14="http://schemas.microsoft.com/office/drawing/2010/main" val="0"/>
                        </a:ext>
                      </a:extLst>
                    </a:blip>
                    <a:stretch>
                      <a:fillRect/>
                    </a:stretch>
                  </pic:blipFill>
                  <pic:spPr>
                    <a:xfrm>
                      <a:off x="0" y="0"/>
                      <a:ext cx="5575807" cy="3009541"/>
                    </a:xfrm>
                    <a:prstGeom prst="rect">
                      <a:avLst/>
                    </a:prstGeom>
                  </pic:spPr>
                </pic:pic>
              </a:graphicData>
            </a:graphic>
          </wp:anchor>
        </w:drawing>
      </w:r>
    </w:p>
    <w:p w14:paraId="6DBE8FEF" w14:textId="4A4AC0E1" w:rsidR="00DD765D" w:rsidRPr="008B3AD6" w:rsidRDefault="00DD765D" w:rsidP="009154C0">
      <w:pPr>
        <w:spacing w:line="240" w:lineRule="auto"/>
        <w:jc w:val="both"/>
        <w:rPr>
          <w:rFonts w:eastAsiaTheme="majorEastAsia" w:cstheme="majorBidi"/>
          <w:b/>
          <w:color w:val="000000" w:themeColor="text1"/>
          <w:szCs w:val="26"/>
        </w:rPr>
      </w:pPr>
      <w:r w:rsidRPr="008B3AD6">
        <w:br w:type="page"/>
      </w:r>
    </w:p>
    <w:p w14:paraId="5F323CA9" w14:textId="4A600C43" w:rsidR="00DD765D" w:rsidRPr="008B3AD6" w:rsidRDefault="00DD765D" w:rsidP="009154C0">
      <w:pPr>
        <w:pStyle w:val="Heading2"/>
        <w:jc w:val="both"/>
      </w:pPr>
      <w:bookmarkStart w:id="546" w:name="_Toc3716111"/>
      <w:r w:rsidRPr="008B3AD6">
        <w:lastRenderedPageBreak/>
        <w:t>Discussion</w:t>
      </w:r>
      <w:bookmarkEnd w:id="546"/>
    </w:p>
    <w:p w14:paraId="59D13D06" w14:textId="4F37C6AE" w:rsidR="00481429" w:rsidRPr="008B3AD6" w:rsidRDefault="00DD765D" w:rsidP="009154C0">
      <w:pPr>
        <w:spacing w:line="360" w:lineRule="auto"/>
        <w:jc w:val="both"/>
      </w:pPr>
      <w:r w:rsidRPr="008B3AD6">
        <w:t xml:space="preserve">The model presented in this chapter aimed to </w:t>
      </w:r>
      <w:r w:rsidR="003367D7">
        <w:t xml:space="preserve">derive an </w:t>
      </w:r>
      <w:r w:rsidR="003367D7">
        <w:rPr>
          <w:i/>
        </w:rPr>
        <w:t>in silico</w:t>
      </w:r>
      <w:r w:rsidR="003367D7">
        <w:t xml:space="preserve"> model of</w:t>
      </w:r>
      <w:r w:rsidR="003367D7" w:rsidRPr="008B3AD6">
        <w:t xml:space="preserve"> the immune response to hepatic </w:t>
      </w:r>
      <w:r w:rsidR="003367D7" w:rsidRPr="008B3AD6">
        <w:rPr>
          <w:i/>
        </w:rPr>
        <w:t>L. donovani</w:t>
      </w:r>
      <w:r w:rsidR="003367D7" w:rsidRPr="008B3AD6">
        <w:t xml:space="preserve"> infection</w:t>
      </w:r>
      <w:r w:rsidR="003367D7">
        <w:t xml:space="preserve"> that could be utilised for investigating the likely immune mechanisms that influence AmB pharmacokinetics/pharmacodynamics in the liver</w:t>
      </w:r>
      <w:r w:rsidR="00481429" w:rsidRPr="008B3AD6">
        <w:t xml:space="preserve"> (Section </w:t>
      </w:r>
      <w:r w:rsidR="00703327" w:rsidRPr="008B3AD6">
        <w:fldChar w:fldCharType="begin"/>
      </w:r>
      <w:r w:rsidR="00703327" w:rsidRPr="008B3AD6">
        <w:instrText xml:space="preserve"> REF _Ref518744049 \n </w:instrText>
      </w:r>
      <w:r w:rsidR="009154C0" w:rsidRPr="008B3AD6">
        <w:instrText xml:space="preserve"> \* MERGEFORMAT </w:instrText>
      </w:r>
      <w:r w:rsidR="00703327" w:rsidRPr="008B3AD6">
        <w:fldChar w:fldCharType="separate"/>
      </w:r>
      <w:r w:rsidR="00031DCA">
        <w:t>4.2</w:t>
      </w:r>
      <w:r w:rsidR="00703327" w:rsidRPr="008B3AD6">
        <w:fldChar w:fldCharType="end"/>
      </w:r>
      <w:r w:rsidR="00481429" w:rsidRPr="008B3AD6">
        <w:t xml:space="preserve">) with the objectives of deriving biological datasets pertaining to the hepatic immune response to </w:t>
      </w:r>
      <w:r w:rsidR="00481429" w:rsidRPr="008B3AD6">
        <w:rPr>
          <w:i/>
        </w:rPr>
        <w:t>L. donovani</w:t>
      </w:r>
      <w:r w:rsidR="00481429" w:rsidRPr="008B3AD6">
        <w:t xml:space="preserve"> infection, synthesising a model describing this response using the CoSMoS process, parameterising this model using the derived biological datasets and to statistically validate the model against unseen data</w:t>
      </w:r>
      <w:r w:rsidR="00481429" w:rsidRPr="001F0D20">
        <w:rPr>
          <w:b/>
        </w:rPr>
        <w:t xml:space="preserve">. </w:t>
      </w:r>
      <w:r w:rsidR="00D034D1" w:rsidRPr="001F0D20">
        <w:rPr>
          <w:b/>
        </w:rPr>
        <w:fldChar w:fldCharType="begin"/>
      </w:r>
      <w:r w:rsidR="00D034D1" w:rsidRPr="001F0D20">
        <w:rPr>
          <w:b/>
        </w:rPr>
        <w:instrText xml:space="preserve"> REF _Ref518563482  \* MERGEFORMAT </w:instrText>
      </w:r>
      <w:r w:rsidR="00D034D1" w:rsidRPr="001F0D20">
        <w:rPr>
          <w:b/>
        </w:rPr>
        <w:fldChar w:fldCharType="separate"/>
      </w:r>
      <w:r w:rsidR="0089620A" w:rsidRPr="0089620A">
        <w:rPr>
          <w:b/>
        </w:rPr>
        <w:t>Figure 4.1</w:t>
      </w:r>
      <w:r w:rsidR="00D034D1" w:rsidRPr="001F0D20">
        <w:rPr>
          <w:b/>
        </w:rPr>
        <w:fldChar w:fldCharType="end"/>
      </w:r>
      <w:r w:rsidR="00481429" w:rsidRPr="008B3AD6">
        <w:t xml:space="preserve"> summarised the process by which these aims and objectives would be achieved. </w:t>
      </w:r>
    </w:p>
    <w:p w14:paraId="4146E8D0" w14:textId="77777777" w:rsidR="00DD765D" w:rsidRPr="008B3AD6" w:rsidRDefault="00DD765D" w:rsidP="009154C0">
      <w:pPr>
        <w:spacing w:line="360" w:lineRule="auto"/>
        <w:jc w:val="both"/>
      </w:pPr>
    </w:p>
    <w:p w14:paraId="7C7BF5A8" w14:textId="2A258154" w:rsidR="00481429" w:rsidRPr="008B3AD6" w:rsidRDefault="00F85F69" w:rsidP="009154C0">
      <w:pPr>
        <w:spacing w:line="360" w:lineRule="auto"/>
        <w:jc w:val="both"/>
      </w:pPr>
      <w:r w:rsidRPr="008B3AD6">
        <w:t xml:space="preserve">For this project </w:t>
      </w:r>
      <w:r w:rsidR="00DD765D" w:rsidRPr="008B3AD6">
        <w:t xml:space="preserve">population level data </w:t>
      </w:r>
      <w:r w:rsidR="00407D15">
        <w:t>were</w:t>
      </w:r>
      <w:r w:rsidR="00407D15" w:rsidRPr="008B3AD6">
        <w:t xml:space="preserve"> </w:t>
      </w:r>
      <w:r w:rsidR="00DD765D" w:rsidRPr="008B3AD6">
        <w:t>generated via flow cytometry to describe the kinetics of immune cell subsets in the liver during EVL</w:t>
      </w:r>
      <w:r w:rsidR="00481429" w:rsidRPr="008B3AD6">
        <w:t xml:space="preserve"> (Section </w:t>
      </w:r>
      <w:r w:rsidR="00703327" w:rsidRPr="008B3AD6">
        <w:fldChar w:fldCharType="begin"/>
      </w:r>
      <w:r w:rsidR="00703327" w:rsidRPr="008B3AD6">
        <w:instrText xml:space="preserve"> REF _Ref518744062 \n </w:instrText>
      </w:r>
      <w:r w:rsidR="009154C0" w:rsidRPr="008B3AD6">
        <w:instrText xml:space="preserve"> \* MERGEFORMAT </w:instrText>
      </w:r>
      <w:r w:rsidR="00703327" w:rsidRPr="008B3AD6">
        <w:fldChar w:fldCharType="separate"/>
      </w:r>
      <w:r w:rsidR="00031DCA">
        <w:t>4.3</w:t>
      </w:r>
      <w:r w:rsidR="00703327" w:rsidRPr="008B3AD6">
        <w:fldChar w:fldCharType="end"/>
      </w:r>
      <w:r w:rsidR="00481429" w:rsidRPr="008B3AD6">
        <w:t>)</w:t>
      </w:r>
      <w:r w:rsidR="00DD765D" w:rsidRPr="008B3AD6">
        <w:t xml:space="preserve">. </w:t>
      </w:r>
      <w:r w:rsidR="00481429" w:rsidRPr="008B3AD6">
        <w:t>Subsequently, a mathematical model was developed using the CoSMoS process whereby a domain model (</w:t>
      </w:r>
      <w:r w:rsidRPr="008B3AD6">
        <w:t xml:space="preserve">Section </w:t>
      </w:r>
      <w:r w:rsidR="00703327" w:rsidRPr="008B3AD6">
        <w:fldChar w:fldCharType="begin"/>
      </w:r>
      <w:r w:rsidR="00703327" w:rsidRPr="008B3AD6">
        <w:instrText xml:space="preserve"> REF _Ref518744269 \n </w:instrText>
      </w:r>
      <w:r w:rsidR="009154C0" w:rsidRPr="008B3AD6">
        <w:instrText xml:space="preserve"> \* MERGEFORMAT </w:instrText>
      </w:r>
      <w:r w:rsidR="00703327" w:rsidRPr="008B3AD6">
        <w:fldChar w:fldCharType="separate"/>
      </w:r>
      <w:r w:rsidR="00031DCA">
        <w:t>4.3.2</w:t>
      </w:r>
      <w:r w:rsidR="00703327" w:rsidRPr="008B3AD6">
        <w:fldChar w:fldCharType="end"/>
      </w:r>
      <w:r w:rsidR="00481429" w:rsidRPr="008B3AD6">
        <w:t>), platform model (</w:t>
      </w:r>
      <w:r w:rsidRPr="008B3AD6">
        <w:t xml:space="preserve">Section </w:t>
      </w:r>
      <w:r w:rsidR="00703327" w:rsidRPr="008B3AD6">
        <w:fldChar w:fldCharType="begin"/>
      </w:r>
      <w:r w:rsidR="00703327" w:rsidRPr="008B3AD6">
        <w:instrText xml:space="preserve"> REF _Ref518744282 \n </w:instrText>
      </w:r>
      <w:r w:rsidR="009154C0" w:rsidRPr="008B3AD6">
        <w:instrText xml:space="preserve"> \* MERGEFORMAT </w:instrText>
      </w:r>
      <w:r w:rsidR="00703327" w:rsidRPr="008B3AD6">
        <w:fldChar w:fldCharType="separate"/>
      </w:r>
      <w:r w:rsidR="00031DCA">
        <w:t>4.3.3</w:t>
      </w:r>
      <w:r w:rsidR="00703327" w:rsidRPr="008B3AD6">
        <w:fldChar w:fldCharType="end"/>
      </w:r>
      <w:r w:rsidR="00481429" w:rsidRPr="008B3AD6">
        <w:t xml:space="preserve">) and finally a </w:t>
      </w:r>
      <w:r w:rsidRPr="008B3AD6">
        <w:t xml:space="preserve">simulation model (Section </w:t>
      </w:r>
      <w:r w:rsidR="00703327" w:rsidRPr="008B3AD6">
        <w:fldChar w:fldCharType="begin"/>
      </w:r>
      <w:r w:rsidR="00703327" w:rsidRPr="008B3AD6">
        <w:instrText xml:space="preserve"> REF _Ref518744288 \n </w:instrText>
      </w:r>
      <w:r w:rsidR="009154C0" w:rsidRPr="008B3AD6">
        <w:instrText xml:space="preserve"> \* MERGEFORMAT </w:instrText>
      </w:r>
      <w:r w:rsidR="00703327" w:rsidRPr="008B3AD6">
        <w:fldChar w:fldCharType="separate"/>
      </w:r>
      <w:r w:rsidR="00031DCA">
        <w:t>4.3.4</w:t>
      </w:r>
      <w:r w:rsidR="00703327" w:rsidRPr="008B3AD6">
        <w:fldChar w:fldCharType="end"/>
      </w:r>
      <w:r w:rsidRPr="008B3AD6">
        <w:t xml:space="preserve">) were sequentially developed. The derived biological data </w:t>
      </w:r>
      <w:r w:rsidR="00407D15">
        <w:t>were</w:t>
      </w:r>
      <w:r w:rsidR="00407D15" w:rsidRPr="008B3AD6">
        <w:t xml:space="preserve"> </w:t>
      </w:r>
      <w:r w:rsidRPr="008B3AD6">
        <w:t xml:space="preserve">used to parameterise the simulation model and the model was then statistically validated using published data to ensure its fitness for purpose (Section </w:t>
      </w:r>
      <w:r w:rsidR="00703327" w:rsidRPr="008B3AD6">
        <w:fldChar w:fldCharType="begin"/>
      </w:r>
      <w:r w:rsidR="00703327" w:rsidRPr="008B3AD6">
        <w:instrText xml:space="preserve"> REF _Ref518744298 \n </w:instrText>
      </w:r>
      <w:r w:rsidR="009154C0" w:rsidRPr="008B3AD6">
        <w:instrText xml:space="preserve"> \* MERGEFORMAT </w:instrText>
      </w:r>
      <w:r w:rsidR="00703327" w:rsidRPr="008B3AD6">
        <w:fldChar w:fldCharType="separate"/>
      </w:r>
      <w:r w:rsidR="00031DCA">
        <w:t>4.3.5</w:t>
      </w:r>
      <w:r w:rsidR="00703327" w:rsidRPr="008B3AD6">
        <w:fldChar w:fldCharType="end"/>
      </w:r>
      <w:r w:rsidRPr="008B3AD6">
        <w:t>).</w:t>
      </w:r>
    </w:p>
    <w:p w14:paraId="2C94BF9D" w14:textId="77777777" w:rsidR="00481429" w:rsidRPr="008B3AD6" w:rsidRDefault="00481429" w:rsidP="009154C0">
      <w:pPr>
        <w:spacing w:line="360" w:lineRule="auto"/>
        <w:jc w:val="both"/>
      </w:pPr>
    </w:p>
    <w:p w14:paraId="6BBD2E65" w14:textId="37AB6FE2" w:rsidR="00F85F69" w:rsidRPr="008B3AD6" w:rsidRDefault="00481429" w:rsidP="009154C0">
      <w:pPr>
        <w:spacing w:line="360" w:lineRule="auto"/>
        <w:jc w:val="both"/>
      </w:pPr>
      <w:r w:rsidRPr="008B3AD6">
        <w:t xml:space="preserve">The reasoning </w:t>
      </w:r>
      <w:r w:rsidR="00F85F69" w:rsidRPr="008B3AD6">
        <w:t>for generating in-house biological data was</w:t>
      </w:r>
      <w:r w:rsidRPr="008B3AD6">
        <w:t xml:space="preserve"> the lack of temporal absolute population data relating to the liver</w:t>
      </w:r>
      <w:r w:rsidR="006618C7">
        <w:t xml:space="preserve"> during </w:t>
      </w:r>
      <w:r w:rsidR="006618C7">
        <w:rPr>
          <w:i/>
        </w:rPr>
        <w:t xml:space="preserve">L. donovani </w:t>
      </w:r>
      <w:r w:rsidR="006618C7">
        <w:t>infection</w:t>
      </w:r>
      <w:r w:rsidRPr="008B3AD6">
        <w:t xml:space="preserve">, predominantly published data focuses on either specific discrete time points that are aimed at qualitative exploration of the system. An alternative approach would be </w:t>
      </w:r>
      <w:r w:rsidR="00F85F69" w:rsidRPr="008B3AD6">
        <w:t>to use</w:t>
      </w:r>
      <w:r w:rsidRPr="008B3AD6">
        <w:t xml:space="preserve"> pre-</w:t>
      </w:r>
      <w:r w:rsidR="00F85F69" w:rsidRPr="008B3AD6">
        <w:t xml:space="preserve">existing published data </w:t>
      </w:r>
      <w:r w:rsidR="006618C7">
        <w:t>to derive</w:t>
      </w:r>
      <w:r w:rsidR="00F85F69" w:rsidRPr="008B3AD6">
        <w:t xml:space="preserve"> parameter values or prior ranges </w:t>
      </w:r>
      <w:r w:rsidR="0089620A">
        <w:t>for calibration</w:t>
      </w:r>
      <w:r w:rsidRPr="008B3AD6">
        <w:t xml:space="preserve">, this approach </w:t>
      </w:r>
      <w:r w:rsidR="00F85F69" w:rsidRPr="008B3AD6">
        <w:t xml:space="preserve">would have </w:t>
      </w:r>
      <w:r w:rsidRPr="008B3AD6">
        <w:t>also benefitt</w:t>
      </w:r>
      <w:r w:rsidR="00F85F69" w:rsidRPr="008B3AD6">
        <w:t xml:space="preserve">ed </w:t>
      </w:r>
      <w:r w:rsidRPr="008B3AD6">
        <w:t>model validation, discussed later</w:t>
      </w:r>
      <w:r w:rsidR="00F85F69" w:rsidRPr="008B3AD6">
        <w:t>, however pre-existing parameter data for this simplified system was lacking and this approach could not be taken</w:t>
      </w:r>
      <w:r w:rsidRPr="008B3AD6">
        <w:t>.</w:t>
      </w:r>
    </w:p>
    <w:p w14:paraId="31804E27" w14:textId="77777777" w:rsidR="00F85F69" w:rsidRPr="008B3AD6" w:rsidRDefault="00F85F69" w:rsidP="009154C0">
      <w:pPr>
        <w:spacing w:line="360" w:lineRule="auto"/>
        <w:jc w:val="both"/>
      </w:pPr>
    </w:p>
    <w:p w14:paraId="781676D2" w14:textId="7884A481" w:rsidR="00481429" w:rsidRPr="008B3AD6" w:rsidRDefault="00481429" w:rsidP="009154C0">
      <w:pPr>
        <w:spacing w:line="360" w:lineRule="auto"/>
        <w:jc w:val="both"/>
      </w:pPr>
      <w:r w:rsidRPr="008B3AD6">
        <w:t xml:space="preserve">The flow cytometry populations data generated here represents a cohesive temporal dataset for both hepatic </w:t>
      </w:r>
      <w:r w:rsidR="00F85F69" w:rsidRPr="008B3AD6">
        <w:t>leukocyte</w:t>
      </w:r>
      <w:r w:rsidRPr="008B3AD6">
        <w:t xml:space="preserve"> subsets</w:t>
      </w:r>
      <w:r w:rsidR="003E6829" w:rsidRPr="008B3AD6">
        <w:t xml:space="preserve"> (</w:t>
      </w:r>
      <w:r w:rsidR="00D034D1" w:rsidRPr="001F0D20">
        <w:rPr>
          <w:b/>
        </w:rPr>
        <w:fldChar w:fldCharType="begin"/>
      </w:r>
      <w:r w:rsidR="00D034D1" w:rsidRPr="001F0D20">
        <w:rPr>
          <w:b/>
        </w:rPr>
        <w:instrText xml:space="preserve"> REF _Ref518563598  \* MERGEFORMAT </w:instrText>
      </w:r>
      <w:r w:rsidR="00D034D1" w:rsidRPr="001F0D20">
        <w:rPr>
          <w:b/>
        </w:rPr>
        <w:fldChar w:fldCharType="separate"/>
      </w:r>
      <w:r w:rsidR="00921CAF" w:rsidRPr="00921CAF">
        <w:rPr>
          <w:b/>
        </w:rPr>
        <w:t xml:space="preserve">Figure </w:t>
      </w:r>
      <w:r w:rsidR="00921CAF" w:rsidRPr="00921CAF">
        <w:rPr>
          <w:b/>
          <w:noProof/>
        </w:rPr>
        <w:t>4.3</w:t>
      </w:r>
      <w:r w:rsidR="00D034D1" w:rsidRPr="001F0D20">
        <w:rPr>
          <w:b/>
          <w:noProof/>
        </w:rPr>
        <w:fldChar w:fldCharType="end"/>
      </w:r>
      <w:r w:rsidR="003E6829" w:rsidRPr="008B3AD6">
        <w:t xml:space="preserve"> and </w:t>
      </w:r>
      <w:r w:rsidR="00D034D1" w:rsidRPr="001F0D20">
        <w:rPr>
          <w:b/>
        </w:rPr>
        <w:fldChar w:fldCharType="begin"/>
      </w:r>
      <w:r w:rsidR="00D034D1" w:rsidRPr="001F0D20">
        <w:rPr>
          <w:b/>
        </w:rPr>
        <w:instrText xml:space="preserve"> REF _Ref518563634  \* MERGEFORMAT </w:instrText>
      </w:r>
      <w:r w:rsidR="00D034D1" w:rsidRPr="001F0D20">
        <w:rPr>
          <w:b/>
        </w:rPr>
        <w:fldChar w:fldCharType="separate"/>
      </w:r>
      <w:r w:rsidR="00921CAF" w:rsidRPr="00921CAF">
        <w:rPr>
          <w:b/>
        </w:rPr>
        <w:t xml:space="preserve">Figure </w:t>
      </w:r>
      <w:r w:rsidR="00921CAF" w:rsidRPr="00921CAF">
        <w:rPr>
          <w:b/>
          <w:noProof/>
        </w:rPr>
        <w:t>4.4</w:t>
      </w:r>
      <w:r w:rsidR="00D034D1" w:rsidRPr="001F0D20">
        <w:rPr>
          <w:b/>
          <w:noProof/>
        </w:rPr>
        <w:fldChar w:fldCharType="end"/>
      </w:r>
      <w:r w:rsidR="003E6829" w:rsidRPr="008B3AD6">
        <w:t xml:space="preserve">) and </w:t>
      </w:r>
      <w:r w:rsidR="003E6829" w:rsidRPr="008B3AD6">
        <w:rPr>
          <w:i/>
        </w:rPr>
        <w:t>L. donovani</w:t>
      </w:r>
      <w:r w:rsidR="003E6829" w:rsidRPr="008B3AD6">
        <w:t xml:space="preserve"> (</w:t>
      </w:r>
      <w:r w:rsidR="00D034D1" w:rsidRPr="001F0D20">
        <w:rPr>
          <w:b/>
        </w:rPr>
        <w:fldChar w:fldCharType="begin"/>
      </w:r>
      <w:r w:rsidR="00D034D1" w:rsidRPr="001F0D20">
        <w:rPr>
          <w:b/>
        </w:rPr>
        <w:instrText xml:space="preserve"> REF _Ref518564273  \* MERGEFORMAT </w:instrText>
      </w:r>
      <w:r w:rsidR="00D034D1" w:rsidRPr="001F0D20">
        <w:rPr>
          <w:b/>
        </w:rPr>
        <w:fldChar w:fldCharType="separate"/>
      </w:r>
      <w:r w:rsidR="00921CAF" w:rsidRPr="00921CAF">
        <w:rPr>
          <w:b/>
        </w:rPr>
        <w:t xml:space="preserve">Figure </w:t>
      </w:r>
      <w:r w:rsidR="00921CAF" w:rsidRPr="00921CAF">
        <w:rPr>
          <w:b/>
          <w:noProof/>
        </w:rPr>
        <w:t>4.5</w:t>
      </w:r>
      <w:r w:rsidR="00D034D1" w:rsidRPr="001F0D20">
        <w:rPr>
          <w:b/>
          <w:noProof/>
        </w:rPr>
        <w:fldChar w:fldCharType="end"/>
      </w:r>
      <w:r w:rsidR="003E6829" w:rsidRPr="008B3AD6">
        <w:t xml:space="preserve">) </w:t>
      </w:r>
      <w:r w:rsidRPr="008B3AD6">
        <w:t xml:space="preserve"> which broadly agrees with the expected immune cell kinetics from the limited pre-existing published data </w:t>
      </w:r>
      <w:r w:rsidRPr="008B3AD6">
        <w:fldChar w:fldCharType="begin"/>
      </w:r>
      <w:r w:rsidR="00E664D4" w:rsidRPr="008B3AD6">
        <w:instrText xml:space="preserve"> ADDIN ZOTERO_ITEM CSL_CITATION {"citationID":"8IxAbSAW","properties":{"formattedCitation":"(Bunn et al. 2014b; Terrazas et al. 2017a)","plainCitation":"(Bunn et al. 2014b; Terrazas et al. 2017a)","noteIndex":0},"citationItems":[{"id":2589,"uris":["http://zotero.org/users/2628971/items/JPAG335B"],"uri":["http://zotero.org/users/2628971/items/JPAG335B"],"itemData":{"id":2589,"type":"article-journal","title":"Tissue requirements for establishing long-term CD4+ T cell-mediated immunity following Leishmania donovani infection","container-title":"Journal of Immunology (Baltimore, Md.: 1950)","page":"3709-3718","volume":"192","issue":"8","source":"PubMed","abstract":"Organ-specific immunity is a feature of many infectious diseases, including visceral leishmaniasis caused by Leishmania donovani. Experimental visceral leishmaniasis in genetically susceptible mice is characterized by an acute, resolving infection in the liver and chronic infection in the spleen. CD4+ T cell responses are critical for the establishment and maintenance of hepatic immunity in this disease model, but their role in chronically infected spleens remains unclear. In this study, we show that dendritic cells are critical for CD4+ T cell activation and expansion in all tissue sites examined. We found that FTY720-mediated blockade of T cell trafficking early in infection prevented Ag-specific CD4+ T cells from appearing in lymph nodes, but not the spleen and liver, suggesting that early CD4+ T cell priming does not occur in liver-draining lymph nodes. Extended treatment with FTY720 over the first month of infection increased parasite burdens, although this associated with blockade of lymphocyte egress from secondary lymphoid tissue, as well as with more generalized splenic lymphopenia. Importantly, we demonstrate that CD4+ T cells are required for the establishment and maintenance of antiparasitic immunity in the liver, as well as for immune surveillance and suppression of parasite outgrowth in chronically infected spleens. Finally, although early CD4+ T cell priming appeared to occur most effectively in the spleen, we unexpectedly revealed that protective CD4+ T cell-mediated hepatic immunity could be generated in the complete absence of all secondary lymphoid tissues.","DOI":"10.4049/jimmunol.1300768","ISSN":"1550-6606","note":"PMID: 24634490","journalAbbreviation":"J. Immunol.","language":"eng","author":[{"family":"Bunn","given":"Patrick T."},{"family":"Stanley","given":"Amanda C."},{"family":"Labastida Rivera","given":"Fabian","non-dropping-particle":"de"},{"family":"Mulherin","given":"Alexander"},{"family":"Sheel","given":"Meru"},{"family":"Alexander","given":"Clare E."},{"family":"Faleiro","given":"Rebecca J."},{"family":"Amante","given":"Fiona H."},{"family":"Montes De Oca","given":"Marcela"},{"family":"Best","given":"Shannon E."},{"family":"James","given":"Kylie R."},{"family":"Kaye","given":"Paul M."},{"family":"Haque","given":"Ashraful"},{"family":"Engwerda","given":"Christian R."}],"issued":{"date-parts":[["2014",4,15]]}}},{"id":2611,"uris":["http://zotero.org/users/2628971/items/W4GCPYY8"],"uri":["http://zotero.org/users/2628971/items/W4GCPYY8"],"itemData":{"id":2611,"type":"article-journal","title":"Ly6C hi inflammatory monocytes promote susceptibility to Leishmania donovani infection","container-title":"Scientific Reports","page":"14693","volume":"7","issue":"1","source":"www.nature.com","abstract":"Ly6Chi inflammatory monocytes (iMO) are critical for host defense against toxoplasmosis and malaria but their role in leishmaniasis is unclear. In this study, we report a detrimental role of Ly6Chi iMOs in visceral leishmaniasis (VL) caused by Leishmania donovani. We demonstrate that Ly6Chi iMOs are continuously recruited into the spleen and liver during L. donovani infection and they are preferential targets for the parasite. Using microarray-based gene expression profiling, we show that Ly6Chi iMOs isolated from the infected liver and spleen have distinct phenotypic and activation profiles. Furthermore, we demonstrate that blocking the recruitment of Ly6Chi iMOs into the liver and spleen during L. donovani infection using a CCR2 antagonist reduces the frequency of the pathogenic IFN-γ/IL10 dual producer CD4+ T cells in the spleen and leads to a significant reduction in parasite loads in the liver and spleen. Using STAT1−/− mice we show that STAT1 is critical for mediating the recruitment of Ly6Chi iMOs into organs during L. donovani infection, and adaptive transfer of wild type Ly6Chi iMOs into STAT1−/− recipients renders them susceptible to disease. Our findings reveal an unexpected pathogenic role for Ly6Chi iMOs in promoting parasite survival in VL and open the possibility of targeting this population for host-directed therapy during VL.","DOI":"10.1038/s41598-017-14935-3","ISSN":"2045-2322","language":"en","author":[{"family":"Terrazas","given":"Cesar"},{"family":"Varikuti","given":"Sanjay"},{"family":"Oghumu","given":"Steve"},{"family":"Steinkamp","given":"Heidi M."},{"family":"Ardic","given":"Nurittin"},{"family":"Kimble","given":"Jennifer"},{"family":"Nakhasi","given":"Hira"},{"family":"Satoskar","given":"Abhay R."}],"issued":{"date-parts":[["2017",10,31]]}}}],"schema":"https://github.com/citation-style-language/schema/raw/master/csl-citation.json"} </w:instrText>
      </w:r>
      <w:r w:rsidRPr="008B3AD6">
        <w:fldChar w:fldCharType="separate"/>
      </w:r>
      <w:r w:rsidR="00E664D4" w:rsidRPr="008B3AD6">
        <w:t xml:space="preserve">(Bunn et </w:t>
      </w:r>
      <w:r w:rsidR="00921CAF">
        <w:t>al. 2014; Terrazas et al. 2017</w:t>
      </w:r>
      <w:r w:rsidR="00E664D4" w:rsidRPr="008B3AD6">
        <w:t>)</w:t>
      </w:r>
      <w:r w:rsidRPr="008B3AD6">
        <w:fldChar w:fldCharType="end"/>
      </w:r>
      <w:r w:rsidRPr="008B3AD6">
        <w:t xml:space="preserve"> as well as a what might be expected in other systems of liver chronic inflammation, such as hepatitis </w:t>
      </w:r>
      <w:r w:rsidRPr="008B3AD6">
        <w:fldChar w:fldCharType="begin"/>
      </w:r>
      <w:r w:rsidR="00812605" w:rsidRPr="008B3AD6">
        <w:instrText xml:space="preserve"> ADDIN ZOTERO_ITEM CSL_CITATION {"citationID":"a3I26ZBF","properties":{"formattedCitation":"(Sung, Racanelli, and Shin 2014)","plainCitation":"(Sung, Racanelli, and Shin 2014)","noteIndex":0},"citationItems":[{"id":2596,"uris":["http://zotero.org/users/2628971/items/NUXEXN29"],"uri":["http://zotero.org/users/2628971/items/NUXEXN29"],"itemData":{"id":2596,"type":"article-journal","title":"CD8+ T-Cell Responses in Acute Hepatitis C Virus Infection","container-title":"Frontiers in Immunology","volume":"5","source":"Frontiers","abstract":"Hepatitis C virus (HCV) infects approximately 170 million people worldwide and is a major cause of life-threatening liver diseases such as liver cirrhosis and hepatocellular carcinoma. Acute HCV infection often progresses to chronic persistent infection, although some patients recover spontaneously. The divergent outcomes of acute HCV infection are known to be determined by differences in virus-specific T cell responses among patients. Of the two major T cell subsets, CD8+ T cells are known to be the key effector cells that control viral infections via cytolytic activity and cytokine secretion. Herein we review various aspects of HCV-specific CD8+ T cell responses in acute HCV infection. In particular, we focus on timing of CD8+ T cell responses, relationship between CD8+ T cell responses and outcomes of acute HCV infection, receptor expression on CD8+ T cells, breadth of CD8+ T cell responses and viral mutations.","URL":"https://www.frontiersin.org/articles/10.3389/fimmu.2014.00266/full","DOI":"10.3389/fimmu.2014.00266","ISSN":"1664-3224","journalAbbreviation":"Front. Immunol.","language":"English","author":[{"family":"Sung","given":"Pil Soo"},{"family":"Racanelli","given":"Vito"},{"family":"Shin","given":"Eui-Cheol"}],"issued":{"date-parts":[["2014"]]},"accessed":{"date-parts":[["2018",6,17]]}}}],"schema":"https://github.com/citation-style-language/schema/raw/master/csl-citation.json"} </w:instrText>
      </w:r>
      <w:r w:rsidRPr="008B3AD6">
        <w:fldChar w:fldCharType="separate"/>
      </w:r>
      <w:r w:rsidRPr="008B3AD6">
        <w:t>(Sung, Racanelli, and Shin 2014)</w:t>
      </w:r>
      <w:r w:rsidRPr="008B3AD6">
        <w:fldChar w:fldCharType="end"/>
      </w:r>
      <w:r w:rsidRPr="008B3AD6">
        <w:t xml:space="preserve">, additionally the hepatic parasite burden for </w:t>
      </w:r>
      <w:r w:rsidRPr="000377F6">
        <w:rPr>
          <w:i/>
        </w:rPr>
        <w:t>L. donovani</w:t>
      </w:r>
      <w:r w:rsidRPr="008B3AD6">
        <w:t xml:space="preserve"> recapitulates the expected population time course of peak and decline </w:t>
      </w:r>
      <w:r w:rsidRPr="008B3AD6">
        <w:fldChar w:fldCharType="begin"/>
      </w:r>
      <w:r w:rsidR="00812605" w:rsidRPr="008B3AD6">
        <w:instrText xml:space="preserve"> ADDIN ZOTERO_ITEM CSL_CITATION {"citationID":"uwlWJqQN","properties":{"formattedCitation":"(H W Murray and Nathan 1999; Smelt et al. 2000; Henry W. Murray et al. 2013)","plainCitation":"(H W Murray and Nathan 1999; Smelt et al. 2000; Henry W. Murray et al. 2013)","noteIndex":0},"citationItems":[{"id":1229,"uris":["http://zotero.org/users/2628971/items/Q3C53C5V"],"uri":["http://zotero.org/users/2628971/items/Q3C53C5V"],"itemData":{"id":1229,"type":"article-journal","title":"Macrophage microbicidal mechanisms in vivo: reactive nitrogen versus oxygen intermediates in the killing of intracellular visceral Leishmania donovani.","container-title":"The Journal of experimental medicine","page":"741-6","volume":"189","issue":"4","abstract":"To determine the relative contributions of respiratory burst-derived reactive oxygen intermediates (ROI) versus reactive nitrogen intermediates (RNI) to macrophage-mediated intracellular host defense, mice genetically deficient in these mechanisms were challenged with Leishmania donovani, a protozoan that selectively parasitizes visceral tissue macrophages. During the early stage of liver infection at wk 2, both respiratory burst-deficient gp91(phox)-/- (X-linked chronic granulomatous disease [X-CGD]) mice and inducible nitric oxide synthase (iNOS) knockout (KO) mice displayed comparably increased susceptibility. Thereafter, infection was unrestrained in mice lacking iNOS but was fully controlled in X-CGD mice. Mononuclear cell influx into infected liver foci in X-CGD and iNOS KO mice was also overtly impaired at wk 2. However, granuloma assembly in parasitized tissue eventually developed in both hosts but with divergent effects: mature granulomas were functionally active (leishmanicidal) in X-CGD mice but inert in iNOS-deficient animals. These results suggest that (a) ROI and RNI probably act together in the early stage of intracellular infection to regulate both tissue recruitment of mononuclear inflammatory cells and the initial extent of microbial replication, (b) RNI alone are necessary and sufficient for eventual control of visceral infection, and (c) although mature granulomas have traditionally been associated with control of such infections, these structures fail to limit intracellular parasite replication in the absence of iNOS.","ISSN":"0022-1007","journalAbbreviation":"J Exp Med","author":[{"family":"Murray","given":"H W"},{"family":"Nathan","given":"C F"}],"issued":{"date-parts":[["1999"]]}}},{"id":2274,"uris":["http://zotero.org/users/2628971/items/J6DP55EK"],"uri":["http://zotero.org/users/2628971/items/J6DP55EK"],"itemData":{"id":2274,"type":"article-journal","title":"B Cell-Deficient Mice Are Highly Resistant to Leishmania donovani Infection, but Develop Neutrophil-Mediated Tissue Pathology","container-title":"The Journal of Immunology","page":"3681-3688","volume":"164","issue":"7","source":"www.jimmunol.org","abstract":"Resolution of Leishmania infection is T cell-dependent, and B lymphocytes have been considered to play a minimal role in host defense. In this study, the contribution of B lymphocytes to the response against Leishmania donovani was investigated using genetically modified IgM transmembrane domain (μMT) mutant mice, which lack mature B lymphocytes. When compared with wild-type mice, μMT mice cleared parasites more rapidly from the liver, and infection failed to establish in the spleen. The rapid clearance of parasites in μMT mice was associated with accelerated and more extensive hepatic granuloma formation compared with wild-type mice. However, the liver of infected μMT mice also showed signs of destructive pathology, associated with the presence of increased numbers of neutrophils. The role of neutrophils in controlling parasite growth in the viscera was determined by depletion with the mAb RB6-8C5. This treatment led to a dramatic enhancement of parasite growth in both the liver and spleen of μMT and wild-type mice. As assessed by transfer of both normal and chronic-infection serum, Ig protects μMT mice from destructive hepatic pathology, but minimally alters their resistance compared with wild-type mice. However, adoptive transfer of CD4+ and CD8+ T cells into recombinase activating gene 1 (RAG1−/−) recipients, suggested that T cell function was not altered by maturation in a B cell-deficient environment. Taken together, these data suggest an inhibitory role for B lymphocytes in resistance to L. donovani unrelated to the presence or absence of Ig. However, Ig protects μMT mice from the exaggerated pathology that occurs during infection.","DOI":"10.4049/jimmunol.164.7.3681","ISSN":"0022-1767, 1550-6606","note":"PMID: 10725726","journalAbbreviation":"J Immunol","language":"en","author":[{"family":"Smelt","given":"Sara C."},{"family":"Cotterell","given":"Sara E. J."},{"family":"Engwerda","given":"Christian R."},{"family":"Kaye","given":"Paul M."}],"issued":{"date-parts":[["2000",4,1]]}}},{"id":2763,"uris":["http://zotero.org/users/2628971/items/NGWSSM7W"],"uri":["http://zotero.org/users/2628971/items/NGWSSM7W"],"itemData":{"id":2763,"type":"article-journal","title":"Regulatory actions of Toll-like receptor 2 (TLR2) and TLR4 in Leishmania donovani infection in the liver","container-title":"Infection and Immunity","page":"2318-2326","volume":"81","issue":"7","source":"PubMed","abstract":"In livers of susceptible but self-curing C57BL/6 mice, intracellular Leishmania donovani infection enhanced Toll-like receptor 4 (TLR4) and TLR2 gene expression. In the liver, infected TLR4(-/-) mice showed reduced gamma interferon (IFN-γ), tumor necrosis factor (TNF), and inducible nitric oxide synthase (iNOS) mRNA expression, higher-level and slowly resolving infection, delayed granuloma formation, and little response to low-dose chemotherapy; in serum, the ratio of IFN-γ to interleukin 10 (IL-10) activity was decreased by 50%. In contrast, in TLR2(-/-) mice, control of liver infection, parasite killing, and granuloma assembly were accelerated and chemotherapy's efficacy enhanced. In livers of infected TLR2(-/-) mice, mRNA expression was not increased for inflammatory cytokines or iNOS or decreased for IL-10; however, the serum IFN-γ/IL-10 ratio was increased 6.5-fold and minimal responses to IL-10 receptor blockade suggested downregulated IL-10. In established infection in wild-type mice, blockading TLR2 induced parasite killing and triggering TLR4 strengthened resistance and promoted chemotherapy's effect. Thus, in experimental L. donovani infection in the liver, TLR4 signaling upregulates and TLR2 signaling downregulates macrophage antileishmanial activity, making both receptors potential therapeutic targets in visceral leishmaniasis for engagement (TLR4) or blockade (TLR2).","DOI":"10.1128/IAI.01468-12","ISSN":"1098-5522","note":"PMID: 23589575\nPMCID: PMC3697629","journalAbbreviation":"Infect. Immun.","language":"eng","author":[{"family":"Murray","given":"Henry W."},{"family":"Zhang","given":"Yunhua"},{"family":"Zhang","given":"Yan"},{"family":"Raman","given":"Vanitha S."},{"family":"Reed","given":"Steven G."},{"family":"Ma","given":"Xiaojing"}],"issued":{"date-parts":[["2013",7]]}}}],"schema":"https://github.com/citation-style-language/schema/raw/master/csl-citation.json"} </w:instrText>
      </w:r>
      <w:r w:rsidRPr="008B3AD6">
        <w:fldChar w:fldCharType="separate"/>
      </w:r>
      <w:r w:rsidR="00812605" w:rsidRPr="008B3AD6">
        <w:t>(Murray and Nathan 1999; Smelt et al. 2000; Murray et al. 2013)</w:t>
      </w:r>
      <w:r w:rsidRPr="008B3AD6">
        <w:fldChar w:fldCharType="end"/>
      </w:r>
      <w:r w:rsidRPr="008B3AD6">
        <w:t xml:space="preserve">. </w:t>
      </w:r>
    </w:p>
    <w:p w14:paraId="585E3D24" w14:textId="74A8501E" w:rsidR="00DD765D" w:rsidRPr="008B3AD6" w:rsidRDefault="00DD765D" w:rsidP="009154C0">
      <w:pPr>
        <w:spacing w:line="360" w:lineRule="auto"/>
        <w:jc w:val="both"/>
      </w:pPr>
    </w:p>
    <w:p w14:paraId="325C7628" w14:textId="77777777" w:rsidR="00DD765D" w:rsidRPr="008B3AD6" w:rsidRDefault="00DD765D" w:rsidP="009154C0">
      <w:pPr>
        <w:spacing w:line="360" w:lineRule="auto"/>
        <w:jc w:val="both"/>
      </w:pPr>
    </w:p>
    <w:p w14:paraId="202D9B79" w14:textId="7BDF29D6" w:rsidR="00DD765D" w:rsidRPr="008B3AD6" w:rsidRDefault="00DD765D" w:rsidP="009154C0">
      <w:pPr>
        <w:spacing w:line="360" w:lineRule="auto"/>
        <w:jc w:val="both"/>
      </w:pPr>
      <w:r w:rsidRPr="008B3AD6">
        <w:t xml:space="preserve">The derived flow cytometry data </w:t>
      </w:r>
      <w:r w:rsidR="00407D15">
        <w:t>were</w:t>
      </w:r>
      <w:r w:rsidR="00407D15" w:rsidRPr="008B3AD6">
        <w:t xml:space="preserve"> </w:t>
      </w:r>
      <w:r w:rsidRPr="008B3AD6">
        <w:t>then used to aid in the parameterisation of the developed mathematical model</w:t>
      </w:r>
      <w:r w:rsidR="003E6829" w:rsidRPr="008B3AD6">
        <w:t xml:space="preserve"> (Section </w:t>
      </w:r>
      <w:r w:rsidR="00703327" w:rsidRPr="008B3AD6">
        <w:fldChar w:fldCharType="begin"/>
      </w:r>
      <w:r w:rsidR="00703327" w:rsidRPr="008B3AD6">
        <w:instrText xml:space="preserve"> REF _Ref518744611 \n </w:instrText>
      </w:r>
      <w:r w:rsidR="009154C0" w:rsidRPr="008B3AD6">
        <w:instrText xml:space="preserve"> \* MERGEFORMAT </w:instrText>
      </w:r>
      <w:r w:rsidR="00703327" w:rsidRPr="008B3AD6">
        <w:fldChar w:fldCharType="separate"/>
      </w:r>
      <w:r w:rsidR="00031DCA">
        <w:t>4.3.4</w:t>
      </w:r>
      <w:r w:rsidR="00703327" w:rsidRPr="008B3AD6">
        <w:fldChar w:fldCharType="end"/>
      </w:r>
      <w:r w:rsidR="003E6829" w:rsidRPr="008B3AD6">
        <w:t>)</w:t>
      </w:r>
      <w:r w:rsidRPr="008B3AD6">
        <w:t xml:space="preserve">. In </w:t>
      </w:r>
      <w:r w:rsidR="003E6829" w:rsidRPr="008B3AD6">
        <w:t>the final simulation</w:t>
      </w:r>
      <w:r w:rsidRPr="008B3AD6">
        <w:t xml:space="preserve"> model, there exist </w:t>
      </w:r>
      <w:r w:rsidR="003E6829" w:rsidRPr="008B3AD6">
        <w:t xml:space="preserve">five distinct populations that </w:t>
      </w:r>
      <w:r w:rsidRPr="008B3AD6">
        <w:t xml:space="preserve">robustly describe the accumulation of T cells, myeloid cells (susceptible and infected) and </w:t>
      </w:r>
      <w:r w:rsidRPr="008B3AD6">
        <w:rPr>
          <w:i/>
        </w:rPr>
        <w:t>L. donovani</w:t>
      </w:r>
      <w:r w:rsidRPr="008B3AD6">
        <w:t xml:space="preserve"> (extracellular and intracellular)</w:t>
      </w:r>
      <w:r w:rsidR="003E6829" w:rsidRPr="008B3AD6">
        <w:t xml:space="preserve"> (</w:t>
      </w:r>
      <w:r w:rsidR="00D034D1" w:rsidRPr="001F0D20">
        <w:rPr>
          <w:b/>
        </w:rPr>
        <w:fldChar w:fldCharType="begin"/>
      </w:r>
      <w:r w:rsidR="00D034D1" w:rsidRPr="001F0D20">
        <w:rPr>
          <w:b/>
        </w:rPr>
        <w:instrText xml:space="preserve"> REF _Ref518741638  \* MERGEFORMAT </w:instrText>
      </w:r>
      <w:r w:rsidR="00D034D1" w:rsidRPr="001F0D20">
        <w:rPr>
          <w:b/>
        </w:rPr>
        <w:fldChar w:fldCharType="separate"/>
      </w:r>
      <w:r w:rsidR="00921CAF" w:rsidRPr="00921CAF">
        <w:rPr>
          <w:b/>
        </w:rPr>
        <w:t xml:space="preserve">Figure </w:t>
      </w:r>
      <w:r w:rsidR="00921CAF" w:rsidRPr="00921CAF">
        <w:rPr>
          <w:b/>
          <w:noProof/>
        </w:rPr>
        <w:t>4.29</w:t>
      </w:r>
      <w:r w:rsidR="00D034D1" w:rsidRPr="001F0D20">
        <w:rPr>
          <w:b/>
          <w:noProof/>
        </w:rPr>
        <w:fldChar w:fldCharType="end"/>
      </w:r>
      <w:r w:rsidR="003E6829" w:rsidRPr="008B3AD6">
        <w:t>)</w:t>
      </w:r>
      <w:r w:rsidRPr="008B3AD6">
        <w:t xml:space="preserve">. These populations were decided via the CoSMoS process whereby the original biological system of hepatic </w:t>
      </w:r>
      <w:r w:rsidR="0089620A">
        <w:rPr>
          <w:i/>
        </w:rPr>
        <w:t xml:space="preserve">L. donovani </w:t>
      </w:r>
      <w:r w:rsidR="0089620A">
        <w:t>infection</w:t>
      </w:r>
      <w:r w:rsidRPr="008B3AD6">
        <w:t xml:space="preserve"> was simplified and abstracted into a suitable mathematical model</w:t>
      </w:r>
      <w:r w:rsidR="003E6829" w:rsidRPr="008B3AD6">
        <w:t>. M</w:t>
      </w:r>
      <w:r w:rsidRPr="008B3AD6">
        <w:t xml:space="preserve">odular simplification has been seen in numerous publications, a good example of this being HIV viremia dynamics being summarised by condensed entities in a variety of models </w:t>
      </w:r>
      <w:r w:rsidRPr="008B3AD6">
        <w:fldChar w:fldCharType="begin"/>
      </w:r>
      <w:r w:rsidR="001E0E9E">
        <w:instrText xml:space="preserve"> ADDIN ZOTERO_ITEM CSL_CITATION {"citationID":"zQNUhkdU","properties":{"formattedCitation":"(Dorratoltaj et al. 2017a)","plainCitation":"(Dorratoltaj et al. 2017a)","noteIndex":0},"citationItems":[{"id":2753,"uris":["http://zotero.org/users/2628971/items/CC7Z7FFX"],"uri":["http://zotero.org/users/2628971/items/CC7Z7FFX"],"itemData":{"id":2753,"type":"article-journal","title":"Multi-scale immunoepidemiological modeling of within-host and between-host HIV dynamics: systematic review of mathematical models","container-title":"PeerJ","page":"e3877","volume":"5","source":"PubMed","abstract":"OBJECTIVE: The objective of this study is to conduct a systematic review of multi-scale HIV immunoepidemiological models to improve our understanding of the synergistic impact between the HIV viral-immune dynamics at the individual level and HIV transmission dynamics at the population level.\nBACKGROUND: While within-host and between-host models of HIV dynamics have been well studied at a single scale, connecting the immunological and epidemiological scales through multi-scale models is an emerging method to infer the synergistic dynamics of HIV at the individual and population levels.\nMETHODS: We reviewed nine articles using the PRISMA (Preferred Reporting Items for Systematic Reviews and Meta-Analyses) framework that focused on the synergistic dynamics of HIV immunoepidemiological models at the individual and population levels.\nRESULTS: HIV immunoepidemiological models simulate viral immune dynamics at the within-host scale and the epidemiological transmission dynamics at the between-host scale. They account for longitudinal changes in the immune viral dynamics of HIV+ individuals, and their corresponding impact on the transmission dynamics in the population. They are useful to analyze the dynamics of HIV super-infection, co-infection, drug resistance, evolution, and treatment in HIV+ individuals, and their impact on the epidemic pathways in the population. We illustrate the coupling mechanisms of the within-host and between-host scales, their mathematical implementation, and the clinical and public health problems that are appropriate for analysis using HIV immunoepidemiological models.\nCONCLUSION: HIV immunoepidemiological models connect the within-host immune dynamics at the individual level and the epidemiological transmission dynamics at the population level. While multi-scale models add complexity over a single-scale model, they account for the time varying immune viral response of HIV+ individuals, and the corresponding impact on the time-varying risk of transmission of HIV+ individuals to other susceptibles in the population.","DOI":"10.7717/peerj.3877","ISSN":"2167-8359","note":"PMID: 28970973\nPMCID: PMC5623312","shortTitle":"Multi-scale immunoepidemiological modeling of within-host and between-host HIV dynamics","journalAbbreviation":"PeerJ","language":"eng","author":[{"family":"Dorratoltaj","given":"Nargesalsadat"},{"family":"Nikin-Beers","given":"Ryan"},{"family":"Ciupe","given":"Stanca M."},{"family":"Eubank","given":"Stephen G."},{"family":"Abbas","given":"Kaja M."}],"issued":{"date-parts":[["2017"]]}}}],"schema":"https://github.com/citation-style-language/schema/raw/master/csl-citation.json"} </w:instrText>
      </w:r>
      <w:r w:rsidRPr="008B3AD6">
        <w:fldChar w:fldCharType="separate"/>
      </w:r>
      <w:r w:rsidR="00921CAF">
        <w:t>(Dorratoltaj et al. 2017</w:t>
      </w:r>
      <w:r w:rsidR="001E0E9E">
        <w:t>)</w:t>
      </w:r>
      <w:r w:rsidRPr="008B3AD6">
        <w:fldChar w:fldCharType="end"/>
      </w:r>
      <w:r w:rsidRPr="008B3AD6">
        <w:t>.</w:t>
      </w:r>
    </w:p>
    <w:p w14:paraId="10B23A9D" w14:textId="77777777" w:rsidR="00DD765D" w:rsidRPr="008B3AD6" w:rsidRDefault="00DD765D" w:rsidP="009154C0">
      <w:pPr>
        <w:spacing w:line="360" w:lineRule="auto"/>
        <w:jc w:val="both"/>
      </w:pPr>
    </w:p>
    <w:p w14:paraId="207F61B8" w14:textId="3B54EB08" w:rsidR="00DD765D" w:rsidRPr="008B3AD6" w:rsidRDefault="00DD765D" w:rsidP="009154C0">
      <w:pPr>
        <w:spacing w:line="360" w:lineRule="auto"/>
        <w:jc w:val="both"/>
      </w:pPr>
      <w:r w:rsidRPr="008B3AD6">
        <w:t xml:space="preserve">The parameterisation approaches for this model combined single and multi-objective based algorithmic approaches, both approaches having been previously employed in biological simulations </w:t>
      </w:r>
      <w:r w:rsidRPr="008B3AD6">
        <w:fldChar w:fldCharType="begin"/>
      </w:r>
      <w:r w:rsidR="00812605" w:rsidRPr="008B3AD6">
        <w:instrText xml:space="preserve"> ADDIN ZOTERO_ITEM CSL_CITATION {"citationID":"H5ymxLlf","properties":{"formattedCitation":"(M. N. Read et al. 2016; MacLean, Lo Celso, and Stumpf 2013)","plainCitation":"(M. N. Read et al. 2016; MacLean, Lo Celso, and Stumpf 2013)","noteIndex":0},"citationItems":[{"id":2613,"uris":["http://zotero.org/users/2628971/items/WGVI24YR"],"uri":["http://zotero.org/users/2628971/items/WGVI24YR"],"itemData":{"id":2613,"type":"article-journal","title":"Automated multi-objective calibration of biological agent-based simulations","container-title":"Journal of the Royal Society, Interface","volume":"13","issue":"122","source":"PubMed","abstract":"Computational agent-based simulation (ABS) is increasingly used to complement laboratory techniques in advancing our understanding of biological systems. Calibration, the identification of parameter values that align simulation with biological behaviours, becomes challenging as increasingly complex biological domains are simulated. Complex domains cannot be characterized by single metrics alone, rendering simulation calibration a fundamentally multi-metric optimization problem that typical calibration techniques cannot handle. Yet calibration is an essential activity in simulation-based science; the baseline calibration forms a control for subsequent experimentation and hence is fundamental in the interpretation of results. Here, we develop and showcase a method, built around multi-objective optimization, for calibrating ABSs against complex target behaviours requiring several metrics (termed objectives) to characterize. Multi-objective calibration (MOC) delivers those sets of parameter values representing optimal trade-offs in simulation performance against each metric, in the form of a Pareto front. We use MOC to calibrate a well-understood immunological simulation against both established a priori and previously unestablished target behaviours. Furthermore, we show that simulation-borne conclusions are broadly, but not entirely, robust to adopting baseline parameter values from different extremes of the Pareto front, highlighting the importance of MOC's identification of numerous calibration solutions. We devise a method for detecting overfitting in a multi-objective context, not previously possible, used to save computational effort by terminating MOC when no improved solutions will be found. MOC can significantly impact biological simulation, adding rigour to and speeding up an otherwise time-consuming calibration process and highlighting inappropriate biological capture by simulations that cannot be well calibrated. As such, it produces more accurate simulations that generate more informative biological predictions.","DOI":"10.1098/rsif.2016.0543","ISSN":"1742-5662","note":"PMID: 27628175\nPMCID: PMC5046954","journalAbbreviation":"J R Soc Interface","language":"eng","author":[{"family":"Read","given":"Mark N."},{"family":"Alden","given":"Kieran"},{"family":"Rose","given":"Louis M."},{"family":"Timmis","given":"Jon"}],"issued":{"date-parts":[["2016"]]}}},{"id":2554,"uris":["http://zotero.org/users/2628971/items/7VVRJ2R6"],"uri":["http://zotero.org/users/2628971/items/7VVRJ2R6"],"itemData":{"id":2554,"type":"article-journal","title":"Population dynamics of normal and leukaemia stem cells in the haematopoietic stem cell niche show distinct regimes where leukaemia will be controlled","container-title":"Journal of the Royal Society Interface","volume":"10","issue":"81","source":"PubMed Central","abstract":"Haematopoietic stem cells (HSCs) are responsible for maintaining immune cells, red blood cells and platelets throughout life. HSCs must be located in their ecological niche (the bone marrow) to function correctly, that is, to regenerate themselves and their progeny; the latter eventually exit the bone marrow and enter circulation. We propose that cells with oncogenic potential—cancer/leukaemia stem cells (LSC)—and their progeny will also occupy this niche. Mathematical models, which describe the dynamics of HSCs, LSCs and their progeny allow investigation into the conditions necessary for defeating a malignant invasion of the niche. Two such models are developed and analysed here. To characterize their behaviour, we use an inferential framework that allows us to study regions in parameter space that give rise to desired behaviour together with an assessment of the robustness of the dynamics. Using this approach, we map out conditions under which HSCs can outcompete LSCs. In therapeutic applications, we clearly want to drive haematopoiesis into such regimes and the current analysis provide some guidance as to how we can identify new therapeutic targets. Our results suggest that maintaining a viable population of HSCs and their progenies in the niche may often already be nearly sufficient to eradicate LSCs from the system.","URL":"https://www.ncbi.nlm.nih.gov/pmc/articles/PMC3627104/","DOI":"10.1098/rsif.2012.0968","ISSN":"1742-5689","note":"PMID: 23349436\nPMCID: PMC3627104","journalAbbreviation":"J R Soc Interface","author":[{"family":"MacLean","given":"Adam L."},{"family":"Lo Celso","given":"Cristina"},{"family":"Stumpf","given":"Michael P. H."}],"issued":{"date-parts":[["2013",4,6]]},"accessed":{"date-parts":[["2018",6,18]]}}}],"schema":"https://github.com/citation-style-language/schema/raw/master/csl-citation.json"} </w:instrText>
      </w:r>
      <w:r w:rsidRPr="008B3AD6">
        <w:fldChar w:fldCharType="separate"/>
      </w:r>
      <w:r w:rsidR="00812605" w:rsidRPr="008B3AD6">
        <w:t>(Read et al. 2016; MacLean, Lo Celso, and Stumpf 2013)</w:t>
      </w:r>
      <w:r w:rsidRPr="008B3AD6">
        <w:fldChar w:fldCharType="end"/>
      </w:r>
      <w:r w:rsidRPr="008B3AD6">
        <w:t xml:space="preserve">, and lead to the </w:t>
      </w:r>
      <w:r w:rsidR="0089620A">
        <w:t>derivation of p</w:t>
      </w:r>
      <w:r w:rsidRPr="008B3AD6">
        <w:t xml:space="preserve">arameters </w:t>
      </w:r>
      <w:r w:rsidR="0089620A">
        <w:t>for</w:t>
      </w:r>
      <w:r w:rsidRPr="008B3AD6">
        <w:t xml:space="preserve"> the final</w:t>
      </w:r>
      <w:r w:rsidR="0089620A">
        <w:t xml:space="preserve"> simulation</w:t>
      </w:r>
      <w:r w:rsidRPr="008B3AD6">
        <w:t xml:space="preserve"> model</w:t>
      </w:r>
      <w:r w:rsidR="0089620A">
        <w:t xml:space="preserve"> that generated output which sufficiently matched biological data</w:t>
      </w:r>
      <w:r w:rsidR="003E6829" w:rsidRPr="008B3AD6">
        <w:t xml:space="preserve"> (</w:t>
      </w:r>
      <w:r w:rsidR="00D034D1" w:rsidRPr="001F0D20">
        <w:rPr>
          <w:b/>
        </w:rPr>
        <w:fldChar w:fldCharType="begin"/>
      </w:r>
      <w:r w:rsidR="00D034D1" w:rsidRPr="001F0D20">
        <w:rPr>
          <w:b/>
        </w:rPr>
        <w:instrText xml:space="preserve"> REF _Ref518742073  \* MERGEFORMAT </w:instrText>
      </w:r>
      <w:r w:rsidR="00D034D1" w:rsidRPr="001F0D20">
        <w:rPr>
          <w:b/>
        </w:rPr>
        <w:fldChar w:fldCharType="separate"/>
      </w:r>
      <w:r w:rsidR="00031DCA" w:rsidRPr="00031DCA">
        <w:rPr>
          <w:b/>
        </w:rPr>
        <w:t xml:space="preserve">Table </w:t>
      </w:r>
      <w:r w:rsidR="00031DCA" w:rsidRPr="00031DCA">
        <w:rPr>
          <w:b/>
          <w:noProof/>
        </w:rPr>
        <w:t>4.3</w:t>
      </w:r>
      <w:r w:rsidR="00D034D1" w:rsidRPr="001F0D20">
        <w:rPr>
          <w:b/>
          <w:noProof/>
        </w:rPr>
        <w:fldChar w:fldCharType="end"/>
      </w:r>
      <w:r w:rsidR="003E6829" w:rsidRPr="008B3AD6">
        <w:t>)</w:t>
      </w:r>
      <w:r w:rsidRPr="008B3AD6">
        <w:t xml:space="preserve">. This final model allowed us a quantitative insight into the ongoing behaviours during </w:t>
      </w:r>
      <w:r w:rsidR="00560645">
        <w:t xml:space="preserve">the </w:t>
      </w:r>
      <w:r w:rsidRPr="008B3AD6">
        <w:t>hepatic</w:t>
      </w:r>
      <w:r w:rsidR="00560645">
        <w:t xml:space="preserve"> immune response to </w:t>
      </w:r>
      <w:r w:rsidR="00560645">
        <w:rPr>
          <w:i/>
        </w:rPr>
        <w:t>L. donovani</w:t>
      </w:r>
      <w:r w:rsidR="00560645">
        <w:t xml:space="preserve"> infection</w:t>
      </w:r>
      <w:r w:rsidRPr="008B3AD6">
        <w:t xml:space="preserve">, some of which would not be easily derived from biological experimentation such as the changing numbers of intracellular </w:t>
      </w:r>
      <w:r w:rsidRPr="008B3AD6">
        <w:rPr>
          <w:i/>
        </w:rPr>
        <w:t>L. donovani</w:t>
      </w:r>
      <w:r w:rsidRPr="008B3AD6">
        <w:t xml:space="preserve"> per infected myeloid cell.</w:t>
      </w:r>
    </w:p>
    <w:p w14:paraId="51D48AA9" w14:textId="77777777" w:rsidR="00DD765D" w:rsidRPr="008B3AD6" w:rsidRDefault="00DD765D" w:rsidP="009154C0">
      <w:pPr>
        <w:spacing w:line="360" w:lineRule="auto"/>
        <w:jc w:val="both"/>
      </w:pPr>
    </w:p>
    <w:p w14:paraId="2F8512AC" w14:textId="43C96826" w:rsidR="00144595" w:rsidRDefault="00DD765D" w:rsidP="009154C0">
      <w:pPr>
        <w:spacing w:line="360" w:lineRule="auto"/>
        <w:jc w:val="both"/>
      </w:pPr>
      <w:r w:rsidRPr="008B3AD6">
        <w:t>These novel insights are key, not only because it allows the</w:t>
      </w:r>
      <w:r w:rsidR="0089620A">
        <w:t xml:space="preserve"> simulation</w:t>
      </w:r>
      <w:r w:rsidRPr="008B3AD6">
        <w:t xml:space="preserve"> model to contribute back into the research context and expand our knowledge of the system</w:t>
      </w:r>
      <w:r w:rsidR="0089620A">
        <w:t xml:space="preserve"> under study</w:t>
      </w:r>
      <w:r w:rsidRPr="008B3AD6">
        <w:t xml:space="preserve">, but because it allows for model validation. The final model produced was deterministic, thus its output is fully dependent on the parameter values and initial values for each entity, in contrast to stochastic models where some inherent randomness means that the same parameter values and initial conditions produce a varied set of results. As discussed there is limited pre-existing data on hepatic </w:t>
      </w:r>
      <w:r w:rsidRPr="008B3AD6">
        <w:rPr>
          <w:i/>
        </w:rPr>
        <w:t>L. donovani</w:t>
      </w:r>
      <w:r w:rsidRPr="008B3AD6">
        <w:t xml:space="preserve"> which not only affected </w:t>
      </w:r>
      <w:r w:rsidR="0089620A">
        <w:t>calibration</w:t>
      </w:r>
      <w:r w:rsidRPr="008B3AD6">
        <w:t xml:space="preserve"> but modular validation. Traditionally the model can be validated by its utilisation of parameters derived from published data </w:t>
      </w:r>
      <w:r w:rsidRPr="008B3AD6">
        <w:fldChar w:fldCharType="begin"/>
      </w:r>
      <w:r w:rsidR="00812605" w:rsidRPr="008B3AD6">
        <w:instrText xml:space="preserve"> ADDIN ZOTERO_ITEM CSL_CITATION {"citationID":"IpW2MZBx","properties":{"formattedCitation":"(Siewe et al. 2016; Ribeiro et al. 2017)","plainCitation":"(Siewe et al. 2016; Ribeiro et al. 2017)","noteIndex":0},"citationItems":[{"id":2578,"uris":["http://zotero.org/users/2628971/items/GKTD3VPK"],"uri":["http://zotero.org/users/2628971/items/GKTD3VPK"],"itemData":{"id":2578,"type":"article-journal","title":"Immune response to infection by Leishmania: A mathematical model","container-title":"Mathematical Biosciences","page":"28-43","volume":"276","source":"PubMed","abstract":"Leishmaniasis is a disease caused by the Leishmania parasites. The injection of the parasites into the host occurs when a sand fly, which is the vector, bites the skin of the host. The parasites, which are obligate, take advantage of the immune system response and invade both the classically activated macrophages (M1) and the alternatively activated macrophages (M2). In this paper, we develop a mathematical model to explain the evolution of the disease. Simulations of the model show that, M2 macrophages steadily increase and M1 macrophages steadily decrease, while M1+M2 reach a steady state which is approximately the same as at healthy state of the host. Furthermore, the ratio of Leishmania parasites to macrophages depends homogeneously on their ratio at the time of the initial infection, in agreement with in vitro experimental data. The model is used to simulate treatment by existing or potential new drugs, and to compare the efficacy of different schedules of drug delivery.","DOI":"10.1016/j.mbs.2016.02.015","ISSN":"1879-3134","note":"PMID: 26987853","shortTitle":"Immune response to infection by Leishmania","journalAbbreviation":"Math Biosci","language":"eng","author":[{"family":"Siewe","given":"Nourridine"},{"family":"Yakubu","given":"Abdul-Aziz"},{"family":"Satoskar","given":"Abhay R."},{"family":"Friedman","given":"Avner"}],"issued":{"date-parts":[["2016"]]}}},{"id":2619,"uris":["http://zotero.org/users/2628971/items/YRG6BW9K"],"uri":["http://zotero.org/users/2628971/items/YRG6BW9K"],"itemData":{"id":2619,"type":"article-journal","title":"Modeling Immune Response to Leishmania Species Indicates Adenosine As an Important Inhibitor of Th-Cell Activation","container-title":"Frontiers in Cellular and Infection Microbiology","page":"309","volume":"7","source":"PubMed","abstract":"Infection by Leishmania protozoan parasites can cause a variety of disease outcomes in humans and other mammals, from single self-healing cutaneous lesions to a visceral dissemination of the parasite. The correlation between chronic lesions and ecto-nucleotidase enzymes activity on the surface of the parasite is addressed here using damage caused in epithelial cells by nitric oxide. In order to explore the role of purinergic metabolism in lesion formation and the outcome of the infection, we implemented a cellular automata/lattice gas model involving major immune characters (Th1 and Th2 cells, IFN-γ, IL-4, IL-12, adenosine-Ado-, NO) and parasite players for the dynamic analysis of the disease progress. The model were analyzed using partial ranking correlation coefficient (PRCC) to indicate the components that most influence the disease progression. Results show that low Ado inhibition rate over Th-cells is shared by L. major and L. braziliensis, while in L. amazonensis infection the Ado inhibition rate over Th-cells reaches 30%. IL-4 inhibition rate over Th-cell priming to Th1 independent of IL-12 are exclusive of L. major. The lesion size and progression showed agreement with published biological data and the model was able to simulate cutaneous leishmaniasis outcomes. The sensitivity analysis suggested that Ado inhibition rate over Th-cells followed by Leishmania survival probability were the most important characteristics of the process, with PRCC of 0.89 and 0.77 respectively. The simulations also showed a non-linear relationship between Ado inhibition rate over Th-cells and lesion size measured as number of dead epithelial cells. In conclusion, this model can be a useful tool for the quantitative understanding of the immune response in leishmaniasis.","DOI":"10.3389/fcimb.2017.00309","ISSN":"2235-2988","note":"PMID: 28775959\nPMCID: PMC5517480","journalAbbreviation":"Front Cell Infect Microbiol","language":"eng","author":[{"family":"Ribeiro","given":"Henrique A. L."},{"family":"Maioli","given":"Tatiani U."},{"family":"Freitas","given":"Leandro M.","non-dropping-particle":"de"},{"family":"Tieri","given":"Paolo"},{"family":"Castiglione","given":"Filippo"}],"issued":{"date-parts":[["2017"]]}}}],"schema":"https://github.com/citation-style-language/schema/raw/master/csl-citation.json"} </w:instrText>
      </w:r>
      <w:r w:rsidRPr="008B3AD6">
        <w:fldChar w:fldCharType="separate"/>
      </w:r>
      <w:r w:rsidRPr="008B3AD6">
        <w:t>(Siewe et al. 2016; Ribeiro et al. 2017)</w:t>
      </w:r>
      <w:r w:rsidRPr="008B3AD6">
        <w:fldChar w:fldCharType="end"/>
      </w:r>
      <w:r w:rsidRPr="008B3AD6">
        <w:t xml:space="preserve">, or from comparison to data that is independent of the models parameterisation, data that is has never seen before </w:t>
      </w:r>
      <w:r w:rsidRPr="008B3AD6">
        <w:fldChar w:fldCharType="begin"/>
      </w:r>
      <w:r w:rsidR="00812605" w:rsidRPr="008B3AD6">
        <w:instrText xml:space="preserve"> ADDIN ZOTERO_ITEM CSL_CITATION {"citationID":"nAy9JPQ6","properties":{"formattedCitation":"(Albergante et al. 2013)","plainCitation":"(Albergante et al. 2013)","noteIndex":0},"citationItems":[{"id":2607,"uris":["http://zotero.org/users/2628971/items/V9Q4NYEZ"],"uri":["http://zotero.org/users/2628971/items/V9Q4NYEZ"],"itemData":{"id":2607,"type":"article-journal","title":"A Petri net model of granulomatous inflammation: implications for IL-10 mediated control of Leishmania donovani infection","container-title":"PLoS computational biology","page":"e1003334","volume":"9","issue":"11","source":"PubMed","abstract":"Experimental visceral leishmaniasis, caused by infection of mice with the protozoan parasite Leishmania donovani, is characterized by focal accumulation of inflammatory cells in the liver, forming discrete \"granulomas\" within which the parasite is eventually eliminated. To shed new light on fundamental aspects of granuloma formation and function, we have developed an in silico Petri net model that simulates hepatic granuloma development throughout the course of infection. The model was extensively validated by comparison with data derived from experimental studies in mice, and the model robustness was assessed by a sensitivity analysis. The model recapitulated the progression of disease as seen during experimental infection and also faithfully predicted many of the changes in cellular composition seen within granulomas over time. By conducting in silico experiments, we have identified a previously unappreciated level of inter-granuloma diversity in terms of the development of anti-leishmanial activity. Furthermore, by simulating the impact of IL-10 gene deficiency in a variety of lymphocyte and myeloid cell populations, our data suggest a dominant local regulatory role for IL-10 produced by infected Kupffer cells at the core of the granuloma.","DOI":"10.1371/journal.pcbi.1003334","ISSN":"1553-7358","note":"PMID: 24363630\nPMCID: PMC3867212","shortTitle":"A Petri net model of granulomatous inflammation","journalAbbreviation":"PLoS Comput. Biol.","language":"eng","author":[{"family":"Albergante","given":"Luca"},{"family":"Timmis","given":"Jon"},{"family":"Beattie","given":"Lynette"},{"family":"Kaye","given":"Paul M."}],"issued":{"date-parts":[["2013"]]}}}],"schema":"https://github.com/citation-style-language/schema/raw/master/csl-citation.json"} </w:instrText>
      </w:r>
      <w:r w:rsidRPr="008B3AD6">
        <w:fldChar w:fldCharType="separate"/>
      </w:r>
      <w:r w:rsidRPr="008B3AD6">
        <w:t>(Albergante et al. 2013)</w:t>
      </w:r>
      <w:r w:rsidRPr="008B3AD6">
        <w:fldChar w:fldCharType="end"/>
      </w:r>
      <w:r w:rsidRPr="008B3AD6">
        <w:t>. Due to the high levels of abstraction in the model</w:t>
      </w:r>
      <w:r w:rsidR="000930E0">
        <w:t xml:space="preserve"> presented here</w:t>
      </w:r>
      <w:r w:rsidRPr="008B3AD6">
        <w:t xml:space="preserve">, rather than select parameter values from literature, the model was compared against </w:t>
      </w:r>
      <w:r w:rsidR="007C5838" w:rsidRPr="008B3AD6">
        <w:t>novel derived</w:t>
      </w:r>
      <w:r w:rsidRPr="008B3AD6">
        <w:t xml:space="preserve"> data. As stated the model is deterministic, </w:t>
      </w:r>
      <w:r w:rsidR="000930E0">
        <w:t xml:space="preserve">as such </w:t>
      </w:r>
      <w:r w:rsidRPr="008B3AD6">
        <w:t xml:space="preserve">comparing against additional T cell, myeloid cell or </w:t>
      </w:r>
      <w:r w:rsidRPr="008B3AD6">
        <w:rPr>
          <w:i/>
        </w:rPr>
        <w:t>L. donovani</w:t>
      </w:r>
      <w:r w:rsidRPr="008B3AD6">
        <w:t xml:space="preserve"> would be only be a test of the experimental data and not the model itself, however there is a scarcity of alternative data. </w:t>
      </w:r>
      <w:r w:rsidR="00560645">
        <w:t>Thus</w:t>
      </w:r>
      <w:r w:rsidRPr="008B3AD6">
        <w:t xml:space="preserve">, an </w:t>
      </w:r>
      <w:r w:rsidRPr="008B3AD6">
        <w:rPr>
          <w:i/>
        </w:rPr>
        <w:t>in vitro</w:t>
      </w:r>
      <w:r w:rsidRPr="008B3AD6">
        <w:t xml:space="preserve"> dataset </w:t>
      </w:r>
      <w:r w:rsidRPr="008B3AD6">
        <w:lastRenderedPageBreak/>
        <w:t xml:space="preserve">charting the changes in numbers of intracellular </w:t>
      </w:r>
      <w:r w:rsidRPr="008B3AD6">
        <w:rPr>
          <w:i/>
        </w:rPr>
        <w:t xml:space="preserve">L. donovani </w:t>
      </w:r>
      <w:r w:rsidRPr="008B3AD6">
        <w:t xml:space="preserve">per infected macrophages </w:t>
      </w:r>
      <w:r w:rsidRPr="008B3AD6">
        <w:fldChar w:fldCharType="begin"/>
      </w:r>
      <w:r w:rsidR="00812605" w:rsidRPr="008B3AD6">
        <w:instrText xml:space="preserve"> ADDIN ZOTERO_ITEM CSL_CITATION {"citationID":"oMBtjEcp","properties":{"formattedCitation":"(Mart\\uc0\\u237{}n-Montes et al. 2017)","plainCitation":"(Martín-Montes et al. 2017)","noteIndex":0},"citationItems":[{"id":2742,"uris":["http://zotero.org/users/2628971/items/4FBMZRCI"],"uri":["http://zotero.org/users/2628971/items/4FBMZRCI"],"itemData":{"id":2742,"type":"article-journal","title":"Synthesis and in vitro leishmanicidal activity of novel [1,2,3]triazolo[1,5-a]pyridine salts","container-title":"RSC Advances","page":"15715-15726","volume":"7","issue":"26","source":"Crossref","DOI":"10.1039/C7RA01070B","ISSN":"2046-2069","language":"en","author":[{"family":"Martín-Montes","given":"Álvaro"},{"family":"Ballesteros-Garrido","given":"Rafael"},{"family":"Martín-Escolano","given":"Rubén"},{"family":"Marín","given":"Clotilde"},{"family":"Guitiérrez-Sánchez","given":"Ramón"},{"family":"Abarca","given":"Belén"},{"family":"Ballesteros","given":"Rafael"},{"family":"Sanchez-Moreno","given":"Manuel"}],"issued":{"date-parts":[["2017"]]}}}],"schema":"https://github.com/citation-style-language/schema/raw/master/csl-citation.json"} </w:instrText>
      </w:r>
      <w:r w:rsidRPr="008B3AD6">
        <w:fldChar w:fldCharType="separate"/>
      </w:r>
      <w:r w:rsidRPr="008B3AD6">
        <w:rPr>
          <w:color w:val="000000"/>
        </w:rPr>
        <w:t>(Martín-Montes et al. 2017)</w:t>
      </w:r>
      <w:r w:rsidRPr="008B3AD6">
        <w:fldChar w:fldCharType="end"/>
      </w:r>
      <w:r w:rsidRPr="008B3AD6">
        <w:t xml:space="preserve"> was compared </w:t>
      </w:r>
      <w:r w:rsidR="00560645">
        <w:t>however</w:t>
      </w:r>
      <w:r w:rsidRPr="008B3AD6">
        <w:t xml:space="preserve"> the model</w:t>
      </w:r>
      <w:r w:rsidR="00560645">
        <w:t xml:space="preserve"> output did not match the </w:t>
      </w:r>
      <w:r w:rsidR="00560645">
        <w:rPr>
          <w:i/>
        </w:rPr>
        <w:t>in vitro</w:t>
      </w:r>
      <w:r w:rsidR="00560645">
        <w:t xml:space="preserve"> datasets</w:t>
      </w:r>
      <w:r w:rsidRPr="008B3AD6">
        <w:t xml:space="preserve"> </w:t>
      </w:r>
      <w:r w:rsidR="000D636F" w:rsidRPr="008B3AD6">
        <w:t>(</w:t>
      </w:r>
      <w:r w:rsidR="00D034D1" w:rsidRPr="001F0D20">
        <w:rPr>
          <w:b/>
        </w:rPr>
        <w:fldChar w:fldCharType="begin"/>
      </w:r>
      <w:r w:rsidR="00D034D1" w:rsidRPr="001F0D20">
        <w:rPr>
          <w:b/>
        </w:rPr>
        <w:instrText xml:space="preserve"> REF _Ref518742176  \* MERGEFORMAT </w:instrText>
      </w:r>
      <w:r w:rsidR="00D034D1" w:rsidRPr="001F0D20">
        <w:rPr>
          <w:b/>
        </w:rPr>
        <w:fldChar w:fldCharType="separate"/>
      </w:r>
      <w:r w:rsidR="00921CAF" w:rsidRPr="00921CAF">
        <w:rPr>
          <w:b/>
        </w:rPr>
        <w:t xml:space="preserve">Figure </w:t>
      </w:r>
      <w:r w:rsidR="00921CAF" w:rsidRPr="00921CAF">
        <w:rPr>
          <w:b/>
          <w:noProof/>
        </w:rPr>
        <w:t>4.30</w:t>
      </w:r>
      <w:r w:rsidR="00D034D1" w:rsidRPr="001F0D20">
        <w:rPr>
          <w:b/>
          <w:noProof/>
        </w:rPr>
        <w:fldChar w:fldCharType="end"/>
      </w:r>
      <w:r w:rsidR="000D636F" w:rsidRPr="008B3AD6">
        <w:t>)</w:t>
      </w:r>
      <w:r w:rsidRPr="008B3AD6">
        <w:t>.</w:t>
      </w:r>
      <w:r w:rsidR="00560645">
        <w:t xml:space="preserve"> This most likely represents an inherent difference in process rates between </w:t>
      </w:r>
      <w:r w:rsidR="00560645">
        <w:rPr>
          <w:i/>
        </w:rPr>
        <w:t>in vivo</w:t>
      </w:r>
      <w:r w:rsidR="00560645">
        <w:t xml:space="preserve"> and </w:t>
      </w:r>
      <w:r w:rsidR="00560645">
        <w:rPr>
          <w:i/>
        </w:rPr>
        <w:t>in vitro</w:t>
      </w:r>
      <w:r w:rsidR="00560645">
        <w:t xml:space="preserve"> datasets. </w:t>
      </w:r>
      <w:r w:rsidR="00921CAF">
        <w:t>Thus,</w:t>
      </w:r>
      <w:r w:rsidR="00560645">
        <w:t xml:space="preserve"> whilst the final simulation model and calibrated parameter values can be used further it should be noted that full confidence cannot be achieved until further validation has been completed.</w:t>
      </w:r>
    </w:p>
    <w:p w14:paraId="2FA0C416" w14:textId="77777777" w:rsidR="00144595" w:rsidRDefault="00144595" w:rsidP="009154C0">
      <w:pPr>
        <w:spacing w:line="360" w:lineRule="auto"/>
        <w:jc w:val="both"/>
      </w:pPr>
    </w:p>
    <w:p w14:paraId="4DB89013" w14:textId="77C57B7B" w:rsidR="00DD765D" w:rsidRPr="000930E0" w:rsidRDefault="000930E0" w:rsidP="009154C0">
      <w:pPr>
        <w:spacing w:line="360" w:lineRule="auto"/>
        <w:jc w:val="both"/>
      </w:pPr>
      <w:r>
        <w:t xml:space="preserve">As mentioned previously the validation of this model would most likely benefit from comparison against unseen </w:t>
      </w:r>
      <w:r>
        <w:rPr>
          <w:i/>
        </w:rPr>
        <w:t xml:space="preserve">in vivo </w:t>
      </w:r>
      <w:r>
        <w:t xml:space="preserve">data. This could be employed using the data already at hand, such as by using n-1 validation whereby randomly selected </w:t>
      </w:r>
      <w:r w:rsidR="00E93E71">
        <w:t>data points</w:t>
      </w:r>
      <w:r>
        <w:t xml:space="preserve"> are not included in the parameterisation but compared </w:t>
      </w:r>
      <w:r w:rsidR="00E93E71">
        <w:t>against</w:t>
      </w:r>
      <w:r>
        <w:t xml:space="preserve"> the later generated output, or alternatively novel data could be generated entirely such as calculating the number of parasites from infected myeloid cells from histological samples. Neither approaches were implemented for this model initially due to high variability in the existing data and the complexity involved in generating the novel datasets as they would involve </w:t>
      </w:r>
      <w:r w:rsidR="00144595">
        <w:t>variation from both biological and technical sources compared to the original data used.</w:t>
      </w:r>
    </w:p>
    <w:p w14:paraId="3C7BF4CE" w14:textId="77777777" w:rsidR="00DD765D" w:rsidRPr="008B3AD6" w:rsidRDefault="00DD765D" w:rsidP="009154C0">
      <w:pPr>
        <w:spacing w:line="360" w:lineRule="auto"/>
        <w:jc w:val="both"/>
      </w:pPr>
    </w:p>
    <w:p w14:paraId="1E503474" w14:textId="15234F18" w:rsidR="008E1761" w:rsidRDefault="00DD765D" w:rsidP="009154C0">
      <w:pPr>
        <w:spacing w:line="360" w:lineRule="auto"/>
        <w:jc w:val="both"/>
      </w:pPr>
      <w:r w:rsidRPr="008B3AD6">
        <w:t xml:space="preserve">On reflection for the model, areas for improvement can be identified. When considering the biological input data, it would have been beneficial for more focus initially to be on the collection of pre-existing data, as this works hand-in-hand with the CoSMoS process of gathering information for the development of a research context. A more confident parameterisation could be defined due to the inclusion of more likely prior distributions being a main benefit of this approach. There is also a basis for considering the modular implementations complexity; if a model is too complicated or too simplistic for the aims of the project it will reduce the predicative/investigative ability of the model. Unfortunately there is no straightforward metric for assessing the individual complexity of a standalone model in terms of its aims </w:t>
      </w:r>
      <w:r w:rsidRPr="008B3AD6">
        <w:fldChar w:fldCharType="begin"/>
      </w:r>
      <w:r w:rsidR="00812605" w:rsidRPr="008B3AD6">
        <w:instrText xml:space="preserve"> ADDIN ZOTERO_ITEM CSL_CITATION {"citationID":"O973zGB8","properties":{"formattedCitation":"(Brooks and Tobias 1996)","plainCitation":"(Brooks and Tobias 1996)","noteIndex":0},"citationItems":[{"id":2552,"uris":["http://zotero.org/users/2628971/items/69TJ338L"],"uri":["http://zotero.org/users/2628971/items/69TJ338L"],"itemData":{"id":2552,"type":"article-journal","title":"Choosing the best model: Level of detail, complexity, and model performance","container-title":"Mathematical and Computer Modelling","page":"1-14","volume":"24","issue":"4","source":"ScienceDirect","abstract":"he lack of a methodology, or at least detailed guidelines, for choosing the best model in a mathematical or computer modelling study stems from a poor understanding of the precise ways in which the success of the study depends upon the particular model used. As a result, the choice of the best model is regarded as more of an art than a science. In order to improve the model selection process, model performance needs to be clearly defined, and suitable model attributes identified that can be used to predict the performance of the alternative candidate models. This paper distinguishes the different aspects of model performance and considers the extent to which they can be measured. The most common attributes used to compare alternative models are level of detail and complexity although these terms are used in a number of different ways. The meanings of these concepts are therefore discussed and the likely relationships with the model performance elements considered. The related area of simplification is reviewed and the areas in which further work is required are set out.","DOI":"10.1016/0895-7177(96)00103-3","ISSN":"0895-7177","shortTitle":"Choosing the best model","journalAbbreviation":"Mathematical and Computer Modelling","author":[{"family":"Brooks","given":"R. J."},{"family":"Tobias","given":"A. M."}],"issued":{"date-parts":[["1996",8,1]]}}}],"schema":"https://github.com/citation-style-language/schema/raw/master/csl-citation.json"} </w:instrText>
      </w:r>
      <w:r w:rsidRPr="008B3AD6">
        <w:fldChar w:fldCharType="separate"/>
      </w:r>
      <w:r w:rsidRPr="008B3AD6">
        <w:t>(Brooks and Tobias 1996)</w:t>
      </w:r>
      <w:r w:rsidRPr="008B3AD6">
        <w:fldChar w:fldCharType="end"/>
      </w:r>
      <w:r w:rsidRPr="008B3AD6">
        <w:t xml:space="preserve">. An improvement for this model would be </w:t>
      </w:r>
      <w:r w:rsidR="0089620A">
        <w:t xml:space="preserve">to </w:t>
      </w:r>
      <w:r w:rsidRPr="008B3AD6">
        <w:t xml:space="preserve">consider if the immune cell growth kinetics are too constrictive as they inherently proscribe population growth even when </w:t>
      </w:r>
      <w:r w:rsidRPr="008B3AD6">
        <w:rPr>
          <w:i/>
        </w:rPr>
        <w:t>L</w:t>
      </w:r>
      <w:r w:rsidR="00253CB5" w:rsidRPr="008B3AD6">
        <w:rPr>
          <w:i/>
        </w:rPr>
        <w:t>.</w:t>
      </w:r>
      <w:r w:rsidRPr="008B3AD6">
        <w:rPr>
          <w:i/>
        </w:rPr>
        <w:t xml:space="preserve"> donovani</w:t>
      </w:r>
      <w:r w:rsidRPr="008B3AD6">
        <w:t xml:space="preserve"> is not present in the system and in the spirit of iterative improvement, these kinetics may necessitate the adaption of the modular aim to be to “simplistically and robustly describe the population kinetics of both the immune system and </w:t>
      </w:r>
      <w:r w:rsidRPr="008B3AD6">
        <w:rPr>
          <w:i/>
        </w:rPr>
        <w:t>L. donovani</w:t>
      </w:r>
      <w:r w:rsidRPr="008B3AD6">
        <w:t xml:space="preserve"> within the liver </w:t>
      </w:r>
      <w:r w:rsidRPr="008B3AD6">
        <w:rPr>
          <w:color w:val="000000" w:themeColor="text1"/>
        </w:rPr>
        <w:t xml:space="preserve">in response to </w:t>
      </w:r>
      <w:r w:rsidRPr="008B3AD6">
        <w:t xml:space="preserve">experimental visceral leishmaniasis </w:t>
      </w:r>
      <w:r w:rsidRPr="008B3AD6">
        <w:rPr>
          <w:color w:val="000000" w:themeColor="text1"/>
        </w:rPr>
        <w:t>infection</w:t>
      </w:r>
      <w:r w:rsidRPr="008B3AD6">
        <w:t>.”</w:t>
      </w:r>
    </w:p>
    <w:p w14:paraId="03D20A65" w14:textId="77777777" w:rsidR="00DD765D" w:rsidRPr="008B3AD6" w:rsidRDefault="00DD765D" w:rsidP="009154C0">
      <w:pPr>
        <w:spacing w:line="360" w:lineRule="auto"/>
        <w:jc w:val="both"/>
      </w:pPr>
    </w:p>
    <w:p w14:paraId="1F430B69" w14:textId="38E1E1FB" w:rsidR="00E96C8F" w:rsidRPr="008B3AD6" w:rsidRDefault="00DD765D" w:rsidP="009154C0">
      <w:pPr>
        <w:spacing w:line="360" w:lineRule="auto"/>
        <w:jc w:val="both"/>
      </w:pPr>
      <w:r w:rsidRPr="008B3AD6">
        <w:lastRenderedPageBreak/>
        <w:t>Considering all discussed elements, the model presented here is a</w:t>
      </w:r>
      <w:r w:rsidR="00560645">
        <w:t>n initial platform</w:t>
      </w:r>
      <w:r w:rsidRPr="008B3AD6">
        <w:t xml:space="preserve"> for further investigation into how the cellular distribution of </w:t>
      </w:r>
      <w:r w:rsidR="00A32111">
        <w:t>AmB</w:t>
      </w:r>
      <w:r w:rsidRPr="008B3AD6">
        <w:t xml:space="preserve"> post-treatment wi</w:t>
      </w:r>
      <w:r w:rsidR="00560645">
        <w:t>ll impact parasite resolution during infection in the liver</w:t>
      </w:r>
      <w:r w:rsidRPr="008B3AD6">
        <w:t>.</w:t>
      </w:r>
      <w:r w:rsidR="003F01B1" w:rsidRPr="008B3AD6">
        <w:t xml:space="preserve"> The utilisation of this model to further </w:t>
      </w:r>
      <w:r w:rsidR="007D4658" w:rsidRPr="008B3AD6">
        <w:t>these investigations</w:t>
      </w:r>
      <w:r w:rsidR="003F01B1" w:rsidRPr="008B3AD6">
        <w:t xml:space="preserve"> is described in the next chapter.</w:t>
      </w:r>
      <w:r w:rsidR="007544FF" w:rsidRPr="008B3AD6">
        <w:t xml:space="preserve"> </w:t>
      </w:r>
      <w:r w:rsidR="00E96C8F" w:rsidRPr="008B3AD6">
        <w:br w:type="page"/>
      </w:r>
    </w:p>
    <w:p w14:paraId="11B6224A" w14:textId="22F843D4" w:rsidR="00C76BB5" w:rsidRPr="008B3AD6" w:rsidRDefault="000A237B" w:rsidP="00713C98">
      <w:pPr>
        <w:pStyle w:val="Heading1"/>
      </w:pPr>
      <w:bookmarkStart w:id="547" w:name="_Ref518937182"/>
      <w:bookmarkStart w:id="548" w:name="_Toc3716112"/>
      <w:r w:rsidRPr="008B3AD6">
        <w:lastRenderedPageBreak/>
        <w:t xml:space="preserve">| </w:t>
      </w:r>
      <w:r w:rsidR="00E96C8F" w:rsidRPr="008B3AD6">
        <w:t xml:space="preserve">Investigating the influence of </w:t>
      </w:r>
      <w:r w:rsidR="00560645">
        <w:t>immunological processes on the</w:t>
      </w:r>
      <w:bookmarkEnd w:id="547"/>
      <w:r w:rsidR="00560645">
        <w:t xml:space="preserve"> pharmacokinetics/pharmacodynamics of Amphotericin B</w:t>
      </w:r>
      <w:bookmarkEnd w:id="548"/>
    </w:p>
    <w:p w14:paraId="5CA1F1AC" w14:textId="046E9B23" w:rsidR="00C76BB5" w:rsidRPr="008B3AD6" w:rsidRDefault="00C76BB5" w:rsidP="00C76BB5">
      <w:pPr>
        <w:pStyle w:val="Heading2"/>
        <w:sectPr w:rsidR="00C76BB5" w:rsidRPr="008B3AD6" w:rsidSect="00E44977">
          <w:pgSz w:w="11900" w:h="16840"/>
          <w:pgMar w:top="1134" w:right="851" w:bottom="1134" w:left="2268" w:header="709" w:footer="709" w:gutter="0"/>
          <w:cols w:space="708"/>
          <w:docGrid w:linePitch="360"/>
        </w:sectPr>
      </w:pPr>
    </w:p>
    <w:p w14:paraId="5271388B" w14:textId="0D7FBE5A" w:rsidR="00A17164" w:rsidRPr="008B3AD6" w:rsidRDefault="00A17164" w:rsidP="00C76BB5">
      <w:pPr>
        <w:pStyle w:val="Heading2"/>
        <w:rPr>
          <w:rFonts w:eastAsiaTheme="minorHAnsi" w:cs="Times New Roman"/>
          <w:color w:val="auto"/>
          <w:szCs w:val="24"/>
        </w:rPr>
      </w:pPr>
      <w:bookmarkStart w:id="549" w:name="_Toc3716113"/>
      <w:r w:rsidRPr="008B3AD6">
        <w:rPr>
          <w:rFonts w:eastAsiaTheme="minorHAnsi" w:cs="Times New Roman"/>
          <w:color w:val="auto"/>
          <w:szCs w:val="24"/>
        </w:rPr>
        <w:lastRenderedPageBreak/>
        <w:t>Introduction</w:t>
      </w:r>
      <w:bookmarkEnd w:id="549"/>
    </w:p>
    <w:p w14:paraId="2D254418" w14:textId="0D5C93A0" w:rsidR="001021DC" w:rsidRPr="008B3AD6" w:rsidRDefault="001021DC" w:rsidP="00CF08E5">
      <w:pPr>
        <w:spacing w:line="360" w:lineRule="auto"/>
        <w:jc w:val="both"/>
        <w:rPr>
          <w:rFonts w:eastAsia="Times New Roman"/>
          <w:color w:val="000000"/>
          <w:spacing w:val="2"/>
          <w:shd w:val="clear" w:color="auto" w:fill="FFFFFF"/>
          <w:lang w:eastAsia="en-GB"/>
        </w:rPr>
      </w:pPr>
      <w:r w:rsidRPr="008B3AD6">
        <w:rPr>
          <w:rFonts w:eastAsia="Times New Roman"/>
          <w:color w:val="000000"/>
          <w:spacing w:val="2"/>
          <w:shd w:val="clear" w:color="auto" w:fill="FFFFFF"/>
          <w:lang w:eastAsia="en-GB"/>
        </w:rPr>
        <w:t xml:space="preserve">In the previous chapters the accumulation of </w:t>
      </w:r>
      <w:r w:rsidR="00A32111">
        <w:rPr>
          <w:rFonts w:eastAsia="Times New Roman"/>
          <w:color w:val="000000"/>
          <w:spacing w:val="2"/>
          <w:shd w:val="clear" w:color="auto" w:fill="FFFFFF"/>
          <w:lang w:eastAsia="en-GB"/>
        </w:rPr>
        <w:t>AmB</w:t>
      </w:r>
      <w:r w:rsidRPr="008B3AD6">
        <w:rPr>
          <w:rFonts w:eastAsia="Times New Roman"/>
          <w:color w:val="000000"/>
          <w:spacing w:val="2"/>
          <w:shd w:val="clear" w:color="auto" w:fill="FFFFFF"/>
          <w:lang w:eastAsia="en-GB"/>
        </w:rPr>
        <w:t xml:space="preserve"> within the liver and leukocyte subsets that play a central role in granuloma formation </w:t>
      </w:r>
      <w:r w:rsidR="00EE1C9E">
        <w:rPr>
          <w:rFonts w:eastAsia="Times New Roman"/>
          <w:color w:val="000000"/>
          <w:spacing w:val="2"/>
          <w:shd w:val="clear" w:color="auto" w:fill="FFFFFF"/>
          <w:lang w:eastAsia="en-GB"/>
        </w:rPr>
        <w:t>was defined</w:t>
      </w:r>
      <w:r w:rsidR="00DA748E">
        <w:rPr>
          <w:rFonts w:eastAsia="Times New Roman"/>
          <w:color w:val="000000"/>
          <w:spacing w:val="2"/>
          <w:shd w:val="clear" w:color="auto" w:fill="FFFFFF"/>
          <w:lang w:eastAsia="en-GB"/>
        </w:rPr>
        <w:t xml:space="preserve"> (</w:t>
      </w:r>
      <w:r w:rsidR="00DA748E">
        <w:rPr>
          <w:rFonts w:eastAsia="Times New Roman"/>
          <w:color w:val="000000"/>
          <w:spacing w:val="2"/>
          <w:shd w:val="clear" w:color="auto" w:fill="FFFFFF"/>
          <w:lang w:eastAsia="en-GB"/>
        </w:rPr>
        <w:fldChar w:fldCharType="begin"/>
      </w:r>
      <w:r w:rsidR="00DA748E">
        <w:rPr>
          <w:rFonts w:eastAsia="Times New Roman"/>
          <w:color w:val="000000"/>
          <w:spacing w:val="2"/>
          <w:shd w:val="clear" w:color="auto" w:fill="FFFFFF"/>
          <w:lang w:eastAsia="en-GB"/>
        </w:rPr>
        <w:instrText xml:space="preserve"> REF _Ref518738258 \n </w:instrText>
      </w:r>
      <w:r w:rsidR="00DA748E">
        <w:rPr>
          <w:rFonts w:eastAsia="Times New Roman"/>
          <w:color w:val="000000"/>
          <w:spacing w:val="2"/>
          <w:shd w:val="clear" w:color="auto" w:fill="FFFFFF"/>
          <w:lang w:eastAsia="en-GB"/>
        </w:rPr>
        <w:fldChar w:fldCharType="separate"/>
      </w:r>
      <w:r w:rsidR="00DA748E">
        <w:rPr>
          <w:rFonts w:eastAsia="Times New Roman"/>
          <w:color w:val="000000"/>
          <w:spacing w:val="2"/>
          <w:shd w:val="clear" w:color="auto" w:fill="FFFFFF"/>
          <w:lang w:eastAsia="en-GB"/>
        </w:rPr>
        <w:t>Chapter 3</w:t>
      </w:r>
      <w:r w:rsidR="00DA748E">
        <w:rPr>
          <w:rFonts w:eastAsia="Times New Roman"/>
          <w:color w:val="000000"/>
          <w:spacing w:val="2"/>
          <w:shd w:val="clear" w:color="auto" w:fill="FFFFFF"/>
          <w:lang w:eastAsia="en-GB"/>
        </w:rPr>
        <w:fldChar w:fldCharType="end"/>
      </w:r>
      <w:r w:rsidR="00DA748E">
        <w:rPr>
          <w:rFonts w:eastAsia="Times New Roman"/>
          <w:color w:val="000000"/>
          <w:spacing w:val="2"/>
          <w:shd w:val="clear" w:color="auto" w:fill="FFFFFF"/>
          <w:lang w:eastAsia="en-GB"/>
        </w:rPr>
        <w:t>)</w:t>
      </w:r>
      <w:r w:rsidR="00EE1C9E">
        <w:rPr>
          <w:rFonts w:eastAsia="Times New Roman"/>
          <w:color w:val="000000"/>
          <w:spacing w:val="2"/>
          <w:shd w:val="clear" w:color="auto" w:fill="FFFFFF"/>
          <w:lang w:eastAsia="en-GB"/>
        </w:rPr>
        <w:t xml:space="preserve">. Following </w:t>
      </w:r>
      <w:r w:rsidR="00DA748E">
        <w:rPr>
          <w:rFonts w:eastAsia="Times New Roman"/>
          <w:color w:val="000000"/>
          <w:spacing w:val="2"/>
          <w:shd w:val="clear" w:color="auto" w:fill="FFFFFF"/>
          <w:lang w:eastAsia="en-GB"/>
        </w:rPr>
        <w:t xml:space="preserve">from this </w:t>
      </w:r>
      <w:r w:rsidRPr="008B3AD6">
        <w:rPr>
          <w:rFonts w:eastAsia="Times New Roman"/>
          <w:color w:val="000000"/>
          <w:spacing w:val="2"/>
          <w:shd w:val="clear" w:color="auto" w:fill="FFFFFF"/>
          <w:lang w:eastAsia="en-GB"/>
        </w:rPr>
        <w:t>a simplistic mathematical model describing the hepatic immu</w:t>
      </w:r>
      <w:r w:rsidR="00422FE2" w:rsidRPr="008B3AD6">
        <w:rPr>
          <w:rFonts w:eastAsia="Times New Roman"/>
          <w:color w:val="000000"/>
          <w:spacing w:val="2"/>
          <w:shd w:val="clear" w:color="auto" w:fill="FFFFFF"/>
          <w:lang w:eastAsia="en-GB"/>
        </w:rPr>
        <w:t xml:space="preserve">ne response </w:t>
      </w:r>
      <w:r w:rsidR="00DA748E">
        <w:rPr>
          <w:rFonts w:eastAsia="Times New Roman"/>
          <w:color w:val="000000"/>
          <w:spacing w:val="2"/>
          <w:shd w:val="clear" w:color="auto" w:fill="FFFFFF"/>
          <w:lang w:eastAsia="en-GB"/>
        </w:rPr>
        <w:t>was</w:t>
      </w:r>
      <w:r w:rsidR="00422FE2" w:rsidRPr="008B3AD6">
        <w:rPr>
          <w:rFonts w:eastAsia="Times New Roman"/>
          <w:color w:val="000000"/>
          <w:spacing w:val="2"/>
          <w:shd w:val="clear" w:color="auto" w:fill="FFFFFF"/>
          <w:lang w:eastAsia="en-GB"/>
        </w:rPr>
        <w:t xml:space="preserve"> characterised</w:t>
      </w:r>
      <w:r w:rsidR="00DA748E">
        <w:rPr>
          <w:rFonts w:eastAsia="Times New Roman"/>
          <w:color w:val="000000"/>
          <w:spacing w:val="2"/>
          <w:shd w:val="clear" w:color="auto" w:fill="FFFFFF"/>
          <w:lang w:eastAsia="en-GB"/>
        </w:rPr>
        <w:t xml:space="preserve"> (</w:t>
      </w:r>
      <w:r w:rsidR="00DA748E">
        <w:rPr>
          <w:rFonts w:eastAsia="Times New Roman"/>
          <w:color w:val="000000"/>
          <w:spacing w:val="2"/>
          <w:shd w:val="clear" w:color="auto" w:fill="FFFFFF"/>
          <w:lang w:eastAsia="en-GB"/>
        </w:rPr>
        <w:fldChar w:fldCharType="begin"/>
      </w:r>
      <w:r w:rsidR="00DA748E">
        <w:rPr>
          <w:rFonts w:eastAsia="Times New Roman"/>
          <w:color w:val="000000"/>
          <w:spacing w:val="2"/>
          <w:shd w:val="clear" w:color="auto" w:fill="FFFFFF"/>
          <w:lang w:eastAsia="en-GB"/>
        </w:rPr>
        <w:instrText xml:space="preserve"> REF _Ref519000859 \n </w:instrText>
      </w:r>
      <w:r w:rsidR="00DA748E">
        <w:rPr>
          <w:rFonts w:eastAsia="Times New Roman"/>
          <w:color w:val="000000"/>
          <w:spacing w:val="2"/>
          <w:shd w:val="clear" w:color="auto" w:fill="FFFFFF"/>
          <w:lang w:eastAsia="en-GB"/>
        </w:rPr>
        <w:fldChar w:fldCharType="separate"/>
      </w:r>
      <w:r w:rsidR="00DA748E">
        <w:rPr>
          <w:rFonts w:eastAsia="Times New Roman"/>
          <w:color w:val="000000"/>
          <w:spacing w:val="2"/>
          <w:shd w:val="clear" w:color="auto" w:fill="FFFFFF"/>
          <w:lang w:eastAsia="en-GB"/>
        </w:rPr>
        <w:t>Chapter 4</w:t>
      </w:r>
      <w:r w:rsidR="00DA748E">
        <w:rPr>
          <w:rFonts w:eastAsia="Times New Roman"/>
          <w:color w:val="000000"/>
          <w:spacing w:val="2"/>
          <w:shd w:val="clear" w:color="auto" w:fill="FFFFFF"/>
          <w:lang w:eastAsia="en-GB"/>
        </w:rPr>
        <w:fldChar w:fldCharType="end"/>
      </w:r>
      <w:r w:rsidR="00DA748E">
        <w:rPr>
          <w:rFonts w:eastAsia="Times New Roman"/>
          <w:color w:val="000000"/>
          <w:spacing w:val="2"/>
          <w:shd w:val="clear" w:color="auto" w:fill="FFFFFF"/>
          <w:lang w:eastAsia="en-GB"/>
        </w:rPr>
        <w:t>)</w:t>
      </w:r>
      <w:r w:rsidR="00422FE2" w:rsidRPr="008B3AD6">
        <w:rPr>
          <w:rFonts w:eastAsia="Times New Roman"/>
          <w:color w:val="000000"/>
          <w:spacing w:val="2"/>
          <w:shd w:val="clear" w:color="auto" w:fill="FFFFFF"/>
          <w:lang w:eastAsia="en-GB"/>
        </w:rPr>
        <w:t xml:space="preserve">. However, the mechanisms controlling granuloma drug accumulation have yet to be characterised. </w:t>
      </w:r>
      <w:r w:rsidR="00DA748E">
        <w:rPr>
          <w:rFonts w:eastAsia="Times New Roman"/>
          <w:color w:val="000000"/>
          <w:spacing w:val="2"/>
          <w:shd w:val="clear" w:color="auto" w:fill="FFFFFF"/>
          <w:lang w:eastAsia="en-GB"/>
        </w:rPr>
        <w:t>I</w:t>
      </w:r>
      <w:r w:rsidR="00422FE2" w:rsidRPr="008B3AD6">
        <w:rPr>
          <w:rFonts w:eastAsia="Times New Roman"/>
          <w:color w:val="000000"/>
          <w:spacing w:val="2"/>
          <w:shd w:val="clear" w:color="auto" w:fill="FFFFFF"/>
          <w:lang w:eastAsia="en-GB"/>
        </w:rPr>
        <w:t xml:space="preserve">nvestigations </w:t>
      </w:r>
      <w:r w:rsidR="00DA748E">
        <w:rPr>
          <w:rFonts w:eastAsia="Times New Roman"/>
          <w:color w:val="000000"/>
          <w:spacing w:val="2"/>
          <w:shd w:val="clear" w:color="auto" w:fill="FFFFFF"/>
          <w:lang w:eastAsia="en-GB"/>
        </w:rPr>
        <w:t xml:space="preserve">in published literature </w:t>
      </w:r>
      <w:r w:rsidR="00422FE2" w:rsidRPr="008B3AD6">
        <w:rPr>
          <w:rFonts w:eastAsia="Times New Roman"/>
          <w:color w:val="000000"/>
          <w:spacing w:val="2"/>
          <w:shd w:val="clear" w:color="auto" w:fill="FFFFFF"/>
          <w:lang w:eastAsia="en-GB"/>
        </w:rPr>
        <w:t xml:space="preserve">either focus solely on immunological mechanisms or whole tissue drug distribution, a marrying of the two has yet to be investigated. To this end the </w:t>
      </w:r>
      <w:r w:rsidR="0048123D" w:rsidRPr="008B3AD6">
        <w:rPr>
          <w:rFonts w:eastAsia="Times New Roman"/>
          <w:color w:val="000000"/>
          <w:spacing w:val="2"/>
          <w:shd w:val="clear" w:color="auto" w:fill="FFFFFF"/>
          <w:lang w:eastAsia="en-GB"/>
        </w:rPr>
        <w:t xml:space="preserve">mathematical model from </w:t>
      </w:r>
      <w:r w:rsidR="0048123D" w:rsidRPr="008B3AD6">
        <w:rPr>
          <w:rFonts w:eastAsia="Times New Roman"/>
          <w:color w:val="000000"/>
          <w:spacing w:val="2"/>
          <w:shd w:val="clear" w:color="auto" w:fill="FFFFFF"/>
          <w:lang w:eastAsia="en-GB"/>
        </w:rPr>
        <w:fldChar w:fldCharType="begin"/>
      </w:r>
      <w:r w:rsidR="0048123D" w:rsidRPr="008B3AD6">
        <w:rPr>
          <w:rFonts w:eastAsia="Times New Roman"/>
          <w:color w:val="000000"/>
          <w:spacing w:val="2"/>
          <w:shd w:val="clear" w:color="auto" w:fill="FFFFFF"/>
          <w:lang w:eastAsia="en-GB"/>
        </w:rPr>
        <w:instrText xml:space="preserve"> REF _Ref519000859 \n </w:instrText>
      </w:r>
      <w:r w:rsidR="008B3AD6">
        <w:rPr>
          <w:rFonts w:eastAsia="Times New Roman"/>
          <w:color w:val="000000"/>
          <w:spacing w:val="2"/>
          <w:shd w:val="clear" w:color="auto" w:fill="FFFFFF"/>
          <w:lang w:eastAsia="en-GB"/>
        </w:rPr>
        <w:instrText xml:space="preserve"> \* MERGEFORMAT </w:instrText>
      </w:r>
      <w:r w:rsidR="0048123D" w:rsidRPr="008B3AD6">
        <w:rPr>
          <w:rFonts w:eastAsia="Times New Roman"/>
          <w:color w:val="000000"/>
          <w:spacing w:val="2"/>
          <w:shd w:val="clear" w:color="auto" w:fill="FFFFFF"/>
          <w:lang w:eastAsia="en-GB"/>
        </w:rPr>
        <w:fldChar w:fldCharType="separate"/>
      </w:r>
      <w:r w:rsidR="00031DCA">
        <w:rPr>
          <w:rFonts w:eastAsia="Times New Roman"/>
          <w:color w:val="000000"/>
          <w:spacing w:val="2"/>
          <w:shd w:val="clear" w:color="auto" w:fill="FFFFFF"/>
          <w:lang w:eastAsia="en-GB"/>
        </w:rPr>
        <w:t>Chapter 4</w:t>
      </w:r>
      <w:r w:rsidR="0048123D" w:rsidRPr="008B3AD6">
        <w:rPr>
          <w:rFonts w:eastAsia="Times New Roman"/>
          <w:color w:val="000000"/>
          <w:spacing w:val="2"/>
          <w:shd w:val="clear" w:color="auto" w:fill="FFFFFF"/>
          <w:lang w:eastAsia="en-GB"/>
        </w:rPr>
        <w:fldChar w:fldCharType="end"/>
      </w:r>
      <w:r w:rsidR="0048123D" w:rsidRPr="008B3AD6">
        <w:rPr>
          <w:rFonts w:eastAsia="Times New Roman"/>
          <w:color w:val="000000"/>
          <w:spacing w:val="2"/>
          <w:shd w:val="clear" w:color="auto" w:fill="FFFFFF"/>
          <w:lang w:eastAsia="en-GB"/>
        </w:rPr>
        <w:t xml:space="preserve"> served as the foundation for the inclusion of pharmacological processes which could describe the accumulation of </w:t>
      </w:r>
      <w:r w:rsidR="00A32111">
        <w:rPr>
          <w:rFonts w:eastAsia="Times New Roman"/>
          <w:color w:val="000000"/>
          <w:spacing w:val="2"/>
          <w:shd w:val="clear" w:color="auto" w:fill="FFFFFF"/>
          <w:lang w:eastAsia="en-GB"/>
        </w:rPr>
        <w:t>AmB</w:t>
      </w:r>
      <w:r w:rsidR="0048123D" w:rsidRPr="008B3AD6">
        <w:rPr>
          <w:rFonts w:eastAsia="Times New Roman"/>
          <w:color w:val="000000"/>
          <w:spacing w:val="2"/>
          <w:shd w:val="clear" w:color="auto" w:fill="FFFFFF"/>
          <w:lang w:eastAsia="en-GB"/>
        </w:rPr>
        <w:t xml:space="preserve"> in leukocytes and the subsequent effect on parasite load.</w:t>
      </w:r>
    </w:p>
    <w:p w14:paraId="736AAFD3" w14:textId="77777777" w:rsidR="001021DC" w:rsidRPr="008B3AD6" w:rsidRDefault="001021DC" w:rsidP="00CF08E5">
      <w:pPr>
        <w:spacing w:line="360" w:lineRule="auto"/>
        <w:jc w:val="both"/>
        <w:rPr>
          <w:rFonts w:eastAsia="Times New Roman"/>
          <w:color w:val="000000"/>
          <w:spacing w:val="2"/>
          <w:shd w:val="clear" w:color="auto" w:fill="FFFFFF"/>
          <w:lang w:eastAsia="en-GB"/>
        </w:rPr>
      </w:pPr>
    </w:p>
    <w:p w14:paraId="0CF5AE80" w14:textId="20AD5645" w:rsidR="001021DC" w:rsidRPr="008B3AD6" w:rsidRDefault="001021DC" w:rsidP="00CF08E5">
      <w:pPr>
        <w:spacing w:line="360" w:lineRule="auto"/>
        <w:jc w:val="both"/>
        <w:rPr>
          <w:rFonts w:eastAsia="Times New Roman"/>
          <w:color w:val="000000"/>
          <w:spacing w:val="2"/>
          <w:shd w:val="clear" w:color="auto" w:fill="FFFFFF"/>
          <w:lang w:eastAsia="en-GB"/>
        </w:rPr>
      </w:pPr>
      <w:r w:rsidRPr="008B3AD6">
        <w:rPr>
          <w:rFonts w:eastAsia="Times New Roman"/>
          <w:color w:val="000000"/>
          <w:spacing w:val="2"/>
          <w:shd w:val="clear" w:color="auto" w:fill="FFFFFF"/>
          <w:lang w:eastAsia="en-GB"/>
        </w:rPr>
        <w:t xml:space="preserve">Within this chapter the </w:t>
      </w:r>
      <w:r w:rsidR="00422FE2" w:rsidRPr="008B3AD6">
        <w:rPr>
          <w:rFonts w:eastAsia="Times New Roman"/>
          <w:color w:val="000000"/>
          <w:spacing w:val="2"/>
          <w:shd w:val="clear" w:color="auto" w:fill="FFFFFF"/>
          <w:lang w:eastAsia="en-GB"/>
        </w:rPr>
        <w:t xml:space="preserve">previously described </w:t>
      </w:r>
      <w:r w:rsidRPr="008B3AD6">
        <w:rPr>
          <w:rFonts w:eastAsia="Times New Roman"/>
          <w:color w:val="000000"/>
          <w:spacing w:val="2"/>
          <w:shd w:val="clear" w:color="auto" w:fill="FFFFFF"/>
          <w:lang w:eastAsia="en-GB"/>
        </w:rPr>
        <w:t xml:space="preserve">mathematical model was re-examined to ensure its suitability for extension to include pharmacological processes. </w:t>
      </w:r>
      <w:r w:rsidR="00DA748E">
        <w:rPr>
          <w:rFonts w:eastAsia="Times New Roman"/>
          <w:color w:val="000000"/>
          <w:spacing w:val="2"/>
          <w:shd w:val="clear" w:color="auto" w:fill="FFFFFF"/>
          <w:lang w:eastAsia="en-GB"/>
        </w:rPr>
        <w:t xml:space="preserve">A reiteration of the CoSMoS </w:t>
      </w:r>
      <w:r w:rsidR="00FC23A0">
        <w:rPr>
          <w:rFonts w:eastAsia="Times New Roman"/>
          <w:color w:val="000000"/>
          <w:spacing w:val="2"/>
          <w:shd w:val="clear" w:color="auto" w:fill="FFFFFF"/>
          <w:lang w:eastAsia="en-GB"/>
        </w:rPr>
        <w:t xml:space="preserve">process </w:t>
      </w:r>
      <w:r w:rsidR="00DA748E">
        <w:rPr>
          <w:rFonts w:eastAsia="Times New Roman"/>
          <w:color w:val="000000"/>
          <w:spacing w:val="2"/>
          <w:shd w:val="clear" w:color="auto" w:fill="FFFFFF"/>
          <w:lang w:eastAsia="en-GB"/>
        </w:rPr>
        <w:t xml:space="preserve">carried out in this chapter identified a new platform model specification that is more representative of the domain model </w:t>
      </w:r>
      <w:r w:rsidR="00CF08E5" w:rsidRPr="008B3AD6">
        <w:rPr>
          <w:rFonts w:eastAsia="Times New Roman"/>
          <w:color w:val="000000"/>
          <w:spacing w:val="2"/>
          <w:shd w:val="clear" w:color="auto" w:fill="FFFFFF"/>
          <w:lang w:eastAsia="en-GB"/>
        </w:rPr>
        <w:t xml:space="preserve">with regards to T cell and myeloid cell population. The platform model was </w:t>
      </w:r>
      <w:r w:rsidR="00DA748E">
        <w:rPr>
          <w:rFonts w:eastAsia="Times New Roman"/>
          <w:color w:val="000000"/>
          <w:spacing w:val="2"/>
          <w:shd w:val="clear" w:color="auto" w:fill="FFFFFF"/>
          <w:lang w:eastAsia="en-GB"/>
        </w:rPr>
        <w:t>re-</w:t>
      </w:r>
      <w:r w:rsidR="00CF08E5" w:rsidRPr="008B3AD6">
        <w:rPr>
          <w:rFonts w:eastAsia="Times New Roman"/>
          <w:color w:val="000000"/>
          <w:spacing w:val="2"/>
          <w:shd w:val="clear" w:color="auto" w:fill="FFFFFF"/>
          <w:lang w:eastAsia="en-GB"/>
        </w:rPr>
        <w:t>implemented with</w:t>
      </w:r>
      <w:r w:rsidR="00DA748E">
        <w:rPr>
          <w:rFonts w:eastAsia="Times New Roman"/>
          <w:color w:val="000000"/>
          <w:spacing w:val="2"/>
          <w:shd w:val="clear" w:color="auto" w:fill="FFFFFF"/>
          <w:lang w:eastAsia="en-GB"/>
        </w:rPr>
        <w:t xml:space="preserve"> these</w:t>
      </w:r>
      <w:r w:rsidR="00CF08E5" w:rsidRPr="008B3AD6">
        <w:rPr>
          <w:rFonts w:eastAsia="Times New Roman"/>
          <w:color w:val="000000"/>
          <w:spacing w:val="2"/>
          <w:shd w:val="clear" w:color="auto" w:fill="FFFFFF"/>
          <w:lang w:eastAsia="en-GB"/>
        </w:rPr>
        <w:t xml:space="preserve"> </w:t>
      </w:r>
      <w:r w:rsidR="00DA748E">
        <w:rPr>
          <w:rFonts w:eastAsia="Times New Roman"/>
          <w:color w:val="000000"/>
          <w:spacing w:val="2"/>
          <w:shd w:val="clear" w:color="auto" w:fill="FFFFFF"/>
          <w:lang w:eastAsia="en-GB"/>
        </w:rPr>
        <w:t>new</w:t>
      </w:r>
      <w:r w:rsidR="00CF08E5" w:rsidRPr="008B3AD6">
        <w:rPr>
          <w:rFonts w:eastAsia="Times New Roman"/>
          <w:color w:val="000000"/>
          <w:spacing w:val="2"/>
          <w:shd w:val="clear" w:color="auto" w:fill="FFFFFF"/>
          <w:lang w:eastAsia="en-GB"/>
        </w:rPr>
        <w:t xml:space="preserve"> processes describing T cell and myeloid cell </w:t>
      </w:r>
      <w:r w:rsidR="001105D7" w:rsidRPr="008B3AD6">
        <w:rPr>
          <w:rFonts w:eastAsia="Times New Roman"/>
          <w:color w:val="000000"/>
          <w:spacing w:val="2"/>
          <w:shd w:val="clear" w:color="auto" w:fill="FFFFFF"/>
          <w:lang w:eastAsia="en-GB"/>
        </w:rPr>
        <w:t xml:space="preserve">influx, proliferation and death/exit from the system. This was then calibrated through the use of a multi-objective algorithm. Following on from this pharmacokinetic data </w:t>
      </w:r>
      <w:r w:rsidR="00407D15">
        <w:rPr>
          <w:rFonts w:eastAsia="Times New Roman"/>
          <w:color w:val="000000"/>
          <w:spacing w:val="2"/>
          <w:shd w:val="clear" w:color="auto" w:fill="FFFFFF"/>
          <w:lang w:eastAsia="en-GB"/>
        </w:rPr>
        <w:t>were</w:t>
      </w:r>
      <w:r w:rsidR="00407D15" w:rsidRPr="008B3AD6">
        <w:rPr>
          <w:rFonts w:eastAsia="Times New Roman"/>
          <w:color w:val="000000"/>
          <w:spacing w:val="2"/>
          <w:shd w:val="clear" w:color="auto" w:fill="FFFFFF"/>
          <w:lang w:eastAsia="en-GB"/>
        </w:rPr>
        <w:t xml:space="preserve"> </w:t>
      </w:r>
      <w:r w:rsidR="001105D7" w:rsidRPr="008B3AD6">
        <w:rPr>
          <w:rFonts w:eastAsia="Times New Roman"/>
          <w:color w:val="000000"/>
          <w:spacing w:val="2"/>
          <w:shd w:val="clear" w:color="auto" w:fill="FFFFFF"/>
          <w:lang w:eastAsia="en-GB"/>
        </w:rPr>
        <w:t xml:space="preserve">adapted to align with the simplified entities described in the model. A </w:t>
      </w:r>
      <w:r w:rsidR="00DA748E">
        <w:rPr>
          <w:rFonts w:eastAsia="Times New Roman"/>
          <w:color w:val="000000"/>
          <w:spacing w:val="2"/>
          <w:shd w:val="clear" w:color="auto" w:fill="FFFFFF"/>
          <w:lang w:eastAsia="en-GB"/>
        </w:rPr>
        <w:t>further</w:t>
      </w:r>
      <w:r w:rsidR="001105D7" w:rsidRPr="008B3AD6">
        <w:rPr>
          <w:rFonts w:eastAsia="Times New Roman"/>
          <w:color w:val="000000"/>
          <w:spacing w:val="2"/>
          <w:shd w:val="clear" w:color="auto" w:fill="FFFFFF"/>
          <w:lang w:eastAsia="en-GB"/>
        </w:rPr>
        <w:t xml:space="preserve"> iteration of the CoSMoS process was </w:t>
      </w:r>
      <w:r w:rsidR="00DA748E">
        <w:rPr>
          <w:rFonts w:eastAsia="Times New Roman"/>
          <w:color w:val="000000"/>
          <w:spacing w:val="2"/>
          <w:shd w:val="clear" w:color="auto" w:fill="FFFFFF"/>
          <w:lang w:eastAsia="en-GB"/>
        </w:rPr>
        <w:t>undertaken with the aim of</w:t>
      </w:r>
      <w:r w:rsidR="001105D7" w:rsidRPr="008B3AD6">
        <w:rPr>
          <w:rFonts w:eastAsia="Times New Roman"/>
          <w:color w:val="000000"/>
          <w:spacing w:val="2"/>
          <w:shd w:val="clear" w:color="auto" w:fill="FFFFFF"/>
          <w:lang w:eastAsia="en-GB"/>
        </w:rPr>
        <w:t xml:space="preserve"> describing the domain behaviours of </w:t>
      </w:r>
      <w:r w:rsidR="00A32111">
        <w:rPr>
          <w:rFonts w:eastAsia="Times New Roman"/>
          <w:color w:val="000000"/>
          <w:spacing w:val="2"/>
          <w:shd w:val="clear" w:color="auto" w:fill="FFFFFF"/>
          <w:lang w:eastAsia="en-GB"/>
        </w:rPr>
        <w:t>AmB</w:t>
      </w:r>
      <w:r w:rsidR="001105D7" w:rsidRPr="008B3AD6">
        <w:rPr>
          <w:rFonts w:eastAsia="Times New Roman"/>
          <w:color w:val="000000"/>
          <w:spacing w:val="2"/>
          <w:shd w:val="clear" w:color="auto" w:fill="FFFFFF"/>
          <w:lang w:eastAsia="en-GB"/>
        </w:rPr>
        <w:t xml:space="preserve"> in the liver, which was developed into a platform model and finally implemented as a simulation model. Calibration was attempted to describe the accumulation of </w:t>
      </w:r>
      <w:r w:rsidR="00A32111">
        <w:rPr>
          <w:rFonts w:eastAsia="Times New Roman"/>
          <w:color w:val="000000"/>
          <w:spacing w:val="2"/>
          <w:shd w:val="clear" w:color="auto" w:fill="FFFFFF"/>
          <w:lang w:eastAsia="en-GB"/>
        </w:rPr>
        <w:t>AmB</w:t>
      </w:r>
      <w:r w:rsidR="001105D7" w:rsidRPr="008B3AD6">
        <w:rPr>
          <w:rFonts w:eastAsia="Times New Roman"/>
          <w:color w:val="000000"/>
          <w:spacing w:val="2"/>
          <w:shd w:val="clear" w:color="auto" w:fill="FFFFFF"/>
          <w:lang w:eastAsia="en-GB"/>
        </w:rPr>
        <w:t xml:space="preserve"> for the liver, myeloid cells and T cells.</w:t>
      </w:r>
    </w:p>
    <w:p w14:paraId="32AF5686" w14:textId="77777777" w:rsidR="00422FE2" w:rsidRPr="008B3AD6" w:rsidRDefault="00422FE2" w:rsidP="00CF08E5">
      <w:pPr>
        <w:spacing w:line="360" w:lineRule="auto"/>
        <w:jc w:val="both"/>
        <w:rPr>
          <w:rFonts w:eastAsia="Times New Roman"/>
          <w:color w:val="000000"/>
          <w:spacing w:val="2"/>
          <w:shd w:val="clear" w:color="auto" w:fill="FFFFFF"/>
          <w:lang w:eastAsia="en-GB"/>
        </w:rPr>
      </w:pPr>
    </w:p>
    <w:p w14:paraId="3BB5B4EB" w14:textId="27E16270" w:rsidR="001021DC" w:rsidRPr="008B3AD6" w:rsidRDefault="00422FE2" w:rsidP="00422FE2">
      <w:pPr>
        <w:pStyle w:val="Heading2"/>
        <w:rPr>
          <w:lang w:eastAsia="en-GB"/>
        </w:rPr>
      </w:pPr>
      <w:bookmarkStart w:id="550" w:name="_Toc3716114"/>
      <w:r w:rsidRPr="008B3AD6">
        <w:rPr>
          <w:shd w:val="clear" w:color="auto" w:fill="FFFFFF"/>
          <w:lang w:eastAsia="en-GB"/>
        </w:rPr>
        <w:t>Aims</w:t>
      </w:r>
      <w:bookmarkEnd w:id="550"/>
    </w:p>
    <w:p w14:paraId="226E8792" w14:textId="3CEDADEC" w:rsidR="00622F4A" w:rsidRPr="008B3AD6" w:rsidRDefault="0048123D" w:rsidP="00622F4A">
      <w:pPr>
        <w:spacing w:line="360" w:lineRule="auto"/>
        <w:jc w:val="both"/>
      </w:pPr>
      <w:r w:rsidRPr="008B3AD6">
        <w:t xml:space="preserve">The aims of this chapter were to </w:t>
      </w:r>
      <w:r w:rsidR="00C63A4A" w:rsidRPr="008B3AD6">
        <w:t xml:space="preserve">design and implement a hybridisation of </w:t>
      </w:r>
      <w:r w:rsidR="00A32111">
        <w:t>AmB</w:t>
      </w:r>
      <w:r w:rsidR="00C63A4A" w:rsidRPr="008B3AD6">
        <w:t xml:space="preserve">’s pharmacological </w:t>
      </w:r>
      <w:r w:rsidR="000377F6">
        <w:t>characteristics</w:t>
      </w:r>
      <w:r w:rsidR="00C63A4A" w:rsidRPr="008B3AD6">
        <w:t xml:space="preserve"> into the previously described mathematical model of the immune response to </w:t>
      </w:r>
      <w:r w:rsidR="00D538EF" w:rsidRPr="008B3AD6">
        <w:t xml:space="preserve">hepatic </w:t>
      </w:r>
      <w:r w:rsidR="00D538EF" w:rsidRPr="008B3AD6">
        <w:rPr>
          <w:i/>
        </w:rPr>
        <w:t>L. donovani</w:t>
      </w:r>
      <w:r w:rsidR="00D538EF" w:rsidRPr="008B3AD6">
        <w:t xml:space="preserve"> infection. Proceeding </w:t>
      </w:r>
      <w:r w:rsidR="000377F6">
        <w:t>from this</w:t>
      </w:r>
      <w:r w:rsidR="00D538EF" w:rsidRPr="008B3AD6">
        <w:t xml:space="preserve"> hybridisation, the next aim was to utilise this new model to identify and investigate the processes influencing drug accumulation within leukocytes and the subsequent effects of parasite burden.</w:t>
      </w:r>
    </w:p>
    <w:p w14:paraId="78B630B3" w14:textId="73C9CA79" w:rsidR="00A17164" w:rsidRPr="008B3AD6" w:rsidRDefault="0048123D" w:rsidP="00622F4A">
      <w:pPr>
        <w:spacing w:line="360" w:lineRule="auto"/>
        <w:jc w:val="both"/>
      </w:pPr>
      <w:r w:rsidRPr="008B3AD6">
        <w:t xml:space="preserve"> </w:t>
      </w:r>
      <w:r w:rsidR="00A17164" w:rsidRPr="008B3AD6">
        <w:br w:type="page"/>
      </w:r>
    </w:p>
    <w:p w14:paraId="48EA5784" w14:textId="5E4D3182" w:rsidR="00C76BB5" w:rsidRPr="008B3AD6" w:rsidRDefault="00FB3530" w:rsidP="00C76BB5">
      <w:pPr>
        <w:pStyle w:val="Heading2"/>
        <w:rPr>
          <w:rFonts w:eastAsiaTheme="minorHAnsi" w:cs="Times New Roman"/>
          <w:color w:val="auto"/>
          <w:szCs w:val="24"/>
        </w:rPr>
      </w:pPr>
      <w:bookmarkStart w:id="551" w:name="_Toc3716115"/>
      <w:r w:rsidRPr="008B3AD6">
        <w:rPr>
          <w:rFonts w:eastAsiaTheme="minorHAnsi" w:cs="Times New Roman"/>
          <w:color w:val="auto"/>
          <w:szCs w:val="24"/>
        </w:rPr>
        <w:lastRenderedPageBreak/>
        <w:t>Results</w:t>
      </w:r>
      <w:bookmarkEnd w:id="551"/>
    </w:p>
    <w:p w14:paraId="07F9181A" w14:textId="307ECD4D" w:rsidR="00B05B5E" w:rsidRPr="008B3AD6" w:rsidRDefault="00C76BB5" w:rsidP="00B05B5E">
      <w:pPr>
        <w:pStyle w:val="Heading3"/>
      </w:pPr>
      <w:bookmarkStart w:id="552" w:name="_Ref523784587"/>
      <w:bookmarkStart w:id="553" w:name="_Toc3716116"/>
      <w:r w:rsidRPr="008B3AD6">
        <w:t>Updating the proposed model</w:t>
      </w:r>
      <w:bookmarkEnd w:id="552"/>
      <w:bookmarkEnd w:id="553"/>
    </w:p>
    <w:p w14:paraId="437FB51A" w14:textId="0610D710" w:rsidR="0051027A" w:rsidRPr="008B3AD6" w:rsidRDefault="00B05B5E" w:rsidP="00FB3530">
      <w:pPr>
        <w:spacing w:line="360" w:lineRule="auto"/>
        <w:jc w:val="both"/>
      </w:pPr>
      <w:r w:rsidRPr="008B3AD6">
        <w:t xml:space="preserve">When contrasting the parasite burdens and </w:t>
      </w:r>
      <w:r w:rsidR="00D22C76" w:rsidRPr="008B3AD6">
        <w:t>lymphoid cell</w:t>
      </w:r>
      <w:r w:rsidRPr="008B3AD6">
        <w:t xml:space="preserve"> kinetics shown in a </w:t>
      </w:r>
      <w:r w:rsidR="00A32111">
        <w:t>AmB</w:t>
      </w:r>
      <w:r w:rsidRPr="008B3AD6">
        <w:t xml:space="preserve"> cleared infection (</w:t>
      </w:r>
      <w:r w:rsidR="0074700A">
        <w:rPr>
          <w:b/>
        </w:rPr>
        <w:fldChar w:fldCharType="begin"/>
      </w:r>
      <w:r w:rsidR="0074700A">
        <w:rPr>
          <w:b/>
        </w:rPr>
        <w:instrText xml:space="preserve"> REF _Ref518932550  \* MERGEFORMAT </w:instrText>
      </w:r>
      <w:r w:rsidR="0074700A">
        <w:rPr>
          <w:b/>
        </w:rPr>
        <w:fldChar w:fldCharType="separate"/>
      </w:r>
      <w:r w:rsidR="00921CAF" w:rsidRPr="00921CAF">
        <w:rPr>
          <w:b/>
        </w:rPr>
        <w:t xml:space="preserve">Figure </w:t>
      </w:r>
      <w:r w:rsidR="00921CAF" w:rsidRPr="00921CAF">
        <w:rPr>
          <w:b/>
          <w:noProof/>
        </w:rPr>
        <w:t>3.12</w:t>
      </w:r>
      <w:r w:rsidR="0074700A">
        <w:rPr>
          <w:b/>
          <w:noProof/>
        </w:rPr>
        <w:fldChar w:fldCharType="end"/>
      </w:r>
      <w:r w:rsidRPr="008B3AD6">
        <w:t xml:space="preserve"> and </w:t>
      </w:r>
      <w:r w:rsidR="0074700A">
        <w:rPr>
          <w:b/>
        </w:rPr>
        <w:fldChar w:fldCharType="begin"/>
      </w:r>
      <w:r w:rsidR="0074700A">
        <w:rPr>
          <w:b/>
        </w:rPr>
        <w:instrText xml:space="preserve"> REF _Ref518932911  \* MERGEFORMAT </w:instrText>
      </w:r>
      <w:r w:rsidR="0074700A">
        <w:rPr>
          <w:b/>
        </w:rPr>
        <w:fldChar w:fldCharType="separate"/>
      </w:r>
      <w:r w:rsidR="00921CAF" w:rsidRPr="00921CAF">
        <w:rPr>
          <w:b/>
        </w:rPr>
        <w:t xml:space="preserve">Figure </w:t>
      </w:r>
      <w:r w:rsidR="00921CAF" w:rsidRPr="00921CAF">
        <w:rPr>
          <w:b/>
          <w:noProof/>
        </w:rPr>
        <w:t>3.14</w:t>
      </w:r>
      <w:r w:rsidR="0074700A">
        <w:rPr>
          <w:b/>
          <w:noProof/>
        </w:rPr>
        <w:fldChar w:fldCharType="end"/>
      </w:r>
      <w:r w:rsidRPr="008B3AD6">
        <w:t xml:space="preserve"> respectively) and a naturally resolving infection (</w:t>
      </w:r>
      <w:r w:rsidR="0074700A">
        <w:rPr>
          <w:b/>
        </w:rPr>
        <w:fldChar w:fldCharType="begin"/>
      </w:r>
      <w:r w:rsidR="0074700A">
        <w:rPr>
          <w:b/>
        </w:rPr>
        <w:instrText xml:space="preserve"> REF _Ref518564273  \* MERGEFORMAT </w:instrText>
      </w:r>
      <w:r w:rsidR="0074700A">
        <w:rPr>
          <w:b/>
        </w:rPr>
        <w:fldChar w:fldCharType="separate"/>
      </w:r>
      <w:r w:rsidR="00921CAF" w:rsidRPr="00921CAF">
        <w:rPr>
          <w:b/>
        </w:rPr>
        <w:t xml:space="preserve">Figure </w:t>
      </w:r>
      <w:r w:rsidR="00921CAF" w:rsidRPr="00921CAF">
        <w:rPr>
          <w:b/>
          <w:noProof/>
        </w:rPr>
        <w:t>4.5</w:t>
      </w:r>
      <w:r w:rsidR="0074700A">
        <w:rPr>
          <w:b/>
          <w:noProof/>
        </w:rPr>
        <w:fldChar w:fldCharType="end"/>
      </w:r>
      <w:r w:rsidR="00BC2360" w:rsidRPr="008B3AD6">
        <w:t xml:space="preserve"> </w:t>
      </w:r>
      <w:r w:rsidRPr="008B3AD6">
        <w:t xml:space="preserve">and </w:t>
      </w:r>
      <w:r w:rsidR="0074700A">
        <w:rPr>
          <w:b/>
        </w:rPr>
        <w:fldChar w:fldCharType="begin"/>
      </w:r>
      <w:r w:rsidR="0074700A">
        <w:rPr>
          <w:b/>
        </w:rPr>
        <w:instrText xml:space="preserve"> REF _Ref518563598  \* MERGEFORMAT </w:instrText>
      </w:r>
      <w:r w:rsidR="0074700A">
        <w:rPr>
          <w:b/>
        </w:rPr>
        <w:fldChar w:fldCharType="separate"/>
      </w:r>
      <w:r w:rsidR="00921CAF" w:rsidRPr="00921CAF">
        <w:rPr>
          <w:b/>
        </w:rPr>
        <w:t xml:space="preserve">Figure </w:t>
      </w:r>
      <w:r w:rsidR="00921CAF" w:rsidRPr="00921CAF">
        <w:rPr>
          <w:b/>
          <w:noProof/>
        </w:rPr>
        <w:t>4.3</w:t>
      </w:r>
      <w:r w:rsidR="0074700A">
        <w:rPr>
          <w:b/>
          <w:noProof/>
        </w:rPr>
        <w:fldChar w:fldCharType="end"/>
      </w:r>
      <w:r w:rsidRPr="008B3AD6">
        <w:t xml:space="preserve"> respectively) a differing relationship between the two populations is seen. </w:t>
      </w:r>
      <w:r w:rsidR="00D22C76" w:rsidRPr="008B3AD6">
        <w:t xml:space="preserve"> Naturally occurring infections maintain higher levels of lymphoid cells when parasite is cleared</w:t>
      </w:r>
      <w:r w:rsidR="000377F6">
        <w:t>.</w:t>
      </w:r>
      <w:r w:rsidR="00D22C76" w:rsidRPr="008B3AD6">
        <w:t xml:space="preserve"> </w:t>
      </w:r>
      <w:r w:rsidR="000377F6">
        <w:t>In contrast,</w:t>
      </w:r>
      <w:r w:rsidR="00D22C76" w:rsidRPr="008B3AD6">
        <w:t xml:space="preserve"> drug cleared infections appear to show a decline in lymphoid cells 72hrs after drug treatment, </w:t>
      </w:r>
      <w:r w:rsidR="001D3008" w:rsidRPr="008B3AD6">
        <w:t xml:space="preserve">when parasites levels are low. </w:t>
      </w:r>
      <w:r w:rsidR="007B3BB5" w:rsidRPr="008B3AD6">
        <w:t>Our domain model of T cells (</w:t>
      </w:r>
      <w:r w:rsidR="0074700A">
        <w:rPr>
          <w:b/>
        </w:rPr>
        <w:fldChar w:fldCharType="begin"/>
      </w:r>
      <w:r w:rsidR="0074700A">
        <w:rPr>
          <w:b/>
        </w:rPr>
        <w:instrText xml:space="preserve"> REF _Ref518570184  \* MERGEFORMAT </w:instrText>
      </w:r>
      <w:r w:rsidR="0074700A">
        <w:rPr>
          <w:b/>
        </w:rPr>
        <w:fldChar w:fldCharType="separate"/>
      </w:r>
      <w:r w:rsidR="00921CAF" w:rsidRPr="00921CAF">
        <w:rPr>
          <w:b/>
        </w:rPr>
        <w:t xml:space="preserve">Figure </w:t>
      </w:r>
      <w:r w:rsidR="00921CAF" w:rsidRPr="00921CAF">
        <w:rPr>
          <w:b/>
          <w:noProof/>
        </w:rPr>
        <w:t>4.7</w:t>
      </w:r>
      <w:r w:rsidR="0074700A">
        <w:rPr>
          <w:b/>
          <w:noProof/>
        </w:rPr>
        <w:fldChar w:fldCharType="end"/>
      </w:r>
      <w:r w:rsidR="007B3BB5" w:rsidRPr="008B3AD6">
        <w:t>)</w:t>
      </w:r>
      <w:r w:rsidR="009168D0" w:rsidRPr="008B3AD6">
        <w:t xml:space="preserve"> states that antigenic stimulation plays a role in T cell population maintenance</w:t>
      </w:r>
      <w:r w:rsidR="00415A68" w:rsidRPr="008B3AD6">
        <w:t xml:space="preserve"> and this may partially explain</w:t>
      </w:r>
      <w:r w:rsidR="009168D0" w:rsidRPr="008B3AD6">
        <w:t xml:space="preserve"> the differing relationships, if we hypothesis that drug clearance leads to a higher level of </w:t>
      </w:r>
      <w:r w:rsidR="00415A68" w:rsidRPr="008B3AD6">
        <w:t xml:space="preserve">sterilisation </w:t>
      </w:r>
      <w:r w:rsidR="00DA748E">
        <w:fldChar w:fldCharType="begin"/>
      </w:r>
      <w:r w:rsidR="001E0E9E">
        <w:instrText xml:space="preserve"> ADDIN ZOTERO_ITEM CSL_CITATION {"citationID":"jKYlsK9U","properties":{"formattedCitation":"(Voak et al. 2018)","plainCitation":"(Voak et al. 2018)","noteIndex":0},"citationItems":[{"id":3044,"uris":["http://zotero.org/users/2628971/items/A2VZPFQ2"],"uri":["http://zotero.org/users/2628971/items/A2VZPFQ2"],"itemData":{"id":3044,"type":"article-journal","title":"Pharmacodynamics and cellular accumulation of amphotericin B and miltefosine in Leishmania donovani-infected primary macrophages","container-title":"The Journal of Antimicrobial Chemotherapy","page":"1314-1323","volume":"73","issue":"5","source":"PubMed","abstract":"Objectives: We examined the in vitro pharmacodynamics and cellular accumulation of the standard anti-leishmanial drugs amphotericin B and miltefosine in intracellular Leishmania donovani amastigote-macrophage drug assays.\nMethods: Primary mouse macrophages were infected with L. donovani amastigotes. In time-kill assays infected macrophages were exposed to at least six different concentrations of serially diluted drugs and the percentage of infected macrophages was determined after 6, 12, 24, 48, 72 and 120 h of exposure. Cellular drug accumulation was measured following exposure to highly effective drug concentrations for 1, 6, 24, 48 and 72 h. Data were analysed through a mathematical model, relating drug concentration to the percentage of infected cells over time. Host cell membrane damage was evaluated through measurement of lactate dehydrogenase release. The effect of varying the serum and albumin concentrations in medium on the cellular accumulation levels of miltefosine was measured.\nResults: Amphotericin B was more potent than miltefosine (EC50 values of 0.65 and 1.26 μM, respectively) and displayed a wider therapeutic window in vitro. The kinetics of the cellular accumulation of amphotericin B was concentration- and formulation-dependent. At an extracellular concentration of 10 μM miltefosine maximum cellular drug levels preceded maximum anti-leishmanial kill. Miltefosine induced membrane damage in a concentration-, time- and serum-dependent manner. Its cellular accumulation levels increased with decreasing amounts of protein in assay medium.\nConclusions: We have developed a novel approach to investigate the cellular pharmacology of anti-leishmanial drugs that serves as a model for the characterization of new drug candidates.","DOI":"10.1093/jac/dky014","ISSN":"1460-2091","note":"PMID: 29506127\nPMCID: PMC5909632","journalAbbreviation":"J. Antimicrob. Chemother.","language":"eng","author":[{"family":"Voak","given":"Andrew A."},{"family":"Standing","given":"Joseph F."},{"family":"Sepúlveda","given":"Nuno"},{"family":"Harris","given":"Andy"},{"family":"Croft","given":"Simon L."},{"family":"Seifert","given":"Karin"}],"issued":{"date-parts":[["2018",5,1]]}}}],"schema":"https://github.com/citation-style-language/schema/raw/master/csl-citation.json"} </w:instrText>
      </w:r>
      <w:r w:rsidR="00DA748E">
        <w:fldChar w:fldCharType="separate"/>
      </w:r>
      <w:r w:rsidR="001E0E9E" w:rsidRPr="001E0E9E">
        <w:rPr>
          <w:lang w:val="en-US"/>
        </w:rPr>
        <w:t>(Voak et al. 2018)</w:t>
      </w:r>
      <w:r w:rsidR="00DA748E">
        <w:fldChar w:fldCharType="end"/>
      </w:r>
      <w:r w:rsidR="00DD0376" w:rsidRPr="008B3AD6">
        <w:t xml:space="preserve"> and thus less presentation of </w:t>
      </w:r>
      <w:r w:rsidR="00DD0376" w:rsidRPr="008B3AD6">
        <w:rPr>
          <w:i/>
        </w:rPr>
        <w:t>Leishmania</w:t>
      </w:r>
      <w:r w:rsidR="00DD0376" w:rsidRPr="008B3AD6">
        <w:t xml:space="preserve"> antigens</w:t>
      </w:r>
      <w:r w:rsidR="00415A68" w:rsidRPr="008B3AD6">
        <w:t xml:space="preserve">. </w:t>
      </w:r>
      <w:r w:rsidR="00445BAB" w:rsidRPr="008B3AD6">
        <w:t>Additionally, when considering the mechanisms of population maintenance for both myeloid</w:t>
      </w:r>
      <w:r w:rsidR="00DA748E">
        <w:t xml:space="preserve"> cells</w:t>
      </w:r>
      <w:r w:rsidR="00445BAB" w:rsidRPr="008B3AD6">
        <w:t xml:space="preserve"> and </w:t>
      </w:r>
      <w:r w:rsidR="00DA748E">
        <w:t>KCs</w:t>
      </w:r>
      <w:r w:rsidR="00445BAB" w:rsidRPr="008B3AD6">
        <w:t xml:space="preserve"> in the domain model (</w:t>
      </w:r>
      <w:r w:rsidR="0074700A">
        <w:rPr>
          <w:b/>
        </w:rPr>
        <w:fldChar w:fldCharType="begin"/>
      </w:r>
      <w:r w:rsidR="0074700A">
        <w:rPr>
          <w:b/>
        </w:rPr>
        <w:instrText xml:space="preserve"> REF _Ref518571036  \* MERGEFORMAT </w:instrText>
      </w:r>
      <w:r w:rsidR="0074700A">
        <w:rPr>
          <w:b/>
        </w:rPr>
        <w:fldChar w:fldCharType="separate"/>
      </w:r>
      <w:r w:rsidR="00921CAF" w:rsidRPr="00921CAF">
        <w:rPr>
          <w:b/>
        </w:rPr>
        <w:t xml:space="preserve">Figure </w:t>
      </w:r>
      <w:r w:rsidR="00921CAF" w:rsidRPr="00921CAF">
        <w:rPr>
          <w:b/>
          <w:noProof/>
        </w:rPr>
        <w:t>4.11</w:t>
      </w:r>
      <w:r w:rsidR="0074700A">
        <w:rPr>
          <w:b/>
          <w:noProof/>
        </w:rPr>
        <w:fldChar w:fldCharType="end"/>
      </w:r>
      <w:r w:rsidR="00445BAB" w:rsidRPr="008B3AD6">
        <w:t xml:space="preserve"> and </w:t>
      </w:r>
      <w:r w:rsidR="0074700A">
        <w:rPr>
          <w:b/>
        </w:rPr>
        <w:fldChar w:fldCharType="begin"/>
      </w:r>
      <w:r w:rsidR="0074700A">
        <w:rPr>
          <w:b/>
        </w:rPr>
        <w:instrText xml:space="preserve"> REF _Ref518571892  \* MERGEFORMAT </w:instrText>
      </w:r>
      <w:r w:rsidR="0074700A">
        <w:rPr>
          <w:b/>
        </w:rPr>
        <w:fldChar w:fldCharType="separate"/>
      </w:r>
      <w:r w:rsidR="00921CAF" w:rsidRPr="00921CAF">
        <w:rPr>
          <w:b/>
        </w:rPr>
        <w:t xml:space="preserve">Figure </w:t>
      </w:r>
      <w:r w:rsidR="00921CAF" w:rsidRPr="00921CAF">
        <w:rPr>
          <w:b/>
          <w:noProof/>
        </w:rPr>
        <w:t>4.15</w:t>
      </w:r>
      <w:r w:rsidR="0074700A">
        <w:rPr>
          <w:b/>
          <w:noProof/>
        </w:rPr>
        <w:fldChar w:fldCharType="end"/>
      </w:r>
      <w:r w:rsidR="00445BAB" w:rsidRPr="008B3AD6">
        <w:t xml:space="preserve"> respectively)  we see that  population growth</w:t>
      </w:r>
      <w:r w:rsidR="00DA748E">
        <w:t xml:space="preserve"> </w:t>
      </w:r>
      <w:r w:rsidR="001D3008" w:rsidRPr="008B3AD6">
        <w:t xml:space="preserve">is not </w:t>
      </w:r>
      <w:r w:rsidR="00DA748E">
        <w:t xml:space="preserve">explicitly </w:t>
      </w:r>
      <w:r w:rsidR="001D3008" w:rsidRPr="008B3AD6">
        <w:t xml:space="preserve">a basal behaviour and </w:t>
      </w:r>
      <w:r w:rsidR="00DA748E">
        <w:t xml:space="preserve">can </w:t>
      </w:r>
      <w:r w:rsidR="001D3008" w:rsidRPr="008B3AD6">
        <w:t>require additional inputs to occur. On this basis the original platform model</w:t>
      </w:r>
      <w:r w:rsidR="00DA748E">
        <w:t xml:space="preserve"> specification</w:t>
      </w:r>
      <w:r w:rsidR="001D3008" w:rsidRPr="008B3AD6">
        <w:t xml:space="preserve"> describing T cell and myeloid cell behaviours pertaining to population growth (</w:t>
      </w:r>
      <w:r w:rsidR="00FB09BC" w:rsidRPr="008B3AD6">
        <w:rPr>
          <w:b/>
        </w:rPr>
        <w:fldChar w:fldCharType="begin"/>
      </w:r>
      <w:r w:rsidR="00FB09BC" w:rsidRPr="008B3AD6">
        <w:rPr>
          <w:b/>
        </w:rPr>
        <w:instrText xml:space="preserve"> REF _Ref518634254  \* MERGEFORMAT </w:instrText>
      </w:r>
      <w:r w:rsidR="00FB09BC" w:rsidRPr="008B3AD6">
        <w:rPr>
          <w:b/>
        </w:rPr>
        <w:fldChar w:fldCharType="separate"/>
      </w:r>
      <w:r w:rsidR="00921CAF" w:rsidRPr="00921CAF">
        <w:rPr>
          <w:b/>
        </w:rPr>
        <w:t xml:space="preserve">Figure </w:t>
      </w:r>
      <w:r w:rsidR="00921CAF" w:rsidRPr="00921CAF">
        <w:rPr>
          <w:b/>
          <w:noProof/>
        </w:rPr>
        <w:t>4.18</w:t>
      </w:r>
      <w:r w:rsidR="00FB09BC" w:rsidRPr="008B3AD6">
        <w:rPr>
          <w:b/>
          <w:noProof/>
        </w:rPr>
        <w:fldChar w:fldCharType="end"/>
      </w:r>
      <w:r w:rsidR="001D3008" w:rsidRPr="008B3AD6">
        <w:t xml:space="preserve"> and </w:t>
      </w:r>
      <w:r w:rsidR="0074700A">
        <w:rPr>
          <w:b/>
        </w:rPr>
        <w:fldChar w:fldCharType="begin"/>
      </w:r>
      <w:r w:rsidR="0074700A">
        <w:rPr>
          <w:b/>
        </w:rPr>
        <w:instrText xml:space="preserve"> REF _Ref518634477  \* MERGEFORMAT </w:instrText>
      </w:r>
      <w:r w:rsidR="0074700A">
        <w:rPr>
          <w:b/>
        </w:rPr>
        <w:fldChar w:fldCharType="separate"/>
      </w:r>
      <w:r w:rsidR="00921CAF" w:rsidRPr="00921CAF">
        <w:rPr>
          <w:b/>
        </w:rPr>
        <w:t xml:space="preserve">Figure </w:t>
      </w:r>
      <w:r w:rsidR="00921CAF" w:rsidRPr="00921CAF">
        <w:rPr>
          <w:b/>
          <w:noProof/>
        </w:rPr>
        <w:t>4.19</w:t>
      </w:r>
      <w:r w:rsidR="0074700A">
        <w:rPr>
          <w:b/>
          <w:noProof/>
        </w:rPr>
        <w:fldChar w:fldCharType="end"/>
      </w:r>
      <w:r w:rsidR="001D3008" w:rsidRPr="008B3AD6">
        <w:t xml:space="preserve">) is inadequate to describe the observed phenomena of population growth. </w:t>
      </w:r>
    </w:p>
    <w:p w14:paraId="5CD98877" w14:textId="4679E6A3" w:rsidR="0051027A" w:rsidRPr="008B3AD6" w:rsidRDefault="0051027A" w:rsidP="00FB3530">
      <w:pPr>
        <w:spacing w:line="360" w:lineRule="auto"/>
        <w:jc w:val="both"/>
      </w:pPr>
    </w:p>
    <w:p w14:paraId="35CEC6A1" w14:textId="2BECD0CF" w:rsidR="006260DC" w:rsidRPr="008B3AD6" w:rsidRDefault="0074700A" w:rsidP="00FB3530">
      <w:pPr>
        <w:spacing w:line="360" w:lineRule="auto"/>
        <w:jc w:val="both"/>
      </w:pPr>
      <w:r>
        <w:rPr>
          <w:b/>
        </w:rPr>
        <w:fldChar w:fldCharType="begin"/>
      </w:r>
      <w:r>
        <w:rPr>
          <w:b/>
        </w:rPr>
        <w:instrText xml:space="preserve"> REF _Ref522617715  \* MERGEFORMAT </w:instrText>
      </w:r>
      <w:r>
        <w:rPr>
          <w:b/>
        </w:rPr>
        <w:fldChar w:fldCharType="separate"/>
      </w:r>
      <w:r w:rsidR="00921CAF" w:rsidRPr="00921CAF">
        <w:rPr>
          <w:b/>
        </w:rPr>
        <w:t xml:space="preserve">Figure </w:t>
      </w:r>
      <w:r w:rsidR="00921CAF" w:rsidRPr="00921CAF">
        <w:rPr>
          <w:b/>
          <w:noProof/>
        </w:rPr>
        <w:t>5.1</w:t>
      </w:r>
      <w:r>
        <w:rPr>
          <w:b/>
          <w:noProof/>
        </w:rPr>
        <w:fldChar w:fldCharType="end"/>
      </w:r>
      <w:r w:rsidR="0051027A" w:rsidRPr="008B3AD6">
        <w:t xml:space="preserve"> </w:t>
      </w:r>
      <w:r w:rsidR="00055AA2" w:rsidRPr="008B3AD6">
        <w:t>shows the</w:t>
      </w:r>
      <w:r w:rsidR="0051027A" w:rsidRPr="008B3AD6">
        <w:t xml:space="preserve"> updated domain model for all entities originally described in </w:t>
      </w:r>
      <w:r w:rsidR="0051027A" w:rsidRPr="008B3AD6">
        <w:fldChar w:fldCharType="begin"/>
      </w:r>
      <w:r w:rsidR="0051027A" w:rsidRPr="008B3AD6">
        <w:instrText xml:space="preserve"> REF _Ref519000859 \n </w:instrText>
      </w:r>
      <w:r w:rsidR="00FB3530" w:rsidRPr="008B3AD6">
        <w:instrText xml:space="preserve"> \* MERGEFORMAT </w:instrText>
      </w:r>
      <w:r w:rsidR="0051027A" w:rsidRPr="008B3AD6">
        <w:fldChar w:fldCharType="separate"/>
      </w:r>
      <w:r w:rsidR="00031DCA">
        <w:t>Chapter 4</w:t>
      </w:r>
      <w:r w:rsidR="0051027A" w:rsidRPr="008B3AD6">
        <w:fldChar w:fldCharType="end"/>
      </w:r>
      <w:r w:rsidR="00055AA2" w:rsidRPr="008B3AD6">
        <w:t xml:space="preserve">. The initial assumption that T cells and myeloid cells grow in a density-dependent manner is removed and replaced with proportional growth dependent on the number of infected </w:t>
      </w:r>
      <w:r w:rsidR="00DA748E">
        <w:t xml:space="preserve">myeloid </w:t>
      </w:r>
      <w:r w:rsidR="00055AA2" w:rsidRPr="008B3AD6">
        <w:t xml:space="preserve">cells present, additional population growth occurs through the influx of both these cell groups into the liver. </w:t>
      </w:r>
      <w:r w:rsidR="00315D17" w:rsidRPr="008B3AD6">
        <w:t xml:space="preserve">T cell proliferation in response to antigen recognition has been </w:t>
      </w:r>
      <w:r w:rsidR="00000EC4">
        <w:t xml:space="preserve">highly investigated </w:t>
      </w:r>
      <w:r w:rsidR="001C2763" w:rsidRPr="008B3AD6">
        <w:t xml:space="preserve">and for an infection system, where the </w:t>
      </w:r>
      <w:r w:rsidR="00AA42BE" w:rsidRPr="008B3AD6">
        <w:t>system</w:t>
      </w:r>
      <w:r w:rsidR="001C2763" w:rsidRPr="008B3AD6">
        <w:t xml:space="preserve"> has had no previous exposure</w:t>
      </w:r>
      <w:r w:rsidR="00AA42BE" w:rsidRPr="008B3AD6">
        <w:t xml:space="preserve"> to the pathogen</w:t>
      </w:r>
      <w:r w:rsidR="001C2763" w:rsidRPr="008B3AD6">
        <w:t xml:space="preserve">, can be broadly explained as the proliferation and differentiation of T cells upon contact with foreign antigen </w:t>
      </w:r>
      <w:r w:rsidR="00DA748E">
        <w:fldChar w:fldCharType="begin"/>
      </w:r>
      <w:r w:rsidR="001E0E9E">
        <w:instrText xml:space="preserve"> ADDIN ZOTERO_ITEM CSL_CITATION {"citationID":"17ISKoTr","properties":{"formattedCitation":"(Sprent et al. 2000)","plainCitation":"(Sprent et al. 2000)","noteIndex":0},"citationItems":[{"id":3506,"uris":["http://zotero.org/users/2628971/items/U5VKERLV"],"uri":["http://zotero.org/users/2628971/items/U5VKERLV"],"itemData":{"id":3506,"type":"article-journal","title":"T-cell proliferation in vivo and the role of cytokines.","container-title":"Philosophical Transactions of the Royal Society B: Biological Sciences","page":"317-322","volume":"355","issue":"1395","source":"PubMed Central","abstract":"Unlike typical naive T cells, T cells with an activated (CD44hi) memory phenotype show a rapid rate of proliferation in vivo. The turnover of memory-phenotype CD8+ T cells can be considerably augmented by injecting mice with various compounds, including polyinosinic polycytidylic acid, lipopolysaccharide and immunostimulatory DNA (CpG DNA). Certain cytokines, notably type I (alpha, beta) interferons (IFN-I), have a similar effect. These agents appear to induce proliferation of CD44hi CD8+ cells in vivo by an indirect process involving production of effector cytokines, possibly interleukin-15, by antigen-presenting cells. Although none of the agents tested induces proliferation of naive-phenotype T cells, IFN-I has the capacity to cause upregulation of surface markers on purified naive T cells. Depending upon the experimental conditions used, IFN-I can either inhibit or enhance primary responses of naive T cells to specific antigen.","ISSN":"0962-8436","note":"PMID: 10794049\nPMCID: PMC1692740","journalAbbreviation":"Philos Trans R Soc Lond B Biol Sci","author":[{"family":"Sprent","given":"J"},{"family":"Zhang","given":"X"},{"family":"Sun","given":"S"},{"family":"Tough","given":"D"}],"issued":{"date-parts":[["2000",3,29]]}}}],"schema":"https://github.com/citation-style-language/schema/raw/master/csl-citation.json"} </w:instrText>
      </w:r>
      <w:r w:rsidR="00DA748E">
        <w:fldChar w:fldCharType="separate"/>
      </w:r>
      <w:r w:rsidR="001E0E9E" w:rsidRPr="001E0E9E">
        <w:rPr>
          <w:lang w:val="en-US"/>
        </w:rPr>
        <w:t>(Sprent et al. 2000)</w:t>
      </w:r>
      <w:r w:rsidR="00DA748E">
        <w:fldChar w:fldCharType="end"/>
      </w:r>
      <w:r w:rsidR="001C2763" w:rsidRPr="008B3AD6">
        <w:t xml:space="preserve">. Previous studies have </w:t>
      </w:r>
      <w:r w:rsidR="0017757F" w:rsidRPr="008B3AD6">
        <w:t xml:space="preserve">shown antigenic presentation to T cells does occur during infection with cutaneous and visceral species of </w:t>
      </w:r>
      <w:r w:rsidR="0017757F" w:rsidRPr="008B3AD6">
        <w:rPr>
          <w:i/>
        </w:rPr>
        <w:t>Leishmania</w:t>
      </w:r>
      <w:r w:rsidR="0017757F" w:rsidRPr="008B3AD6">
        <w:t xml:space="preserve"> </w:t>
      </w:r>
      <w:r w:rsidR="00DA748E">
        <w:fldChar w:fldCharType="begin"/>
      </w:r>
      <w:r w:rsidR="001E0E9E">
        <w:instrText xml:space="preserve"> ADDIN ZOTERO_ITEM CSL_CITATION {"citationID":"CENn6Yfi","properties":{"formattedCitation":"(P. M. Kaye et al. 1992; P. E. Kima, Ruddle, and McMahon-Pratt 1997; Bertholet et al. 2006; Bunn et al. 2014a)","plainCitation":"(P. M. Kaye et al. 1992; P. E. Kima, Ruddle, and McMahon-Pratt 1997; Bertholet et al. 2006; Bunn et al. 2014a)","noteIndex":0},"citationItems":[{"id":3503,"uris":["http://zotero.org/users/2628971/items/6RUJCSU5"],"uri":["http://zotero.org/users/2628971/items/6RUJCSU5"],"itemData":{"id":3503,"type":"article-journal","title":"Altered course of visceral leishmaniasis in mice expressing transgenic I-E molecules","container-title":"European Journal of Immunology","page":"357-364","volume":"22","issue":"2","source":"PubMed","abstract":"Previous studies had shown that the outcome of infection with Leishmania donovani was exquisitely sensitive to the influence of the major histocompatibility complex. In this study, we have examined the course of infection in non-obese diabetic (NOD) and NOD-E-3 mice, the latter expressing an I-E molecule as a result of transgenic introduction of the wild-type Ed alpha gene. Introduction of this transgene significantly altered the course of infection allowing for enhanced parasite multiplication in the viscera from day 14 to day 28. This was associated with both a delayed and reduced tissue granulomatous response in NOD-E-3 mice. In vitro, spleen cells from these mice produced equivalent levels of interferon (IFN)-gamma during the early phase of infection but this originated from populations having a different balance of T cells subsets. In NOD mice CD8+ T cells contribute substantially to the total levels of IFN-gamma produced, but in transgenic mice the contribution from this subset is significantly decreased. This is reflected in a reduction in the proportion of Leishmania-specific CD8+ T cells, which could only partially be accounted for by deletion of V beta 5- and V beta 3-expressing CD8+ T cells in NOD-E-3 mice. This study highlights the impact of the introduction of a class II gene product on disease outcome and unexpectedly on the functional potential of CD8+ T cells.","DOI":"10.1002/eji.1830220211","ISSN":"0014-2980","note":"PMID: 1347011","journalAbbreviation":"Eur. J. Immunol.","language":"eng","author":[{"family":"Kaye","given":"P. M."},{"family":"Cooke","given":"A."},{"family":"Lund","given":"T."},{"family":"Wattie","given":"M."},{"family":"Blackwell","given":"J. M."}],"issued":{"date-parts":[["1992",2]]}}},{"id":3504,"uris":["http://zotero.org/users/2628971/items/QLIIAKBP"],"uri":["http://zotero.org/users/2628971/items/QLIIAKBP"],"itemData":{"id":3504,"type":"article-journal","title":"Presentation via the class I pathway by Leishmania amazonensis-infected macrophages of an endogenous leishmanial antigen to CD8+ T cells","container-title":"Journal of Immunology (Baltimore, Md.: 1950)","page":"1828-1834","volume":"159","issue":"4","source":"PubMed","abstract":"CD8+ T cells play a protective role in immunity to cutaneous leishmaniasis. However, it has been unclear how these cells execute this function, since results from several investigations attempting to demonstrate recognition of Leishmania-infected macrophages by CD8+ T cells have been contradictory. In this study, we report the generation of CD8+ T cell lines specific for GP46/M-2, a leishmanial Ag, previously shown to protectively immunize mice against a Leishmania amazonensis challenge. Using T cell cytolysis and IFN-gamma production to assess CD8+ T cell activation, we show that in addition to recognizing mammalian cells transfected with GP46/M-2, these CD8+ T cell lines also recognize macrophages infected with Leishmania amazonensis. MHC class I presentation of GP46/M-2 by infected macrophages can be blocked by treatment with brefeldin A and also by inhibitors of the cytosolic multicatalytic proteasome, N-acetyl-L-leucinyl-L-leucinal-L-norleucinal and N-acetyl-L-leucinyl-L-leucinylmethional. These results suggest that this leishmanial Ag is processed in the macrophage cytoplasm and is presented to CD8+ T cells via the classical pathway of MHC class I presentation. The relevance of these findings as they impact on our understanding of the biology of the parasite within the macrophage is discussed.","ISSN":"0022-1767","note":"PMID: 9257846","journalAbbreviation":"J. Immunol.","language":"eng","author":[{"family":"Kima","given":"P. E."},{"family":"Ruddle","given":"N. H."},{"family":"McMahon-Pratt","given":"D."}],"issued":{"date-parts":[["1997",8,15]]}}},{"id":3505,"uris":["http://zotero.org/users/2628971/items/X9YWQMCJ"],"uri":["http://zotero.org/users/2628971/items/X9YWQMCJ"],"itemData":{"id":3505,"type":"article-journal","title":"Leishmania antigens are presented to CD8+ T cells by a transporter associated with antigen processing-independent pathway in vitro and in vivo","container-title":"Journal of Immunology (Baltimore, Md.: 1950)","page":"3525-3533","volume":"177","issue":"6","source":"PubMed","abstract":"CD8+ T cells are generated in response to Leishmania major (Lm) or Toxoplasma gondii parasitic infections, indicating that exogenously delivered Ag can be processed for presentation by MHC class I molecules. We show that presentation of Lm nucleotidase (NT)-OVA is TAP independent in vivo and in vitro, and is inhibited by chloroquine, but not by proteasome inhibitors. In contrast, the presentation of T. gondii P30-OVA relies on the TAP/proteasome pathway. Presentation of OVA- or rNT-OVA-coated beads also bypassed TAP requirement above a certain Ag threshold. TAP was also dispensable for the presentation of wild-type Lm Ags to primed CD8+ T cells in vitro. Finally, in vivo priming of CD8+ T cells involved in acquired resistance to Lm was not compromised in TAP-deficient mice. Thus, Leishmania Ags appear to be confined to an intraphagosomal processing pathway that requires higher concentrations of Ags, suggesting that these parasites may have evolved strategies to impair the efficient endoplasmic reticulum-based, TAP-dependent cross-presentation pathway to avoid or delay CD8+ T cell priming.","ISSN":"0022-1767","note":"PMID: 16951311","journalAbbreviation":"J. Immunol.","language":"eng","author":[{"family":"Bertholet","given":"Sylvie"},{"family":"Goldszmid","given":"Romina"},{"family":"Morrot","given":"Alexandre"},{"family":"Debrabant","given":"Alain"},{"family":"Afrin","given":"Farhat"},{"family":"Collazo-Custodio","given":"Carmen"},{"family":"Houde","given":"Mathieu"},{"family":"Desjardins","given":"Michel"},{"family":"Sher","given":"Alan"},{"family":"Sacks","given":"David"}],"issued":{"date-parts":[["2006",9,15]]}}},{"id":2551,"uris":["http://zotero.org/users/2628971/items/5Z2UUKXA"],"uri":["http://zotero.org/users/2628971/items/5Z2UUKXA"],"itemData":{"id":2551,"type":"article-journal","title":"Tissue requirements for establishing long-term CD4+ T cell-mediated immunity following Leishmania donovani infection","container-title":"Journal of Immunology (Baltimore, Md.: 1950)","page":"3709-3718","volume":"192","issue":"8","source":"PubMed","abstract":"Organ-specific immunity is a feature of many infectious diseases, including visceral leishmaniasis caused by Leishmania donovani. Experimental visceral leishmaniasis in genetically susceptible mice is characterized by an acute, resolving infection in the liver and chronic infection in the spleen. CD4+ T cell responses are critical for the establishment and maintenance of hepatic immunity in this disease model, but their role in chronically infected spleens remains unclear. In this study, we show that dendritic cells are critical for CD4+ T cell activation and expansion in all tissue sites examined. We found that FTY720-mediated blockade of T cell trafficking early in infection prevented Ag-specific CD4+ T cells from appearing in lymph nodes, but not the spleen and liver, suggesting that early CD4+ T cell priming does not occur in liver-draining lymph nodes. Extended treatment with FTY720 over the first month of infection increased parasite burdens, although this associated with blockade of lymphocyte egress from secondary lymphoid tissue, as well as with more generalized splenic lymphopenia. Importantly, we demonstrate that CD4+ T cells are required for the establishment and maintenance of antiparasitic immunity in the liver, as well as for immune surveillance and suppression of parasite outgrowth in chronically infected spleens. Finally, although early CD4+ T cell priming appeared to occur most effectively in the spleen, we unexpectedly revealed that protective CD4+ T cell-mediated hepatic immunity could be generated in the complete absence of all secondary lymphoid tissues.","DOI":"10.4049/jimmunol.1300768","ISSN":"1550-6606","note":"PMID: 24634490","journalAbbreviation":"J. Immunol.","language":"eng","author":[{"family":"Bunn","given":"Patrick T."},{"family":"Stanley","given":"Amanda C."},{"family":"Labastida Rivera","given":"Fabian","non-dropping-particle":"de"},{"family":"Mulherin","given":"Alexander"},{"family":"Sheel","given":"Meru"},{"family":"Alexander","given":"Clare E."},{"family":"Faleiro","given":"Rebecca J."},{"family":"Amante","given":"Fiona H."},{"family":"Montes De Oca","given":"Marcela"},{"family":"Best","given":"Shannon E."},{"family":"James","given":"Kylie R."},{"family":"Kaye","given":"Paul M."},{"family":"Haque","given":"Ashraful"},{"family":"Engwerda","given":"Christian R."}],"issued":{"date-parts":[["2014",4,15]]}}}],"schema":"https://github.com/citation-style-language/schema/raw/master/csl-citation.json"} </w:instrText>
      </w:r>
      <w:r w:rsidR="00DA748E">
        <w:fldChar w:fldCharType="separate"/>
      </w:r>
      <w:r w:rsidR="001E0E9E" w:rsidRPr="001E0E9E">
        <w:rPr>
          <w:lang w:val="en-US"/>
        </w:rPr>
        <w:t>(Kaye et al. 1992; Kima, Ruddle, and McMahon-Pratt 1997; Bertholet et al. 2006; Bunn et al. 2014)</w:t>
      </w:r>
      <w:r w:rsidR="00DA748E">
        <w:fldChar w:fldCharType="end"/>
      </w:r>
      <w:r w:rsidR="0017757F" w:rsidRPr="008B3AD6">
        <w:t xml:space="preserve"> and thus here </w:t>
      </w:r>
      <w:r w:rsidR="00FB3530" w:rsidRPr="008B3AD6">
        <w:t>represent</w:t>
      </w:r>
      <w:r w:rsidR="0017757F" w:rsidRPr="008B3AD6">
        <w:t xml:space="preserve"> that T cells proliferate proportionally to the number of infected myeloid cells, as a representation of available antigen. </w:t>
      </w:r>
      <w:r w:rsidR="008C08B0" w:rsidRPr="008B3AD6">
        <w:t>Additionally, treatment</w:t>
      </w:r>
      <w:r w:rsidR="006260DC" w:rsidRPr="008B3AD6">
        <w:t xml:space="preserve"> of mice infected with </w:t>
      </w:r>
      <w:r w:rsidR="006260DC" w:rsidRPr="008B3AD6">
        <w:rPr>
          <w:i/>
        </w:rPr>
        <w:t>L. donovani</w:t>
      </w:r>
      <w:r w:rsidR="006260DC" w:rsidRPr="008B3AD6">
        <w:t xml:space="preserve"> </w:t>
      </w:r>
      <w:r w:rsidR="008C08B0" w:rsidRPr="008B3AD6">
        <w:t xml:space="preserve">using FTY720, an immunomodulator that prevents recirculation of T cells in the lymphatics and blood, showed a decrease in the abundance of mononuclear cells in the liver, suggesting a role for external </w:t>
      </w:r>
      <w:r w:rsidR="008C08B0" w:rsidRPr="008B3AD6">
        <w:lastRenderedPageBreak/>
        <w:t xml:space="preserve">migration into the liver </w:t>
      </w:r>
      <w:r w:rsidR="0091551E">
        <w:fldChar w:fldCharType="begin"/>
      </w:r>
      <w:r w:rsidR="001E0E9E">
        <w:instrText xml:space="preserve"> ADDIN ZOTERO_ITEM CSL_CITATION {"citationID":"icpVpne8","properties":{"formattedCitation":"(Bunn et al. 2014a)","plainCitation":"(Bunn et al. 2014a)","noteIndex":0},"citationItems":[{"id":2551,"uris":["http://zotero.org/users/2628971/items/5Z2UUKXA"],"uri":["http://zotero.org/users/2628971/items/5Z2UUKXA"],"itemData":{"id":2551,"type":"article-journal","title":"Tissue requirements for establishing long-term CD4+ T cell-mediated immunity following Leishmania donovani infection","container-title":"Journal of Immunology (Baltimore, Md.: 1950)","page":"3709-3718","volume":"192","issue":"8","source":"PubMed","abstract":"Organ-specific immunity is a feature of many infectious diseases, including visceral leishmaniasis caused by Leishmania donovani. Experimental visceral leishmaniasis in genetically susceptible mice is characterized by an acute, resolving infection in the liver and chronic infection in the spleen. CD4+ T cell responses are critical for the establishment and maintenance of hepatic immunity in this disease model, but their role in chronically infected spleens remains unclear. In this study, we show that dendritic cells are critical for CD4+ T cell activation and expansion in all tissue sites examined. We found that FTY720-mediated blockade of T cell trafficking early in infection prevented Ag-specific CD4+ T cells from appearing in lymph nodes, but not the spleen and liver, suggesting that early CD4+ T cell priming does not occur in liver-draining lymph nodes. Extended treatment with FTY720 over the first month of infection increased parasite burdens, although this associated with blockade of lymphocyte egress from secondary lymphoid tissue, as well as with more generalized splenic lymphopenia. Importantly, we demonstrate that CD4+ T cells are required for the establishment and maintenance of antiparasitic immunity in the liver, as well as for immune surveillance and suppression of parasite outgrowth in chronically infected spleens. Finally, although early CD4+ T cell priming appeared to occur most effectively in the spleen, we unexpectedly revealed that protective CD4+ T cell-mediated hepatic immunity could be generated in the complete absence of all secondary lymphoid tissues.","DOI":"10.4049/jimmunol.1300768","ISSN":"1550-6606","note":"PMID: 24634490","journalAbbreviation":"J. Immunol.","language":"eng","author":[{"family":"Bunn","given":"Patrick T."},{"family":"Stanley","given":"Amanda C."},{"family":"Labastida Rivera","given":"Fabian","non-dropping-particle":"de"},{"family":"Mulherin","given":"Alexander"},{"family":"Sheel","given":"Meru"},{"family":"Alexander","given":"Clare E."},{"family":"Faleiro","given":"Rebecca J."},{"family":"Amante","given":"Fiona H."},{"family":"Montes De Oca","given":"Marcela"},{"family":"Best","given":"Shannon E."},{"family":"James","given":"Kylie R."},{"family":"Kaye","given":"Paul M."},{"family":"Haque","given":"Ashraful"},{"family":"Engwerda","given":"Christian R."}],"issued":{"date-parts":[["2014",4,15]]}}}],"schema":"https://github.com/citation-style-language/schema/raw/master/csl-citation.json"} </w:instrText>
      </w:r>
      <w:r w:rsidR="0091551E">
        <w:fldChar w:fldCharType="separate"/>
      </w:r>
      <w:r w:rsidR="00921CAF">
        <w:rPr>
          <w:lang w:val="en-US"/>
        </w:rPr>
        <w:t>(Bunn et al. 2014</w:t>
      </w:r>
      <w:r w:rsidR="001E0E9E" w:rsidRPr="001E0E9E">
        <w:rPr>
          <w:lang w:val="en-US"/>
        </w:rPr>
        <w:t>)</w:t>
      </w:r>
      <w:r w:rsidR="0091551E">
        <w:fldChar w:fldCharType="end"/>
      </w:r>
      <w:r w:rsidR="008C08B0" w:rsidRPr="008B3AD6">
        <w:t xml:space="preserve">. To his end T cell influx was also </w:t>
      </w:r>
      <w:r w:rsidR="0091551E">
        <w:rPr>
          <w:noProof/>
        </w:rPr>
        <w:drawing>
          <wp:anchor distT="0" distB="0" distL="114300" distR="114300" simplePos="0" relativeHeight="251782144" behindDoc="0" locked="0" layoutInCell="1" allowOverlap="1" wp14:anchorId="502BBB85" wp14:editId="207C1A78">
            <wp:simplePos x="0" y="0"/>
            <wp:positionH relativeFrom="column">
              <wp:posOffset>-187960</wp:posOffset>
            </wp:positionH>
            <wp:positionV relativeFrom="paragraph">
              <wp:posOffset>630555</wp:posOffset>
            </wp:positionV>
            <wp:extent cx="5938520" cy="3887470"/>
            <wp:effectExtent l="0" t="0" r="5080" b="0"/>
            <wp:wrapTopAndBottom/>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Picture 99"/>
                    <pic:cNvPicPr>
                      <a:picLocks noChangeAspect="1"/>
                    </pic:cNvPicPr>
                  </pic:nvPicPr>
                  <pic:blipFill rotWithShape="1">
                    <a:blip r:embed="rId80">
                      <a:extLst>
                        <a:ext uri="{28A0092B-C50C-407E-A947-70E740481C1C}">
                          <a14:useLocalDpi xmlns:a14="http://schemas.microsoft.com/office/drawing/2010/main" val="0"/>
                        </a:ext>
                      </a:extLst>
                    </a:blip>
                    <a:srcRect l="3710" t="7174" r="4139" b="7562"/>
                    <a:stretch/>
                  </pic:blipFill>
                  <pic:spPr bwMode="auto">
                    <a:xfrm>
                      <a:off x="0" y="0"/>
                      <a:ext cx="5938520" cy="3887470"/>
                    </a:xfrm>
                    <a:prstGeom prst="rect">
                      <a:avLst/>
                    </a:prstGeom>
                    <a:ln>
                      <a:noFill/>
                    </a:ln>
                    <a:extLst>
                      <a:ext uri="{53640926-AAD7-44D8-BBD7-CCE9431645EC}">
                        <a14:shadowObscured xmlns:a14="http://schemas.microsoft.com/office/drawing/2010/main"/>
                      </a:ext>
                    </a:extLst>
                  </pic:spPr>
                </pic:pic>
              </a:graphicData>
            </a:graphic>
          </wp:anchor>
        </w:drawing>
      </w:r>
      <w:r w:rsidR="0091551E">
        <w:rPr>
          <w:noProof/>
        </w:rPr>
        <mc:AlternateContent>
          <mc:Choice Requires="wps">
            <w:drawing>
              <wp:anchor distT="0" distB="0" distL="114300" distR="114300" simplePos="0" relativeHeight="251781120" behindDoc="0" locked="0" layoutInCell="1" allowOverlap="1" wp14:anchorId="135FC8BD" wp14:editId="54102291">
                <wp:simplePos x="0" y="0"/>
                <wp:positionH relativeFrom="column">
                  <wp:posOffset>-187960</wp:posOffset>
                </wp:positionH>
                <wp:positionV relativeFrom="paragraph">
                  <wp:posOffset>4556860</wp:posOffset>
                </wp:positionV>
                <wp:extent cx="5938520" cy="784225"/>
                <wp:effectExtent l="0" t="0" r="5080" b="3175"/>
                <wp:wrapTopAndBottom/>
                <wp:docPr id="97" name="Text Box 97"/>
                <wp:cNvGraphicFramePr/>
                <a:graphic xmlns:a="http://schemas.openxmlformats.org/drawingml/2006/main">
                  <a:graphicData uri="http://schemas.microsoft.com/office/word/2010/wordprocessingShape">
                    <wps:wsp>
                      <wps:cNvSpPr txBox="1"/>
                      <wps:spPr>
                        <a:xfrm>
                          <a:off x="0" y="0"/>
                          <a:ext cx="5938520" cy="784225"/>
                        </a:xfrm>
                        <a:prstGeom prst="rect">
                          <a:avLst/>
                        </a:prstGeom>
                        <a:solidFill>
                          <a:prstClr val="white"/>
                        </a:solidFill>
                        <a:ln>
                          <a:noFill/>
                        </a:ln>
                      </wps:spPr>
                      <wps:txbx>
                        <w:txbxContent>
                          <w:p w14:paraId="4B1CE084" w14:textId="3889342C" w:rsidR="00F61130" w:rsidRPr="001D3008" w:rsidRDefault="00F61130" w:rsidP="00FE3B84">
                            <w:pPr>
                              <w:pStyle w:val="Caption"/>
                              <w:spacing w:line="360" w:lineRule="auto"/>
                              <w:rPr>
                                <w:noProof/>
                                <w:color w:val="auto"/>
                                <w:sz w:val="20"/>
                                <w:szCs w:val="20"/>
                              </w:rPr>
                            </w:pPr>
                            <w:bookmarkStart w:id="554" w:name="_Ref522617715"/>
                            <w:bookmarkStart w:id="555" w:name="_Toc525227236"/>
                            <w:bookmarkStart w:id="556" w:name="_Toc536814175"/>
                            <w:r w:rsidRPr="001D3008">
                              <w:rPr>
                                <w:b/>
                                <w:sz w:val="20"/>
                                <w:szCs w:val="20"/>
                              </w:rPr>
                              <w:t xml:space="preserve">Figure </w:t>
                            </w:r>
                            <w:r>
                              <w:rPr>
                                <w:b/>
                                <w:sz w:val="20"/>
                                <w:szCs w:val="20"/>
                              </w:rPr>
                              <w:fldChar w:fldCharType="begin"/>
                            </w:r>
                            <w:r>
                              <w:rPr>
                                <w:b/>
                                <w:sz w:val="20"/>
                                <w:szCs w:val="20"/>
                              </w:rPr>
                              <w:instrText xml:space="preserve"> STYLEREF 1 \s </w:instrText>
                            </w:r>
                            <w:r>
                              <w:rPr>
                                <w:b/>
                                <w:sz w:val="20"/>
                                <w:szCs w:val="20"/>
                              </w:rPr>
                              <w:fldChar w:fldCharType="separate"/>
                            </w:r>
                            <w:r>
                              <w:rPr>
                                <w:b/>
                                <w:noProof/>
                                <w:sz w:val="20"/>
                                <w:szCs w:val="20"/>
                              </w:rPr>
                              <w:t>5</w:t>
                            </w:r>
                            <w:r>
                              <w:rPr>
                                <w:b/>
                                <w:sz w:val="20"/>
                                <w:szCs w:val="20"/>
                              </w:rPr>
                              <w:fldChar w:fldCharType="end"/>
                            </w:r>
                            <w:r>
                              <w:rPr>
                                <w:b/>
                                <w:sz w:val="20"/>
                                <w:szCs w:val="20"/>
                              </w:rPr>
                              <w:t>.</w:t>
                            </w:r>
                            <w:r>
                              <w:rPr>
                                <w:b/>
                                <w:sz w:val="20"/>
                                <w:szCs w:val="20"/>
                              </w:rPr>
                              <w:fldChar w:fldCharType="begin"/>
                            </w:r>
                            <w:r>
                              <w:rPr>
                                <w:b/>
                                <w:sz w:val="20"/>
                                <w:szCs w:val="20"/>
                              </w:rPr>
                              <w:instrText xml:space="preserve"> SEQ Figure \* ARABIC \s 1 </w:instrText>
                            </w:r>
                            <w:r>
                              <w:rPr>
                                <w:b/>
                                <w:sz w:val="20"/>
                                <w:szCs w:val="20"/>
                              </w:rPr>
                              <w:fldChar w:fldCharType="separate"/>
                            </w:r>
                            <w:r>
                              <w:rPr>
                                <w:b/>
                                <w:noProof/>
                                <w:sz w:val="20"/>
                                <w:szCs w:val="20"/>
                              </w:rPr>
                              <w:t>1</w:t>
                            </w:r>
                            <w:r>
                              <w:rPr>
                                <w:b/>
                                <w:sz w:val="20"/>
                                <w:szCs w:val="20"/>
                              </w:rPr>
                              <w:fldChar w:fldCharType="end"/>
                            </w:r>
                            <w:bookmarkEnd w:id="554"/>
                            <w:r w:rsidRPr="001D3008">
                              <w:rPr>
                                <w:b/>
                                <w:sz w:val="20"/>
                                <w:szCs w:val="20"/>
                              </w:rPr>
                              <w:t xml:space="preserve"> - Updated platform model of all modelled entities.</w:t>
                            </w:r>
                            <w:r>
                              <w:rPr>
                                <w:sz w:val="20"/>
                                <w:szCs w:val="20"/>
                              </w:rPr>
                              <w:t xml:space="preserve"> Initial platform diagrams generated in </w:t>
                            </w:r>
                            <w:r>
                              <w:rPr>
                                <w:sz w:val="20"/>
                                <w:szCs w:val="20"/>
                              </w:rPr>
                              <w:fldChar w:fldCharType="begin"/>
                            </w:r>
                            <w:r>
                              <w:rPr>
                                <w:sz w:val="20"/>
                                <w:szCs w:val="20"/>
                              </w:rPr>
                              <w:instrText xml:space="preserve"> REF _Ref519000859 \r  \* MERGEFORMAT </w:instrText>
                            </w:r>
                            <w:r>
                              <w:rPr>
                                <w:sz w:val="20"/>
                                <w:szCs w:val="20"/>
                              </w:rPr>
                              <w:fldChar w:fldCharType="separate"/>
                            </w:r>
                            <w:r>
                              <w:rPr>
                                <w:sz w:val="20"/>
                                <w:szCs w:val="20"/>
                              </w:rPr>
                              <w:t>Chapter 4</w:t>
                            </w:r>
                            <w:r>
                              <w:rPr>
                                <w:sz w:val="20"/>
                                <w:szCs w:val="20"/>
                              </w:rPr>
                              <w:fldChar w:fldCharType="end"/>
                            </w:r>
                            <w:r>
                              <w:rPr>
                                <w:sz w:val="20"/>
                                <w:szCs w:val="20"/>
                              </w:rPr>
                              <w:t xml:space="preserve"> were collated and updated to reflect more accurate representations of myeloid cell and T cell population growth. Updated and new processes are highlighted in blue.</w:t>
                            </w:r>
                            <w:bookmarkEnd w:id="555"/>
                            <w:bookmarkEnd w:id="556"/>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35FC8BD" id="Text Box 97" o:spid="_x0000_s1154" type="#_x0000_t202" style="position:absolute;left:0;text-align:left;margin-left:-14.8pt;margin-top:358.8pt;width:467.6pt;height:61.75pt;z-index:2517811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T3QBcNAIAAGsEAAAOAAAAZHJzL2Uyb0RvYy54bWysVFFv2yAQfp+0/4B4X5x4y5pGcaosVaZJ&#13;&#10;UVspmfpMMI6RgGNAYme/fge2067b07QXfNwdB9/33Xlx12pFzsJ5Caagk9GYEmE4lNIcC/p9v/kw&#13;&#10;o8QHZkqmwIiCXoSnd8v37xaNnYscalClcASLGD9vbEHrEOw8yzyvhWZ+BFYYDFbgNAu4dcesdKzB&#13;&#10;6lpl+Xj8OWvAldYBF96j974L0mWqX1WCh8eq8iIQVVB8W0irS+shrtlyweZHx2wtef8M9g+v0Ewa&#13;&#10;vPRa6p4FRk5O/lFKS+7AQxVGHHQGVSW5SBgQzWT8Bs2uZlYkLEiOt1ea/P8ryx/OT47IsqC3N5QY&#13;&#10;plGjvWgD+QItQRfy01g/x7SdxcTQoh91HvwenRF2WzkdvwiIYByZvlzZjdU4Oqe3H2fTHEMcYzez&#13;&#10;T3k+jWWyl9PW+fBVgCbRKKhD9RKp7Lz1oUsdUuJlHpQsN1KpuImBtXLkzFDpppZB9MV/y1Im5hqI&#13;&#10;p7qC0ZNFiB2UaIX20CZKJvlsAHqA8oL4HXQd5C3fSLxxy3x4Yg5bBnHhGIRHXCoFTUGhtyipwf38&#13;&#10;mz/mo5IYpaTBFiyo/3FiTlCivhnUOPbrYLjBOAyGOek1INYJDpjlycQDLqjBrBzoZ5yOVbwFQ8xw&#13;&#10;vKugYTDXoRsEnC4uVquUhF1pWdianeWx9MDsvn1mzva6BFT0AYbmZPM38nS5SSC7OgXkOmkXme1Y&#13;&#10;7AnHjk7q99MXR+b1PmW9/COWvwAAAP//AwBQSwMEFAAGAAgAAAAhAJZahmfmAAAAEAEAAA8AAABk&#13;&#10;cnMvZG93bnJldi54bWxMTz1PwzAQ3ZH4D9ZVYkGtkxLSNs2lqgoMsFSELt3c2E0CsR3ZThv+PccE&#13;&#10;y+md7t37yDej7thFOd9agxDPImDKVFa2pkY4fLxMl8B8EEaKzhqF8K08bIrbm1xk0l7Nu7qUoWYk&#13;&#10;YnwmEJoQ+oxzXzVKCz+zvTJ0O1unRaDV1Vw6cSVx3fF5FKVci9aQQyN6tWtU9VUOGmGfHPfN/XB+&#13;&#10;ftsmD+71MOzSz7pEvJuMT2sa2zWwoMbw9wG/HSg/FBTsZAcjPesQpvNVSlSERbwgQIxV9EjghLBM&#13;&#10;4hh4kfP/RYofAAAA//8DAFBLAQItABQABgAIAAAAIQC2gziS/gAAAOEBAAATAAAAAAAAAAAAAAAA&#13;&#10;AAAAAABbQ29udGVudF9UeXBlc10ueG1sUEsBAi0AFAAGAAgAAAAhADj9If/WAAAAlAEAAAsAAAAA&#13;&#10;AAAAAAAAAAAALwEAAF9yZWxzLy5yZWxzUEsBAi0AFAAGAAgAAAAhANPdAFw0AgAAawQAAA4AAAAA&#13;&#10;AAAAAAAAAAAALgIAAGRycy9lMm9Eb2MueG1sUEsBAi0AFAAGAAgAAAAhAJZahmfmAAAAEAEAAA8A&#13;&#10;AAAAAAAAAAAAAAAAjgQAAGRycy9kb3ducmV2LnhtbFBLBQYAAAAABAAEAPMAAAChBQAAAAA=&#13;&#10;" stroked="f">
                <v:textbox style="mso-fit-shape-to-text:t" inset="0,0,0,0">
                  <w:txbxContent>
                    <w:p w14:paraId="4B1CE084" w14:textId="3889342C" w:rsidR="00F61130" w:rsidRPr="001D3008" w:rsidRDefault="00F61130" w:rsidP="00FE3B84">
                      <w:pPr>
                        <w:pStyle w:val="Caption"/>
                        <w:spacing w:line="360" w:lineRule="auto"/>
                        <w:rPr>
                          <w:noProof/>
                          <w:color w:val="auto"/>
                          <w:sz w:val="20"/>
                          <w:szCs w:val="20"/>
                        </w:rPr>
                      </w:pPr>
                      <w:bookmarkStart w:id="557" w:name="_Ref522617715"/>
                      <w:bookmarkStart w:id="558" w:name="_Toc525227236"/>
                      <w:bookmarkStart w:id="559" w:name="_Toc536814175"/>
                      <w:r w:rsidRPr="001D3008">
                        <w:rPr>
                          <w:b/>
                          <w:sz w:val="20"/>
                          <w:szCs w:val="20"/>
                        </w:rPr>
                        <w:t xml:space="preserve">Figure </w:t>
                      </w:r>
                      <w:r>
                        <w:rPr>
                          <w:b/>
                          <w:sz w:val="20"/>
                          <w:szCs w:val="20"/>
                        </w:rPr>
                        <w:fldChar w:fldCharType="begin"/>
                      </w:r>
                      <w:r>
                        <w:rPr>
                          <w:b/>
                          <w:sz w:val="20"/>
                          <w:szCs w:val="20"/>
                        </w:rPr>
                        <w:instrText xml:space="preserve"> STYLEREF 1 \s </w:instrText>
                      </w:r>
                      <w:r>
                        <w:rPr>
                          <w:b/>
                          <w:sz w:val="20"/>
                          <w:szCs w:val="20"/>
                        </w:rPr>
                        <w:fldChar w:fldCharType="separate"/>
                      </w:r>
                      <w:r>
                        <w:rPr>
                          <w:b/>
                          <w:noProof/>
                          <w:sz w:val="20"/>
                          <w:szCs w:val="20"/>
                        </w:rPr>
                        <w:t>5</w:t>
                      </w:r>
                      <w:r>
                        <w:rPr>
                          <w:b/>
                          <w:sz w:val="20"/>
                          <w:szCs w:val="20"/>
                        </w:rPr>
                        <w:fldChar w:fldCharType="end"/>
                      </w:r>
                      <w:r>
                        <w:rPr>
                          <w:b/>
                          <w:sz w:val="20"/>
                          <w:szCs w:val="20"/>
                        </w:rPr>
                        <w:t>.</w:t>
                      </w:r>
                      <w:r>
                        <w:rPr>
                          <w:b/>
                          <w:sz w:val="20"/>
                          <w:szCs w:val="20"/>
                        </w:rPr>
                        <w:fldChar w:fldCharType="begin"/>
                      </w:r>
                      <w:r>
                        <w:rPr>
                          <w:b/>
                          <w:sz w:val="20"/>
                          <w:szCs w:val="20"/>
                        </w:rPr>
                        <w:instrText xml:space="preserve"> SEQ Figure \* ARABIC \s 1 </w:instrText>
                      </w:r>
                      <w:r>
                        <w:rPr>
                          <w:b/>
                          <w:sz w:val="20"/>
                          <w:szCs w:val="20"/>
                        </w:rPr>
                        <w:fldChar w:fldCharType="separate"/>
                      </w:r>
                      <w:r>
                        <w:rPr>
                          <w:b/>
                          <w:noProof/>
                          <w:sz w:val="20"/>
                          <w:szCs w:val="20"/>
                        </w:rPr>
                        <w:t>1</w:t>
                      </w:r>
                      <w:r>
                        <w:rPr>
                          <w:b/>
                          <w:sz w:val="20"/>
                          <w:szCs w:val="20"/>
                        </w:rPr>
                        <w:fldChar w:fldCharType="end"/>
                      </w:r>
                      <w:bookmarkEnd w:id="557"/>
                      <w:r w:rsidRPr="001D3008">
                        <w:rPr>
                          <w:b/>
                          <w:sz w:val="20"/>
                          <w:szCs w:val="20"/>
                        </w:rPr>
                        <w:t xml:space="preserve"> - Updated platform model of all modelled entities.</w:t>
                      </w:r>
                      <w:r>
                        <w:rPr>
                          <w:sz w:val="20"/>
                          <w:szCs w:val="20"/>
                        </w:rPr>
                        <w:t xml:space="preserve"> Initial platform diagrams generated in </w:t>
                      </w:r>
                      <w:r>
                        <w:rPr>
                          <w:sz w:val="20"/>
                          <w:szCs w:val="20"/>
                        </w:rPr>
                        <w:fldChar w:fldCharType="begin"/>
                      </w:r>
                      <w:r>
                        <w:rPr>
                          <w:sz w:val="20"/>
                          <w:szCs w:val="20"/>
                        </w:rPr>
                        <w:instrText xml:space="preserve"> REF _Ref519000859 \r  \* MERGEFORMAT </w:instrText>
                      </w:r>
                      <w:r>
                        <w:rPr>
                          <w:sz w:val="20"/>
                          <w:szCs w:val="20"/>
                        </w:rPr>
                        <w:fldChar w:fldCharType="separate"/>
                      </w:r>
                      <w:r>
                        <w:rPr>
                          <w:sz w:val="20"/>
                          <w:szCs w:val="20"/>
                        </w:rPr>
                        <w:t>Chapter 4</w:t>
                      </w:r>
                      <w:r>
                        <w:rPr>
                          <w:sz w:val="20"/>
                          <w:szCs w:val="20"/>
                        </w:rPr>
                        <w:fldChar w:fldCharType="end"/>
                      </w:r>
                      <w:r>
                        <w:rPr>
                          <w:sz w:val="20"/>
                          <w:szCs w:val="20"/>
                        </w:rPr>
                        <w:t xml:space="preserve"> were collated and updated to reflect more accurate representations of myeloid cell and T cell population growth. Updated and new processes are highlighted in blue.</w:t>
                      </w:r>
                      <w:bookmarkEnd w:id="558"/>
                      <w:bookmarkEnd w:id="559"/>
                    </w:p>
                  </w:txbxContent>
                </v:textbox>
                <w10:wrap type="topAndBottom"/>
              </v:shape>
            </w:pict>
          </mc:Fallback>
        </mc:AlternateContent>
      </w:r>
      <w:r w:rsidR="008C08B0" w:rsidRPr="008B3AD6">
        <w:t>incorporated as a mechanism of T cell population growth.</w:t>
      </w:r>
    </w:p>
    <w:p w14:paraId="28A545AB" w14:textId="16CB74B0" w:rsidR="0028759F" w:rsidRPr="008B3AD6" w:rsidRDefault="0028759F" w:rsidP="00FB3530">
      <w:pPr>
        <w:spacing w:line="360" w:lineRule="auto"/>
        <w:jc w:val="both"/>
      </w:pPr>
      <w:r w:rsidRPr="008B3AD6">
        <w:t>Myeloid cells</w:t>
      </w:r>
      <w:r w:rsidR="000A70E0" w:rsidRPr="008B3AD6">
        <w:t xml:space="preserve"> were also updated to include </w:t>
      </w:r>
      <w:r w:rsidR="00DC7788" w:rsidRPr="008B3AD6">
        <w:t>proliferation</w:t>
      </w:r>
      <w:r w:rsidR="000A70E0" w:rsidRPr="008B3AD6">
        <w:t xml:space="preserve"> </w:t>
      </w:r>
      <w:r w:rsidR="00771ECC">
        <w:t xml:space="preserve">of susceptible myeloid cells </w:t>
      </w:r>
      <w:r w:rsidR="00DC7788" w:rsidRPr="008B3AD6">
        <w:t>proportional</w:t>
      </w:r>
      <w:r w:rsidR="000A70E0" w:rsidRPr="008B3AD6">
        <w:t xml:space="preserve"> to</w:t>
      </w:r>
      <w:r w:rsidR="00771ECC">
        <w:t xml:space="preserve"> the number of</w:t>
      </w:r>
      <w:r w:rsidR="000A70E0" w:rsidRPr="008B3AD6">
        <w:t xml:space="preserve"> infected myeloid cells and </w:t>
      </w:r>
      <w:r w:rsidR="00771ECC">
        <w:t xml:space="preserve">a process of </w:t>
      </w:r>
      <w:r w:rsidR="00971844" w:rsidRPr="008B3AD6">
        <w:t xml:space="preserve">growth via influx. </w:t>
      </w:r>
      <w:r w:rsidR="00DC7788" w:rsidRPr="008B3AD6">
        <w:t>The bone marrow is a major source of m</w:t>
      </w:r>
      <w:r w:rsidR="00971844" w:rsidRPr="008B3AD6">
        <w:t>onocytes and neutrophils that then transition into tissue</w:t>
      </w:r>
      <w:r w:rsidR="00771ECC">
        <w:t xml:space="preserve">s and/or sites of inflammation </w:t>
      </w:r>
      <w:r w:rsidR="00771ECC">
        <w:fldChar w:fldCharType="begin"/>
      </w:r>
      <w:r w:rsidR="001E0E9E">
        <w:instrText xml:space="preserve"> ADDIN ZOTERO_ITEM CSL_CITATION {"citationID":"4KVIiSZ8","properties":{"formattedCitation":"(Hettinger et al. 2013)","plainCitation":"(Hettinger et al. 2013)","noteIndex":0},"citationItems":[{"id":3803,"uris":["http://zotero.org/users/2628971/items/P4NSURYY"],"uri":["http://zotero.org/users/2628971/items/P4NSURYY"],"itemData":{"id":3803,"type":"article-journal","title":"Origin of monocytes and macrophages in a committed progenitor","container-title":"Nature Immunology","page":"821-830","volume":"14","issue":"8","source":"www.nature.com","abstract":"Monocytes, macrophages and dendritic cells (DCs) are developmentally related regulators of the immune system that share the monocyte-macrophage DC progenitor (MDP) as a common precursor. Unlike differentiation into DCs, the distal pathways for differentiation into monocytes and monocyte-derived macrophages are not fully elucidated. We have now demonstrated the existence of a clonogenic, monocyte- and macrophage-restricted progenitor cell derived from the MDP. This progenitor was a Ly6C+ proliferating cell present in the bone marrow and spleen that generated the major monocyte subsets and macrophages, but not DCs or neutrophils. By in-depth quantitative proteomics, we characterized changes in the proteome during monocyte differentiation, which provided insight into the molecular principles of developing monocytes, such as their functional maturation. Thus, we found that monocytes and macrophages were renewed independently of DCs from a committed progenitor.","DOI":"10.1038/ni.2638","ISSN":"1529-2916","language":"en","author":[{"family":"Hettinger","given":"Jan"},{"family":"Richards","given":"David M."},{"family":"Hansson","given":"Jenny"},{"family":"Barra","given":"Melanie M."},{"family":"Joschko","given":"Ann-Cathrin"},{"family":"Krijgsveld","given":"Jeroen"},{"family":"Feuerer","given":"Markus"}],"issued":{"date-parts":[["2013",8]]}}}],"schema":"https://github.com/citation-style-language/schema/raw/master/csl-citation.json"} </w:instrText>
      </w:r>
      <w:r w:rsidR="00771ECC">
        <w:fldChar w:fldCharType="separate"/>
      </w:r>
      <w:r w:rsidR="001E0E9E" w:rsidRPr="001E0E9E">
        <w:rPr>
          <w:lang w:val="en-US"/>
        </w:rPr>
        <w:t>(Hettinger et al. 2013)</w:t>
      </w:r>
      <w:r w:rsidR="00771ECC">
        <w:fldChar w:fldCharType="end"/>
      </w:r>
      <w:r w:rsidR="00971844" w:rsidRPr="008B3AD6">
        <w:t xml:space="preserve"> and thus the influx term is a representati</w:t>
      </w:r>
      <w:r w:rsidR="00440AA4" w:rsidRPr="008B3AD6">
        <w:t xml:space="preserve">on </w:t>
      </w:r>
      <w:r w:rsidR="00971844" w:rsidRPr="008B3AD6">
        <w:t xml:space="preserve">of externally derived myeloid cells bolstering the hepatic population. Additionally, different myeloid cell subsets have </w:t>
      </w:r>
      <w:r w:rsidR="00771ECC">
        <w:t xml:space="preserve">varying proliferative capacity </w:t>
      </w:r>
      <w:r w:rsidR="00771ECC">
        <w:fldChar w:fldCharType="begin"/>
      </w:r>
      <w:r w:rsidR="001E0E9E">
        <w:instrText xml:space="preserve"> ADDIN ZOTERO_ITEM CSL_CITATION {"citationID":"d5qlpHr1","properties":{"formattedCitation":"(Klein et al. 2007)","plainCitation":"(Klein et al. 2007)","noteIndex":0},"citationItems":[{"id":3106,"uris":["http://zotero.org/users/2628971/items/ZNZKCCPZ"],"uri":["http://zotero.org/users/2628971/items/ZNZKCCPZ"],"itemData":{"id":3106,"type":"article-journal","title":"Kupffer cell heterogeneity: functional properties of bone marrow–derived and sessile hepatic macrophages","container-title":"Blood","page":"4077-4085","volume":"110","issue":"12","source":"www.bloodjournal.org","abstract":"Kupffer cells form a large intravascular macrophage bed in the liver sinusoids. The differentiation history and diversity of Kupffer cells is disputed; some studies argue that they are derived from blood monocytes, whereas others support a local origin from intrahepatic precursor cells. In the present study, we used both flow cytometry and immunohistochemistry to distinguish 2 subsets of Kupffer cells that were revealed in the context both of bone marrow transplantation and of orthotopic liver transplantation. One subset was radiosensitive and rapidly replaced from hematogenous precursors, whereas the other was relatively radioresistant and long-lived. Both were phagocytic but only the former population was recruited into inflammatory foci in response to CD8+ T-cell activation. We propose the name “sessile” for the radioresistant Kupffer cells that do not participate in immunoinflammatory reactions. However, we found no evidence that these sessile Kupffer cells arise from immature intrahepatic precursors. Our conclusions resolve a long-standing controversy and explain how different experimental approaches may reveal one or both of these subsets.","DOI":"10.1182/blood-2007-02-073841","ISSN":"0006-4971, 1528-0020","note":"PMID: 17690256","shortTitle":"Kupffer cell heterogeneity","language":"en","author":[{"family":"Klein","given":"Ingo"},{"family":"Cornejo","given":"Judith C."},{"family":"Polakos","given":"Noelle K."},{"family":"John","given":"Beena"},{"family":"Wuensch","given":"Sherry A."},{"family":"Topham","given":"David J."},{"family":"Pierce","given":"Robert H."},{"family":"Crispe","given":"Ian Nicholas"}],"issued":{"date-parts":[["2007",12,1]]}}}],"schema":"https://github.com/citation-style-language/schema/raw/master/csl-citation.json"} </w:instrText>
      </w:r>
      <w:r w:rsidR="00771ECC">
        <w:fldChar w:fldCharType="separate"/>
      </w:r>
      <w:r w:rsidR="001E0E9E" w:rsidRPr="001E0E9E">
        <w:rPr>
          <w:lang w:val="en-US"/>
        </w:rPr>
        <w:t>(Klein et al. 2007)</w:t>
      </w:r>
      <w:r w:rsidR="00771ECC">
        <w:fldChar w:fldCharType="end"/>
      </w:r>
      <w:r w:rsidR="00771ECC">
        <w:t xml:space="preserve"> </w:t>
      </w:r>
      <w:r w:rsidR="00971844" w:rsidRPr="008B3AD6">
        <w:t xml:space="preserve">and this means to some extent proliferation will occur in the amalgamated group of myeloid cells. </w:t>
      </w:r>
      <w:r w:rsidR="00FE3B84" w:rsidRPr="008B3AD6">
        <w:t>In a biological setting</w:t>
      </w:r>
      <w:r w:rsidR="00971844" w:rsidRPr="008B3AD6">
        <w:t xml:space="preserve"> proliferation is prompted by various factors</w:t>
      </w:r>
      <w:r w:rsidR="00440AA4" w:rsidRPr="008B3AD6">
        <w:t>, such as IL-4</w:t>
      </w:r>
      <w:r w:rsidR="00DC2582">
        <w:t xml:space="preserve"> </w:t>
      </w:r>
      <w:r w:rsidR="00DC2582">
        <w:fldChar w:fldCharType="begin"/>
      </w:r>
      <w:r w:rsidR="001E0E9E">
        <w:instrText xml:space="preserve"> ADDIN ZOTERO_ITEM CSL_CITATION {"citationID":"nKyFD7VG","properties":{"formattedCitation":"(Jenkins et al. 2011)","plainCitation":"(Jenkins et al. 2011)","noteIndex":0},"citationItems":[{"id":3801,"uris":["http://zotero.org/users/2628971/items/KTYRT2F8"],"uri":["http://zotero.org/users/2628971/items/KTYRT2F8"],"itemData":{"id":3801,"type":"article-journal","title":"Local macrophage proliferation, rather than recruitment from the blood, is a signature of TH2 inflammation","container-title":"Science (New York, N.Y.)","page":"1284-1288","volume":"332","issue":"6035","source":"PubMed","abstract":"A defining feature of inflammation is the accumulation of innate immune cells in the tissue that are thought to be recruited from the blood. We reveal that a distinct process exists in which tissue macrophages undergo rapid in situ proliferation in order to increase population density. This inflammatory mechanism occurred during T helper 2 (T(H)2)-related pathologies under the control of the archetypal T(H)2 cytokine interleukin-4 (IL-4) and was a fundamental component of T(H)2 inflammation because exogenous IL-4 was sufficient to drive accumulation of tissue macrophages through self-renewal. Thus, expansion of innate cells necessary for pathogen control or wound repair can occur without recruitment of potentially tissue-destructive inflammatory cells.","DOI":"10.1126/science.1204351","ISSN":"1095-9203","note":"PMID: 21566158\nPMCID: PMC3128495","journalAbbreviation":"Science","language":"eng","author":[{"family":"Jenkins","given":"Stephen J."},{"family":"Ruckerl","given":"Dominik"},{"family":"Cook","given":"Peter C."},{"family":"Jones","given":"Lucy H."},{"family":"Finkelman","given":"Fred D."},{"family":"Rooijen","given":"Nico","non-dropping-particle":"van"},{"family":"MacDonald","given":"Andrew S."},{"family":"Allen","given":"Judith E."}],"issued":{"date-parts":[["2011",6,10]]}}}],"schema":"https://github.com/citation-style-language/schema/raw/master/csl-citation.json"} </w:instrText>
      </w:r>
      <w:r w:rsidR="00DC2582">
        <w:fldChar w:fldCharType="separate"/>
      </w:r>
      <w:r w:rsidR="001E0E9E" w:rsidRPr="001E0E9E">
        <w:rPr>
          <w:lang w:val="en-US"/>
        </w:rPr>
        <w:t>(Jenkins et al. 2011)</w:t>
      </w:r>
      <w:r w:rsidR="00DC2582">
        <w:fldChar w:fldCharType="end"/>
      </w:r>
      <w:r w:rsidR="00440AA4" w:rsidRPr="008B3AD6">
        <w:t xml:space="preserve">. </w:t>
      </w:r>
      <w:r w:rsidR="00FE3B84" w:rsidRPr="008B3AD6">
        <w:t>However, a</w:t>
      </w:r>
      <w:r w:rsidR="004014E3" w:rsidRPr="008B3AD6">
        <w:t>s before</w:t>
      </w:r>
      <w:r w:rsidR="00FE3B84" w:rsidRPr="008B3AD6">
        <w:t>,</w:t>
      </w:r>
      <w:r w:rsidR="004014E3" w:rsidRPr="008B3AD6">
        <w:t xml:space="preserve"> the model has no explicit representation of cytokines or chemokines that may </w:t>
      </w:r>
      <w:r w:rsidR="007E6245" w:rsidRPr="008B3AD6">
        <w:t>promote</w:t>
      </w:r>
      <w:r w:rsidR="00064AB4">
        <w:t xml:space="preserve"> this proliferation. I</w:t>
      </w:r>
      <w:r w:rsidR="004014E3" w:rsidRPr="008B3AD6">
        <w:t>nstead</w:t>
      </w:r>
      <w:r w:rsidR="00064AB4">
        <w:t>,</w:t>
      </w:r>
      <w:r w:rsidR="004014E3" w:rsidRPr="008B3AD6">
        <w:t xml:space="preserve"> it is assumed the presence of infected cells is the driver for these processes and is used as a proxy for </w:t>
      </w:r>
      <w:r w:rsidR="00FE3B84" w:rsidRPr="008B3AD6">
        <w:t>the</w:t>
      </w:r>
      <w:r w:rsidR="004014E3" w:rsidRPr="008B3AD6">
        <w:t xml:space="preserve"> abundance</w:t>
      </w:r>
      <w:r w:rsidR="00FE3B84" w:rsidRPr="008B3AD6">
        <w:t xml:space="preserve"> of cytokines and chemokines that would induce proliferation</w:t>
      </w:r>
      <w:r w:rsidR="004014E3" w:rsidRPr="008B3AD6">
        <w:t>. To this end we represent the proliferation of the myeloid cells as proportional to the number of infected myeloid cells, with the proba</w:t>
      </w:r>
      <w:r w:rsidR="00FE3B84" w:rsidRPr="008B3AD6">
        <w:t>bility of proliferation being a</w:t>
      </w:r>
      <w:r w:rsidR="007E6245" w:rsidRPr="008B3AD6">
        <w:t xml:space="preserve"> combination of the </w:t>
      </w:r>
      <w:r w:rsidR="004014E3" w:rsidRPr="008B3AD6">
        <w:t>proliferation rate</w:t>
      </w:r>
      <w:r w:rsidR="007E6245" w:rsidRPr="008B3AD6">
        <w:t>s</w:t>
      </w:r>
      <w:r w:rsidR="004014E3" w:rsidRPr="008B3AD6">
        <w:t xml:space="preserve"> of the subsets that have been amalgamated. </w:t>
      </w:r>
    </w:p>
    <w:p w14:paraId="24FB0352" w14:textId="6CA26952" w:rsidR="005C58E4" w:rsidRPr="008B3AD6" w:rsidRDefault="005C58E4" w:rsidP="00FB3530">
      <w:pPr>
        <w:spacing w:line="360" w:lineRule="auto"/>
        <w:jc w:val="both"/>
      </w:pPr>
    </w:p>
    <w:p w14:paraId="437A9E8B" w14:textId="214CE368" w:rsidR="005C58E4" w:rsidRPr="008B3AD6" w:rsidRDefault="009C0B3A" w:rsidP="00FB3530">
      <w:pPr>
        <w:spacing w:line="360" w:lineRule="auto"/>
        <w:jc w:val="both"/>
        <w:rPr>
          <w:b/>
          <w:i/>
        </w:rPr>
      </w:pPr>
      <w:r>
        <w:rPr>
          <w:noProof/>
        </w:rPr>
        <mc:AlternateContent>
          <mc:Choice Requires="wps">
            <w:drawing>
              <wp:anchor distT="0" distB="0" distL="114300" distR="114300" simplePos="0" relativeHeight="252084224" behindDoc="0" locked="0" layoutInCell="1" allowOverlap="1" wp14:anchorId="48743EE7" wp14:editId="747FECA9">
                <wp:simplePos x="0" y="0"/>
                <wp:positionH relativeFrom="column">
                  <wp:posOffset>-328197</wp:posOffset>
                </wp:positionH>
                <wp:positionV relativeFrom="paragraph">
                  <wp:posOffset>7945755</wp:posOffset>
                </wp:positionV>
                <wp:extent cx="6065520" cy="1040765"/>
                <wp:effectExtent l="0" t="0" r="5080" b="635"/>
                <wp:wrapTopAndBottom/>
                <wp:docPr id="100" name="Text Box 100"/>
                <wp:cNvGraphicFramePr/>
                <a:graphic xmlns:a="http://schemas.openxmlformats.org/drawingml/2006/main">
                  <a:graphicData uri="http://schemas.microsoft.com/office/word/2010/wordprocessingShape">
                    <wps:wsp>
                      <wps:cNvSpPr txBox="1"/>
                      <wps:spPr>
                        <a:xfrm>
                          <a:off x="0" y="0"/>
                          <a:ext cx="6065520" cy="1040765"/>
                        </a:xfrm>
                        <a:prstGeom prst="rect">
                          <a:avLst/>
                        </a:prstGeom>
                        <a:solidFill>
                          <a:prstClr val="white"/>
                        </a:solidFill>
                        <a:ln>
                          <a:noFill/>
                        </a:ln>
                      </wps:spPr>
                      <wps:txbx>
                        <w:txbxContent>
                          <w:p w14:paraId="38B13C81" w14:textId="33BE71C3" w:rsidR="00F61130" w:rsidRPr="00FE3B84" w:rsidRDefault="00F61130" w:rsidP="00B81BA6">
                            <w:pPr>
                              <w:pStyle w:val="Caption"/>
                              <w:spacing w:line="360" w:lineRule="auto"/>
                              <w:jc w:val="both"/>
                              <w:rPr>
                                <w:noProof/>
                                <w:color w:val="auto"/>
                                <w:sz w:val="20"/>
                                <w:szCs w:val="20"/>
                              </w:rPr>
                            </w:pPr>
                            <w:bookmarkStart w:id="560" w:name="_Ref536814009"/>
                            <w:bookmarkStart w:id="561" w:name="_Ref522633684"/>
                            <w:bookmarkStart w:id="562" w:name="_Toc525227237"/>
                            <w:bookmarkStart w:id="563" w:name="_Toc536814176"/>
                            <w:r w:rsidRPr="00FE3B84">
                              <w:rPr>
                                <w:b/>
                                <w:sz w:val="20"/>
                                <w:szCs w:val="20"/>
                              </w:rPr>
                              <w:t xml:space="preserve">Figure </w:t>
                            </w:r>
                            <w:r>
                              <w:rPr>
                                <w:b/>
                                <w:sz w:val="20"/>
                                <w:szCs w:val="20"/>
                              </w:rPr>
                              <w:fldChar w:fldCharType="begin"/>
                            </w:r>
                            <w:r>
                              <w:rPr>
                                <w:b/>
                                <w:sz w:val="20"/>
                                <w:szCs w:val="20"/>
                              </w:rPr>
                              <w:instrText xml:space="preserve"> STYLEREF 1 \s </w:instrText>
                            </w:r>
                            <w:r>
                              <w:rPr>
                                <w:b/>
                                <w:sz w:val="20"/>
                                <w:szCs w:val="20"/>
                              </w:rPr>
                              <w:fldChar w:fldCharType="separate"/>
                            </w:r>
                            <w:r>
                              <w:rPr>
                                <w:b/>
                                <w:noProof/>
                                <w:sz w:val="20"/>
                                <w:szCs w:val="20"/>
                              </w:rPr>
                              <w:t>5</w:t>
                            </w:r>
                            <w:r>
                              <w:rPr>
                                <w:b/>
                                <w:sz w:val="20"/>
                                <w:szCs w:val="20"/>
                              </w:rPr>
                              <w:fldChar w:fldCharType="end"/>
                            </w:r>
                            <w:r>
                              <w:rPr>
                                <w:b/>
                                <w:sz w:val="20"/>
                                <w:szCs w:val="20"/>
                              </w:rPr>
                              <w:t>.</w:t>
                            </w:r>
                            <w:r>
                              <w:rPr>
                                <w:b/>
                                <w:sz w:val="20"/>
                                <w:szCs w:val="20"/>
                              </w:rPr>
                              <w:fldChar w:fldCharType="begin"/>
                            </w:r>
                            <w:r>
                              <w:rPr>
                                <w:b/>
                                <w:sz w:val="20"/>
                                <w:szCs w:val="20"/>
                              </w:rPr>
                              <w:instrText xml:space="preserve"> SEQ Figure \* ARABIC \s 1 </w:instrText>
                            </w:r>
                            <w:r>
                              <w:rPr>
                                <w:b/>
                                <w:sz w:val="20"/>
                                <w:szCs w:val="20"/>
                              </w:rPr>
                              <w:fldChar w:fldCharType="separate"/>
                            </w:r>
                            <w:r>
                              <w:rPr>
                                <w:b/>
                                <w:noProof/>
                                <w:sz w:val="20"/>
                                <w:szCs w:val="20"/>
                              </w:rPr>
                              <w:t>2</w:t>
                            </w:r>
                            <w:r>
                              <w:rPr>
                                <w:b/>
                                <w:sz w:val="20"/>
                                <w:szCs w:val="20"/>
                              </w:rPr>
                              <w:fldChar w:fldCharType="end"/>
                            </w:r>
                            <w:bookmarkEnd w:id="560"/>
                            <w:bookmarkEnd w:id="561"/>
                            <w:r w:rsidRPr="00FE3B84">
                              <w:rPr>
                                <w:b/>
                                <w:sz w:val="20"/>
                                <w:szCs w:val="20"/>
                              </w:rPr>
                              <w:t xml:space="preserve"> – Diagrammatic representation and equations denoting processes for updated immune response model.</w:t>
                            </w:r>
                            <w:r>
                              <w:rPr>
                                <w:b/>
                                <w:sz w:val="20"/>
                                <w:szCs w:val="20"/>
                              </w:rPr>
                              <w:t xml:space="preserve"> </w:t>
                            </w:r>
                            <w:r>
                              <w:rPr>
                                <w:sz w:val="20"/>
                                <w:szCs w:val="20"/>
                              </w:rPr>
                              <w:t xml:space="preserve">The model described in </w:t>
                            </w:r>
                            <w:r>
                              <w:rPr>
                                <w:sz w:val="20"/>
                                <w:szCs w:val="20"/>
                              </w:rPr>
                              <w:fldChar w:fldCharType="begin"/>
                            </w:r>
                            <w:r>
                              <w:rPr>
                                <w:sz w:val="20"/>
                                <w:szCs w:val="20"/>
                              </w:rPr>
                              <w:instrText xml:space="preserve"> REF _Ref518721637  \* MERGEFORMAT </w:instrText>
                            </w:r>
                            <w:r>
                              <w:rPr>
                                <w:sz w:val="20"/>
                                <w:szCs w:val="20"/>
                              </w:rPr>
                              <w:fldChar w:fldCharType="separate"/>
                            </w:r>
                            <w:r w:rsidRPr="00345AA9">
                              <w:rPr>
                                <w:b/>
                                <w:sz w:val="20"/>
                                <w:szCs w:val="20"/>
                              </w:rPr>
                              <w:t xml:space="preserve">Figure </w:t>
                            </w:r>
                            <w:r>
                              <w:rPr>
                                <w:b/>
                                <w:noProof/>
                                <w:sz w:val="20"/>
                                <w:szCs w:val="20"/>
                              </w:rPr>
                              <w:t>4.25</w:t>
                            </w:r>
                            <w:r>
                              <w:rPr>
                                <w:sz w:val="20"/>
                                <w:szCs w:val="20"/>
                              </w:rPr>
                              <w:fldChar w:fldCharType="end"/>
                            </w:r>
                            <w:r>
                              <w:rPr>
                                <w:sz w:val="20"/>
                                <w:szCs w:val="20"/>
                              </w:rPr>
                              <w:t xml:space="preserve"> was updated to include the new representations of T cell and myeloid cell population growth (Eq. 5.1 and Eq. 5.2 respectively). Green arrows (emanating from infected myeloid cells) represent promotion of the indicated process, red lines (emanating from susceptible and infected myeloid cells and T cells) represent inhibition of the indicated entity.</w:t>
                            </w:r>
                            <w:bookmarkEnd w:id="562"/>
                            <w:bookmarkEnd w:id="563"/>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8743EE7" id="Text Box 100" o:spid="_x0000_s1155" type="#_x0000_t202" style="position:absolute;left:0;text-align:left;margin-left:-25.85pt;margin-top:625.65pt;width:477.6pt;height:81.95pt;z-index:2520842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wlDp8MgIAAG4EAAAOAAAAZHJzL2Uyb0RvYy54bWysVE2P2yAQvVfqf0DcGztRk7ZWnFWaVapK&#13;&#10;0e5KSbVngiFGAoYCiZ3++g7+yLbbnqpe8DAzPJj3Zry8a40mF+GDAlvS6SSnRFgOlbKnkn47bN99&#13;&#10;pCREZiumwYqSXkWgd6u3b5aNK8QMatCV8ARBbCgaV9I6RldkWeC1MCxMwAmLQQnesIhbf8oqzxpE&#13;&#10;Nzqb5fkia8BXzgMXIaD3vg/SVYcvpeDxUcogItElxbfFbvXdekxrtlqy4uSZqxUfnsH+4RWGKYuX&#13;&#10;3qDuWWTk7NUfUEZxDwFknHAwGUipuOhqwGqm+atq9jVzoqsFyQnuRlP4f7D84fLkiapQuxz5scyg&#13;&#10;SAfRRvIZWpJ8yFDjQoGJe4epscUAZo/+gM5UeCu9SV8siWAcsa43fhMcR+ciX8znMwxxjE3z9/mH&#13;&#10;xTzhZC/HnQ/xiwBDklFSjwJ2vLLLLsQ+dUxJtwXQqtoqrdMmBTbakwtDsZtaRTGA/5albcq1kE71&#13;&#10;gMmTpRr7WpIV22PbszL7NFZ6hOqKBHjomyg4vlV4446F+MQ8dg0WhpMQH3GRGpqSwmBRUoP/8Td/&#13;&#10;ykcxMUpJg11Y0vD9zLygRH+1KDNCxtHwo3EcDXs2G8BapzhjjncmHvBRj6b0YJ5xQNbpFgwxy/Gu&#13;&#10;ksbR3MR+FnDAuFivuyRsTMfizu4dT9Ajs4f2mXk36BJR0gcY+5MVr+Tpc3ue1+cIUnXaJWZ7FgfC&#13;&#10;sak79YcBTFPz677LevlNrH4CAAD//wMAUEsDBBQABgAIAAAAIQCcLRXD5QAAABIBAAAPAAAAZHJz&#13;&#10;L2Rvd25yZXYueG1sTE89T8MwEN2R+A/WIbGg1knaFEjjVNDABkNL1dmNTRIRnyPbadJ/zzGV5aS7&#13;&#10;9+595JvJdOysnW8tCojnETCNlVUt1gIOX++zJ2A+SFSys6gFXLSHTXF7k8tM2RF3+rwPNSMR9JkU&#13;&#10;0ITQZ5z7qtFG+rntNRL2bZ2RgVZXc+XkSOKm40kUrbiRLZJDI3u9bXT1sx+MgFXphnGH24fy8PYh&#13;&#10;P/s6Ob5ejkLc303lmsbLGljQU7h+wF8Hyg8FBTvZAZVnnYBZGj8SlYAkjRfAiPIcLVJgJzot4zQB&#13;&#10;XuT8f5XiFwAA//8DAFBLAQItABQABgAIAAAAIQC2gziS/gAAAOEBAAATAAAAAAAAAAAAAAAAAAAA&#13;&#10;AABbQ29udGVudF9UeXBlc10ueG1sUEsBAi0AFAAGAAgAAAAhADj9If/WAAAAlAEAAAsAAAAAAAAA&#13;&#10;AAAAAAAALwEAAF9yZWxzLy5yZWxzUEsBAi0AFAAGAAgAAAAhALCUOnwyAgAAbgQAAA4AAAAAAAAA&#13;&#10;AAAAAAAALgIAAGRycy9lMm9Eb2MueG1sUEsBAi0AFAAGAAgAAAAhAJwtFcPlAAAAEgEAAA8AAAAA&#13;&#10;AAAAAAAAAAAAjAQAAGRycy9kb3ducmV2LnhtbFBLBQYAAAAABAAEAPMAAACeBQAAAAA=&#13;&#10;" stroked="f">
                <v:textbox inset="0,0,0,0">
                  <w:txbxContent>
                    <w:p w14:paraId="38B13C81" w14:textId="33BE71C3" w:rsidR="00F61130" w:rsidRPr="00FE3B84" w:rsidRDefault="00F61130" w:rsidP="00B81BA6">
                      <w:pPr>
                        <w:pStyle w:val="Caption"/>
                        <w:spacing w:line="360" w:lineRule="auto"/>
                        <w:jc w:val="both"/>
                        <w:rPr>
                          <w:noProof/>
                          <w:color w:val="auto"/>
                          <w:sz w:val="20"/>
                          <w:szCs w:val="20"/>
                        </w:rPr>
                      </w:pPr>
                      <w:bookmarkStart w:id="564" w:name="_Ref536814009"/>
                      <w:bookmarkStart w:id="565" w:name="_Ref522633684"/>
                      <w:bookmarkStart w:id="566" w:name="_Toc525227237"/>
                      <w:bookmarkStart w:id="567" w:name="_Toc536814176"/>
                      <w:r w:rsidRPr="00FE3B84">
                        <w:rPr>
                          <w:b/>
                          <w:sz w:val="20"/>
                          <w:szCs w:val="20"/>
                        </w:rPr>
                        <w:t xml:space="preserve">Figure </w:t>
                      </w:r>
                      <w:r>
                        <w:rPr>
                          <w:b/>
                          <w:sz w:val="20"/>
                          <w:szCs w:val="20"/>
                        </w:rPr>
                        <w:fldChar w:fldCharType="begin"/>
                      </w:r>
                      <w:r>
                        <w:rPr>
                          <w:b/>
                          <w:sz w:val="20"/>
                          <w:szCs w:val="20"/>
                        </w:rPr>
                        <w:instrText xml:space="preserve"> STYLEREF 1 \s </w:instrText>
                      </w:r>
                      <w:r>
                        <w:rPr>
                          <w:b/>
                          <w:sz w:val="20"/>
                          <w:szCs w:val="20"/>
                        </w:rPr>
                        <w:fldChar w:fldCharType="separate"/>
                      </w:r>
                      <w:r>
                        <w:rPr>
                          <w:b/>
                          <w:noProof/>
                          <w:sz w:val="20"/>
                          <w:szCs w:val="20"/>
                        </w:rPr>
                        <w:t>5</w:t>
                      </w:r>
                      <w:r>
                        <w:rPr>
                          <w:b/>
                          <w:sz w:val="20"/>
                          <w:szCs w:val="20"/>
                        </w:rPr>
                        <w:fldChar w:fldCharType="end"/>
                      </w:r>
                      <w:r>
                        <w:rPr>
                          <w:b/>
                          <w:sz w:val="20"/>
                          <w:szCs w:val="20"/>
                        </w:rPr>
                        <w:t>.</w:t>
                      </w:r>
                      <w:r>
                        <w:rPr>
                          <w:b/>
                          <w:sz w:val="20"/>
                          <w:szCs w:val="20"/>
                        </w:rPr>
                        <w:fldChar w:fldCharType="begin"/>
                      </w:r>
                      <w:r>
                        <w:rPr>
                          <w:b/>
                          <w:sz w:val="20"/>
                          <w:szCs w:val="20"/>
                        </w:rPr>
                        <w:instrText xml:space="preserve"> SEQ Figure \* ARABIC \s 1 </w:instrText>
                      </w:r>
                      <w:r>
                        <w:rPr>
                          <w:b/>
                          <w:sz w:val="20"/>
                          <w:szCs w:val="20"/>
                        </w:rPr>
                        <w:fldChar w:fldCharType="separate"/>
                      </w:r>
                      <w:r>
                        <w:rPr>
                          <w:b/>
                          <w:noProof/>
                          <w:sz w:val="20"/>
                          <w:szCs w:val="20"/>
                        </w:rPr>
                        <w:t>2</w:t>
                      </w:r>
                      <w:r>
                        <w:rPr>
                          <w:b/>
                          <w:sz w:val="20"/>
                          <w:szCs w:val="20"/>
                        </w:rPr>
                        <w:fldChar w:fldCharType="end"/>
                      </w:r>
                      <w:bookmarkEnd w:id="564"/>
                      <w:bookmarkEnd w:id="565"/>
                      <w:r w:rsidRPr="00FE3B84">
                        <w:rPr>
                          <w:b/>
                          <w:sz w:val="20"/>
                          <w:szCs w:val="20"/>
                        </w:rPr>
                        <w:t xml:space="preserve"> – Diagrammatic representation and equations denoting processes for updated immune response model.</w:t>
                      </w:r>
                      <w:r>
                        <w:rPr>
                          <w:b/>
                          <w:sz w:val="20"/>
                          <w:szCs w:val="20"/>
                        </w:rPr>
                        <w:t xml:space="preserve"> </w:t>
                      </w:r>
                      <w:r>
                        <w:rPr>
                          <w:sz w:val="20"/>
                          <w:szCs w:val="20"/>
                        </w:rPr>
                        <w:t xml:space="preserve">The model described in </w:t>
                      </w:r>
                      <w:r>
                        <w:rPr>
                          <w:sz w:val="20"/>
                          <w:szCs w:val="20"/>
                        </w:rPr>
                        <w:fldChar w:fldCharType="begin"/>
                      </w:r>
                      <w:r>
                        <w:rPr>
                          <w:sz w:val="20"/>
                          <w:szCs w:val="20"/>
                        </w:rPr>
                        <w:instrText xml:space="preserve"> REF _Ref518721637  \* MERGEFORMAT </w:instrText>
                      </w:r>
                      <w:r>
                        <w:rPr>
                          <w:sz w:val="20"/>
                          <w:szCs w:val="20"/>
                        </w:rPr>
                        <w:fldChar w:fldCharType="separate"/>
                      </w:r>
                      <w:r w:rsidRPr="00345AA9">
                        <w:rPr>
                          <w:b/>
                          <w:sz w:val="20"/>
                          <w:szCs w:val="20"/>
                        </w:rPr>
                        <w:t xml:space="preserve">Figure </w:t>
                      </w:r>
                      <w:r>
                        <w:rPr>
                          <w:b/>
                          <w:noProof/>
                          <w:sz w:val="20"/>
                          <w:szCs w:val="20"/>
                        </w:rPr>
                        <w:t>4.25</w:t>
                      </w:r>
                      <w:r>
                        <w:rPr>
                          <w:sz w:val="20"/>
                          <w:szCs w:val="20"/>
                        </w:rPr>
                        <w:fldChar w:fldCharType="end"/>
                      </w:r>
                      <w:r>
                        <w:rPr>
                          <w:sz w:val="20"/>
                          <w:szCs w:val="20"/>
                        </w:rPr>
                        <w:t xml:space="preserve"> was updated to include the new representations of T cell and myeloid cell population growth (Eq. 5.1 and Eq. 5.2 respectively). Green arrows (emanating from infected myeloid cells) represent promotion of the indicated process, red lines (emanating from susceptible and infected myeloid cells and T cells) represent inhibition of the indicated entity.</w:t>
                      </w:r>
                      <w:bookmarkEnd w:id="566"/>
                      <w:bookmarkEnd w:id="567"/>
                    </w:p>
                  </w:txbxContent>
                </v:textbox>
                <w10:wrap type="topAndBottom"/>
              </v:shape>
            </w:pict>
          </mc:Fallback>
        </mc:AlternateContent>
      </w:r>
      <w:r w:rsidR="001A10B0">
        <w:rPr>
          <w:noProof/>
        </w:rPr>
        <w:drawing>
          <wp:anchor distT="0" distB="0" distL="114300" distR="114300" simplePos="0" relativeHeight="252085248" behindDoc="0" locked="0" layoutInCell="1" allowOverlap="1" wp14:anchorId="4C938529" wp14:editId="0BE6B170">
            <wp:simplePos x="0" y="0"/>
            <wp:positionH relativeFrom="column">
              <wp:posOffset>-11430</wp:posOffset>
            </wp:positionH>
            <wp:positionV relativeFrom="paragraph">
              <wp:posOffset>4987827</wp:posOffset>
            </wp:positionV>
            <wp:extent cx="5322570" cy="3021965"/>
            <wp:effectExtent l="0" t="0" r="0" b="635"/>
            <wp:wrapTopAndBottom/>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pic:cNvPicPr>
                      <a:picLocks noChangeAspect="1"/>
                    </pic:cNvPicPr>
                  </pic:nvPicPr>
                  <pic:blipFill rotWithShape="1">
                    <a:blip r:embed="rId81">
                      <a:extLst>
                        <a:ext uri="{28A0092B-C50C-407E-A947-70E740481C1C}">
                          <a14:useLocalDpi xmlns:a14="http://schemas.microsoft.com/office/drawing/2010/main" val="0"/>
                        </a:ext>
                      </a:extLst>
                    </a:blip>
                    <a:srcRect r="4538"/>
                    <a:stretch/>
                  </pic:blipFill>
                  <pic:spPr bwMode="auto">
                    <a:xfrm>
                      <a:off x="0" y="0"/>
                      <a:ext cx="5322570" cy="302196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E3B84" w:rsidRPr="008B3AD6">
        <w:t xml:space="preserve">The updated </w:t>
      </w:r>
      <w:r w:rsidR="00771ECC">
        <w:t>platform</w:t>
      </w:r>
      <w:r w:rsidR="00FE3B84" w:rsidRPr="008B3AD6">
        <w:t xml:space="preserve"> model, presented in </w:t>
      </w:r>
      <w:r w:rsidR="00FE3B84" w:rsidRPr="008B3AD6">
        <w:fldChar w:fldCharType="begin"/>
      </w:r>
      <w:r w:rsidR="00FE3B84" w:rsidRPr="008B3AD6">
        <w:instrText xml:space="preserve"> REF _Ref522617715 </w:instrText>
      </w:r>
      <w:r w:rsidR="00FD5AA2" w:rsidRPr="008B3AD6">
        <w:instrText xml:space="preserve"> \* MERGEFORMAT </w:instrText>
      </w:r>
      <w:r w:rsidR="00FE3B84" w:rsidRPr="008B3AD6">
        <w:fldChar w:fldCharType="separate"/>
      </w:r>
      <w:r w:rsidR="00921CAF" w:rsidRPr="00921CAF">
        <w:rPr>
          <w:b/>
        </w:rPr>
        <w:t xml:space="preserve">Figure </w:t>
      </w:r>
      <w:r w:rsidR="00921CAF" w:rsidRPr="00921CAF">
        <w:rPr>
          <w:b/>
          <w:noProof/>
        </w:rPr>
        <w:t>5.1</w:t>
      </w:r>
      <w:r w:rsidR="00FE3B84" w:rsidRPr="008B3AD6">
        <w:fldChar w:fldCharType="end"/>
      </w:r>
      <w:r w:rsidR="00FE3B84" w:rsidRPr="008B3AD6">
        <w:t xml:space="preserve">, necessitated an update in the implemented simulation model shown in </w:t>
      </w:r>
      <w:r w:rsidR="00FE3B84" w:rsidRPr="008B3AD6">
        <w:fldChar w:fldCharType="begin"/>
      </w:r>
      <w:r w:rsidR="00FE3B84" w:rsidRPr="008B3AD6">
        <w:instrText xml:space="preserve"> REF _Ref518721637 </w:instrText>
      </w:r>
      <w:r w:rsidR="00FD5AA2" w:rsidRPr="008B3AD6">
        <w:instrText xml:space="preserve"> \* MERGEFORMAT </w:instrText>
      </w:r>
      <w:r w:rsidR="00FE3B84" w:rsidRPr="008B3AD6">
        <w:fldChar w:fldCharType="separate"/>
      </w:r>
      <w:r w:rsidR="00921CAF" w:rsidRPr="00921CAF">
        <w:rPr>
          <w:b/>
        </w:rPr>
        <w:t xml:space="preserve">Figure </w:t>
      </w:r>
      <w:r w:rsidR="00921CAF" w:rsidRPr="00921CAF">
        <w:rPr>
          <w:b/>
          <w:noProof/>
        </w:rPr>
        <w:t>4.23</w:t>
      </w:r>
      <w:r w:rsidR="00FE3B84" w:rsidRPr="008B3AD6">
        <w:fldChar w:fldCharType="end"/>
      </w:r>
      <w:r w:rsidR="00FE3B84" w:rsidRPr="008B3AD6">
        <w:t xml:space="preserve">. To this end cell influxes and population growth </w:t>
      </w:r>
      <w:r w:rsidR="00064AB4">
        <w:t>were</w:t>
      </w:r>
      <w:r w:rsidR="00FE3B84" w:rsidRPr="008B3AD6">
        <w:t xml:space="preserve"> transformed into mathematical functions, loosely based on De Boer and Perelson’s </w:t>
      </w:r>
      <w:r w:rsidR="00A671E3" w:rsidRPr="008B3AD6">
        <w:t>function describing T cell proliferation in res</w:t>
      </w:r>
      <w:r w:rsidR="00996542">
        <w:t xml:space="preserve">ponse to antigenic stimulation </w:t>
      </w:r>
      <w:r w:rsidR="00996542">
        <w:fldChar w:fldCharType="begin"/>
      </w:r>
      <w:r w:rsidR="001E0E9E">
        <w:instrText xml:space="preserve"> ADDIN ZOTERO_ITEM CSL_CITATION {"citationID":"hm2kcdHe","properties":{"formattedCitation":"(Rob J. De Boer and Perelson 1995)","plainCitation":"(Rob J. De Boer and Perelson 1995)","noteIndex":0},"citationItems":[{"id":3400,"uris":["http://zotero.org/users/2628971/items/UW5SIM3W"],"uri":["http://zotero.org/users/2628971/items/UW5SIM3W"],"itemData":{"id":3400,"type":"article-journal","title":"Towards a general function describing t cell proliferation","container-title":"Journal of Theoretical Biology","page":"567-576","volume":"175","issue":"4","source":"ScienceDirect","abstract":"A new function is proposed for describing the rate of T cell proliferation in response to peptides on antigen-presenting cells. The model improves an earlier model of ours by allowing for a true maximum proliferation rate of the T cells. This is achieved by a simple change of variables that markedly relaxes the conditions for a conventional quasi-steady-state assumption. The new model has the same “ecological” properties as the previous one. Thus the natural competition in the model allows for regulation of T cell population size in the presence of continuous stimulation by antigen. An important feature is the competitive exclusion of T cell clones recognizing the same peptide with different affinities allowing for “affinity selection”. Models for the population dynamics of experienced, naı&amp;#x0308;ve and activated T cells are also developed. These T cell subpopulations compete with one another for antigen. In models with lymphokine production a “proliferation threshold” is obtained that allows for tolerance.","DOI":"10.1006/jtbi.1995.0165","ISSN":"0022-5193","journalAbbreviation":"Journal of Theoretical Biology","author":[{"family":"De Boer","given":"Rob J."},{"family":"Perelson","given":"A. S."}],"issued":{"date-parts":[["1995",8,21]]}}}],"schema":"https://github.com/citation-style-language/schema/raw/master/csl-citation.json"} </w:instrText>
      </w:r>
      <w:r w:rsidR="00996542">
        <w:fldChar w:fldCharType="separate"/>
      </w:r>
      <w:r w:rsidR="001E0E9E" w:rsidRPr="001E0E9E">
        <w:rPr>
          <w:lang w:val="en-US"/>
        </w:rPr>
        <w:t>(De Boer and Perelson 1995)</w:t>
      </w:r>
      <w:r w:rsidR="00996542">
        <w:fldChar w:fldCharType="end"/>
      </w:r>
      <w:r w:rsidR="00996542">
        <w:t>. This</w:t>
      </w:r>
      <w:r w:rsidR="00A671E3" w:rsidRPr="008B3AD6">
        <w:t xml:space="preserve"> function proposed </w:t>
      </w:r>
      <w:r w:rsidR="00996542">
        <w:t xml:space="preserve">by </w:t>
      </w:r>
      <w:r w:rsidR="00996542" w:rsidRPr="008B3AD6">
        <w:t xml:space="preserve">De Boer and Perelson </w:t>
      </w:r>
      <w:r w:rsidR="00A671E3" w:rsidRPr="008B3AD6">
        <w:t xml:space="preserve">adequately represented the external influx of cells and population proliferation but was not directly implemented due to its reliance on a representation of antigen and antigen binding sites. </w:t>
      </w:r>
      <w:r w:rsidR="00064AB4">
        <w:t>It is not</w:t>
      </w:r>
      <w:r w:rsidR="00FD5AA2" w:rsidRPr="008B3AD6">
        <w:t xml:space="preserve"> feasibl</w:t>
      </w:r>
      <w:r w:rsidR="00064AB4">
        <w:t>e</w:t>
      </w:r>
      <w:r w:rsidR="00FD5AA2" w:rsidRPr="008B3AD6">
        <w:t xml:space="preserve"> to include</w:t>
      </w:r>
      <w:r w:rsidR="00064AB4">
        <w:t xml:space="preserve"> these factors</w:t>
      </w:r>
      <w:r w:rsidR="00FD5AA2" w:rsidRPr="008B3AD6">
        <w:t xml:space="preserve"> due to a paucity of data and the unnecessary complexity for the scope of this project. Thus,</w:t>
      </w:r>
      <w:r w:rsidR="00A671E3" w:rsidRPr="008B3AD6">
        <w:t xml:space="preserve"> this portion </w:t>
      </w:r>
      <w:r w:rsidR="00FD5AA2" w:rsidRPr="008B3AD6">
        <w:t xml:space="preserve">of the function </w:t>
      </w:r>
      <w:r w:rsidR="00A671E3" w:rsidRPr="008B3AD6">
        <w:t>was substitu</w:t>
      </w:r>
      <w:r w:rsidR="00FD5AA2" w:rsidRPr="008B3AD6">
        <w:t xml:space="preserve">ted with </w:t>
      </w:r>
      <w:r w:rsidR="000B4A57" w:rsidRPr="008B3AD6">
        <w:t>a dependence on the infected myeloid cell population</w:t>
      </w:r>
      <w:r w:rsidR="00FD5AA2" w:rsidRPr="008B3AD6">
        <w:t xml:space="preserve"> for growth as described in the domain model</w:t>
      </w:r>
      <w:r w:rsidR="000B4A57" w:rsidRPr="008B3AD6">
        <w:t xml:space="preserve">. </w:t>
      </w:r>
      <w:r w:rsidR="00FD5AA2" w:rsidRPr="008B3AD6">
        <w:t xml:space="preserve">The updated model, </w:t>
      </w:r>
      <w:r w:rsidR="00FD5AA2" w:rsidRPr="008B3AD6">
        <w:fldChar w:fldCharType="begin"/>
      </w:r>
      <w:r w:rsidR="00FD5AA2" w:rsidRPr="008B3AD6">
        <w:instrText xml:space="preserve"> REF _Ref522633684 </w:instrText>
      </w:r>
      <w:r w:rsidR="000D6470" w:rsidRPr="008B3AD6">
        <w:instrText xml:space="preserve"> \* MERGEFORMAT </w:instrText>
      </w:r>
      <w:r w:rsidR="00FD5AA2" w:rsidRPr="008B3AD6">
        <w:fldChar w:fldCharType="separate"/>
      </w:r>
      <w:r w:rsidR="00921CAF" w:rsidRPr="00921CAF">
        <w:rPr>
          <w:b/>
        </w:rPr>
        <w:t xml:space="preserve">Figure </w:t>
      </w:r>
      <w:r w:rsidR="00921CAF" w:rsidRPr="00921CAF">
        <w:rPr>
          <w:b/>
          <w:noProof/>
        </w:rPr>
        <w:t>5.2</w:t>
      </w:r>
      <w:r w:rsidR="00FD5AA2" w:rsidRPr="008B3AD6">
        <w:fldChar w:fldCharType="end"/>
      </w:r>
      <w:r w:rsidR="00FD5AA2" w:rsidRPr="008B3AD6">
        <w:t>, shows that f</w:t>
      </w:r>
      <w:r w:rsidR="000B4A57" w:rsidRPr="008B3AD6">
        <w:t>or Eq. 5.1 and Eq. 5.2 the maximal growth</w:t>
      </w:r>
      <w:r w:rsidR="00FD5AA2" w:rsidRPr="008B3AD6">
        <w:t xml:space="preserve"> rate of the population,</w:t>
      </w:r>
      <w:r w:rsidR="000B4A57" w:rsidRPr="008B3AD6">
        <w:t xml:space="preserve"> denoted as </w:t>
      </w:r>
      <w:r w:rsidR="000B4A57" w:rsidRPr="008B3AD6">
        <w:rPr>
          <w:i/>
        </w:rPr>
        <w:t>a</w:t>
      </w:r>
      <w:r w:rsidR="000B4A57" w:rsidRPr="008B3AD6">
        <w:rPr>
          <w:i/>
          <w:vertAlign w:val="subscript"/>
        </w:rPr>
        <w:t>X</w:t>
      </w:r>
      <w:r w:rsidR="00FD5AA2" w:rsidRPr="008B3AD6">
        <w:t xml:space="preserve">, </w:t>
      </w:r>
      <w:r w:rsidR="000B4A57" w:rsidRPr="008B3AD6">
        <w:t xml:space="preserve">is modulated depending on the density of the infected myeloid cells and the cell population being modelled. The death rate of the population, denoted as </w:t>
      </w:r>
      <w:r w:rsidR="000B4A57" w:rsidRPr="008B3AD6">
        <w:rPr>
          <w:i/>
        </w:rPr>
        <w:sym w:font="Symbol" w:char="F06D"/>
      </w:r>
      <w:r w:rsidR="000B4A57" w:rsidRPr="008B3AD6">
        <w:rPr>
          <w:i/>
          <w:vertAlign w:val="subscript"/>
        </w:rPr>
        <w:t>X</w:t>
      </w:r>
      <w:r w:rsidR="00FD5AA2" w:rsidRPr="008B3AD6">
        <w:t>, is then subtracted from this. Together this function allows for population growth in response to infection and decline in its absence whilst not forcing the emergence of either, a weakness of the previously employed logistic growth functions whereby the population was constrained to a maximum level and guaranteed to grow if below this threshold.</w:t>
      </w:r>
      <w:r w:rsidR="001A10B0">
        <w:t xml:space="preserve"> The remaining functions remain the same from the previous implementation</w:t>
      </w:r>
      <w:r w:rsidR="004646B4">
        <w:t>.</w:t>
      </w:r>
      <w:r w:rsidR="00FD5AA2" w:rsidRPr="008B3AD6">
        <w:t xml:space="preserve">  </w:t>
      </w:r>
    </w:p>
    <w:p w14:paraId="59863F61" w14:textId="07D41EF5" w:rsidR="005C58E4" w:rsidRPr="008B3AD6" w:rsidRDefault="005C58E4" w:rsidP="00FB3530">
      <w:pPr>
        <w:spacing w:line="360" w:lineRule="auto"/>
        <w:jc w:val="both"/>
        <w:sectPr w:rsidR="005C58E4" w:rsidRPr="008B3AD6" w:rsidSect="00B94FC1">
          <w:pgSz w:w="11900" w:h="16840"/>
          <w:pgMar w:top="1134" w:right="851" w:bottom="1134" w:left="2268" w:header="709" w:footer="709" w:gutter="0"/>
          <w:cols w:space="708"/>
          <w:docGrid w:linePitch="360"/>
        </w:sectPr>
      </w:pPr>
    </w:p>
    <w:p w14:paraId="0A65DCA6" w14:textId="265F0F1D" w:rsidR="00442484" w:rsidRPr="008B3AD6" w:rsidRDefault="000D6470" w:rsidP="0070081F">
      <w:pPr>
        <w:spacing w:line="360" w:lineRule="auto"/>
        <w:jc w:val="both"/>
      </w:pPr>
      <w:r w:rsidRPr="008B3AD6">
        <w:lastRenderedPageBreak/>
        <w:t xml:space="preserve">When considering the proposed model in </w:t>
      </w:r>
      <w:r w:rsidR="006B7976" w:rsidRPr="0070081F">
        <w:rPr>
          <w:b/>
        </w:rPr>
        <w:fldChar w:fldCharType="begin"/>
      </w:r>
      <w:r w:rsidR="006B7976" w:rsidRPr="0070081F">
        <w:rPr>
          <w:b/>
        </w:rPr>
        <w:instrText xml:space="preserve"> REF _Ref522633684  \* MERGEFORMAT </w:instrText>
      </w:r>
      <w:r w:rsidR="006B7976" w:rsidRPr="0070081F">
        <w:rPr>
          <w:b/>
        </w:rPr>
        <w:fldChar w:fldCharType="separate"/>
      </w:r>
      <w:r w:rsidR="00921CAF" w:rsidRPr="00921CAF">
        <w:rPr>
          <w:b/>
        </w:rPr>
        <w:t xml:space="preserve">Figure </w:t>
      </w:r>
      <w:r w:rsidR="00921CAF" w:rsidRPr="00921CAF">
        <w:rPr>
          <w:b/>
          <w:noProof/>
        </w:rPr>
        <w:t>5.2</w:t>
      </w:r>
      <w:r w:rsidR="006B7976" w:rsidRPr="0070081F">
        <w:rPr>
          <w:b/>
          <w:noProof/>
        </w:rPr>
        <w:fldChar w:fldCharType="end"/>
      </w:r>
      <w:r w:rsidRPr="008B3AD6">
        <w:t xml:space="preserve">, a valid biological (and mathematical) assumption would be that in the absence of </w:t>
      </w:r>
      <w:r w:rsidRPr="008B3AD6">
        <w:rPr>
          <w:i/>
        </w:rPr>
        <w:t>L. donovani</w:t>
      </w:r>
      <w:r w:rsidRPr="008B3AD6">
        <w:t xml:space="preserve"> infection there is no proliferation driven by infected myeloid cells. In this new model there is also an implementation of two additional parameters representing the influx of T cells (</w:t>
      </w:r>
      <w:r w:rsidRPr="008B3AD6">
        <w:rPr>
          <w:i/>
        </w:rPr>
        <w:t>L</w:t>
      </w:r>
      <w:r w:rsidRPr="008B3AD6">
        <w:rPr>
          <w:i/>
          <w:vertAlign w:val="subscript"/>
        </w:rPr>
        <w:t>T</w:t>
      </w:r>
      <w:r w:rsidRPr="008B3AD6">
        <w:t>) and myeloid cells (</w:t>
      </w:r>
      <w:r w:rsidRPr="008B3AD6">
        <w:rPr>
          <w:i/>
        </w:rPr>
        <w:t>L</w:t>
      </w:r>
      <w:r w:rsidRPr="008B3AD6">
        <w:rPr>
          <w:i/>
          <w:vertAlign w:val="subscript"/>
        </w:rPr>
        <w:t>M</w:t>
      </w:r>
      <w:r w:rsidRPr="008B3AD6">
        <w:t>)</w:t>
      </w:r>
      <w:r w:rsidR="00E11EB6" w:rsidRPr="008B3AD6">
        <w:t xml:space="preserve"> </w:t>
      </w:r>
      <w:r w:rsidR="0070081F">
        <w:t>as well as</w:t>
      </w:r>
      <w:r w:rsidR="00E11EB6" w:rsidRPr="008B3AD6">
        <w:t xml:space="preserve"> the </w:t>
      </w:r>
      <w:r w:rsidR="0070081F">
        <w:t>modulation</w:t>
      </w:r>
      <w:r w:rsidR="00E11EB6" w:rsidRPr="008B3AD6">
        <w:t xml:space="preserve"> of the </w:t>
      </w:r>
      <w:r w:rsidR="0070081F">
        <w:t>maximal</w:t>
      </w:r>
      <w:r w:rsidR="00E11EB6" w:rsidRPr="008B3AD6">
        <w:t xml:space="preserve"> population </w:t>
      </w:r>
      <w:r w:rsidR="0070081F">
        <w:t>growth rate</w:t>
      </w:r>
      <w:r w:rsidR="00E11EB6" w:rsidRPr="008B3AD6">
        <w:t xml:space="preserve"> </w:t>
      </w:r>
      <w:r w:rsidR="0070081F">
        <w:t xml:space="preserve">by the death/exit rate </w:t>
      </w:r>
      <w:r w:rsidR="00E11EB6" w:rsidRPr="008B3AD6">
        <w:t xml:space="preserve">of </w:t>
      </w:r>
      <w:r w:rsidR="0070081F">
        <w:t>either</w:t>
      </w:r>
      <w:r w:rsidR="00E11EB6" w:rsidRPr="008B3AD6">
        <w:t xml:space="preserve"> T cells</w:t>
      </w:r>
      <w:r w:rsidR="0070081F">
        <w:t xml:space="preserve"> (</w:t>
      </w:r>
      <w:r w:rsidR="0070081F" w:rsidRPr="0070081F">
        <w:rPr>
          <w:i/>
        </w:rPr>
        <w:t>D</w:t>
      </w:r>
      <w:r w:rsidR="0070081F" w:rsidRPr="0070081F">
        <w:rPr>
          <w:i/>
          <w:vertAlign w:val="subscript"/>
        </w:rPr>
        <w:t>T</w:t>
      </w:r>
      <w:r w:rsidR="0070081F">
        <w:t>)</w:t>
      </w:r>
      <w:r w:rsidR="00E11EB6" w:rsidRPr="008B3AD6">
        <w:t xml:space="preserve"> and myeloid cells</w:t>
      </w:r>
      <w:r w:rsidR="0070081F">
        <w:t xml:space="preserve"> (</w:t>
      </w:r>
      <w:r w:rsidR="0070081F" w:rsidRPr="0070081F">
        <w:rPr>
          <w:i/>
        </w:rPr>
        <w:t>D</w:t>
      </w:r>
      <w:r w:rsidR="0070081F" w:rsidRPr="0070081F">
        <w:rPr>
          <w:i/>
          <w:vertAlign w:val="subscript"/>
        </w:rPr>
        <w:t>M</w:t>
      </w:r>
      <w:r w:rsidR="0070081F">
        <w:t>)</w:t>
      </w:r>
      <w:r w:rsidRPr="008B3AD6">
        <w:t xml:space="preserve">. </w:t>
      </w:r>
      <w:r w:rsidR="00442484" w:rsidRPr="008B3AD6">
        <w:t xml:space="preserve">Based on the assumption that in the absence of </w:t>
      </w:r>
      <w:r w:rsidR="00442484" w:rsidRPr="008B3AD6">
        <w:rPr>
          <w:i/>
        </w:rPr>
        <w:t>L. donovani</w:t>
      </w:r>
      <w:r w:rsidR="00442484" w:rsidRPr="008B3AD6">
        <w:t xml:space="preserve"> infection there is no proliferation driven by infected myeloid cells this would infer that in a naïve population the population maintenance is controlled by the influx of cells and their resulting death/exit from the system. For experimental visceral leishmaniasis there is a paucity of quantitative data for cellular influx rates into the liver and/or the death/exit rate of</w:t>
      </w:r>
      <w:r w:rsidR="0070081F">
        <w:t xml:space="preserve"> cellular</w:t>
      </w:r>
      <w:r w:rsidR="00442484" w:rsidRPr="008B3AD6">
        <w:t xml:space="preserve"> population</w:t>
      </w:r>
      <w:r w:rsidR="0070081F">
        <w:t>s</w:t>
      </w:r>
      <w:r w:rsidR="00442484" w:rsidRPr="008B3AD6">
        <w:t xml:space="preserve">. To attempt to negate the uncertainty in these values, the model was initially calibrated for a naïve system to derive the influx and exit rates of T cells and myeloid cells, these values could then be integrated into the system when infection was present. </w:t>
      </w:r>
    </w:p>
    <w:p w14:paraId="0A9780A7" w14:textId="712F49BA" w:rsidR="00812F53" w:rsidRPr="008B3AD6" w:rsidRDefault="00812F53" w:rsidP="0070081F">
      <w:pPr>
        <w:spacing w:line="360" w:lineRule="auto"/>
        <w:jc w:val="both"/>
      </w:pPr>
    </w:p>
    <w:p w14:paraId="2DF37634" w14:textId="29678499" w:rsidR="00D6635D" w:rsidRPr="008B3AD6" w:rsidRDefault="00812F53" w:rsidP="0070081F">
      <w:pPr>
        <w:spacing w:line="360" w:lineRule="auto"/>
        <w:jc w:val="both"/>
      </w:pPr>
      <w:r w:rsidRPr="008B3AD6">
        <w:t>The initial values of the model were set to represent a naïve system (9.72 x 10</w:t>
      </w:r>
      <w:r w:rsidRPr="008B3AD6">
        <w:rPr>
          <w:vertAlign w:val="superscript"/>
        </w:rPr>
        <w:t xml:space="preserve">5 </w:t>
      </w:r>
      <w:r w:rsidRPr="008B3AD6">
        <w:t>T cells, 2.4 x 10</w:t>
      </w:r>
      <w:r w:rsidRPr="008B3AD6">
        <w:rPr>
          <w:vertAlign w:val="superscript"/>
        </w:rPr>
        <w:t xml:space="preserve">5 </w:t>
      </w:r>
      <w:r w:rsidRPr="008B3AD6">
        <w:t xml:space="preserve">susceptible myeloid cells and 0 infected myeloid cells, extracellular and intracellular </w:t>
      </w:r>
      <w:r w:rsidRPr="008B3AD6">
        <w:rPr>
          <w:i/>
        </w:rPr>
        <w:t>L. donovani</w:t>
      </w:r>
      <w:r w:rsidR="00B22062" w:rsidRPr="008B3AD6">
        <w:t>)</w:t>
      </w:r>
      <w:r w:rsidRPr="008B3AD6">
        <w:t xml:space="preserve">. Data representing the abundance of T cells and myeloid cells from previously processed naïve mice age-matched to infection time points from </w:t>
      </w:r>
      <w:r w:rsidR="0074700A">
        <w:rPr>
          <w:b/>
        </w:rPr>
        <w:fldChar w:fldCharType="begin"/>
      </w:r>
      <w:r w:rsidR="0074700A">
        <w:rPr>
          <w:b/>
        </w:rPr>
        <w:instrText xml:space="preserve"> REF _Ref518563598  \* MERGEFORMAT </w:instrText>
      </w:r>
      <w:r w:rsidR="0074700A">
        <w:rPr>
          <w:b/>
        </w:rPr>
        <w:fldChar w:fldCharType="separate"/>
      </w:r>
      <w:r w:rsidR="00921CAF" w:rsidRPr="00921CAF">
        <w:rPr>
          <w:b/>
        </w:rPr>
        <w:t xml:space="preserve">Figure </w:t>
      </w:r>
      <w:r w:rsidR="00921CAF" w:rsidRPr="00921CAF">
        <w:rPr>
          <w:b/>
          <w:noProof/>
        </w:rPr>
        <w:t>4.3</w:t>
      </w:r>
      <w:r w:rsidR="0074700A">
        <w:rPr>
          <w:b/>
          <w:noProof/>
        </w:rPr>
        <w:fldChar w:fldCharType="end"/>
      </w:r>
      <w:r w:rsidRPr="008B3AD6">
        <w:t xml:space="preserve"> and </w:t>
      </w:r>
      <w:r w:rsidR="0074700A">
        <w:rPr>
          <w:b/>
        </w:rPr>
        <w:fldChar w:fldCharType="begin"/>
      </w:r>
      <w:r w:rsidR="0074700A">
        <w:rPr>
          <w:b/>
        </w:rPr>
        <w:instrText xml:space="preserve"> REF _Ref518563634  \* MERGEFORMAT </w:instrText>
      </w:r>
      <w:r w:rsidR="0074700A">
        <w:rPr>
          <w:b/>
        </w:rPr>
        <w:fldChar w:fldCharType="separate"/>
      </w:r>
      <w:r w:rsidR="00921CAF" w:rsidRPr="00921CAF">
        <w:rPr>
          <w:b/>
        </w:rPr>
        <w:t xml:space="preserve">Figure </w:t>
      </w:r>
      <w:r w:rsidR="00921CAF" w:rsidRPr="00921CAF">
        <w:rPr>
          <w:b/>
          <w:noProof/>
        </w:rPr>
        <w:t>4.4</w:t>
      </w:r>
      <w:r w:rsidR="0074700A">
        <w:rPr>
          <w:b/>
          <w:noProof/>
        </w:rPr>
        <w:fldChar w:fldCharType="end"/>
      </w:r>
      <w:r w:rsidRPr="008B3AD6">
        <w:t xml:space="preserve"> was generated (see Sections </w:t>
      </w:r>
      <w:fldSimple w:instr=" REF _Ref518492280 \n  \* MERGEFORMAT ">
        <w:r w:rsidR="00921CAF">
          <w:t>2.5</w:t>
        </w:r>
      </w:fldSimple>
      <w:r w:rsidRPr="008B3AD6">
        <w:t xml:space="preserve">, </w:t>
      </w:r>
      <w:fldSimple w:instr=" REF _Ref519018511 \n  \* MERGEFORMAT ">
        <w:r w:rsidR="00921CAF">
          <w:t>2.8</w:t>
        </w:r>
      </w:fldSimple>
      <w:r w:rsidRPr="008B3AD6">
        <w:t xml:space="preserve"> and </w:t>
      </w:r>
      <w:r w:rsidR="00FB09BC" w:rsidRPr="008B3AD6">
        <w:rPr>
          <w:b/>
        </w:rPr>
        <w:fldChar w:fldCharType="begin"/>
      </w:r>
      <w:r w:rsidR="00FB09BC" w:rsidRPr="008B3AD6">
        <w:rPr>
          <w:b/>
        </w:rPr>
        <w:instrText xml:space="preserve"> REF _Ref518563553  \* MERGEFORMAT </w:instrText>
      </w:r>
      <w:r w:rsidR="00FB09BC" w:rsidRPr="008B3AD6">
        <w:rPr>
          <w:b/>
        </w:rPr>
        <w:fldChar w:fldCharType="separate"/>
      </w:r>
      <w:r w:rsidR="00921CAF" w:rsidRPr="00921CAF">
        <w:rPr>
          <w:b/>
        </w:rPr>
        <w:t xml:space="preserve">Figure </w:t>
      </w:r>
      <w:r w:rsidR="00921CAF" w:rsidRPr="00921CAF">
        <w:rPr>
          <w:b/>
          <w:noProof/>
        </w:rPr>
        <w:t>4.2</w:t>
      </w:r>
      <w:r w:rsidR="00FB09BC" w:rsidRPr="008B3AD6">
        <w:rPr>
          <w:b/>
          <w:noProof/>
        </w:rPr>
        <w:fldChar w:fldCharType="end"/>
      </w:r>
      <w:r w:rsidRPr="008B3AD6">
        <w:t>)</w:t>
      </w:r>
      <w:r w:rsidR="00D6635D" w:rsidRPr="008B3AD6">
        <w:t xml:space="preserve">. </w:t>
      </w:r>
    </w:p>
    <w:p w14:paraId="5E7F8F04" w14:textId="3163CD9F" w:rsidR="00D6635D" w:rsidRPr="008B3AD6" w:rsidRDefault="00E93E71" w:rsidP="00D6635D">
      <w:pPr>
        <w:spacing w:line="360" w:lineRule="auto"/>
        <w:jc w:val="both"/>
      </w:pPr>
      <w:r w:rsidRPr="006302FE">
        <w:rPr>
          <w:b/>
          <w:noProof/>
        </w:rPr>
        <w:drawing>
          <wp:anchor distT="0" distB="0" distL="114300" distR="114300" simplePos="0" relativeHeight="252189696" behindDoc="0" locked="0" layoutInCell="1" allowOverlap="1" wp14:anchorId="01F48600" wp14:editId="70203501">
            <wp:simplePos x="0" y="0"/>
            <wp:positionH relativeFrom="column">
              <wp:posOffset>-256913</wp:posOffset>
            </wp:positionH>
            <wp:positionV relativeFrom="paragraph">
              <wp:posOffset>322729</wp:posOffset>
            </wp:positionV>
            <wp:extent cx="5575935" cy="2150629"/>
            <wp:effectExtent l="0" t="0" r="0" b="0"/>
            <wp:wrapTopAndBottom/>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extLst>
                        <a:ext uri="{28A0092B-C50C-407E-A947-70E740481C1C}">
                          <a14:useLocalDpi xmlns:a14="http://schemas.microsoft.com/office/drawing/2010/main" val="0"/>
                        </a:ext>
                      </a:extLst>
                    </a:blip>
                    <a:stretch>
                      <a:fillRect/>
                    </a:stretch>
                  </pic:blipFill>
                  <pic:spPr>
                    <a:xfrm>
                      <a:off x="0" y="0"/>
                      <a:ext cx="5575935" cy="2150629"/>
                    </a:xfrm>
                    <a:prstGeom prst="rect">
                      <a:avLst/>
                    </a:prstGeom>
                  </pic:spPr>
                </pic:pic>
              </a:graphicData>
            </a:graphic>
            <wp14:sizeRelH relativeFrom="page">
              <wp14:pctWidth>0</wp14:pctWidth>
            </wp14:sizeRelH>
            <wp14:sizeRelV relativeFrom="page">
              <wp14:pctHeight>0</wp14:pctHeight>
            </wp14:sizeRelV>
          </wp:anchor>
        </w:drawing>
      </w:r>
      <w:r w:rsidR="00031DCA">
        <w:rPr>
          <w:noProof/>
        </w:rPr>
        <mc:AlternateContent>
          <mc:Choice Requires="wps">
            <w:drawing>
              <wp:anchor distT="0" distB="0" distL="114300" distR="114300" simplePos="0" relativeHeight="251798528" behindDoc="0" locked="0" layoutInCell="1" allowOverlap="1" wp14:anchorId="469010EA" wp14:editId="1E9E5FC7">
                <wp:simplePos x="0" y="0"/>
                <wp:positionH relativeFrom="column">
                  <wp:posOffset>-152347</wp:posOffset>
                </wp:positionH>
                <wp:positionV relativeFrom="paragraph">
                  <wp:posOffset>254274</wp:posOffset>
                </wp:positionV>
                <wp:extent cx="187292" cy="178372"/>
                <wp:effectExtent l="0" t="0" r="3810" b="0"/>
                <wp:wrapTopAndBottom/>
                <wp:docPr id="111" name="Text Box 111"/>
                <wp:cNvGraphicFramePr/>
                <a:graphic xmlns:a="http://schemas.openxmlformats.org/drawingml/2006/main">
                  <a:graphicData uri="http://schemas.microsoft.com/office/word/2010/wordprocessingShape">
                    <wps:wsp>
                      <wps:cNvSpPr txBox="1"/>
                      <wps:spPr>
                        <a:xfrm>
                          <a:off x="0" y="0"/>
                          <a:ext cx="187292" cy="178372"/>
                        </a:xfrm>
                        <a:prstGeom prst="rect">
                          <a:avLst/>
                        </a:prstGeom>
                        <a:noFill/>
                        <a:ln w="6350">
                          <a:noFill/>
                        </a:ln>
                      </wps:spPr>
                      <wps:txbx>
                        <w:txbxContent>
                          <w:p w14:paraId="62882434" w14:textId="77777777" w:rsidR="00F61130" w:rsidRPr="006508D1" w:rsidRDefault="00F61130" w:rsidP="00E27154">
                            <w:r w:rsidRPr="006508D1">
                              <w:t>A</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469010EA" id="Text Box 111" o:spid="_x0000_s1156" type="#_x0000_t202" style="position:absolute;left:0;text-align:left;margin-left:-12pt;margin-top:20pt;width:14.75pt;height:14.05pt;z-index:2517985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9BRoTJgIAAE0EAAAOAAAAZHJzL2Uyb0RvYy54bWysVE2P2jAQvVfqf7B8LwmgLmxEWNFdUVVC&#13;&#10;uytBtWfj2CSS7XFtQ0J/fccOgWrbU9WLmcyM5+O9ZxYPnVbkJJxvwJR0PMopEYZD1ZhDSb/v1p/m&#13;&#10;lPjATMUUGFHSs/D0Yfnxw6K1hZhADaoSjmAR44vWlrQOwRZZ5nktNPMjsMJgUILTLOCnO2SVYy1W&#13;&#10;1yqb5Pld1oKrrAMuvEfvUx+ky1RfSsHDi5ReBKJKirOFdLp07uOZLResODhm64ZfxmD/MIVmjcGm&#13;&#10;11JPLDBydM0fpXTDHXiQYcRBZyBlw0XaAbcZ5++22dbMirQLguPtFSb//8ry59OrI02F3I3HlBim&#13;&#10;kaSd6AL5Ah2JPkSotb7AxK3F1NBhALMHv0dnXLyTTsdfXIlgHLE+X/GN5Xi8NJ9N7ieUcAyNZ/Pp&#13;&#10;bBKrZLfL1vnwVYAm0SipQ/oSquy08aFPHVJiLwPrRqlEoTKkLend9HOeLlwjWFwZ7BFX6EeNVuj2&#13;&#10;Xb/0NEkg+vZQnXE/B71GvOXrBqfYMB9emUNR4Eoo9PCCh1SA3eBiUVKD+/k3f8xHrjBKSYsiK6n/&#13;&#10;cWROUKK+GWQxKnIw3GDsB8Mc9SOgbpEXnCaZeMEFNZjSgX5D/a9iFwwxw7FXScNgPoZe6vh+uFit&#13;&#10;UhLqzrKwMVvLY+mIY8R0170xZy/AB2TsGQb5seId/n1uz8DqGEA2iZwbihfAUbOJ3sv7io/i9++U&#13;&#10;dfsXWP4CAAD//wMAUEsDBBQABgAIAAAAIQD4uAl+4gAAAAwBAAAPAAAAZHJzL2Rvd25yZXYueG1s&#13;&#10;TI9NT8MwDIbvSPyHyEjctqTTNk1d0wkxuPE5QNpuaWPainxUSdqVf485wcWWZft936fYTdawEUPs&#13;&#10;vJOQzQUwdLXXnWskvL/dzzbAYlJOK+MdSvjGCLvy8qJQufZn94rjITWMRFzMlYQ2pT7nPNYtWhXn&#13;&#10;vkdHu08frEo0hobroM4kbg1fCLHmVnWOHFrV422L9ddhsBLMMYaHSqTTuG8e08szHz7usicpr6+m&#13;&#10;/ZbKzRZYwin9fcAvA+WHkoJVfnA6MiNhtlgSUJKwFNTpYLUCVklYbzLgZcH/Q5Q/AAAA//8DAFBL&#13;&#10;AQItABQABgAIAAAAIQC2gziS/gAAAOEBAAATAAAAAAAAAAAAAAAAAAAAAABbQ29udGVudF9UeXBl&#13;&#10;c10ueG1sUEsBAi0AFAAGAAgAAAAhADj9If/WAAAAlAEAAAsAAAAAAAAAAAAAAAAALwEAAF9yZWxz&#13;&#10;Ly5yZWxzUEsBAi0AFAAGAAgAAAAhAD0FGhMmAgAATQQAAA4AAAAAAAAAAAAAAAAALgIAAGRycy9l&#13;&#10;Mm9Eb2MueG1sUEsBAi0AFAAGAAgAAAAhAPi4CX7iAAAADAEAAA8AAAAAAAAAAAAAAAAAgAQAAGRy&#13;&#10;cy9kb3ducmV2LnhtbFBLBQYAAAAABAAEAPMAAACPBQAAAAA=&#13;&#10;" filled="f" stroked="f" strokeweight=".5pt">
                <v:textbox inset="0,0,0,0">
                  <w:txbxContent>
                    <w:p w14:paraId="62882434" w14:textId="77777777" w:rsidR="00F61130" w:rsidRPr="006508D1" w:rsidRDefault="00F61130" w:rsidP="00E27154">
                      <w:r w:rsidRPr="006508D1">
                        <w:t>A</w:t>
                      </w:r>
                    </w:p>
                  </w:txbxContent>
                </v:textbox>
                <w10:wrap type="topAndBottom"/>
              </v:shape>
            </w:pict>
          </mc:Fallback>
        </mc:AlternateContent>
      </w:r>
      <w:r w:rsidR="00031DCA">
        <w:rPr>
          <w:noProof/>
        </w:rPr>
        <mc:AlternateContent>
          <mc:Choice Requires="wps">
            <w:drawing>
              <wp:anchor distT="0" distB="0" distL="114300" distR="114300" simplePos="0" relativeHeight="251799552" behindDoc="0" locked="0" layoutInCell="1" allowOverlap="1" wp14:anchorId="393F7240" wp14:editId="3CCD04DF">
                <wp:simplePos x="0" y="0"/>
                <wp:positionH relativeFrom="column">
                  <wp:posOffset>2969616</wp:posOffset>
                </wp:positionH>
                <wp:positionV relativeFrom="paragraph">
                  <wp:posOffset>254274</wp:posOffset>
                </wp:positionV>
                <wp:extent cx="187292" cy="178372"/>
                <wp:effectExtent l="0" t="0" r="3810" b="0"/>
                <wp:wrapTopAndBottom/>
                <wp:docPr id="112" name="Text Box 112"/>
                <wp:cNvGraphicFramePr/>
                <a:graphic xmlns:a="http://schemas.openxmlformats.org/drawingml/2006/main">
                  <a:graphicData uri="http://schemas.microsoft.com/office/word/2010/wordprocessingShape">
                    <wps:wsp>
                      <wps:cNvSpPr txBox="1"/>
                      <wps:spPr>
                        <a:xfrm>
                          <a:off x="0" y="0"/>
                          <a:ext cx="187292" cy="178372"/>
                        </a:xfrm>
                        <a:prstGeom prst="rect">
                          <a:avLst/>
                        </a:prstGeom>
                        <a:noFill/>
                        <a:ln w="6350">
                          <a:noFill/>
                        </a:ln>
                      </wps:spPr>
                      <wps:txbx>
                        <w:txbxContent>
                          <w:p w14:paraId="3E1F681B" w14:textId="77777777" w:rsidR="00F61130" w:rsidRPr="006508D1" w:rsidRDefault="00F61130" w:rsidP="00E27154">
                            <w:r>
                              <w:t>B</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393F7240" id="Text Box 112" o:spid="_x0000_s1157" type="#_x0000_t202" style="position:absolute;left:0;text-align:left;margin-left:233.85pt;margin-top:20pt;width:14.75pt;height:14.05pt;z-index:2517995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noiD5JgIAAE0EAAAOAAAAZHJzL2Uyb0RvYy54bWysVF1v2jAUfZ+0/2D5fYQPrbQRoWKtmCah&#13;&#10;thJMfTaOQyIlvp5tSNiv37FD6NTtadqLufH9POces7jvmpqdlHUV6YxPRmPOlJaUV/qQ8e+79adb&#13;&#10;zpwXOhc1aZXxs3L8fvnxw6I1qZpSSXWuLEMR7dLWZLz03qRJ4mSpGuFGZJSGsyDbCI9Pe0hyK1pU&#13;&#10;b+pkOh7fJC3Z3FiSyjncPvZOvoz1i0JJ/1wUTnlWZxyz+XjaeO7DmSwXIj1YYcpKXsYQ/zBFIyqN&#13;&#10;ptdSj8ILdrTVH6WaSlpyVPiRpCahoqikihiAZjJ+h2ZbCqMiFpDjzJUm9//KyqfTi2VVjt1Nppxp&#13;&#10;0WBJO9V59oU6Fu7AUGtcisCtQajv4ED0cO9wGYB3hW3CLyAx+MH1+cpvKCdD0u18eocuEq7J/HY2&#13;&#10;j9WTt2Rjnf+qqGHByLjF+iKr4rRxHoMgdAgJvTStq7qOK6w1azN+M/s8jglXDzJqjcQAoR81WL7b&#13;&#10;dz3o2RXInvIz8FnqNeKMXFeYYiOcfxEWogAkCN0/4yhqQje6WJyVZH/+7T7EY1fwctZCZBl3P47C&#13;&#10;Ks7qbxpbDIocDDsY+8HQx+aBoNsJnpCR0USC9fVgFpaaV+h/FbrAJbREr4z7wXzwvdTxfqRarWIQ&#13;&#10;dGeE3+itkaF04DFwuutehTUX4j029kSD/ET6jv8+tt/A6uipqOJyArM9ixfCodm4s8v7Co/i9+8Y&#13;&#10;9fYvsPwFAAD//wMAUEsDBBQABgAIAAAAIQDV1tWD4wAAAA4BAAAPAAAAZHJzL2Rvd25yZXYueG1s&#13;&#10;TI9PT8MwDMXvSHyHyEjcWNJpakfXdEIMbvzdhgS3tDFtRZNUSdqVb485wcWy5efn9yu2s+nZhD50&#13;&#10;zkpIFgIY2trpzjYSjof7qzWwEJXVqncWJXxjgG15flaoXLuTfcVpHxtGJjbkSkIb45BzHuoWjQoL&#13;&#10;N6Cl3afzRkUafcO1VycyNz1fCpFyozpLH1o14G2L9dd+NBL69+AfKhE/pl3zGF+e+fh2lzxJeXkx&#13;&#10;7zZUbjbAIs7x7wJ+GSg/lBSscqPVgfUSVmmWkZQaQWAkWF1nS2CVhHSdAC8L/h+j/AEAAP//AwBQ&#13;&#10;SwECLQAUAAYACAAAACEAtoM4kv4AAADhAQAAEwAAAAAAAAAAAAAAAAAAAAAAW0NvbnRlbnRfVHlw&#13;&#10;ZXNdLnhtbFBLAQItABQABgAIAAAAIQA4/SH/1gAAAJQBAAALAAAAAAAAAAAAAAAAAC8BAABfcmVs&#13;&#10;cy8ucmVsc1BLAQItABQABgAIAAAAIQAnoiD5JgIAAE0EAAAOAAAAAAAAAAAAAAAAAC4CAABkcnMv&#13;&#10;ZTJvRG9jLnhtbFBLAQItABQABgAIAAAAIQDV1tWD4wAAAA4BAAAPAAAAAAAAAAAAAAAAAIAEAABk&#13;&#10;cnMvZG93bnJldi54bWxQSwUGAAAAAAQABADzAAAAkAUAAAAA&#13;&#10;" filled="f" stroked="f" strokeweight=".5pt">
                <v:textbox inset="0,0,0,0">
                  <w:txbxContent>
                    <w:p w14:paraId="3E1F681B" w14:textId="77777777" w:rsidR="00F61130" w:rsidRPr="006508D1" w:rsidRDefault="00F61130" w:rsidP="00E27154">
                      <w:r>
                        <w:t>B</w:t>
                      </w:r>
                    </w:p>
                  </w:txbxContent>
                </v:textbox>
                <w10:wrap type="topAndBottom"/>
              </v:shape>
            </w:pict>
          </mc:Fallback>
        </mc:AlternateContent>
      </w:r>
      <w:r w:rsidR="00803C0E">
        <w:rPr>
          <w:noProof/>
        </w:rPr>
        <mc:AlternateContent>
          <mc:Choice Requires="wps">
            <w:drawing>
              <wp:anchor distT="0" distB="0" distL="114300" distR="114300" simplePos="0" relativeHeight="251800576" behindDoc="0" locked="0" layoutInCell="1" allowOverlap="1" wp14:anchorId="413170B0" wp14:editId="2040C5F7">
                <wp:simplePos x="0" y="0"/>
                <wp:positionH relativeFrom="column">
                  <wp:posOffset>-151508</wp:posOffset>
                </wp:positionH>
                <wp:positionV relativeFrom="paragraph">
                  <wp:posOffset>2539273</wp:posOffset>
                </wp:positionV>
                <wp:extent cx="5976314" cy="1047598"/>
                <wp:effectExtent l="0" t="0" r="5715" b="0"/>
                <wp:wrapTopAndBottom/>
                <wp:docPr id="114" name="Text Box 114"/>
                <wp:cNvGraphicFramePr/>
                <a:graphic xmlns:a="http://schemas.openxmlformats.org/drawingml/2006/main">
                  <a:graphicData uri="http://schemas.microsoft.com/office/word/2010/wordprocessingShape">
                    <wps:wsp>
                      <wps:cNvSpPr txBox="1"/>
                      <wps:spPr>
                        <a:xfrm>
                          <a:off x="0" y="0"/>
                          <a:ext cx="5976314" cy="1047598"/>
                        </a:xfrm>
                        <a:prstGeom prst="rect">
                          <a:avLst/>
                        </a:prstGeom>
                        <a:solidFill>
                          <a:prstClr val="white"/>
                        </a:solidFill>
                        <a:ln>
                          <a:noFill/>
                        </a:ln>
                      </wps:spPr>
                      <wps:txbx>
                        <w:txbxContent>
                          <w:p w14:paraId="56E2FE73" w14:textId="57FED62D" w:rsidR="00F61130" w:rsidRPr="001C44AB" w:rsidRDefault="00F61130" w:rsidP="00C9062C">
                            <w:pPr>
                              <w:pStyle w:val="Caption"/>
                              <w:spacing w:line="360" w:lineRule="auto"/>
                              <w:jc w:val="both"/>
                              <w:rPr>
                                <w:b/>
                                <w:sz w:val="20"/>
                                <w:szCs w:val="20"/>
                              </w:rPr>
                            </w:pPr>
                            <w:bookmarkStart w:id="568" w:name="_Ref522636893"/>
                            <w:bookmarkStart w:id="569" w:name="_Toc536814177"/>
                            <w:bookmarkStart w:id="570" w:name="_Toc525227238"/>
                            <w:r w:rsidRPr="00C9062C">
                              <w:rPr>
                                <w:b/>
                                <w:sz w:val="20"/>
                                <w:szCs w:val="20"/>
                              </w:rPr>
                              <w:t xml:space="preserve">Figure </w:t>
                            </w:r>
                            <w:r>
                              <w:rPr>
                                <w:b/>
                                <w:sz w:val="20"/>
                                <w:szCs w:val="20"/>
                              </w:rPr>
                              <w:fldChar w:fldCharType="begin"/>
                            </w:r>
                            <w:r>
                              <w:rPr>
                                <w:b/>
                                <w:sz w:val="20"/>
                                <w:szCs w:val="20"/>
                              </w:rPr>
                              <w:instrText xml:space="preserve"> STYLEREF 1 \s </w:instrText>
                            </w:r>
                            <w:r>
                              <w:rPr>
                                <w:b/>
                                <w:sz w:val="20"/>
                                <w:szCs w:val="20"/>
                              </w:rPr>
                              <w:fldChar w:fldCharType="separate"/>
                            </w:r>
                            <w:r>
                              <w:rPr>
                                <w:b/>
                                <w:noProof/>
                                <w:sz w:val="20"/>
                                <w:szCs w:val="20"/>
                              </w:rPr>
                              <w:t>5</w:t>
                            </w:r>
                            <w:r>
                              <w:rPr>
                                <w:b/>
                                <w:sz w:val="20"/>
                                <w:szCs w:val="20"/>
                              </w:rPr>
                              <w:fldChar w:fldCharType="end"/>
                            </w:r>
                            <w:r>
                              <w:rPr>
                                <w:b/>
                                <w:sz w:val="20"/>
                                <w:szCs w:val="20"/>
                              </w:rPr>
                              <w:t>.</w:t>
                            </w:r>
                            <w:r>
                              <w:rPr>
                                <w:b/>
                                <w:sz w:val="20"/>
                                <w:szCs w:val="20"/>
                              </w:rPr>
                              <w:fldChar w:fldCharType="begin"/>
                            </w:r>
                            <w:r>
                              <w:rPr>
                                <w:b/>
                                <w:sz w:val="20"/>
                                <w:szCs w:val="20"/>
                              </w:rPr>
                              <w:instrText xml:space="preserve"> SEQ Figure \* ARABIC \s 1 </w:instrText>
                            </w:r>
                            <w:r>
                              <w:rPr>
                                <w:b/>
                                <w:sz w:val="20"/>
                                <w:szCs w:val="20"/>
                              </w:rPr>
                              <w:fldChar w:fldCharType="separate"/>
                            </w:r>
                            <w:r>
                              <w:rPr>
                                <w:b/>
                                <w:noProof/>
                                <w:sz w:val="20"/>
                                <w:szCs w:val="20"/>
                              </w:rPr>
                              <w:t>3</w:t>
                            </w:r>
                            <w:r>
                              <w:rPr>
                                <w:b/>
                                <w:sz w:val="20"/>
                                <w:szCs w:val="20"/>
                              </w:rPr>
                              <w:fldChar w:fldCharType="end"/>
                            </w:r>
                            <w:bookmarkEnd w:id="568"/>
                            <w:r w:rsidRPr="00C9062C">
                              <w:rPr>
                                <w:b/>
                                <w:sz w:val="20"/>
                                <w:szCs w:val="20"/>
                              </w:rPr>
                              <w:t xml:space="preserve"> - Fitting of </w:t>
                            </w:r>
                            <w:r>
                              <w:rPr>
                                <w:b/>
                                <w:sz w:val="20"/>
                                <w:szCs w:val="20"/>
                              </w:rPr>
                              <w:t xml:space="preserve">T cell and </w:t>
                            </w:r>
                            <w:r w:rsidRPr="00C9062C">
                              <w:rPr>
                                <w:b/>
                                <w:sz w:val="20"/>
                                <w:szCs w:val="20"/>
                              </w:rPr>
                              <w:t xml:space="preserve">myeloid cells </w:t>
                            </w:r>
                            <w:r>
                              <w:rPr>
                                <w:b/>
                                <w:sz w:val="20"/>
                                <w:szCs w:val="20"/>
                              </w:rPr>
                              <w:t>in a naïve system.</w:t>
                            </w:r>
                            <w:r>
                              <w:rPr>
                                <w:sz w:val="20"/>
                                <w:szCs w:val="20"/>
                              </w:rPr>
                              <w:t xml:space="preserve"> Population data generated from naïve age-matched controls, post infection refers to the infection of matched infected cohorts.</w:t>
                            </w:r>
                            <w:r>
                              <w:rPr>
                                <w:b/>
                                <w:sz w:val="20"/>
                                <w:szCs w:val="20"/>
                              </w:rPr>
                              <w:t xml:space="preserve"> </w:t>
                            </w:r>
                            <w:r w:rsidRPr="00C9062C">
                              <w:rPr>
                                <w:sz w:val="20"/>
                                <w:szCs w:val="20"/>
                              </w:rPr>
                              <w:t xml:space="preserve">Parameters </w:t>
                            </w:r>
                            <w:r>
                              <w:rPr>
                                <w:sz w:val="20"/>
                                <w:szCs w:val="20"/>
                              </w:rPr>
                              <w:t xml:space="preserve">were </w:t>
                            </w:r>
                            <w:r w:rsidRPr="00C9062C">
                              <w:rPr>
                                <w:sz w:val="20"/>
                                <w:szCs w:val="20"/>
                              </w:rPr>
                              <w:t xml:space="preserve">derived to </w:t>
                            </w:r>
                            <w:r>
                              <w:rPr>
                                <w:sz w:val="20"/>
                                <w:szCs w:val="20"/>
                              </w:rPr>
                              <w:t>simulate</w:t>
                            </w:r>
                            <w:r w:rsidRPr="00C9062C">
                              <w:rPr>
                                <w:sz w:val="20"/>
                                <w:szCs w:val="20"/>
                              </w:rPr>
                              <w:t xml:space="preserve"> T Cells (A)</w:t>
                            </w:r>
                            <w:r>
                              <w:rPr>
                                <w:sz w:val="20"/>
                                <w:szCs w:val="20"/>
                              </w:rPr>
                              <w:t xml:space="preserve"> and m</w:t>
                            </w:r>
                            <w:r w:rsidRPr="00C9062C">
                              <w:rPr>
                                <w:sz w:val="20"/>
                                <w:szCs w:val="20"/>
                              </w:rPr>
                              <w:t>yeloid cell</w:t>
                            </w:r>
                            <w:r>
                              <w:rPr>
                                <w:sz w:val="20"/>
                                <w:szCs w:val="20"/>
                              </w:rPr>
                              <w:t>s</w:t>
                            </w:r>
                            <w:r w:rsidRPr="00C9062C">
                              <w:rPr>
                                <w:sz w:val="20"/>
                                <w:szCs w:val="20"/>
                              </w:rPr>
                              <w:t xml:space="preserve"> (B) using the </w:t>
                            </w:r>
                            <w:r w:rsidRPr="00C9062C">
                              <w:rPr>
                                <w:i/>
                                <w:sz w:val="20"/>
                                <w:szCs w:val="20"/>
                              </w:rPr>
                              <w:t>abc_sequential</w:t>
                            </w:r>
                            <w:r w:rsidRPr="00C9062C">
                              <w:rPr>
                                <w:sz w:val="20"/>
                                <w:szCs w:val="20"/>
                              </w:rPr>
                              <w:t xml:space="preserve"> function of the </w:t>
                            </w:r>
                            <w:r w:rsidRPr="00C9062C">
                              <w:rPr>
                                <w:i/>
                                <w:sz w:val="20"/>
                                <w:szCs w:val="20"/>
                              </w:rPr>
                              <w:t>easyABC</w:t>
                            </w:r>
                            <w:r w:rsidRPr="00C9062C">
                              <w:rPr>
                                <w:sz w:val="20"/>
                                <w:szCs w:val="20"/>
                              </w:rPr>
                              <w:t xml:space="preserve"> package. </w:t>
                            </w:r>
                            <w:r>
                              <w:rPr>
                                <w:sz w:val="20"/>
                                <w:szCs w:val="20"/>
                              </w:rPr>
                              <w:t>Blue</w:t>
                            </w:r>
                            <w:r w:rsidRPr="00C9062C">
                              <w:rPr>
                                <w:sz w:val="20"/>
                                <w:szCs w:val="20"/>
                              </w:rPr>
                              <w:t xml:space="preserve"> dots represent the mean of the biological replicates which the model was trained against, grey lines represent </w:t>
                            </w:r>
                            <w:r w:rsidRPr="00C9062C">
                              <w:rPr>
                                <w:i/>
                                <w:sz w:val="20"/>
                                <w:szCs w:val="20"/>
                              </w:rPr>
                              <w:t>in silico</w:t>
                            </w:r>
                            <w:r w:rsidRPr="00C9062C">
                              <w:rPr>
                                <w:sz w:val="20"/>
                                <w:szCs w:val="20"/>
                              </w:rPr>
                              <w:t xml:space="preserve"> </w:t>
                            </w:r>
                            <w:r>
                              <w:rPr>
                                <w:sz w:val="20"/>
                                <w:szCs w:val="20"/>
                              </w:rPr>
                              <w:t>parameterisation outputs (n = 5</w:t>
                            </w:r>
                            <w:r w:rsidRPr="00C9062C">
                              <w:rPr>
                                <w:sz w:val="20"/>
                                <w:szCs w:val="20"/>
                              </w:rPr>
                              <w:t>)</w:t>
                            </w:r>
                            <w:r>
                              <w:rPr>
                                <w:sz w:val="20"/>
                                <w:szCs w:val="20"/>
                              </w:rPr>
                              <w:t xml:space="preserve"> and the red lines represent the 95% confidence interval for the </w:t>
                            </w:r>
                            <w:r>
                              <w:rPr>
                                <w:i/>
                                <w:sz w:val="20"/>
                                <w:szCs w:val="20"/>
                              </w:rPr>
                              <w:t xml:space="preserve">in silico </w:t>
                            </w:r>
                            <w:r>
                              <w:rPr>
                                <w:sz w:val="20"/>
                                <w:szCs w:val="20"/>
                              </w:rPr>
                              <w:t>outputs.</w:t>
                            </w:r>
                            <w:bookmarkEnd w:id="569"/>
                            <w:bookmarkEnd w:id="570"/>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413170B0" id="Text Box 114" o:spid="_x0000_s1158" type="#_x0000_t202" style="position:absolute;left:0;text-align:left;margin-left:-11.95pt;margin-top:199.95pt;width:470.6pt;height:82.5pt;z-index:2518005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GhZPCMwIAAG4EAAAOAAAAZHJzL2Uyb0RvYy54bWysVE1v2zAMvQ/YfxB0X5yk30acIkuRYUDQ&#13;&#10;FkiGnhVZjgVIokYpsbNfP8qO263badhFocgn0u+RzOy+tYYdFQYNruCT0Zgz5SSU2u0L/m27+nTL&#13;&#10;WYjClcKAUwU/qcDv5x8/zBqfqynUYEqFjJK4kDe+4HWMPs+yIGtlRRiBV46CFaAVka64z0oUDWW3&#13;&#10;JpuOx9dZA1h6BKlCIO9DH+TzLn9VKRmfqiqoyEzB6dtid2J37tKZzWci36PwtZbnzxD/8BVWaEdF&#13;&#10;X1M9iCjYAfUfqayWCAGqOJJgM6gqLVXHgdhMxu/YbGrhVceFxAn+Vabw/9LKx+MzMl1S7yaXnDlh&#13;&#10;qUlb1Ub2GVqWfKRQ40NOwI0naGwpQOjBH8iZiLcV2vRLlBjFSevTq74pnSTn1d3N9UUqIyk2GV/e&#13;&#10;XN3dpjzZ23OPIX5RYFkyCo7UwE5XcVyH2EMHSKoWwOhypY1JlxRYGmRHQc1uah3VOflvKOMS1kF6&#13;&#10;1SdMnixx7LkkK7a7tlflYjow3UF5IgEQ+iEKXq40VVyLEJ8F0tQQZ9qE+ERHZaApOJwtzmrAH3/z&#13;&#10;Jzw1k6KcNTSFBQ/fDwIVZ+arozankR0MHIzdYLiDXQJxndCOedmZ9ACjGcwKwb7QgixSFQoJJ6lW&#13;&#10;weNgLmO/C7RgUi0WHYgG04u4dhsvU+pB2W37ItCf+xKppY8wzKfI37Wnx/Y6Lw4RKt31Linbq3gW&#13;&#10;nIa66/55AdPW/HrvUG9/E/OfAAAA//8DAFBLAwQUAAYACAAAACEA+glCtuQAAAAQAQAADwAAAGRy&#13;&#10;cy9kb3ducmV2LnhtbExPPU/DMBDdkfgP1iGxoNZpAgGncSpoYIOhpersJiaJiM+R7TTpv+eYYDnd&#13;&#10;6b17H/lmNj07a+c7ixJWywiYxsrWHTYSDp9viydgPiisVW9RS7hoD5vi+ipXWW0n3OnzPjSMRNBn&#13;&#10;SkIbwpBx7qtWG+WXdtBI2Jd1RgU6XcNrpyYSNz2PoyjlRnVIDq0a9LbV1fd+NBLS0o3TDrd35eH1&#13;&#10;XX0MTXx8uRylvL2ZyzWN5zWwoOfw9wG/HSg/FBTsZEesPeslLOJEEFVCIgQtxBCrxwTYScJDei+A&#13;&#10;Fzn/X6T4AQAA//8DAFBLAQItABQABgAIAAAAIQC2gziS/gAAAOEBAAATAAAAAAAAAAAAAAAAAAAA&#13;&#10;AABbQ29udGVudF9UeXBlc10ueG1sUEsBAi0AFAAGAAgAAAAhADj9If/WAAAAlAEAAAsAAAAAAAAA&#13;&#10;AAAAAAAALwEAAF9yZWxzLy5yZWxzUEsBAi0AFAAGAAgAAAAhAIaFk8IzAgAAbgQAAA4AAAAAAAAA&#13;&#10;AAAAAAAALgIAAGRycy9lMm9Eb2MueG1sUEsBAi0AFAAGAAgAAAAhAPoJQrbkAAAAEAEAAA8AAAAA&#13;&#10;AAAAAAAAAAAAjQQAAGRycy9kb3ducmV2LnhtbFBLBQYAAAAABAAEAPMAAACeBQAAAAA=&#13;&#10;" stroked="f">
                <v:textbox inset="0,0,0,0">
                  <w:txbxContent>
                    <w:p w14:paraId="56E2FE73" w14:textId="57FED62D" w:rsidR="00F61130" w:rsidRPr="001C44AB" w:rsidRDefault="00F61130" w:rsidP="00C9062C">
                      <w:pPr>
                        <w:pStyle w:val="Caption"/>
                        <w:spacing w:line="360" w:lineRule="auto"/>
                        <w:jc w:val="both"/>
                        <w:rPr>
                          <w:b/>
                          <w:sz w:val="20"/>
                          <w:szCs w:val="20"/>
                        </w:rPr>
                      </w:pPr>
                      <w:bookmarkStart w:id="571" w:name="_Ref522636893"/>
                      <w:bookmarkStart w:id="572" w:name="_Toc536814177"/>
                      <w:bookmarkStart w:id="573" w:name="_Toc525227238"/>
                      <w:r w:rsidRPr="00C9062C">
                        <w:rPr>
                          <w:b/>
                          <w:sz w:val="20"/>
                          <w:szCs w:val="20"/>
                        </w:rPr>
                        <w:t xml:space="preserve">Figure </w:t>
                      </w:r>
                      <w:r>
                        <w:rPr>
                          <w:b/>
                          <w:sz w:val="20"/>
                          <w:szCs w:val="20"/>
                        </w:rPr>
                        <w:fldChar w:fldCharType="begin"/>
                      </w:r>
                      <w:r>
                        <w:rPr>
                          <w:b/>
                          <w:sz w:val="20"/>
                          <w:szCs w:val="20"/>
                        </w:rPr>
                        <w:instrText xml:space="preserve"> STYLEREF 1 \s </w:instrText>
                      </w:r>
                      <w:r>
                        <w:rPr>
                          <w:b/>
                          <w:sz w:val="20"/>
                          <w:szCs w:val="20"/>
                        </w:rPr>
                        <w:fldChar w:fldCharType="separate"/>
                      </w:r>
                      <w:r>
                        <w:rPr>
                          <w:b/>
                          <w:noProof/>
                          <w:sz w:val="20"/>
                          <w:szCs w:val="20"/>
                        </w:rPr>
                        <w:t>5</w:t>
                      </w:r>
                      <w:r>
                        <w:rPr>
                          <w:b/>
                          <w:sz w:val="20"/>
                          <w:szCs w:val="20"/>
                        </w:rPr>
                        <w:fldChar w:fldCharType="end"/>
                      </w:r>
                      <w:r>
                        <w:rPr>
                          <w:b/>
                          <w:sz w:val="20"/>
                          <w:szCs w:val="20"/>
                        </w:rPr>
                        <w:t>.</w:t>
                      </w:r>
                      <w:r>
                        <w:rPr>
                          <w:b/>
                          <w:sz w:val="20"/>
                          <w:szCs w:val="20"/>
                        </w:rPr>
                        <w:fldChar w:fldCharType="begin"/>
                      </w:r>
                      <w:r>
                        <w:rPr>
                          <w:b/>
                          <w:sz w:val="20"/>
                          <w:szCs w:val="20"/>
                        </w:rPr>
                        <w:instrText xml:space="preserve"> SEQ Figure \* ARABIC \s 1 </w:instrText>
                      </w:r>
                      <w:r>
                        <w:rPr>
                          <w:b/>
                          <w:sz w:val="20"/>
                          <w:szCs w:val="20"/>
                        </w:rPr>
                        <w:fldChar w:fldCharType="separate"/>
                      </w:r>
                      <w:r>
                        <w:rPr>
                          <w:b/>
                          <w:noProof/>
                          <w:sz w:val="20"/>
                          <w:szCs w:val="20"/>
                        </w:rPr>
                        <w:t>3</w:t>
                      </w:r>
                      <w:r>
                        <w:rPr>
                          <w:b/>
                          <w:sz w:val="20"/>
                          <w:szCs w:val="20"/>
                        </w:rPr>
                        <w:fldChar w:fldCharType="end"/>
                      </w:r>
                      <w:bookmarkEnd w:id="571"/>
                      <w:r w:rsidRPr="00C9062C">
                        <w:rPr>
                          <w:b/>
                          <w:sz w:val="20"/>
                          <w:szCs w:val="20"/>
                        </w:rPr>
                        <w:t xml:space="preserve"> - Fitting of </w:t>
                      </w:r>
                      <w:r>
                        <w:rPr>
                          <w:b/>
                          <w:sz w:val="20"/>
                          <w:szCs w:val="20"/>
                        </w:rPr>
                        <w:t xml:space="preserve">T cell and </w:t>
                      </w:r>
                      <w:r w:rsidRPr="00C9062C">
                        <w:rPr>
                          <w:b/>
                          <w:sz w:val="20"/>
                          <w:szCs w:val="20"/>
                        </w:rPr>
                        <w:t xml:space="preserve">myeloid cells </w:t>
                      </w:r>
                      <w:r>
                        <w:rPr>
                          <w:b/>
                          <w:sz w:val="20"/>
                          <w:szCs w:val="20"/>
                        </w:rPr>
                        <w:t>in a naïve system.</w:t>
                      </w:r>
                      <w:r>
                        <w:rPr>
                          <w:sz w:val="20"/>
                          <w:szCs w:val="20"/>
                        </w:rPr>
                        <w:t xml:space="preserve"> Population data generated from naïve age-matched controls, post infection refers to the infection of matched infected cohorts.</w:t>
                      </w:r>
                      <w:r>
                        <w:rPr>
                          <w:b/>
                          <w:sz w:val="20"/>
                          <w:szCs w:val="20"/>
                        </w:rPr>
                        <w:t xml:space="preserve"> </w:t>
                      </w:r>
                      <w:r w:rsidRPr="00C9062C">
                        <w:rPr>
                          <w:sz w:val="20"/>
                          <w:szCs w:val="20"/>
                        </w:rPr>
                        <w:t xml:space="preserve">Parameters </w:t>
                      </w:r>
                      <w:r>
                        <w:rPr>
                          <w:sz w:val="20"/>
                          <w:szCs w:val="20"/>
                        </w:rPr>
                        <w:t xml:space="preserve">were </w:t>
                      </w:r>
                      <w:r w:rsidRPr="00C9062C">
                        <w:rPr>
                          <w:sz w:val="20"/>
                          <w:szCs w:val="20"/>
                        </w:rPr>
                        <w:t xml:space="preserve">derived to </w:t>
                      </w:r>
                      <w:r>
                        <w:rPr>
                          <w:sz w:val="20"/>
                          <w:szCs w:val="20"/>
                        </w:rPr>
                        <w:t>simulate</w:t>
                      </w:r>
                      <w:r w:rsidRPr="00C9062C">
                        <w:rPr>
                          <w:sz w:val="20"/>
                          <w:szCs w:val="20"/>
                        </w:rPr>
                        <w:t xml:space="preserve"> T Cells (A)</w:t>
                      </w:r>
                      <w:r>
                        <w:rPr>
                          <w:sz w:val="20"/>
                          <w:szCs w:val="20"/>
                        </w:rPr>
                        <w:t xml:space="preserve"> and m</w:t>
                      </w:r>
                      <w:r w:rsidRPr="00C9062C">
                        <w:rPr>
                          <w:sz w:val="20"/>
                          <w:szCs w:val="20"/>
                        </w:rPr>
                        <w:t>yeloid cell</w:t>
                      </w:r>
                      <w:r>
                        <w:rPr>
                          <w:sz w:val="20"/>
                          <w:szCs w:val="20"/>
                        </w:rPr>
                        <w:t>s</w:t>
                      </w:r>
                      <w:r w:rsidRPr="00C9062C">
                        <w:rPr>
                          <w:sz w:val="20"/>
                          <w:szCs w:val="20"/>
                        </w:rPr>
                        <w:t xml:space="preserve"> (B) using the </w:t>
                      </w:r>
                      <w:r w:rsidRPr="00C9062C">
                        <w:rPr>
                          <w:i/>
                          <w:sz w:val="20"/>
                          <w:szCs w:val="20"/>
                        </w:rPr>
                        <w:t>abc_sequential</w:t>
                      </w:r>
                      <w:r w:rsidRPr="00C9062C">
                        <w:rPr>
                          <w:sz w:val="20"/>
                          <w:szCs w:val="20"/>
                        </w:rPr>
                        <w:t xml:space="preserve"> function of the </w:t>
                      </w:r>
                      <w:r w:rsidRPr="00C9062C">
                        <w:rPr>
                          <w:i/>
                          <w:sz w:val="20"/>
                          <w:szCs w:val="20"/>
                        </w:rPr>
                        <w:t>easyABC</w:t>
                      </w:r>
                      <w:r w:rsidRPr="00C9062C">
                        <w:rPr>
                          <w:sz w:val="20"/>
                          <w:szCs w:val="20"/>
                        </w:rPr>
                        <w:t xml:space="preserve"> package. </w:t>
                      </w:r>
                      <w:r>
                        <w:rPr>
                          <w:sz w:val="20"/>
                          <w:szCs w:val="20"/>
                        </w:rPr>
                        <w:t>Blue</w:t>
                      </w:r>
                      <w:r w:rsidRPr="00C9062C">
                        <w:rPr>
                          <w:sz w:val="20"/>
                          <w:szCs w:val="20"/>
                        </w:rPr>
                        <w:t xml:space="preserve"> dots represent the mean of the biological replicates which the model was trained against, grey lines represent </w:t>
                      </w:r>
                      <w:r w:rsidRPr="00C9062C">
                        <w:rPr>
                          <w:i/>
                          <w:sz w:val="20"/>
                          <w:szCs w:val="20"/>
                        </w:rPr>
                        <w:t>in silico</w:t>
                      </w:r>
                      <w:r w:rsidRPr="00C9062C">
                        <w:rPr>
                          <w:sz w:val="20"/>
                          <w:szCs w:val="20"/>
                        </w:rPr>
                        <w:t xml:space="preserve"> </w:t>
                      </w:r>
                      <w:r>
                        <w:rPr>
                          <w:sz w:val="20"/>
                          <w:szCs w:val="20"/>
                        </w:rPr>
                        <w:t>parameterisation outputs (n = 5</w:t>
                      </w:r>
                      <w:r w:rsidRPr="00C9062C">
                        <w:rPr>
                          <w:sz w:val="20"/>
                          <w:szCs w:val="20"/>
                        </w:rPr>
                        <w:t>)</w:t>
                      </w:r>
                      <w:r>
                        <w:rPr>
                          <w:sz w:val="20"/>
                          <w:szCs w:val="20"/>
                        </w:rPr>
                        <w:t xml:space="preserve"> and the red lines represent the 95% confidence interval for the </w:t>
                      </w:r>
                      <w:r>
                        <w:rPr>
                          <w:i/>
                          <w:sz w:val="20"/>
                          <w:szCs w:val="20"/>
                        </w:rPr>
                        <w:t xml:space="preserve">in silico </w:t>
                      </w:r>
                      <w:r>
                        <w:rPr>
                          <w:sz w:val="20"/>
                          <w:szCs w:val="20"/>
                        </w:rPr>
                        <w:t>outputs.</w:t>
                      </w:r>
                      <w:bookmarkEnd w:id="572"/>
                      <w:bookmarkEnd w:id="573"/>
                    </w:p>
                  </w:txbxContent>
                </v:textbox>
                <w10:wrap type="topAndBottom"/>
              </v:shape>
            </w:pict>
          </mc:Fallback>
        </mc:AlternateContent>
      </w:r>
    </w:p>
    <w:p w14:paraId="7946124A" w14:textId="77777777" w:rsidR="00803C0E" w:rsidRDefault="00803C0E" w:rsidP="00D6635D">
      <w:pPr>
        <w:spacing w:line="360" w:lineRule="auto"/>
        <w:jc w:val="both"/>
      </w:pPr>
    </w:p>
    <w:p w14:paraId="23DC2F96" w14:textId="625DC91D" w:rsidR="00D6635D" w:rsidRPr="008B3AD6" w:rsidRDefault="005610D6" w:rsidP="00D6635D">
      <w:pPr>
        <w:spacing w:line="360" w:lineRule="auto"/>
        <w:jc w:val="both"/>
      </w:pPr>
      <w:r>
        <w:rPr>
          <w:noProof/>
        </w:rPr>
        <w:lastRenderedPageBreak/>
        <mc:AlternateContent>
          <mc:Choice Requires="wps">
            <w:drawing>
              <wp:anchor distT="0" distB="0" distL="114300" distR="114300" simplePos="0" relativeHeight="251810816" behindDoc="0" locked="0" layoutInCell="1" allowOverlap="1" wp14:anchorId="158167BA" wp14:editId="6FF75E3C">
                <wp:simplePos x="0" y="0"/>
                <wp:positionH relativeFrom="column">
                  <wp:posOffset>-272415</wp:posOffset>
                </wp:positionH>
                <wp:positionV relativeFrom="paragraph">
                  <wp:posOffset>4813300</wp:posOffset>
                </wp:positionV>
                <wp:extent cx="6129655" cy="675640"/>
                <wp:effectExtent l="0" t="0" r="4445" b="0"/>
                <wp:wrapTopAndBottom/>
                <wp:docPr id="120" name="Text Box 120"/>
                <wp:cNvGraphicFramePr/>
                <a:graphic xmlns:a="http://schemas.openxmlformats.org/drawingml/2006/main">
                  <a:graphicData uri="http://schemas.microsoft.com/office/word/2010/wordprocessingShape">
                    <wps:wsp>
                      <wps:cNvSpPr txBox="1"/>
                      <wps:spPr>
                        <a:xfrm>
                          <a:off x="0" y="0"/>
                          <a:ext cx="6129655" cy="675640"/>
                        </a:xfrm>
                        <a:prstGeom prst="rect">
                          <a:avLst/>
                        </a:prstGeom>
                        <a:solidFill>
                          <a:prstClr val="white"/>
                        </a:solidFill>
                        <a:ln>
                          <a:noFill/>
                        </a:ln>
                      </wps:spPr>
                      <wps:txbx>
                        <w:txbxContent>
                          <w:p w14:paraId="00BC7814" w14:textId="3562EA2F" w:rsidR="00F61130" w:rsidRPr="005078D7" w:rsidRDefault="00F61130" w:rsidP="00CC1327">
                            <w:pPr>
                              <w:pStyle w:val="Caption"/>
                              <w:spacing w:line="360" w:lineRule="auto"/>
                              <w:jc w:val="both"/>
                              <w:rPr>
                                <w:noProof/>
                                <w:sz w:val="20"/>
                                <w:szCs w:val="20"/>
                              </w:rPr>
                            </w:pPr>
                            <w:bookmarkStart w:id="574" w:name="_Ref522637474"/>
                            <w:bookmarkStart w:id="575" w:name="_Toc536814205"/>
                            <w:r w:rsidRPr="00CC1327">
                              <w:rPr>
                                <w:b/>
                                <w:sz w:val="20"/>
                                <w:szCs w:val="20"/>
                              </w:rPr>
                              <w:t xml:space="preserve">Table </w:t>
                            </w:r>
                            <w:r>
                              <w:rPr>
                                <w:b/>
                                <w:sz w:val="20"/>
                                <w:szCs w:val="20"/>
                              </w:rPr>
                              <w:fldChar w:fldCharType="begin"/>
                            </w:r>
                            <w:r>
                              <w:rPr>
                                <w:b/>
                                <w:sz w:val="20"/>
                                <w:szCs w:val="20"/>
                              </w:rPr>
                              <w:instrText xml:space="preserve"> STYLEREF 1 \s </w:instrText>
                            </w:r>
                            <w:r>
                              <w:rPr>
                                <w:b/>
                                <w:sz w:val="20"/>
                                <w:szCs w:val="20"/>
                              </w:rPr>
                              <w:fldChar w:fldCharType="separate"/>
                            </w:r>
                            <w:r>
                              <w:rPr>
                                <w:b/>
                                <w:noProof/>
                                <w:sz w:val="20"/>
                                <w:szCs w:val="20"/>
                              </w:rPr>
                              <w:t>5</w:t>
                            </w:r>
                            <w:r>
                              <w:rPr>
                                <w:b/>
                                <w:sz w:val="20"/>
                                <w:szCs w:val="20"/>
                              </w:rPr>
                              <w:fldChar w:fldCharType="end"/>
                            </w:r>
                            <w:r>
                              <w:rPr>
                                <w:b/>
                                <w:sz w:val="20"/>
                                <w:szCs w:val="20"/>
                              </w:rPr>
                              <w:t>.</w:t>
                            </w:r>
                            <w:r>
                              <w:rPr>
                                <w:b/>
                                <w:sz w:val="20"/>
                                <w:szCs w:val="20"/>
                              </w:rPr>
                              <w:fldChar w:fldCharType="begin"/>
                            </w:r>
                            <w:r>
                              <w:rPr>
                                <w:b/>
                                <w:sz w:val="20"/>
                                <w:szCs w:val="20"/>
                              </w:rPr>
                              <w:instrText xml:space="preserve"> SEQ Table \* ARABIC \s 1 </w:instrText>
                            </w:r>
                            <w:r>
                              <w:rPr>
                                <w:b/>
                                <w:sz w:val="20"/>
                                <w:szCs w:val="20"/>
                              </w:rPr>
                              <w:fldChar w:fldCharType="separate"/>
                            </w:r>
                            <w:r>
                              <w:rPr>
                                <w:b/>
                                <w:noProof/>
                                <w:sz w:val="20"/>
                                <w:szCs w:val="20"/>
                              </w:rPr>
                              <w:t>1</w:t>
                            </w:r>
                            <w:r>
                              <w:rPr>
                                <w:b/>
                                <w:sz w:val="20"/>
                                <w:szCs w:val="20"/>
                              </w:rPr>
                              <w:fldChar w:fldCharType="end"/>
                            </w:r>
                            <w:bookmarkEnd w:id="574"/>
                            <w:r w:rsidRPr="00CC1327">
                              <w:rPr>
                                <w:b/>
                                <w:sz w:val="20"/>
                                <w:szCs w:val="20"/>
                              </w:rPr>
                              <w:t xml:space="preserve"> – Selected Parameter Values for the Naïve </w:t>
                            </w:r>
                            <w:r>
                              <w:rPr>
                                <w:b/>
                                <w:sz w:val="20"/>
                                <w:szCs w:val="20"/>
                              </w:rPr>
                              <w:t>System</w:t>
                            </w:r>
                            <w:r w:rsidRPr="005078D7">
                              <w:rPr>
                                <w:b/>
                                <w:sz w:val="20"/>
                                <w:szCs w:val="20"/>
                              </w:rPr>
                              <w:t>.</w:t>
                            </w:r>
                            <w:r w:rsidRPr="005078D7">
                              <w:rPr>
                                <w:sz w:val="20"/>
                                <w:szCs w:val="20"/>
                              </w:rPr>
                              <w:t xml:space="preserve"> </w:t>
                            </w:r>
                            <w:r>
                              <w:rPr>
                                <w:sz w:val="20"/>
                                <w:szCs w:val="20"/>
                              </w:rPr>
                              <w:t xml:space="preserve">The simulation outputs in </w:t>
                            </w:r>
                            <w:r>
                              <w:rPr>
                                <w:sz w:val="20"/>
                                <w:szCs w:val="20"/>
                              </w:rPr>
                              <w:fldChar w:fldCharType="begin"/>
                            </w:r>
                            <w:r>
                              <w:rPr>
                                <w:sz w:val="20"/>
                                <w:szCs w:val="20"/>
                              </w:rPr>
                              <w:instrText xml:space="preserve"> REF _Ref522636893  \* MERGEFORMAT </w:instrText>
                            </w:r>
                            <w:r>
                              <w:rPr>
                                <w:sz w:val="20"/>
                                <w:szCs w:val="20"/>
                              </w:rPr>
                              <w:fldChar w:fldCharType="separate"/>
                            </w:r>
                            <w:r w:rsidRPr="00C9062C">
                              <w:rPr>
                                <w:b/>
                                <w:sz w:val="20"/>
                                <w:szCs w:val="20"/>
                              </w:rPr>
                              <w:t xml:space="preserve">Figure </w:t>
                            </w:r>
                            <w:r>
                              <w:rPr>
                                <w:b/>
                                <w:noProof/>
                                <w:sz w:val="20"/>
                                <w:szCs w:val="20"/>
                              </w:rPr>
                              <w:t>5.3</w:t>
                            </w:r>
                            <w:r>
                              <w:rPr>
                                <w:sz w:val="20"/>
                                <w:szCs w:val="20"/>
                              </w:rPr>
                              <w:fldChar w:fldCharType="end"/>
                            </w:r>
                            <w:r>
                              <w:rPr>
                                <w:sz w:val="20"/>
                                <w:szCs w:val="20"/>
                              </w:rPr>
                              <w:t xml:space="preserve"> were analysed to derive the output best fitting the biological data. The parameter values for this simulation are recorded alongside the range and distribution of the values supplied in the parameterisation.</w:t>
                            </w:r>
                            <w:bookmarkEnd w:id="575"/>
                          </w:p>
                          <w:p w14:paraId="378F47DA" w14:textId="111A8C6F" w:rsidR="00F61130" w:rsidRPr="003C1409" w:rsidRDefault="00F61130" w:rsidP="00CC1327">
                            <w:pPr>
                              <w:pStyle w:val="Caption"/>
                              <w:spacing w:line="360" w:lineRule="auto"/>
                              <w:rPr>
                                <w:noProof/>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158167BA" id="Text Box 120" o:spid="_x0000_s1159" type="#_x0000_t202" style="position:absolute;left:0;text-align:left;margin-left:-21.45pt;margin-top:379pt;width:482.65pt;height:53.2pt;z-index:2518108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0hu1kNQIAAG0EAAAOAAAAZHJzL2Uyb0RvYy54bWysVMGO2yAQvVfqPyDujZNsk7ZWnFWaVapK&#13;&#10;q92VkmrPBEOMBAwFEjv9+g44zrbbnqpe8DAzDLz3Zry47YwmJ+GDAlvRyWhMibAcamUPFf2227z7&#13;&#10;SEmIzNZMgxUVPYtAb5dv3yxaV4opNKBr4QkWsaFsXUWbGF1ZFIE3wrAwAicsBiV4wyJu/aGoPWux&#13;&#10;utHFdDyeFy342nngIgT03vVBusz1pRQ8PkoZRCS6ovi2mFef131ai+WClQfPXKP45RnsH15hmLJ4&#13;&#10;6bXUHYuMHL36o5RR3EMAGUccTAFSKi4yBkQzGb9Cs22YExkLkhPclabw/8ryh9OTJ6pG7abIj2UG&#13;&#10;RdqJLpLP0JHkQ4ZaF0pM3DpMjR0GMHvwB3Qm4J30Jn0REsE41jpf+U3lODrnk+mn+WxGCcfY/MNs&#13;&#10;/j6XL15OOx/iFwGGJKOiHvXLtLLTfYj4EkwdUtJlAbSqN0rrtEmBtfbkxFDrtlFRpDfiid+ytE25&#13;&#10;FtKpPpw8RYLYQ0lW7PZdT8rNzQB0D/UZ8Xvoeyg4vlF44z0L8Yl5bBqEjIMQH3GRGtqKwsWipAH/&#13;&#10;42/+lI9aYpSSFpuwouH7kXlBif5qUeXUsYPhB2M/GPZo1oBYJzhijmcTD/ioB1N6MM84H6t0C4aY&#13;&#10;5XhXReNgrmM/CjhfXKxWOQn70rF4b7eOp9IDs7vumXl30SWiog8wtCcrX8nT5/Y8r44RpMraJWZ7&#13;&#10;Fi+EY09ngS7zl4bm133OevlLLH8CAAD//wMAUEsDBBQABgAIAAAAIQAkP24a5gAAABABAAAPAAAA&#13;&#10;ZHJzL2Rvd25yZXYueG1sTI/BTsMwEETvSPyDtUhcUOsQhZCmcSpo4FYOLVXPbmySiHgd2U6T/j3L&#13;&#10;CS4rrXZmdl6xmU3PLtr5zqKAx2UETGNtVYeNgOPn+yID5oNEJXuLWsBVe9iUtzeFzJWdcK8vh9Aw&#13;&#10;CkGfSwFtCEPOua9bbaRf2kEj3b6sMzLQ6hqunJwo3PQ8jqKUG9khfWjloLetrr8PoxGQVm6c9rh9&#13;&#10;qI5vO/kxNPHp9XoS4v5urtY0XtbAgp7DnwN+Gag/lFTsbEdUnvUCFkm8IqmA56eMyEixiuME2FlA&#13;&#10;liYJ8LLg/0HKHwAAAP//AwBQSwECLQAUAAYACAAAACEAtoM4kv4AAADhAQAAEwAAAAAAAAAAAAAA&#13;&#10;AAAAAAAAW0NvbnRlbnRfVHlwZXNdLnhtbFBLAQItABQABgAIAAAAIQA4/SH/1gAAAJQBAAALAAAA&#13;&#10;AAAAAAAAAAAAAC8BAABfcmVscy8ucmVsc1BLAQItABQABgAIAAAAIQC0hu1kNQIAAG0EAAAOAAAA&#13;&#10;AAAAAAAAAAAAAC4CAABkcnMvZTJvRG9jLnhtbFBLAQItABQABgAIAAAAIQAkP24a5gAAABABAAAP&#13;&#10;AAAAAAAAAAAAAAAAAI8EAABkcnMvZG93bnJldi54bWxQSwUGAAAAAAQABADzAAAAogUAAAAA&#13;&#10;" stroked="f">
                <v:textbox inset="0,0,0,0">
                  <w:txbxContent>
                    <w:p w14:paraId="00BC7814" w14:textId="3562EA2F" w:rsidR="00F61130" w:rsidRPr="005078D7" w:rsidRDefault="00F61130" w:rsidP="00CC1327">
                      <w:pPr>
                        <w:pStyle w:val="Caption"/>
                        <w:spacing w:line="360" w:lineRule="auto"/>
                        <w:jc w:val="both"/>
                        <w:rPr>
                          <w:noProof/>
                          <w:sz w:val="20"/>
                          <w:szCs w:val="20"/>
                        </w:rPr>
                      </w:pPr>
                      <w:bookmarkStart w:id="576" w:name="_Ref522637474"/>
                      <w:bookmarkStart w:id="577" w:name="_Toc536814205"/>
                      <w:r w:rsidRPr="00CC1327">
                        <w:rPr>
                          <w:b/>
                          <w:sz w:val="20"/>
                          <w:szCs w:val="20"/>
                        </w:rPr>
                        <w:t xml:space="preserve">Table </w:t>
                      </w:r>
                      <w:r>
                        <w:rPr>
                          <w:b/>
                          <w:sz w:val="20"/>
                          <w:szCs w:val="20"/>
                        </w:rPr>
                        <w:fldChar w:fldCharType="begin"/>
                      </w:r>
                      <w:r>
                        <w:rPr>
                          <w:b/>
                          <w:sz w:val="20"/>
                          <w:szCs w:val="20"/>
                        </w:rPr>
                        <w:instrText xml:space="preserve"> STYLEREF 1 \s </w:instrText>
                      </w:r>
                      <w:r>
                        <w:rPr>
                          <w:b/>
                          <w:sz w:val="20"/>
                          <w:szCs w:val="20"/>
                        </w:rPr>
                        <w:fldChar w:fldCharType="separate"/>
                      </w:r>
                      <w:r>
                        <w:rPr>
                          <w:b/>
                          <w:noProof/>
                          <w:sz w:val="20"/>
                          <w:szCs w:val="20"/>
                        </w:rPr>
                        <w:t>5</w:t>
                      </w:r>
                      <w:r>
                        <w:rPr>
                          <w:b/>
                          <w:sz w:val="20"/>
                          <w:szCs w:val="20"/>
                        </w:rPr>
                        <w:fldChar w:fldCharType="end"/>
                      </w:r>
                      <w:r>
                        <w:rPr>
                          <w:b/>
                          <w:sz w:val="20"/>
                          <w:szCs w:val="20"/>
                        </w:rPr>
                        <w:t>.</w:t>
                      </w:r>
                      <w:r>
                        <w:rPr>
                          <w:b/>
                          <w:sz w:val="20"/>
                          <w:szCs w:val="20"/>
                        </w:rPr>
                        <w:fldChar w:fldCharType="begin"/>
                      </w:r>
                      <w:r>
                        <w:rPr>
                          <w:b/>
                          <w:sz w:val="20"/>
                          <w:szCs w:val="20"/>
                        </w:rPr>
                        <w:instrText xml:space="preserve"> SEQ Table \* ARABIC \s 1 </w:instrText>
                      </w:r>
                      <w:r>
                        <w:rPr>
                          <w:b/>
                          <w:sz w:val="20"/>
                          <w:szCs w:val="20"/>
                        </w:rPr>
                        <w:fldChar w:fldCharType="separate"/>
                      </w:r>
                      <w:r>
                        <w:rPr>
                          <w:b/>
                          <w:noProof/>
                          <w:sz w:val="20"/>
                          <w:szCs w:val="20"/>
                        </w:rPr>
                        <w:t>1</w:t>
                      </w:r>
                      <w:r>
                        <w:rPr>
                          <w:b/>
                          <w:sz w:val="20"/>
                          <w:szCs w:val="20"/>
                        </w:rPr>
                        <w:fldChar w:fldCharType="end"/>
                      </w:r>
                      <w:bookmarkEnd w:id="576"/>
                      <w:r w:rsidRPr="00CC1327">
                        <w:rPr>
                          <w:b/>
                          <w:sz w:val="20"/>
                          <w:szCs w:val="20"/>
                        </w:rPr>
                        <w:t xml:space="preserve"> – Selected Parameter Values for the Naïve </w:t>
                      </w:r>
                      <w:r>
                        <w:rPr>
                          <w:b/>
                          <w:sz w:val="20"/>
                          <w:szCs w:val="20"/>
                        </w:rPr>
                        <w:t>System</w:t>
                      </w:r>
                      <w:r w:rsidRPr="005078D7">
                        <w:rPr>
                          <w:b/>
                          <w:sz w:val="20"/>
                          <w:szCs w:val="20"/>
                        </w:rPr>
                        <w:t>.</w:t>
                      </w:r>
                      <w:r w:rsidRPr="005078D7">
                        <w:rPr>
                          <w:sz w:val="20"/>
                          <w:szCs w:val="20"/>
                        </w:rPr>
                        <w:t xml:space="preserve"> </w:t>
                      </w:r>
                      <w:r>
                        <w:rPr>
                          <w:sz w:val="20"/>
                          <w:szCs w:val="20"/>
                        </w:rPr>
                        <w:t xml:space="preserve">The simulation outputs in </w:t>
                      </w:r>
                      <w:r>
                        <w:rPr>
                          <w:sz w:val="20"/>
                          <w:szCs w:val="20"/>
                        </w:rPr>
                        <w:fldChar w:fldCharType="begin"/>
                      </w:r>
                      <w:r>
                        <w:rPr>
                          <w:sz w:val="20"/>
                          <w:szCs w:val="20"/>
                        </w:rPr>
                        <w:instrText xml:space="preserve"> REF _Ref522636893  \* MERGEFORMAT </w:instrText>
                      </w:r>
                      <w:r>
                        <w:rPr>
                          <w:sz w:val="20"/>
                          <w:szCs w:val="20"/>
                        </w:rPr>
                        <w:fldChar w:fldCharType="separate"/>
                      </w:r>
                      <w:r w:rsidRPr="00C9062C">
                        <w:rPr>
                          <w:b/>
                          <w:sz w:val="20"/>
                          <w:szCs w:val="20"/>
                        </w:rPr>
                        <w:t xml:space="preserve">Figure </w:t>
                      </w:r>
                      <w:r>
                        <w:rPr>
                          <w:b/>
                          <w:noProof/>
                          <w:sz w:val="20"/>
                          <w:szCs w:val="20"/>
                        </w:rPr>
                        <w:t>5.3</w:t>
                      </w:r>
                      <w:r>
                        <w:rPr>
                          <w:sz w:val="20"/>
                          <w:szCs w:val="20"/>
                        </w:rPr>
                        <w:fldChar w:fldCharType="end"/>
                      </w:r>
                      <w:r>
                        <w:rPr>
                          <w:sz w:val="20"/>
                          <w:szCs w:val="20"/>
                        </w:rPr>
                        <w:t xml:space="preserve"> were analysed to derive the output best fitting the biological data. The parameter values for this simulation are recorded alongside the range and distribution of the values supplied in the parameterisation.</w:t>
                      </w:r>
                      <w:bookmarkEnd w:id="577"/>
                    </w:p>
                    <w:p w14:paraId="378F47DA" w14:textId="111A8C6F" w:rsidR="00F61130" w:rsidRPr="003C1409" w:rsidRDefault="00F61130" w:rsidP="00CC1327">
                      <w:pPr>
                        <w:pStyle w:val="Caption"/>
                        <w:spacing w:line="360" w:lineRule="auto"/>
                        <w:rPr>
                          <w:noProof/>
                        </w:rPr>
                      </w:pPr>
                    </w:p>
                  </w:txbxContent>
                </v:textbox>
                <w10:wrap type="topAndBottom"/>
              </v:shape>
            </w:pict>
          </mc:Fallback>
        </mc:AlternateContent>
      </w:r>
      <w:r w:rsidRPr="00674E2C">
        <w:rPr>
          <w:noProof/>
        </w:rPr>
        <w:drawing>
          <wp:anchor distT="0" distB="0" distL="114300" distR="114300" simplePos="0" relativeHeight="252184576" behindDoc="0" locked="0" layoutInCell="1" allowOverlap="1" wp14:anchorId="488220C8" wp14:editId="7FE704E6">
            <wp:simplePos x="0" y="0"/>
            <wp:positionH relativeFrom="column">
              <wp:posOffset>19685</wp:posOffset>
            </wp:positionH>
            <wp:positionV relativeFrom="paragraph">
              <wp:posOffset>1937063</wp:posOffset>
            </wp:positionV>
            <wp:extent cx="5506085" cy="2769870"/>
            <wp:effectExtent l="12700" t="12700" r="18415" b="11430"/>
            <wp:wrapTopAndBottom/>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3">
                      <a:extLst>
                        <a:ext uri="{28A0092B-C50C-407E-A947-70E740481C1C}">
                          <a14:useLocalDpi xmlns:a14="http://schemas.microsoft.com/office/drawing/2010/main" val="0"/>
                        </a:ext>
                      </a:extLst>
                    </a:blip>
                    <a:srcRect l="1223" b="6227"/>
                    <a:stretch/>
                  </pic:blipFill>
                  <pic:spPr bwMode="auto">
                    <a:xfrm>
                      <a:off x="0" y="0"/>
                      <a:ext cx="5506085" cy="2769870"/>
                    </a:xfrm>
                    <a:prstGeom prst="rect">
                      <a:avLst/>
                    </a:prstGeom>
                    <a:ln w="9525" cap="flat" cmpd="sng" algn="ctr">
                      <a:solidFill>
                        <a:schemeClr val="tx1"/>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6635D" w:rsidRPr="008B3AD6">
        <w:t>This model</w:t>
      </w:r>
      <w:r w:rsidR="0070081F">
        <w:t xml:space="preserve"> representing the naïve liver</w:t>
      </w:r>
      <w:r w:rsidR="00D6635D" w:rsidRPr="008B3AD6">
        <w:t xml:space="preserve"> was then parameterised using the </w:t>
      </w:r>
      <w:r w:rsidR="00D6635D" w:rsidRPr="008B3AD6">
        <w:rPr>
          <w:i/>
        </w:rPr>
        <w:t>ABC_sequential</w:t>
      </w:r>
      <w:r w:rsidR="00D6635D" w:rsidRPr="008B3AD6">
        <w:t xml:space="preserve"> function of the </w:t>
      </w:r>
      <w:r w:rsidR="00D6635D" w:rsidRPr="008B3AD6">
        <w:rPr>
          <w:i/>
        </w:rPr>
        <w:t>easyABC</w:t>
      </w:r>
      <w:r w:rsidR="00D6635D" w:rsidRPr="008B3AD6">
        <w:t xml:space="preserve"> package in R as described in Section </w:t>
      </w:r>
      <w:fldSimple w:instr=" REF _Ref522636794 \n  \* MERGEFORMAT ">
        <w:r w:rsidR="00921CAF">
          <w:t>2.15.6</w:t>
        </w:r>
      </w:fldSimple>
      <w:r w:rsidR="00D6635D" w:rsidRPr="008B3AD6">
        <w:t xml:space="preserve">. Using a </w:t>
      </w:r>
      <w:r w:rsidR="0070081F">
        <w:t xml:space="preserve">range of </w:t>
      </w:r>
      <w:r w:rsidR="003B1744">
        <w:t>descending tolerance values</w:t>
      </w:r>
      <w:r w:rsidR="003B1744" w:rsidRPr="00921CAF">
        <w:t xml:space="preserve">, shown in </w:t>
      </w:r>
      <w:r w:rsidR="003B1744" w:rsidRPr="00921CAF">
        <w:fldChar w:fldCharType="begin"/>
      </w:r>
      <w:r w:rsidR="003B1744" w:rsidRPr="00921CAF">
        <w:instrText xml:space="preserve"> REF _Ref525235479 </w:instrText>
      </w:r>
      <w:r w:rsidR="00921CAF">
        <w:instrText xml:space="preserve"> \* MERGEFORMAT </w:instrText>
      </w:r>
      <w:r w:rsidR="003B1744" w:rsidRPr="00921CAF">
        <w:fldChar w:fldCharType="separate"/>
      </w:r>
      <w:r w:rsidR="00921CAF" w:rsidRPr="00921CAF">
        <w:rPr>
          <w:b/>
        </w:rPr>
        <w:t xml:space="preserve">Table </w:t>
      </w:r>
      <w:r w:rsidR="00921CAF" w:rsidRPr="00921CAF">
        <w:rPr>
          <w:b/>
          <w:noProof/>
        </w:rPr>
        <w:t>7</w:t>
      </w:r>
      <w:r w:rsidR="00921CAF" w:rsidRPr="00921CAF">
        <w:rPr>
          <w:b/>
        </w:rPr>
        <w:t>.</w:t>
      </w:r>
      <w:r w:rsidR="00921CAF" w:rsidRPr="00921CAF">
        <w:rPr>
          <w:b/>
          <w:noProof/>
        </w:rPr>
        <w:t>2</w:t>
      </w:r>
      <w:r w:rsidR="003B1744" w:rsidRPr="00921CAF">
        <w:fldChar w:fldCharType="end"/>
      </w:r>
      <w:r w:rsidR="003B1744" w:rsidRPr="00921CAF">
        <w:t>,</w:t>
      </w:r>
      <w:r w:rsidR="00D6635D" w:rsidRPr="008B3AD6">
        <w:t xml:space="preserve"> reflecting the distance between observed and expected data points, </w:t>
      </w:r>
      <w:r w:rsidR="0070081F">
        <w:t>five</w:t>
      </w:r>
      <w:r w:rsidR="00D6635D" w:rsidRPr="008B3AD6">
        <w:t xml:space="preserve"> parameter sets were derived for both T cells (</w:t>
      </w:r>
      <w:r w:rsidR="0074700A">
        <w:rPr>
          <w:b/>
        </w:rPr>
        <w:fldChar w:fldCharType="begin"/>
      </w:r>
      <w:r w:rsidR="0074700A">
        <w:rPr>
          <w:b/>
        </w:rPr>
        <w:instrText xml:space="preserve"> REF _Ref522636893  \* MERGEFORMAT </w:instrText>
      </w:r>
      <w:r w:rsidR="0074700A">
        <w:rPr>
          <w:b/>
        </w:rPr>
        <w:fldChar w:fldCharType="separate"/>
      </w:r>
      <w:r w:rsidR="00921CAF" w:rsidRPr="00921CAF">
        <w:rPr>
          <w:b/>
        </w:rPr>
        <w:t xml:space="preserve">Figure </w:t>
      </w:r>
      <w:r w:rsidR="00921CAF" w:rsidRPr="00921CAF">
        <w:rPr>
          <w:b/>
          <w:noProof/>
        </w:rPr>
        <w:t>5.3</w:t>
      </w:r>
      <w:r w:rsidR="0074700A">
        <w:rPr>
          <w:b/>
          <w:noProof/>
        </w:rPr>
        <w:fldChar w:fldCharType="end"/>
      </w:r>
      <w:r w:rsidR="00D6635D" w:rsidRPr="008B3AD6">
        <w:rPr>
          <w:b/>
        </w:rPr>
        <w:t>A</w:t>
      </w:r>
      <w:r w:rsidR="00D6635D" w:rsidRPr="008B3AD6">
        <w:t>) and myeloid cells (</w:t>
      </w:r>
      <w:r w:rsidR="0074700A">
        <w:rPr>
          <w:b/>
        </w:rPr>
        <w:fldChar w:fldCharType="begin"/>
      </w:r>
      <w:r w:rsidR="0074700A">
        <w:rPr>
          <w:b/>
        </w:rPr>
        <w:instrText xml:space="preserve"> REF _Ref522636893  \* MERGEFORMAT </w:instrText>
      </w:r>
      <w:r w:rsidR="0074700A">
        <w:rPr>
          <w:b/>
        </w:rPr>
        <w:fldChar w:fldCharType="separate"/>
      </w:r>
      <w:r w:rsidR="00921CAF" w:rsidRPr="00921CAF">
        <w:rPr>
          <w:b/>
        </w:rPr>
        <w:t xml:space="preserve">Figure </w:t>
      </w:r>
      <w:r w:rsidR="00921CAF" w:rsidRPr="00921CAF">
        <w:rPr>
          <w:b/>
          <w:noProof/>
        </w:rPr>
        <w:t>5.3</w:t>
      </w:r>
      <w:r w:rsidR="0074700A">
        <w:rPr>
          <w:b/>
          <w:noProof/>
        </w:rPr>
        <w:fldChar w:fldCharType="end"/>
      </w:r>
      <w:r w:rsidR="00D6635D" w:rsidRPr="008B3AD6">
        <w:rPr>
          <w:b/>
        </w:rPr>
        <w:t>B</w:t>
      </w:r>
      <w:r w:rsidR="00D6635D" w:rsidRPr="008B3AD6">
        <w:t xml:space="preserve">). The parameter values resulting in the best fit, as calculated using the minimum </w:t>
      </w:r>
      <w:r w:rsidR="00FC0B9E">
        <w:t>root mean square error (</w:t>
      </w:r>
      <w:r w:rsidR="00D6635D" w:rsidRPr="008B3AD6">
        <w:t>RMSE</w:t>
      </w:r>
      <w:r w:rsidR="00FC0B9E">
        <w:t>)</w:t>
      </w:r>
      <w:r w:rsidR="00D6635D" w:rsidRPr="008B3AD6">
        <w:t xml:space="preserve"> from an observed vs. expected calculation, were selected for further utilisation</w:t>
      </w:r>
      <w:r w:rsidR="00CC1327" w:rsidRPr="008B3AD6">
        <w:t xml:space="preserve">, shown in </w:t>
      </w:r>
      <w:r w:rsidR="0074700A">
        <w:rPr>
          <w:b/>
        </w:rPr>
        <w:fldChar w:fldCharType="begin"/>
      </w:r>
      <w:r w:rsidR="0074700A">
        <w:rPr>
          <w:b/>
        </w:rPr>
        <w:instrText xml:space="preserve"> REF _Ref522637474  \* MERGEFORMAT </w:instrText>
      </w:r>
      <w:r w:rsidR="0074700A">
        <w:rPr>
          <w:b/>
        </w:rPr>
        <w:fldChar w:fldCharType="separate"/>
      </w:r>
      <w:r w:rsidR="00921CAF" w:rsidRPr="00921CAF">
        <w:rPr>
          <w:b/>
        </w:rPr>
        <w:t xml:space="preserve">Table </w:t>
      </w:r>
      <w:r w:rsidR="00921CAF" w:rsidRPr="00921CAF">
        <w:rPr>
          <w:b/>
          <w:noProof/>
        </w:rPr>
        <w:t>5.1</w:t>
      </w:r>
      <w:r w:rsidR="0074700A">
        <w:rPr>
          <w:b/>
          <w:noProof/>
        </w:rPr>
        <w:fldChar w:fldCharType="end"/>
      </w:r>
      <w:r w:rsidR="00D6635D" w:rsidRPr="008B3AD6">
        <w:t xml:space="preserve">. </w:t>
      </w:r>
    </w:p>
    <w:p w14:paraId="3E2C5437" w14:textId="62204038" w:rsidR="00065F42" w:rsidRPr="008B3AD6" w:rsidRDefault="00065F42" w:rsidP="00812F53">
      <w:pPr>
        <w:spacing w:line="360" w:lineRule="auto"/>
        <w:jc w:val="both"/>
      </w:pPr>
    </w:p>
    <w:p w14:paraId="01C3FFC0" w14:textId="7407D4A3" w:rsidR="00E63858" w:rsidRPr="008B3AD6" w:rsidRDefault="00065F42" w:rsidP="00B23FF8">
      <w:pPr>
        <w:spacing w:line="360" w:lineRule="auto"/>
        <w:jc w:val="both"/>
      </w:pPr>
      <w:r w:rsidRPr="008B3AD6">
        <w:t xml:space="preserve">The defined values for the T Cell and myeloid cell influx and exit rates for the naïve system were then utilised within the infection model thereby reducing the parameter dimensions. This again was based on the concept that antigenic stimulation is the driver of cellular proliferation, using these derived parameters the system will describe naïve kinetics when </w:t>
      </w:r>
      <w:r w:rsidRPr="008B3AD6">
        <w:rPr>
          <w:i/>
        </w:rPr>
        <w:t>L. donovani</w:t>
      </w:r>
      <w:r w:rsidRPr="008B3AD6">
        <w:t xml:space="preserve"> is absent and infected kinetics when it is present, a logical reflection of the biological system. For this the model was initialised with initial conditions reflecting an </w:t>
      </w:r>
      <w:r w:rsidRPr="008B3AD6">
        <w:rPr>
          <w:i/>
        </w:rPr>
        <w:t xml:space="preserve">L. donovani </w:t>
      </w:r>
      <w:r w:rsidRPr="008B3AD6">
        <w:t>infection system (9.72 x 10</w:t>
      </w:r>
      <w:r w:rsidRPr="008B3AD6">
        <w:rPr>
          <w:vertAlign w:val="superscript"/>
        </w:rPr>
        <w:t xml:space="preserve">5 </w:t>
      </w:r>
      <w:r w:rsidRPr="008B3AD6">
        <w:t>T cells, 2.4 x 10</w:t>
      </w:r>
      <w:r w:rsidRPr="008B3AD6">
        <w:rPr>
          <w:vertAlign w:val="superscript"/>
        </w:rPr>
        <w:t xml:space="preserve">5 </w:t>
      </w:r>
      <w:r w:rsidRPr="008B3AD6">
        <w:t>susceptible myeloid cells, 0 infected myeloid cells, 9.4 x 10</w:t>
      </w:r>
      <w:r w:rsidRPr="008B3AD6">
        <w:rPr>
          <w:vertAlign w:val="superscript"/>
        </w:rPr>
        <w:t xml:space="preserve">5 </w:t>
      </w:r>
      <w:r w:rsidRPr="008B3AD6">
        <w:t xml:space="preserve">extracellular, as shown in </w:t>
      </w:r>
      <w:fldSimple w:instr=" REF _Ref518722353  \* MERGEFORMAT ">
        <w:r w:rsidR="00031DCA" w:rsidRPr="00031DCA">
          <w:t xml:space="preserve">Table </w:t>
        </w:r>
        <w:r w:rsidR="00031DCA" w:rsidRPr="00031DCA">
          <w:rPr>
            <w:noProof/>
          </w:rPr>
          <w:t>4.2</w:t>
        </w:r>
      </w:fldSimple>
      <w:r w:rsidRPr="008B3AD6">
        <w:t xml:space="preserve">, and 0 intracellular </w:t>
      </w:r>
      <w:r w:rsidRPr="008B3AD6">
        <w:rPr>
          <w:i/>
        </w:rPr>
        <w:t>L. donovani</w:t>
      </w:r>
      <w:r w:rsidRPr="008B3AD6">
        <w:t xml:space="preserve">). The model was supplied to the NSGA-II algorithm for multi-objective optimisation (see Section </w:t>
      </w:r>
      <w:fldSimple w:instr=" REF _Ref522642114 \n  \* MERGEFORMAT ">
        <w:r w:rsidR="00031DCA">
          <w:t>1.3.3.4</w:t>
        </w:r>
      </w:fldSimple>
      <w:r w:rsidRPr="008B3AD6">
        <w:t xml:space="preserve">) alongside distribution-free parameter ranges, an evaluation function which compared the output of T cells, total myeloid cells and total </w:t>
      </w:r>
      <w:r w:rsidRPr="008B3AD6">
        <w:rPr>
          <w:i/>
        </w:rPr>
        <w:t xml:space="preserve">L. donovani </w:t>
      </w:r>
      <w:r w:rsidRPr="008B3AD6">
        <w:t>from the model against biological data using the RMSE</w:t>
      </w:r>
      <w:r w:rsidR="0070081F">
        <w:t>, with the aim of minimising the RMSE</w:t>
      </w:r>
      <w:r w:rsidRPr="008B3AD6">
        <w:t xml:space="preserve">. The population and generation number as well as the mutation and crossover rate were the same </w:t>
      </w:r>
      <w:r w:rsidRPr="008B3AD6">
        <w:lastRenderedPageBreak/>
        <w:t xml:space="preserve">as those used in </w:t>
      </w:r>
      <w:r w:rsidR="00D034D1" w:rsidRPr="00803C0E">
        <w:rPr>
          <w:b/>
        </w:rPr>
        <w:fldChar w:fldCharType="begin"/>
      </w:r>
      <w:r w:rsidR="00D034D1" w:rsidRPr="00803C0E">
        <w:rPr>
          <w:b/>
        </w:rPr>
        <w:instrText xml:space="preserve"> REF _Ref518721117  \* MERGEFORMAT </w:instrText>
      </w:r>
      <w:r w:rsidR="00D034D1" w:rsidRPr="00803C0E">
        <w:rPr>
          <w:b/>
        </w:rPr>
        <w:fldChar w:fldCharType="separate"/>
      </w:r>
      <w:r w:rsidR="00921CAF" w:rsidRPr="00921CAF">
        <w:rPr>
          <w:b/>
        </w:rPr>
        <w:t xml:space="preserve">Figure </w:t>
      </w:r>
      <w:r w:rsidR="00921CAF" w:rsidRPr="00921CAF">
        <w:rPr>
          <w:b/>
          <w:noProof/>
        </w:rPr>
        <w:t>4.28</w:t>
      </w:r>
      <w:r w:rsidR="00D034D1" w:rsidRPr="00803C0E">
        <w:rPr>
          <w:b/>
          <w:noProof/>
        </w:rPr>
        <w:fldChar w:fldCharType="end"/>
      </w:r>
      <w:r w:rsidRPr="00B23FF8">
        <w:t>.</w:t>
      </w:r>
      <w:r w:rsidRPr="00803C0E">
        <w:rPr>
          <w:b/>
        </w:rPr>
        <w:t xml:space="preserve"> </w:t>
      </w:r>
      <w:r w:rsidR="00D034D1" w:rsidRPr="00803C0E">
        <w:rPr>
          <w:b/>
        </w:rPr>
        <w:fldChar w:fldCharType="begin"/>
      </w:r>
      <w:r w:rsidR="00D034D1" w:rsidRPr="00803C0E">
        <w:rPr>
          <w:b/>
        </w:rPr>
        <w:instrText xml:space="preserve"> REF _Ref522642155  \* MERGEFORMAT </w:instrText>
      </w:r>
      <w:r w:rsidR="00D034D1" w:rsidRPr="00803C0E">
        <w:rPr>
          <w:b/>
        </w:rPr>
        <w:fldChar w:fldCharType="separate"/>
      </w:r>
      <w:r w:rsidR="00921CAF" w:rsidRPr="00921CAF">
        <w:rPr>
          <w:b/>
        </w:rPr>
        <w:t xml:space="preserve">Figure </w:t>
      </w:r>
      <w:r w:rsidR="00921CAF" w:rsidRPr="00921CAF">
        <w:rPr>
          <w:b/>
          <w:noProof/>
        </w:rPr>
        <w:t>5.4</w:t>
      </w:r>
      <w:r w:rsidR="00D034D1" w:rsidRPr="00803C0E">
        <w:rPr>
          <w:b/>
          <w:noProof/>
        </w:rPr>
        <w:fldChar w:fldCharType="end"/>
      </w:r>
      <w:r w:rsidRPr="008B3AD6">
        <w:t xml:space="preserve"> shows the RMSE for the three entities evaluated (T cells, total myeloid cells and total </w:t>
      </w:r>
      <w:r w:rsidRPr="008B3AD6">
        <w:rPr>
          <w:i/>
        </w:rPr>
        <w:t>L. donovani</w:t>
      </w:r>
      <w:r w:rsidRPr="008B3AD6">
        <w:t xml:space="preserve">) using the 100 parameter sets generated, with </w:t>
      </w:r>
      <w:r w:rsidR="005610D6">
        <w:rPr>
          <w:noProof/>
        </w:rPr>
        <w:drawing>
          <wp:anchor distT="0" distB="0" distL="114300" distR="114300" simplePos="0" relativeHeight="251815936" behindDoc="0" locked="0" layoutInCell="1" allowOverlap="1" wp14:anchorId="7B5F610A" wp14:editId="5CB3FB57">
            <wp:simplePos x="0" y="0"/>
            <wp:positionH relativeFrom="column">
              <wp:posOffset>-5080</wp:posOffset>
            </wp:positionH>
            <wp:positionV relativeFrom="paragraph">
              <wp:posOffset>868680</wp:posOffset>
            </wp:positionV>
            <wp:extent cx="5575935" cy="3688080"/>
            <wp:effectExtent l="0" t="0" r="0" b="0"/>
            <wp:wrapTopAndBottom/>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Picture 123"/>
                    <pic:cNvPicPr>
                      <a:picLocks noChangeAspect="1"/>
                    </pic:cNvPicPr>
                  </pic:nvPicPr>
                  <pic:blipFill>
                    <a:blip r:embed="rId84">
                      <a:extLst>
                        <a:ext uri="{28A0092B-C50C-407E-A947-70E740481C1C}">
                          <a14:useLocalDpi xmlns:a14="http://schemas.microsoft.com/office/drawing/2010/main" val="0"/>
                        </a:ext>
                      </a:extLst>
                    </a:blip>
                    <a:stretch>
                      <a:fillRect/>
                    </a:stretch>
                  </pic:blipFill>
                  <pic:spPr>
                    <a:xfrm>
                      <a:off x="0" y="0"/>
                      <a:ext cx="5575935" cy="3688080"/>
                    </a:xfrm>
                    <a:prstGeom prst="rect">
                      <a:avLst/>
                    </a:prstGeom>
                  </pic:spPr>
                </pic:pic>
              </a:graphicData>
            </a:graphic>
          </wp:anchor>
        </w:drawing>
      </w:r>
      <w:r w:rsidR="005610D6">
        <w:rPr>
          <w:noProof/>
        </w:rPr>
        <mc:AlternateContent>
          <mc:Choice Requires="wps">
            <w:drawing>
              <wp:anchor distT="0" distB="0" distL="114300" distR="114300" simplePos="0" relativeHeight="251816960" behindDoc="0" locked="0" layoutInCell="1" allowOverlap="1" wp14:anchorId="6D2E2F46" wp14:editId="7FBE2852">
                <wp:simplePos x="0" y="0"/>
                <wp:positionH relativeFrom="column">
                  <wp:posOffset>-5080</wp:posOffset>
                </wp:positionH>
                <wp:positionV relativeFrom="paragraph">
                  <wp:posOffset>4616128</wp:posOffset>
                </wp:positionV>
                <wp:extent cx="5575935" cy="1222375"/>
                <wp:effectExtent l="0" t="0" r="0" b="0"/>
                <wp:wrapTopAndBottom/>
                <wp:docPr id="124" name="Text Box 124"/>
                <wp:cNvGraphicFramePr/>
                <a:graphic xmlns:a="http://schemas.openxmlformats.org/drawingml/2006/main">
                  <a:graphicData uri="http://schemas.microsoft.com/office/word/2010/wordprocessingShape">
                    <wps:wsp>
                      <wps:cNvSpPr txBox="1"/>
                      <wps:spPr>
                        <a:xfrm>
                          <a:off x="0" y="0"/>
                          <a:ext cx="5575935" cy="1222375"/>
                        </a:xfrm>
                        <a:prstGeom prst="rect">
                          <a:avLst/>
                        </a:prstGeom>
                        <a:solidFill>
                          <a:prstClr val="white"/>
                        </a:solidFill>
                        <a:ln>
                          <a:noFill/>
                        </a:ln>
                      </wps:spPr>
                      <wps:txbx>
                        <w:txbxContent>
                          <w:p w14:paraId="7A3B92BB" w14:textId="40AE5A34" w:rsidR="00F61130" w:rsidRPr="0098206B" w:rsidRDefault="00F61130" w:rsidP="001F5A88">
                            <w:pPr>
                              <w:pStyle w:val="Caption"/>
                              <w:spacing w:line="360" w:lineRule="auto"/>
                              <w:jc w:val="both"/>
                              <w:rPr>
                                <w:b/>
                                <w:sz w:val="20"/>
                                <w:szCs w:val="20"/>
                              </w:rPr>
                            </w:pPr>
                            <w:bookmarkStart w:id="578" w:name="_Ref522642155"/>
                            <w:bookmarkStart w:id="579" w:name="_Toc525227239"/>
                            <w:bookmarkStart w:id="580" w:name="_Toc536814178"/>
                            <w:r w:rsidRPr="0098206B">
                              <w:rPr>
                                <w:b/>
                                <w:sz w:val="20"/>
                                <w:szCs w:val="20"/>
                              </w:rPr>
                              <w:t xml:space="preserve">Figure </w:t>
                            </w:r>
                            <w:r>
                              <w:rPr>
                                <w:b/>
                                <w:sz w:val="20"/>
                                <w:szCs w:val="20"/>
                              </w:rPr>
                              <w:fldChar w:fldCharType="begin"/>
                            </w:r>
                            <w:r>
                              <w:rPr>
                                <w:b/>
                                <w:sz w:val="20"/>
                                <w:szCs w:val="20"/>
                              </w:rPr>
                              <w:instrText xml:space="preserve"> STYLEREF 1 \s </w:instrText>
                            </w:r>
                            <w:r>
                              <w:rPr>
                                <w:b/>
                                <w:sz w:val="20"/>
                                <w:szCs w:val="20"/>
                              </w:rPr>
                              <w:fldChar w:fldCharType="separate"/>
                            </w:r>
                            <w:r>
                              <w:rPr>
                                <w:b/>
                                <w:noProof/>
                                <w:sz w:val="20"/>
                                <w:szCs w:val="20"/>
                              </w:rPr>
                              <w:t>5</w:t>
                            </w:r>
                            <w:r>
                              <w:rPr>
                                <w:b/>
                                <w:sz w:val="20"/>
                                <w:szCs w:val="20"/>
                              </w:rPr>
                              <w:fldChar w:fldCharType="end"/>
                            </w:r>
                            <w:r>
                              <w:rPr>
                                <w:b/>
                                <w:sz w:val="20"/>
                                <w:szCs w:val="20"/>
                              </w:rPr>
                              <w:t>.</w:t>
                            </w:r>
                            <w:r>
                              <w:rPr>
                                <w:b/>
                                <w:sz w:val="20"/>
                                <w:szCs w:val="20"/>
                              </w:rPr>
                              <w:fldChar w:fldCharType="begin"/>
                            </w:r>
                            <w:r>
                              <w:rPr>
                                <w:b/>
                                <w:sz w:val="20"/>
                                <w:szCs w:val="20"/>
                              </w:rPr>
                              <w:instrText xml:space="preserve"> SEQ Figure \* ARABIC \s 1 </w:instrText>
                            </w:r>
                            <w:r>
                              <w:rPr>
                                <w:b/>
                                <w:sz w:val="20"/>
                                <w:szCs w:val="20"/>
                              </w:rPr>
                              <w:fldChar w:fldCharType="separate"/>
                            </w:r>
                            <w:r>
                              <w:rPr>
                                <w:b/>
                                <w:noProof/>
                                <w:sz w:val="20"/>
                                <w:szCs w:val="20"/>
                              </w:rPr>
                              <w:t>4</w:t>
                            </w:r>
                            <w:r>
                              <w:rPr>
                                <w:b/>
                                <w:sz w:val="20"/>
                                <w:szCs w:val="20"/>
                              </w:rPr>
                              <w:fldChar w:fldCharType="end"/>
                            </w:r>
                            <w:bookmarkEnd w:id="578"/>
                            <w:r w:rsidRPr="0098206B">
                              <w:rPr>
                                <w:b/>
                                <w:sz w:val="20"/>
                                <w:szCs w:val="20"/>
                              </w:rPr>
                              <w:t xml:space="preserve"> – RMSE Scores from the calibration of the newly developed model. </w:t>
                            </w:r>
                            <w:r w:rsidRPr="0098206B">
                              <w:rPr>
                                <w:sz w:val="20"/>
                                <w:szCs w:val="20"/>
                              </w:rPr>
                              <w:t>Ranges for the 8 unidentified parameter values in the newly developed model were supplied to t</w:t>
                            </w:r>
                            <w:r>
                              <w:rPr>
                                <w:sz w:val="20"/>
                                <w:szCs w:val="20"/>
                              </w:rPr>
                              <w:t>he NSGA-II algorithm alongside the proposed model and an evaluation function deriving the RMSE of the observed vs. expected data. 100 parameter sets were evolved over 200 generations using this evaluation. Each red circle represents a member of the last generation with their RMSE for the three entities.</w:t>
                            </w:r>
                            <w:bookmarkEnd w:id="579"/>
                            <w:bookmarkEnd w:id="580"/>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D2E2F46" id="Text Box 124" o:spid="_x0000_s1160" type="#_x0000_t202" style="position:absolute;left:0;text-align:left;margin-left:-.4pt;margin-top:363.45pt;width:439.05pt;height:96.25pt;z-index:2518169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zvtU3NAIAAG4EAAAOAAAAZHJzL2Uyb0RvYy54bWysVMGO0zAQvSPxD5bvNG1KWYiarkpXRUir&#13;&#10;3ZVatGfXcRpLtsfYbpPy9YydpAsLJ8TFGc+Mnz3vzWR522lFzsJ5Caaks8mUEmE4VNIcS/ptv333&#13;&#10;kRIfmKmYAiNKehGe3q7evlm2thA5NKAq4QiCGF+0tqRNCLbIMs8boZmfgBUGgzU4zQJu3TGrHGsR&#13;&#10;Xassn04/ZC24yjrgwnv03vVBukr4dS14eKxrLwJRJcW3hbS6tB7imq2WrDg6ZhvJh2ewf3iFZtLg&#13;&#10;pVeoOxYYOTn5B5SW3IGHOkw46AzqWnKRasBqZtNX1ewaZkWqBcnx9kqT/3+w/OH85IisULv8PSWG&#13;&#10;aRRpL7pAPkNHog8Zaq0vMHFnMTV0GMDs0e/RGQvvaqfjF0siGEeuL1d+IxxH52Jxs/g0X1DCMTbL&#13;&#10;83x+s4g42ctx63z4IkCTaJTUoYCJV3a+96FPHVPibR6UrLZSqbiJgY1y5MxQ7LaRQQzgv2UpE3MN&#13;&#10;xFM9YPRksca+lmiF7tD1rMyvDByguiABDvom8pZvJd54z3x4Yg67BmvGSQiPuNQK2pLCYFHSgPvx&#13;&#10;N3/MRzExSkmLXVhS//3EnKBEfTUoc2zZ0XCjcRgNc9IbwFpnOGOWJxMPuKBGs3agn3FA1vEWDDHD&#13;&#10;8a6ShtHchH4WcMC4WK9TEjamZeHe7CyP0COz++6ZOTvoElDSBxj7kxWv5Olzk0B2fQrIddIuMtuz&#13;&#10;OBCOTZ3UHwYwTs2v+5T18ptY/QQAAP//AwBQSwMEFAAGAAgAAAAhAExXpdHmAAAADgEAAA8AAABk&#13;&#10;cnMvZG93bnJldi54bWxMj8FOwzAQRO9I/IO1SFwQddpGSZPGqaoCB7hUhF64ufE2DsTrKHba8Pe4&#13;&#10;J7iMtBrtzJtiM5mOnXFwrSUB81kEDKm2qqVGwOHj5XEFzHlJSnaWUMAPOtiUtzeFzJW90DueK9+w&#13;&#10;EEIulwK0933Ouas1GulmtkcK3skORvpwDg1Xg7yEcNPxRRQl3MiWQoOWPe401t/VaATs48+9fhhP&#13;&#10;z2/beDm8HsZd8tVUQtzfTU/rINs1MI+T//uA64bAD2UAO9qRlGOdgCu9F5AukgxY8FdpugR2FJDN&#13;&#10;sxh4WfD/M8pfAAAA//8DAFBLAQItABQABgAIAAAAIQC2gziS/gAAAOEBAAATAAAAAAAAAAAAAAAA&#13;&#10;AAAAAABbQ29udGVudF9UeXBlc10ueG1sUEsBAi0AFAAGAAgAAAAhADj9If/WAAAAlAEAAAsAAAAA&#13;&#10;AAAAAAAAAAAALwEAAF9yZWxzLy5yZWxzUEsBAi0AFAAGAAgAAAAhADO+1Tc0AgAAbgQAAA4AAAAA&#13;&#10;AAAAAAAAAAAALgIAAGRycy9lMm9Eb2MueG1sUEsBAi0AFAAGAAgAAAAhAExXpdHmAAAADgEAAA8A&#13;&#10;AAAAAAAAAAAAAAAAjgQAAGRycy9kb3ducmV2LnhtbFBLBQYAAAAABAAEAPMAAAChBQAAAAA=&#13;&#10;" stroked="f">
                <v:textbox style="mso-fit-shape-to-text:t" inset="0,0,0,0">
                  <w:txbxContent>
                    <w:p w14:paraId="7A3B92BB" w14:textId="40AE5A34" w:rsidR="00F61130" w:rsidRPr="0098206B" w:rsidRDefault="00F61130" w:rsidP="001F5A88">
                      <w:pPr>
                        <w:pStyle w:val="Caption"/>
                        <w:spacing w:line="360" w:lineRule="auto"/>
                        <w:jc w:val="both"/>
                        <w:rPr>
                          <w:b/>
                          <w:sz w:val="20"/>
                          <w:szCs w:val="20"/>
                        </w:rPr>
                      </w:pPr>
                      <w:bookmarkStart w:id="581" w:name="_Ref522642155"/>
                      <w:bookmarkStart w:id="582" w:name="_Toc525227239"/>
                      <w:bookmarkStart w:id="583" w:name="_Toc536814178"/>
                      <w:r w:rsidRPr="0098206B">
                        <w:rPr>
                          <w:b/>
                          <w:sz w:val="20"/>
                          <w:szCs w:val="20"/>
                        </w:rPr>
                        <w:t xml:space="preserve">Figure </w:t>
                      </w:r>
                      <w:r>
                        <w:rPr>
                          <w:b/>
                          <w:sz w:val="20"/>
                          <w:szCs w:val="20"/>
                        </w:rPr>
                        <w:fldChar w:fldCharType="begin"/>
                      </w:r>
                      <w:r>
                        <w:rPr>
                          <w:b/>
                          <w:sz w:val="20"/>
                          <w:szCs w:val="20"/>
                        </w:rPr>
                        <w:instrText xml:space="preserve"> STYLEREF 1 \s </w:instrText>
                      </w:r>
                      <w:r>
                        <w:rPr>
                          <w:b/>
                          <w:sz w:val="20"/>
                          <w:szCs w:val="20"/>
                        </w:rPr>
                        <w:fldChar w:fldCharType="separate"/>
                      </w:r>
                      <w:r>
                        <w:rPr>
                          <w:b/>
                          <w:noProof/>
                          <w:sz w:val="20"/>
                          <w:szCs w:val="20"/>
                        </w:rPr>
                        <w:t>5</w:t>
                      </w:r>
                      <w:r>
                        <w:rPr>
                          <w:b/>
                          <w:sz w:val="20"/>
                          <w:szCs w:val="20"/>
                        </w:rPr>
                        <w:fldChar w:fldCharType="end"/>
                      </w:r>
                      <w:r>
                        <w:rPr>
                          <w:b/>
                          <w:sz w:val="20"/>
                          <w:szCs w:val="20"/>
                        </w:rPr>
                        <w:t>.</w:t>
                      </w:r>
                      <w:r>
                        <w:rPr>
                          <w:b/>
                          <w:sz w:val="20"/>
                          <w:szCs w:val="20"/>
                        </w:rPr>
                        <w:fldChar w:fldCharType="begin"/>
                      </w:r>
                      <w:r>
                        <w:rPr>
                          <w:b/>
                          <w:sz w:val="20"/>
                          <w:szCs w:val="20"/>
                        </w:rPr>
                        <w:instrText xml:space="preserve"> SEQ Figure \* ARABIC \s 1 </w:instrText>
                      </w:r>
                      <w:r>
                        <w:rPr>
                          <w:b/>
                          <w:sz w:val="20"/>
                          <w:szCs w:val="20"/>
                        </w:rPr>
                        <w:fldChar w:fldCharType="separate"/>
                      </w:r>
                      <w:r>
                        <w:rPr>
                          <w:b/>
                          <w:noProof/>
                          <w:sz w:val="20"/>
                          <w:szCs w:val="20"/>
                        </w:rPr>
                        <w:t>4</w:t>
                      </w:r>
                      <w:r>
                        <w:rPr>
                          <w:b/>
                          <w:sz w:val="20"/>
                          <w:szCs w:val="20"/>
                        </w:rPr>
                        <w:fldChar w:fldCharType="end"/>
                      </w:r>
                      <w:bookmarkEnd w:id="581"/>
                      <w:r w:rsidRPr="0098206B">
                        <w:rPr>
                          <w:b/>
                          <w:sz w:val="20"/>
                          <w:szCs w:val="20"/>
                        </w:rPr>
                        <w:t xml:space="preserve"> – RMSE Scores from the calibration of the newly developed model. </w:t>
                      </w:r>
                      <w:r w:rsidRPr="0098206B">
                        <w:rPr>
                          <w:sz w:val="20"/>
                          <w:szCs w:val="20"/>
                        </w:rPr>
                        <w:t>Ranges for the 8 unidentified parameter values in the newly developed model were supplied to t</w:t>
                      </w:r>
                      <w:r>
                        <w:rPr>
                          <w:sz w:val="20"/>
                          <w:szCs w:val="20"/>
                        </w:rPr>
                        <w:t>he NSGA-II algorithm alongside the proposed model and an evaluation function deriving the RMSE of the observed vs. expected data. 100 parameter sets were evolved over 200 generations using this evaluation. Each red circle represents a member of the last generation with their RMSE for the three entities.</w:t>
                      </w:r>
                      <w:bookmarkEnd w:id="582"/>
                      <w:bookmarkEnd w:id="583"/>
                    </w:p>
                  </w:txbxContent>
                </v:textbox>
                <w10:wrap type="topAndBottom"/>
              </v:shape>
            </w:pict>
          </mc:Fallback>
        </mc:AlternateContent>
      </w:r>
      <w:r w:rsidRPr="008B3AD6">
        <w:t>those results closest to the lower left corner representing the optimal parameter sets.</w:t>
      </w:r>
    </w:p>
    <w:p w14:paraId="23FB92E7" w14:textId="2DC8F3F0" w:rsidR="00065F42" w:rsidRPr="008B3AD6" w:rsidRDefault="00065F42" w:rsidP="0070081F">
      <w:pPr>
        <w:spacing w:line="360" w:lineRule="auto"/>
        <w:jc w:val="both"/>
        <w:sectPr w:rsidR="00065F42" w:rsidRPr="008B3AD6" w:rsidSect="00E44977">
          <w:pgSz w:w="11900" w:h="16840"/>
          <w:pgMar w:top="1134" w:right="851" w:bottom="1134" w:left="2268" w:header="709" w:footer="709" w:gutter="0"/>
          <w:cols w:space="708"/>
          <w:docGrid w:linePitch="360"/>
        </w:sectPr>
      </w:pPr>
      <w:r w:rsidRPr="008B3AD6">
        <w:t xml:space="preserve">The final 100 parameter sets generated were then used to generate full time </w:t>
      </w:r>
      <w:r w:rsidR="00E63858" w:rsidRPr="008B3AD6">
        <w:t>courses for all model e</w:t>
      </w:r>
      <w:r w:rsidR="00E05887" w:rsidRPr="008B3AD6">
        <w:t xml:space="preserve">ntities </w:t>
      </w:r>
      <w:r w:rsidR="00FB350A" w:rsidRPr="008B3AD6">
        <w:t xml:space="preserve">which were compared against the biological data used in their derivation, shown in  </w:t>
      </w:r>
      <w:r w:rsidR="00D034D1" w:rsidRPr="00803C0E">
        <w:rPr>
          <w:b/>
        </w:rPr>
        <w:fldChar w:fldCharType="begin"/>
      </w:r>
      <w:r w:rsidR="00D034D1" w:rsidRPr="00803C0E">
        <w:rPr>
          <w:b/>
        </w:rPr>
        <w:instrText xml:space="preserve"> REF _Ref522644196  \* MERGEFORMAT </w:instrText>
      </w:r>
      <w:r w:rsidR="00D034D1" w:rsidRPr="00803C0E">
        <w:rPr>
          <w:b/>
        </w:rPr>
        <w:fldChar w:fldCharType="separate"/>
      </w:r>
      <w:r w:rsidR="00921CAF" w:rsidRPr="00921CAF">
        <w:rPr>
          <w:b/>
        </w:rPr>
        <w:t xml:space="preserve">Figure </w:t>
      </w:r>
      <w:r w:rsidR="00921CAF" w:rsidRPr="00921CAF">
        <w:rPr>
          <w:b/>
          <w:noProof/>
        </w:rPr>
        <w:t>5.5</w:t>
      </w:r>
      <w:r w:rsidR="00D034D1" w:rsidRPr="00803C0E">
        <w:rPr>
          <w:b/>
          <w:noProof/>
        </w:rPr>
        <w:fldChar w:fldCharType="end"/>
      </w:r>
      <w:r w:rsidR="00FB350A" w:rsidRPr="008B3AD6">
        <w:t>.  In contrast to the previously derived model,</w:t>
      </w:r>
      <w:r w:rsidR="00144C78" w:rsidRPr="008B3AD6">
        <w:t xml:space="preserve"> whereby unrealistic intracellular </w:t>
      </w:r>
      <w:r w:rsidR="00144C78" w:rsidRPr="008B3AD6">
        <w:rPr>
          <w:i/>
        </w:rPr>
        <w:t xml:space="preserve">L. donovani </w:t>
      </w:r>
      <w:r w:rsidR="00144C78" w:rsidRPr="008B3AD6">
        <w:t xml:space="preserve">per infected myeloid cell numbers were generated, this instantiation of the model required no data retraction on the basis of the intracellular </w:t>
      </w:r>
      <w:r w:rsidR="00144C78" w:rsidRPr="008B3AD6">
        <w:rPr>
          <w:i/>
        </w:rPr>
        <w:t xml:space="preserve">L. donovani </w:t>
      </w:r>
      <w:r w:rsidR="00144C78" w:rsidRPr="008B3AD6">
        <w:t xml:space="preserve">per infected myeloid cell numbers as all values were biologically realistic for all 100 parameter sets. Additionally, the parameter sets employed led to the emergence of controlled population growth without the need for constraint, as in the previously employed logistic growth function.  The best </w:t>
      </w:r>
      <w:r w:rsidR="00162201" w:rsidRPr="008B3AD6">
        <w:t>fitting parameter</w:t>
      </w:r>
      <w:r w:rsidR="00144C78" w:rsidRPr="008B3AD6">
        <w:t xml:space="preserve"> set was derived by calculating the lowest combined RMSE for the 100 parameter sets generated</w:t>
      </w:r>
      <w:r w:rsidR="00C677E3" w:rsidRPr="008B3AD6">
        <w:t>. T</w:t>
      </w:r>
      <w:r w:rsidR="00FB09BC" w:rsidRPr="008B3AD6">
        <w:t xml:space="preserve">he full time </w:t>
      </w:r>
      <w:r w:rsidR="00144C78" w:rsidRPr="008B3AD6">
        <w:t xml:space="preserve">course for each </w:t>
      </w:r>
      <w:r w:rsidR="00C677E3" w:rsidRPr="008B3AD6">
        <w:t xml:space="preserve">model </w:t>
      </w:r>
      <w:r w:rsidR="00144C78" w:rsidRPr="008B3AD6">
        <w:t xml:space="preserve">entity using </w:t>
      </w:r>
      <w:r w:rsidR="00C677E3" w:rsidRPr="008B3AD6">
        <w:t>the best fitting</w:t>
      </w:r>
      <w:r w:rsidR="00144C78" w:rsidRPr="008B3AD6">
        <w:t xml:space="preserve"> parameters </w:t>
      </w:r>
      <w:r w:rsidR="00C677E3" w:rsidRPr="008B3AD6">
        <w:t xml:space="preserve">was generated and </w:t>
      </w:r>
      <w:r w:rsidR="00144C78" w:rsidRPr="008B3AD6">
        <w:t xml:space="preserve">shown in </w:t>
      </w:r>
      <w:r w:rsidR="00D034D1" w:rsidRPr="00803C0E">
        <w:rPr>
          <w:b/>
        </w:rPr>
        <w:fldChar w:fldCharType="begin"/>
      </w:r>
      <w:r w:rsidR="00D034D1" w:rsidRPr="00803C0E">
        <w:rPr>
          <w:b/>
        </w:rPr>
        <w:instrText xml:space="preserve"> REF _Ref522644981  \* MERGEFORMAT </w:instrText>
      </w:r>
      <w:r w:rsidR="00D034D1" w:rsidRPr="00803C0E">
        <w:rPr>
          <w:b/>
        </w:rPr>
        <w:fldChar w:fldCharType="separate"/>
      </w:r>
      <w:r w:rsidR="00921CAF" w:rsidRPr="00921CAF">
        <w:rPr>
          <w:b/>
        </w:rPr>
        <w:t xml:space="preserve">Figure </w:t>
      </w:r>
      <w:r w:rsidR="00921CAF" w:rsidRPr="00921CAF">
        <w:rPr>
          <w:b/>
          <w:noProof/>
        </w:rPr>
        <w:t>5.6</w:t>
      </w:r>
      <w:r w:rsidR="00D034D1" w:rsidRPr="00803C0E">
        <w:rPr>
          <w:b/>
          <w:noProof/>
        </w:rPr>
        <w:fldChar w:fldCharType="end"/>
      </w:r>
      <w:r w:rsidR="00144C78" w:rsidRPr="008B3AD6">
        <w:t>.</w:t>
      </w:r>
    </w:p>
    <w:p w14:paraId="23F92D27" w14:textId="458A3CBC" w:rsidR="0098206B" w:rsidRPr="008B3AD6" w:rsidRDefault="0084538E" w:rsidP="00811814">
      <w:r>
        <w:rPr>
          <w:noProof/>
        </w:rPr>
        <w:lastRenderedPageBreak/>
        <mc:AlternateContent>
          <mc:Choice Requires="wps">
            <w:drawing>
              <wp:anchor distT="0" distB="0" distL="114300" distR="114300" simplePos="0" relativeHeight="251836416" behindDoc="0" locked="0" layoutInCell="1" allowOverlap="1" wp14:anchorId="51FECAFF" wp14:editId="3D1DCB53">
                <wp:simplePos x="0" y="0"/>
                <wp:positionH relativeFrom="column">
                  <wp:posOffset>6210300</wp:posOffset>
                </wp:positionH>
                <wp:positionV relativeFrom="paragraph">
                  <wp:posOffset>0</wp:posOffset>
                </wp:positionV>
                <wp:extent cx="187325" cy="179070"/>
                <wp:effectExtent l="0" t="0" r="3175" b="0"/>
                <wp:wrapTopAndBottom/>
                <wp:docPr id="583" name="Text Box 583"/>
                <wp:cNvGraphicFramePr/>
                <a:graphic xmlns:a="http://schemas.openxmlformats.org/drawingml/2006/main">
                  <a:graphicData uri="http://schemas.microsoft.com/office/word/2010/wordprocessingShape">
                    <wps:wsp>
                      <wps:cNvSpPr txBox="1"/>
                      <wps:spPr>
                        <a:xfrm>
                          <a:off x="0" y="0"/>
                          <a:ext cx="187325" cy="179070"/>
                        </a:xfrm>
                        <a:prstGeom prst="rect">
                          <a:avLst/>
                        </a:prstGeom>
                        <a:noFill/>
                        <a:ln w="6350">
                          <a:noFill/>
                        </a:ln>
                      </wps:spPr>
                      <wps:txbx>
                        <w:txbxContent>
                          <w:p w14:paraId="43C7831B" w14:textId="77777777" w:rsidR="00F61130" w:rsidRPr="006508D1" w:rsidRDefault="00F61130" w:rsidP="00065F42">
                            <w:pPr>
                              <w:jc w:val="center"/>
                            </w:pPr>
                            <w:r>
                              <w:t>C</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51FECAFF" id="Text Box 583" o:spid="_x0000_s1161" type="#_x0000_t202" style="position:absolute;margin-left:489pt;margin-top:0;width:14.75pt;height:14.1pt;z-index:2518364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q9ls7KQIAAE0EAAAOAAAAZHJzL2Uyb0RvYy54bWysVE2P2jAQvVfqf7B8LwkgFhoRVnRXVJXQ&#13;&#10;7kpQ7dk4Nolke1zbkNBf37FD2GrbU9WLmXg+35tnlvedVuQsnG/AlHQ8yikRhkPVmGNJv+83nxaU&#13;&#10;+MBMxRQYUdKL8PR+9fHDsrWFmEANqhKOYBHji9aWtA7BFlnmeS008yOwwqBTgtMs4Kc7ZpVjLVbX&#13;&#10;Kpvk+V3WgqusAy68x9vH3klXqb6UgodnKb0IRJUUZwvpdOk8xDNbLVlxdMzWDb+Owf5hCs0ag01v&#13;&#10;pR5ZYOTkmj9K6YY78CDDiIPOQMqGi4QB0Yzzd2h2NbMiYUFyvL3R5P9fWf50fnGkqUo6W0wpMUzj&#13;&#10;kvaiC+QLdCTeIUOt9QUG7iyGhg4duOnh3uNlBN5Jp+MvQiLoR64vN35jOR6TFvPpZEYJR9d4/jmf&#13;&#10;J/6zt2TrfPgqQJNolNTh+hKr7Lz1AQfB0CEk9jKwaZRKK1SGtCW9m87ylHDzYIYymBgh9KNGK3SH&#13;&#10;LoEeT2cDkANUF8TnoNeIt3zT4BRb5sMLcygKhIRCD894SAXYDa4WJTW4n3+7j/G4K/RS0qLISup/&#13;&#10;nJgTlKhvBrcYFTkYbjAOg2FO+gFQt2N8QpYnExNcUIMpHehX1P86dkEXMxx7lTQM5kPopY7vh4v1&#13;&#10;OgWh7iwLW7OzPJaOPEZO990rc/ZKfMCNPcEgP1a847+P7TewPgWQTVpOZLZn8Uo4ajbt7Pq+4qP4&#13;&#10;/TtFvf0LrH4BAAD//wMAUEsDBBQABgAIAAAAIQB9Zit64QAAAA0BAAAPAAAAZHJzL2Rvd25yZXYu&#13;&#10;eG1sTI/NTsMwEITvSLyDtUjcqN1I0JDGqRCFG1AoIMHNiZckwj+RvUnD2+Oe4DLSajSz85Wb2Ro2&#13;&#10;YYi9dxKWCwEMXeN171oJb6/3FzmwSMppZbxDCT8YYVOdnpSq0P7gXnDaU8tSiYuFktARDQXnsenQ&#13;&#10;qrjwA7rkfflgFaUztFwHdUjl1vBMiCtuVe/Sh04NeNth870frQTzEcNDLehz2raP9Lzj4/vd8knK&#13;&#10;87N5u05yswZGONNfAo4MaT9UaVjtR6cjMxKuV3kCIglJj7YQq0tgtYQsz4BXJf9PUf0CAAD//wMA&#13;&#10;UEsBAi0AFAAGAAgAAAAhALaDOJL+AAAA4QEAABMAAAAAAAAAAAAAAAAAAAAAAFtDb250ZW50X1R5&#13;&#10;cGVzXS54bWxQSwECLQAUAAYACAAAACEAOP0h/9YAAACUAQAACwAAAAAAAAAAAAAAAAAvAQAAX3Jl&#13;&#10;bHMvLnJlbHNQSwECLQAUAAYACAAAACEAavZbOykCAABNBAAADgAAAAAAAAAAAAAAAAAuAgAAZHJz&#13;&#10;L2Uyb0RvYy54bWxQSwECLQAUAAYACAAAACEAfWYreuEAAAANAQAADwAAAAAAAAAAAAAAAACDBAAA&#13;&#10;ZHJzL2Rvd25yZXYueG1sUEsFBgAAAAAEAAQA8wAAAJEFAAAAAA==&#13;&#10;" filled="f" stroked="f" strokeweight=".5pt">
                <v:textbox inset="0,0,0,0">
                  <w:txbxContent>
                    <w:p w14:paraId="43C7831B" w14:textId="77777777" w:rsidR="00F61130" w:rsidRPr="006508D1" w:rsidRDefault="00F61130" w:rsidP="00065F42">
                      <w:pPr>
                        <w:jc w:val="center"/>
                      </w:pPr>
                      <w:r>
                        <w:t>C</w:t>
                      </w:r>
                    </w:p>
                  </w:txbxContent>
                </v:textbox>
                <w10:wrap type="topAndBottom"/>
              </v:shape>
            </w:pict>
          </mc:Fallback>
        </mc:AlternateContent>
      </w:r>
      <w:r>
        <w:rPr>
          <w:noProof/>
        </w:rPr>
        <mc:AlternateContent>
          <mc:Choice Requires="wps">
            <w:drawing>
              <wp:anchor distT="0" distB="0" distL="114300" distR="114300" simplePos="0" relativeHeight="251838464" behindDoc="0" locked="0" layoutInCell="1" allowOverlap="1" wp14:anchorId="7B467FD3" wp14:editId="3B0DFA9B">
                <wp:simplePos x="0" y="0"/>
                <wp:positionH relativeFrom="column">
                  <wp:posOffset>6210300</wp:posOffset>
                </wp:positionH>
                <wp:positionV relativeFrom="paragraph">
                  <wp:posOffset>1921510</wp:posOffset>
                </wp:positionV>
                <wp:extent cx="187325" cy="179070"/>
                <wp:effectExtent l="0" t="0" r="3175" b="0"/>
                <wp:wrapTopAndBottom/>
                <wp:docPr id="585" name="Text Box 585"/>
                <wp:cNvGraphicFramePr/>
                <a:graphic xmlns:a="http://schemas.openxmlformats.org/drawingml/2006/main">
                  <a:graphicData uri="http://schemas.microsoft.com/office/word/2010/wordprocessingShape">
                    <wps:wsp>
                      <wps:cNvSpPr txBox="1"/>
                      <wps:spPr>
                        <a:xfrm>
                          <a:off x="0" y="0"/>
                          <a:ext cx="187325" cy="179070"/>
                        </a:xfrm>
                        <a:prstGeom prst="rect">
                          <a:avLst/>
                        </a:prstGeom>
                        <a:noFill/>
                        <a:ln w="6350">
                          <a:noFill/>
                        </a:ln>
                      </wps:spPr>
                      <wps:txbx>
                        <w:txbxContent>
                          <w:p w14:paraId="1BB422F0" w14:textId="77777777" w:rsidR="00F61130" w:rsidRPr="006508D1" w:rsidRDefault="00F61130" w:rsidP="00065F42">
                            <w:pPr>
                              <w:jc w:val="center"/>
                            </w:pPr>
                            <w:r>
                              <w:t>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7B467FD3" id="Text Box 585" o:spid="_x0000_s1162" type="#_x0000_t202" style="position:absolute;margin-left:489pt;margin-top:151.3pt;width:14.75pt;height:14.1pt;z-index:2518384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eGXsRKQIAAE0EAAAOAAAAZHJzL2Uyb0RvYy54bWysVE2P2jAQvVfqf7B8LwkgYBsRVnRXVJXQ&#13;&#10;7kpQ7dk4Nolke1zbkNBf37FD2GrbU9WLmXg+35tnlvedVuQsnG/AlHQ8yikRhkPVmGNJv+83n+4o&#13;&#10;8YGZiikwoqQX4en96uOHZWsLMYEaVCUcwSLGF60taR2CLbLM81po5kdghUGnBKdZwE93zCrHWqyu&#13;&#10;VTbJ83nWgqusAy68x9vH3klXqb6UgodnKb0IRJUUZwvpdOk8xDNbLVlxdMzWDb+Owf5hCs0ag01v&#13;&#10;pR5ZYOTkmj9K6YY78CDDiIPOQMqGi4QB0Yzzd2h2NbMiYUFyvL3R5P9fWf50fnGkqUo6u5tRYpjG&#13;&#10;Je1FF8gX6Ei8Q4Za6wsM3FkMDR06cNPDvcfLCLyTTsdfhETQj1xfbvzGcjwm3S2mE+zC0TVefM4X&#13;&#10;if/sLdk6H74K0CQaJXW4vsQqO299wEEwdAiJvQxsGqXSCpUhbUnn01meEm4ezFAGEyOEftRohe7Q&#13;&#10;JdDj6XwAcoDqgvgc9Brxlm8anGLLfHhhDkWBkFDo4RkPqQC7wdWipAb382/3MR53hV5KWhRZSf2P&#13;&#10;E3OCEvXN4BajIgfDDcZhMMxJPwDqdoxPyPJkYoILajClA/2K+l/HLuhihmOvkobBfAi91PH9cLFe&#13;&#10;pyDUnWVha3aWx9KRx8jpvntlzl6JD7ixJxjkx4p3/Pex/QbWpwCyScuJzPYsXglHzaadXd9XfBS/&#13;&#10;f6eot3+B1S8AAAD//wMAUEsDBBQABgAIAAAAIQA94kAw5AAAABEBAAAPAAAAZHJzL2Rvd25yZXYu&#13;&#10;eG1sTI/LTsMwEEX3SPyDNUjsqN1WtCGNUyEKO54FJNg58ZBE+BHZkzT8Pe4KNiPN6957iu1kDRsx&#13;&#10;xM47CfOZAIau9rpzjYS317uLDFgk5bQy3qGEH4ywLU9PCpVrf3AvOO6pYUnExVxJaIn6nPNYt2hV&#13;&#10;nPkeXdp9+WAVpTY0XAd1SOLW8IUQK25V55JDq3q8abH+3g9WgvmI4b4S9Dnumgd6fuLD++38Ucrz&#13;&#10;s2m3SeV6A4xwor8PODKk/FCmYJUfnI7MSLhaZwmIJCzFYgXseCHE+hJYlUZLkQEvC/6fpPwFAAD/&#13;&#10;/wMAUEsBAi0AFAAGAAgAAAAhALaDOJL+AAAA4QEAABMAAAAAAAAAAAAAAAAAAAAAAFtDb250ZW50&#13;&#10;X1R5cGVzXS54bWxQSwECLQAUAAYACAAAACEAOP0h/9YAAACUAQAACwAAAAAAAAAAAAAAAAAvAQAA&#13;&#10;X3JlbHMvLnJlbHNQSwECLQAUAAYACAAAACEAnhl7ESkCAABNBAAADgAAAAAAAAAAAAAAAAAuAgAA&#13;&#10;ZHJzL2Uyb0RvYy54bWxQSwECLQAUAAYACAAAACEAPeJAMOQAAAARAQAADwAAAAAAAAAAAAAAAACD&#13;&#10;BAAAZHJzL2Rvd25yZXYueG1sUEsFBgAAAAAEAAQA8wAAAJQFAAAAAA==&#13;&#10;" filled="f" stroked="f" strokeweight=".5pt">
                <v:textbox inset="0,0,0,0">
                  <w:txbxContent>
                    <w:p w14:paraId="1BB422F0" w14:textId="77777777" w:rsidR="00F61130" w:rsidRPr="006508D1" w:rsidRDefault="00F61130" w:rsidP="00065F42">
                      <w:pPr>
                        <w:jc w:val="center"/>
                      </w:pPr>
                      <w:r>
                        <w:t>E</w:t>
                      </w:r>
                    </w:p>
                  </w:txbxContent>
                </v:textbox>
                <w10:wrap type="topAndBottom"/>
              </v:shape>
            </w:pict>
          </mc:Fallback>
        </mc:AlternateContent>
      </w:r>
      <w:r>
        <w:rPr>
          <w:noProof/>
        </w:rPr>
        <mc:AlternateContent>
          <mc:Choice Requires="wps">
            <w:drawing>
              <wp:anchor distT="0" distB="0" distL="114300" distR="114300" simplePos="0" relativeHeight="251840512" behindDoc="0" locked="0" layoutInCell="1" allowOverlap="1" wp14:anchorId="0256F772" wp14:editId="2253E2C7">
                <wp:simplePos x="0" y="0"/>
                <wp:positionH relativeFrom="column">
                  <wp:posOffset>6210512</wp:posOffset>
                </wp:positionH>
                <wp:positionV relativeFrom="paragraph">
                  <wp:posOffset>3764915</wp:posOffset>
                </wp:positionV>
                <wp:extent cx="187325" cy="179070"/>
                <wp:effectExtent l="0" t="0" r="3175" b="0"/>
                <wp:wrapTopAndBottom/>
                <wp:docPr id="592" name="Text Box 592"/>
                <wp:cNvGraphicFramePr/>
                <a:graphic xmlns:a="http://schemas.openxmlformats.org/drawingml/2006/main">
                  <a:graphicData uri="http://schemas.microsoft.com/office/word/2010/wordprocessingShape">
                    <wps:wsp>
                      <wps:cNvSpPr txBox="1"/>
                      <wps:spPr>
                        <a:xfrm>
                          <a:off x="0" y="0"/>
                          <a:ext cx="187325" cy="179070"/>
                        </a:xfrm>
                        <a:prstGeom prst="rect">
                          <a:avLst/>
                        </a:prstGeom>
                        <a:noFill/>
                        <a:ln w="6350">
                          <a:noFill/>
                        </a:ln>
                      </wps:spPr>
                      <wps:txbx>
                        <w:txbxContent>
                          <w:p w14:paraId="03404576" w14:textId="77777777" w:rsidR="00F61130" w:rsidRPr="006508D1" w:rsidRDefault="00F61130" w:rsidP="00065F42">
                            <w:pPr>
                              <w:jc w:val="center"/>
                            </w:pPr>
                            <w:r>
                              <w:t>G</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0256F772" id="Text Box 592" o:spid="_x0000_s1163" type="#_x0000_t202" style="position:absolute;margin-left:489pt;margin-top:296.45pt;width:14.75pt;height:14.1pt;z-index:2518405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aiDmgKQIAAE0EAAAOAAAAZHJzL2Uyb0RvYy54bWysVF1v2jAUfZ+0/2D5fSSAKG1EqFgrpkmo&#13;&#10;rQRTn41jk0i2r2cbEvbrd+0QWnV7mvZibnw/z7nHLO47rchJON+AKel4lFMiDIeqMYeS/titv9xS&#13;&#10;4gMzFVNgREnPwtP75edPi9YWYgI1qEo4gkWML1pb0joEW2SZ57XQzI/ACoNOCU6zgJ/ukFWOtVhd&#13;&#10;q2yS5zdZC66yDrjwHm8feyddpvpSCh6epfQiEFVSnC2k06VzH89suWDFwTFbN/wyBvuHKTRrDDa9&#13;&#10;lnpkgZGja/4opRvuwIMMIw46AykbLhIGRDPOP6DZ1syKhAXJ8fZKk/9/ZfnT6cWRpirp7G5CiWEa&#13;&#10;l7QTXSBfoSPxDhlqrS8wcGsxNHTowE0P9x4vI/BOOh1/ERJBP3J9vvIby/GYdDufTmaUcHSN53f5&#13;&#10;PPGfvSVb58M3AZpEo6QO15dYZaeNDzgIhg4hsZeBdaNUWqEypC3pzXSWp4SrBzOUwcQIoR81WqHb&#13;&#10;dwn0eDofgOyhOiM+B71GvOXrBqfYMB9emENRICQUenjGQyrAbnCxKKnB/frbfYzHXaGXkhZFVlL/&#13;&#10;88icoER9N7jFqMjBcIOxHwxz1A+Auh3jE7I8mZjgghpM6UC/ov5XsQu6mOHYq6RhMB9CL3V8P1ys&#13;&#10;VikIdWdZ2Jit5bF05DFyuutembMX4gNu7AkG+bHiA/99bL+B1TGAbNJyIrM9ixfCUbNpZ5f3FR/F&#13;&#10;++8U9fYvsPwNAAD//wMAUEsDBBQABgAIAAAAIQD/Tds25gAAABEBAAAPAAAAZHJzL2Rvd25yZXYu&#13;&#10;eG1sTI9LT8MwEITvSPwHa5G4UTuR+kiaTYUo3HgWkODmJCaJ8COyN2n497gnuKw02t2Z+YrdbDSb&#13;&#10;lA+9swjJQgBTtnZNb1uEt9e7qw2wQNI2UjurEH5UgF15flbIvHFH+6KmA7UsmtiQS4SOaMg5D3Wn&#13;&#10;jAwLNygbd1/OG0lR+pY3Xh6judE8FWLFjextTOjkoG46VX8fRoOgP4K/rwR9Tvv2gZ6f+Ph+mzwi&#13;&#10;Xl7M+20c11tgpGb6+4ATQ+wPZSxWudE2gWmEbL2JQISwzNIM2OlCiPUSWIWwSpMEeFnw/yTlLwAA&#13;&#10;AP//AwBQSwECLQAUAAYACAAAACEAtoM4kv4AAADhAQAAEwAAAAAAAAAAAAAAAAAAAAAAW0NvbnRl&#13;&#10;bnRfVHlwZXNdLnhtbFBLAQItABQABgAIAAAAIQA4/SH/1gAAAJQBAAALAAAAAAAAAAAAAAAAAC8B&#13;&#10;AABfcmVscy8ucmVsc1BLAQItABQABgAIAAAAIQCaiDmgKQIAAE0EAAAOAAAAAAAAAAAAAAAAAC4C&#13;&#10;AABkcnMvZTJvRG9jLnhtbFBLAQItABQABgAIAAAAIQD/Tds25gAAABEBAAAPAAAAAAAAAAAAAAAA&#13;&#10;AIMEAABkcnMvZG93bnJldi54bWxQSwUGAAAAAAQABADzAAAAlgUAAAAA&#13;&#10;" filled="f" stroked="f" strokeweight=".5pt">
                <v:textbox inset="0,0,0,0">
                  <w:txbxContent>
                    <w:p w14:paraId="03404576" w14:textId="77777777" w:rsidR="00F61130" w:rsidRPr="006508D1" w:rsidRDefault="00F61130" w:rsidP="00065F42">
                      <w:pPr>
                        <w:jc w:val="center"/>
                      </w:pPr>
                      <w:r>
                        <w:t>G</w:t>
                      </w:r>
                    </w:p>
                  </w:txbxContent>
                </v:textbox>
                <w10:wrap type="topAndBottom"/>
              </v:shape>
            </w:pict>
          </mc:Fallback>
        </mc:AlternateContent>
      </w:r>
      <w:r>
        <w:rPr>
          <w:noProof/>
        </w:rPr>
        <mc:AlternateContent>
          <mc:Choice Requires="wps">
            <w:drawing>
              <wp:anchor distT="0" distB="0" distL="114300" distR="114300" simplePos="0" relativeHeight="251839488" behindDoc="0" locked="0" layoutInCell="1" allowOverlap="1" wp14:anchorId="101D3846" wp14:editId="072FB74D">
                <wp:simplePos x="0" y="0"/>
                <wp:positionH relativeFrom="column">
                  <wp:posOffset>3077845</wp:posOffset>
                </wp:positionH>
                <wp:positionV relativeFrom="paragraph">
                  <wp:posOffset>3872865</wp:posOffset>
                </wp:positionV>
                <wp:extent cx="187325" cy="179070"/>
                <wp:effectExtent l="0" t="0" r="3175" b="0"/>
                <wp:wrapTopAndBottom/>
                <wp:docPr id="591" name="Text Box 591"/>
                <wp:cNvGraphicFramePr/>
                <a:graphic xmlns:a="http://schemas.openxmlformats.org/drawingml/2006/main">
                  <a:graphicData uri="http://schemas.microsoft.com/office/word/2010/wordprocessingShape">
                    <wps:wsp>
                      <wps:cNvSpPr txBox="1"/>
                      <wps:spPr>
                        <a:xfrm>
                          <a:off x="0" y="0"/>
                          <a:ext cx="187325" cy="179070"/>
                        </a:xfrm>
                        <a:prstGeom prst="rect">
                          <a:avLst/>
                        </a:prstGeom>
                        <a:noFill/>
                        <a:ln w="6350">
                          <a:noFill/>
                        </a:ln>
                      </wps:spPr>
                      <wps:txbx>
                        <w:txbxContent>
                          <w:p w14:paraId="51D22856" w14:textId="77777777" w:rsidR="00F61130" w:rsidRPr="006508D1" w:rsidRDefault="00F61130" w:rsidP="00065F42">
                            <w:pPr>
                              <w:jc w:val="center"/>
                            </w:pPr>
                            <w:r>
                              <w:t>F</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101D3846" id="Text Box 591" o:spid="_x0000_s1164" type="#_x0000_t202" style="position:absolute;margin-left:242.35pt;margin-top:304.95pt;width:14.75pt;height:14.1pt;z-index:2518394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PxIxmKQIAAE0EAAAOAAAAZHJzL2Uyb0RvYy54bWysVF1v2jAUfZ+0/2D5fSSAKG1EqFgrpkmo&#13;&#10;rQRTn41jk0i2r2cbEvbrd+0QWnV7mvZibnw/z7nHLO47rchJON+AKel4lFMiDIeqMYeS/titv9xS&#13;&#10;4gMzFVNgREnPwtP75edPi9YWYgI1qEo4gkWML1pb0joEW2SZ57XQzI/ACoNOCU6zgJ/ukFWOtVhd&#13;&#10;q2yS5zdZC66yDrjwHm8feyddpvpSCh6epfQiEFVSnC2k06VzH89suWDFwTFbN/wyBvuHKTRrDDa9&#13;&#10;lnpkgZGja/4opRvuwIMMIw46AykbLhIGRDPOP6DZ1syKhAXJ8fZKk/9/ZfnT6cWRpirp7G5MiWEa&#13;&#10;l7QTXSBfoSPxDhlqrS8wcGsxNHTowE0P9x4vI/BOOh1/ERJBP3J9vvIby/GYdDufTmaUcHSN53f5&#13;&#10;PPGfvSVb58M3AZpEo6QO15dYZaeNDzgIhg4hsZeBdaNUWqEypC3pzXSWp4SrBzOUwcQIoR81WqHb&#13;&#10;dwn0eHo7ANlDdUZ8DnqNeMvXDU6xYT68MIeiQEgo9PCMh1SA3eBiUVKD+/W3+xiPu0IvJS2KrKT+&#13;&#10;55E5QYn6bnCLUZGD4QZjPxjmqB8AdYt7wWmSiQkuqMGUDvQr6n8Vu6CLGY69ShoG8yH0Usf3w8Vq&#13;&#10;lYJQd5aFjdlaHktHHiOnu+6VOXshPuDGnmCQHys+8N/H9htYHQPIJi0nMtuzeCEcNZt2dnlf8VG8&#13;&#10;/05Rb/8Cy98AAAD//wMAUEsDBBQABgAIAAAAIQAE63GA5AAAABABAAAPAAAAZHJzL2Rvd25yZXYu&#13;&#10;eG1sTE/LTsMwELwj8Q/WInGjdkooaRqnQhRuPAtIcHNik0TE68h20vD3LCe4rLQ7s/MotrPt2WR8&#13;&#10;6BxKSBYCmMHa6Q4bCa8vt2cZsBAVatU7NBK+TYBteXxUqFy7Az6baR8bRiIYciWhjXHIOQ91a6wK&#13;&#10;CzcYJOzTeasirb7h2qsDidueL4VYcas6JIdWDea6NfXXfrQS+vfg7yoRP6Zdcx+fHvn4dpM8SHl6&#13;&#10;Mu82NK42wKKZ498H/Hag/FBSsMqNqAPrJaRZeklUCSuxXgMjxkWSLoFVdDnPEuBlwf8XKX8AAAD/&#13;&#10;/wMAUEsBAi0AFAAGAAgAAAAhALaDOJL+AAAA4QEAABMAAAAAAAAAAAAAAAAAAAAAAFtDb250ZW50&#13;&#10;X1R5cGVzXS54bWxQSwECLQAUAAYACAAAACEAOP0h/9YAAACUAQAACwAAAAAAAAAAAAAAAAAvAQAA&#13;&#10;X3JlbHMvLnJlbHNQSwECLQAUAAYACAAAACEAz8SMZikCAABNBAAADgAAAAAAAAAAAAAAAAAuAgAA&#13;&#10;ZHJzL2Uyb0RvYy54bWxQSwECLQAUAAYACAAAACEABOtxgOQAAAAQAQAADwAAAAAAAAAAAAAAAACD&#13;&#10;BAAAZHJzL2Rvd25yZXYueG1sUEsFBgAAAAAEAAQA8wAAAJQFAAAAAA==&#13;&#10;" filled="f" stroked="f" strokeweight=".5pt">
                <v:textbox inset="0,0,0,0">
                  <w:txbxContent>
                    <w:p w14:paraId="51D22856" w14:textId="77777777" w:rsidR="00F61130" w:rsidRPr="006508D1" w:rsidRDefault="00F61130" w:rsidP="00065F42">
                      <w:pPr>
                        <w:jc w:val="center"/>
                      </w:pPr>
                      <w:r>
                        <w:t>F</w:t>
                      </w:r>
                    </w:p>
                  </w:txbxContent>
                </v:textbox>
                <w10:wrap type="topAndBottom"/>
              </v:shape>
            </w:pict>
          </mc:Fallback>
        </mc:AlternateContent>
      </w:r>
      <w:r>
        <w:rPr>
          <w:noProof/>
        </w:rPr>
        <mc:AlternateContent>
          <mc:Choice Requires="wps">
            <w:drawing>
              <wp:anchor distT="0" distB="0" distL="114300" distR="114300" simplePos="0" relativeHeight="251837440" behindDoc="0" locked="0" layoutInCell="1" allowOverlap="1" wp14:anchorId="5E85DAB5" wp14:editId="4C97B1A1">
                <wp:simplePos x="0" y="0"/>
                <wp:positionH relativeFrom="column">
                  <wp:posOffset>3077845</wp:posOffset>
                </wp:positionH>
                <wp:positionV relativeFrom="paragraph">
                  <wp:posOffset>1907752</wp:posOffset>
                </wp:positionV>
                <wp:extent cx="187325" cy="179070"/>
                <wp:effectExtent l="0" t="0" r="3175" b="0"/>
                <wp:wrapTopAndBottom/>
                <wp:docPr id="584" name="Text Box 584"/>
                <wp:cNvGraphicFramePr/>
                <a:graphic xmlns:a="http://schemas.openxmlformats.org/drawingml/2006/main">
                  <a:graphicData uri="http://schemas.microsoft.com/office/word/2010/wordprocessingShape">
                    <wps:wsp>
                      <wps:cNvSpPr txBox="1"/>
                      <wps:spPr>
                        <a:xfrm>
                          <a:off x="0" y="0"/>
                          <a:ext cx="187325" cy="179070"/>
                        </a:xfrm>
                        <a:prstGeom prst="rect">
                          <a:avLst/>
                        </a:prstGeom>
                        <a:noFill/>
                        <a:ln w="6350">
                          <a:noFill/>
                        </a:ln>
                      </wps:spPr>
                      <wps:txbx>
                        <w:txbxContent>
                          <w:p w14:paraId="3233A305" w14:textId="77777777" w:rsidR="00F61130" w:rsidRPr="006508D1" w:rsidRDefault="00F61130" w:rsidP="00065F42">
                            <w:pPr>
                              <w:jc w:val="center"/>
                            </w:pPr>
                            <w:r>
                              <w:t>D</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5E85DAB5" id="Text Box 584" o:spid="_x0000_s1165" type="#_x0000_t202" style="position:absolute;margin-left:242.35pt;margin-top:150.2pt;width:14.75pt;height:14.1pt;z-index:2518374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mqArrKgIAAE0EAAAOAAAAZHJzL2Uyb0RvYy54bWysVF1v2jAUfZ+0/2D5fSTAaGlEqFgrpkmo&#13;&#10;rQRTn41jk0i2r2cbEvbrd+0QOnV7mvZibnw/z7nHLO47rchJON+AKel4lFMiDIeqMYeSft+tP80p&#13;&#10;8YGZiikwoqRn4en98uOHRWsLMYEaVCUcwSLGF60taR2CLbLM81po5kdghUGnBKdZwE93yCrHWqyu&#13;&#10;VTbJ85usBVdZB1x4j7ePvZMuU30pBQ/PUnoRiCopzhbS6dK5j2e2XLDi4JitG34Zg/3DFJo1Bpte&#13;&#10;Sz2ywMjRNX+U0g134EGGEQedgZQNFwkDohnn79Bsa2ZFwoLkeHulyf+/svzp9OJIU5V0Nv9MiWEa&#13;&#10;l7QTXSBfoCPxDhlqrS8wcGsxNHTowE0P9x4vI/BOOh1/ERJBP3J9vvIby/GYNL+dTmaUcHSNb+/y&#13;&#10;28R/9pZsnQ9fBWgSjZI6XF9ilZ02PuAgGDqExF4G1o1SaYXKkLakN9NZnhKuHsxQBhMjhH7UaIVu&#13;&#10;3yXQ4+ndAGQP1RnxOeg14i1fNzjFhvnwwhyKAiGh0MMzHlIBdoOLRUkN7uff7mM87gq9lLQospL6&#13;&#10;H0fmBCXqm8EtRkUOhhuM/WCYo34A1O0Yn5DlycQEF9RgSgf6FfW/il3QxQzHXiUNg/kQeqnj++Fi&#13;&#10;tUpBqDvLwsZsLY+lI4+R0133ypy9EB9wY08wyI8V7/jvY/sNrI4BZJOWE5ntWbwQjppNO7u8r/go&#13;&#10;fv9OUW//AstfAAAA//8DAFBLAwQUAAYACAAAACEAIy41aeMAAAAQAQAADwAAAGRycy9kb3ducmV2&#13;&#10;LnhtbExPTU+EMBC9m/gfmjHx5rYgroSlbIyrNz9XTfRWaAUinZK2sPjvHU96mWTmvXkf5XaxA5uN&#13;&#10;D71DCclKADPYON1jK+H15fYsBxaiQq0Gh0bCtwmwrY6PSlVod8BnM+9jy0gEQ6EkdDGOBeeh6YxV&#13;&#10;YeVGg4R9Om9VpNW3XHt1IHE78FSINbeqR3Lo1GiuO9N87ScrYXgP/q4W8WPetffx6ZFPbzfJg5Sn&#13;&#10;J8tuQ+NqAyyaJf59wG8Hyg8VBavdhDqwQUKWZ5dElXAuRAaMGBdJlgKr6ZLma+BVyf8XqX4AAAD/&#13;&#10;/wMAUEsBAi0AFAAGAAgAAAAhALaDOJL+AAAA4QEAABMAAAAAAAAAAAAAAAAAAAAAAFtDb250ZW50&#13;&#10;X1R5cGVzXS54bWxQSwECLQAUAAYACAAAACEAOP0h/9YAAACUAQAACwAAAAAAAAAAAAAAAAAvAQAA&#13;&#10;X3JlbHMvLnJlbHNQSwECLQAUAAYACAAAACEA5qgK6yoCAABNBAAADgAAAAAAAAAAAAAAAAAuAgAA&#13;&#10;ZHJzL2Uyb0RvYy54bWxQSwECLQAUAAYACAAAACEAIy41aeMAAAAQAQAADwAAAAAAAAAAAAAAAACE&#13;&#10;BAAAZHJzL2Rvd25yZXYueG1sUEsFBgAAAAAEAAQA8wAAAJQFAAAAAA==&#13;&#10;" filled="f" stroked="f" strokeweight=".5pt">
                <v:textbox inset="0,0,0,0">
                  <w:txbxContent>
                    <w:p w14:paraId="3233A305" w14:textId="77777777" w:rsidR="00F61130" w:rsidRPr="006508D1" w:rsidRDefault="00F61130" w:rsidP="00065F42">
                      <w:pPr>
                        <w:jc w:val="center"/>
                      </w:pPr>
                      <w:r>
                        <w:t>D</w:t>
                      </w:r>
                    </w:p>
                  </w:txbxContent>
                </v:textbox>
                <w10:wrap type="topAndBottom"/>
              </v:shape>
            </w:pict>
          </mc:Fallback>
        </mc:AlternateContent>
      </w:r>
      <w:r w:rsidR="00E93E71">
        <w:rPr>
          <w:noProof/>
        </w:rPr>
        <mc:AlternateContent>
          <mc:Choice Requires="wps">
            <w:drawing>
              <wp:anchor distT="0" distB="0" distL="114300" distR="114300" simplePos="0" relativeHeight="252191744" behindDoc="0" locked="0" layoutInCell="1" allowOverlap="1" wp14:anchorId="07F8A3E5" wp14:editId="72865137">
                <wp:simplePos x="0" y="0"/>
                <wp:positionH relativeFrom="column">
                  <wp:posOffset>6033925</wp:posOffset>
                </wp:positionH>
                <wp:positionV relativeFrom="paragraph">
                  <wp:posOffset>228542</wp:posOffset>
                </wp:positionV>
                <wp:extent cx="374149" cy="202802"/>
                <wp:effectExtent l="0" t="0" r="0" b="635"/>
                <wp:wrapNone/>
                <wp:docPr id="451" name="Freeform 451"/>
                <wp:cNvGraphicFramePr/>
                <a:graphic xmlns:a="http://schemas.openxmlformats.org/drawingml/2006/main">
                  <a:graphicData uri="http://schemas.microsoft.com/office/word/2010/wordprocessingShape">
                    <wps:wsp>
                      <wps:cNvSpPr/>
                      <wps:spPr>
                        <a:xfrm>
                          <a:off x="0" y="0"/>
                          <a:ext cx="374149" cy="202802"/>
                        </a:xfrm>
                        <a:custGeom>
                          <a:avLst/>
                          <a:gdLst>
                            <a:gd name="connsiteX0" fmla="*/ 145549 w 374149"/>
                            <a:gd name="connsiteY0" fmla="*/ 197428 h 202802"/>
                            <a:gd name="connsiteX1" fmla="*/ 145549 w 374149"/>
                            <a:gd name="connsiteY1" fmla="*/ 197428 h 202802"/>
                            <a:gd name="connsiteX2" fmla="*/ 52030 w 374149"/>
                            <a:gd name="connsiteY2" fmla="*/ 197428 h 202802"/>
                            <a:gd name="connsiteX3" fmla="*/ 36444 w 374149"/>
                            <a:gd name="connsiteY3" fmla="*/ 187037 h 202802"/>
                            <a:gd name="connsiteX4" fmla="*/ 15662 w 374149"/>
                            <a:gd name="connsiteY4" fmla="*/ 155864 h 202802"/>
                            <a:gd name="connsiteX5" fmla="*/ 5271 w 374149"/>
                            <a:gd name="connsiteY5" fmla="*/ 124691 h 202802"/>
                            <a:gd name="connsiteX6" fmla="*/ 76 w 374149"/>
                            <a:gd name="connsiteY6" fmla="*/ 88323 h 202802"/>
                            <a:gd name="connsiteX7" fmla="*/ 5271 w 374149"/>
                            <a:gd name="connsiteY7" fmla="*/ 10391 h 202802"/>
                            <a:gd name="connsiteX8" fmla="*/ 20858 w 374149"/>
                            <a:gd name="connsiteY8" fmla="*/ 5196 h 202802"/>
                            <a:gd name="connsiteX9" fmla="*/ 187112 w 374149"/>
                            <a:gd name="connsiteY9" fmla="*/ 0 h 202802"/>
                            <a:gd name="connsiteX10" fmla="*/ 316999 w 374149"/>
                            <a:gd name="connsiteY10" fmla="*/ 5196 h 202802"/>
                            <a:gd name="connsiteX11" fmla="*/ 332585 w 374149"/>
                            <a:gd name="connsiteY11" fmla="*/ 10391 h 202802"/>
                            <a:gd name="connsiteX12" fmla="*/ 348171 w 374149"/>
                            <a:gd name="connsiteY12" fmla="*/ 20782 h 202802"/>
                            <a:gd name="connsiteX13" fmla="*/ 368953 w 374149"/>
                            <a:gd name="connsiteY13" fmla="*/ 67541 h 202802"/>
                            <a:gd name="connsiteX14" fmla="*/ 374149 w 374149"/>
                            <a:gd name="connsiteY14" fmla="*/ 83128 h 202802"/>
                            <a:gd name="connsiteX15" fmla="*/ 363758 w 374149"/>
                            <a:gd name="connsiteY15" fmla="*/ 135082 h 202802"/>
                            <a:gd name="connsiteX16" fmla="*/ 348171 w 374149"/>
                            <a:gd name="connsiteY16" fmla="*/ 150668 h 202802"/>
                            <a:gd name="connsiteX17" fmla="*/ 322194 w 374149"/>
                            <a:gd name="connsiteY17" fmla="*/ 171450 h 202802"/>
                            <a:gd name="connsiteX18" fmla="*/ 244262 w 374149"/>
                            <a:gd name="connsiteY18" fmla="*/ 166255 h 202802"/>
                            <a:gd name="connsiteX19" fmla="*/ 218285 w 374149"/>
                            <a:gd name="connsiteY19" fmla="*/ 161059 h 202802"/>
                            <a:gd name="connsiteX20" fmla="*/ 145549 w 374149"/>
                            <a:gd name="connsiteY20" fmla="*/ 197428 h 20280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Lst>
                          <a:rect l="l" t="t" r="r" b="b"/>
                          <a:pathLst>
                            <a:path w="374149" h="202802">
                              <a:moveTo>
                                <a:pt x="145549" y="197428"/>
                              </a:moveTo>
                              <a:lnTo>
                                <a:pt x="145549" y="197428"/>
                              </a:lnTo>
                              <a:cubicBezTo>
                                <a:pt x="107184" y="201690"/>
                                <a:pt x="90395" y="207019"/>
                                <a:pt x="52030" y="197428"/>
                              </a:cubicBezTo>
                              <a:cubicBezTo>
                                <a:pt x="45972" y="195914"/>
                                <a:pt x="41639" y="190501"/>
                                <a:pt x="36444" y="187037"/>
                              </a:cubicBezTo>
                              <a:cubicBezTo>
                                <a:pt x="29517" y="176646"/>
                                <a:pt x="19611" y="167712"/>
                                <a:pt x="15662" y="155864"/>
                              </a:cubicBezTo>
                              <a:lnTo>
                                <a:pt x="5271" y="124691"/>
                              </a:lnTo>
                              <a:cubicBezTo>
                                <a:pt x="3539" y="112568"/>
                                <a:pt x="76" y="100569"/>
                                <a:pt x="76" y="88323"/>
                              </a:cubicBezTo>
                              <a:cubicBezTo>
                                <a:pt x="76" y="62288"/>
                                <a:pt x="-1043" y="35649"/>
                                <a:pt x="5271" y="10391"/>
                              </a:cubicBezTo>
                              <a:cubicBezTo>
                                <a:pt x="6599" y="5078"/>
                                <a:pt x="15390" y="5508"/>
                                <a:pt x="20858" y="5196"/>
                              </a:cubicBezTo>
                              <a:cubicBezTo>
                                <a:pt x="76213" y="2033"/>
                                <a:pt x="131694" y="1732"/>
                                <a:pt x="187112" y="0"/>
                              </a:cubicBezTo>
                              <a:cubicBezTo>
                                <a:pt x="230408" y="1732"/>
                                <a:pt x="273779" y="2109"/>
                                <a:pt x="316999" y="5196"/>
                              </a:cubicBezTo>
                              <a:cubicBezTo>
                                <a:pt x="322461" y="5586"/>
                                <a:pt x="327687" y="7942"/>
                                <a:pt x="332585" y="10391"/>
                              </a:cubicBezTo>
                              <a:cubicBezTo>
                                <a:pt x="338170" y="13183"/>
                                <a:pt x="342976" y="17318"/>
                                <a:pt x="348171" y="20782"/>
                              </a:cubicBezTo>
                              <a:cubicBezTo>
                                <a:pt x="364638" y="45482"/>
                                <a:pt x="356587" y="30444"/>
                                <a:pt x="368953" y="67541"/>
                              </a:cubicBezTo>
                              <a:lnTo>
                                <a:pt x="374149" y="83128"/>
                              </a:lnTo>
                              <a:cubicBezTo>
                                <a:pt x="373710" y="86202"/>
                                <a:pt x="370352" y="125192"/>
                                <a:pt x="363758" y="135082"/>
                              </a:cubicBezTo>
                              <a:cubicBezTo>
                                <a:pt x="359682" y="141195"/>
                                <a:pt x="352875" y="145024"/>
                                <a:pt x="348171" y="150668"/>
                              </a:cubicBezTo>
                              <a:cubicBezTo>
                                <a:pt x="330093" y="172361"/>
                                <a:pt x="347782" y="162921"/>
                                <a:pt x="322194" y="171450"/>
                              </a:cubicBezTo>
                              <a:cubicBezTo>
                                <a:pt x="296217" y="169718"/>
                                <a:pt x="270168" y="168846"/>
                                <a:pt x="244262" y="166255"/>
                              </a:cubicBezTo>
                              <a:cubicBezTo>
                                <a:pt x="235475" y="165376"/>
                                <a:pt x="227116" y="161059"/>
                                <a:pt x="218285" y="161059"/>
                              </a:cubicBezTo>
                              <a:cubicBezTo>
                                <a:pt x="199156" y="161059"/>
                                <a:pt x="157672" y="191366"/>
                                <a:pt x="145549" y="197428"/>
                              </a:cubicBezTo>
                              <a:close/>
                            </a:path>
                          </a:pathLst>
                        </a:cu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C672F87" id="Freeform 451" o:spid="_x0000_s1026" style="position:absolute;margin-left:475.1pt;margin-top:18pt;width:29.45pt;height:15.95pt;z-index:252191744;visibility:visible;mso-wrap-style:square;mso-wrap-distance-left:9pt;mso-wrap-distance-top:0;mso-wrap-distance-right:9pt;mso-wrap-distance-bottom:0;mso-position-horizontal:absolute;mso-position-horizontal-relative:text;mso-position-vertical:absolute;mso-position-vertical-relative:text;v-text-anchor:middle" coordsize="374149,20280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jZiRnPwcAAK8bAAAOAAAAZHJzL2Uyb0RvYy54bWysWd9v2zYQfh+w/0HQ44DW4k9JQZ0ia5Fh&#13;&#10;QNEWa4duj4osxwZkUZOUOOlf34+kJJOOB0nD+pBKJj9+d8e745345u3ToQwei6bdq2odktdRGBRV&#13;&#10;rjb76n4d/vn19lUSBm2XVZusVFWxDp+LNnx7/fNPb471VUHVTpWbogmwSNVeHet1uOu6+mq1avNd&#13;&#10;ccja16ouKgxuVXPIOrw296tNkx2x+qFc0SiSq6NqNnWj8qJt8et7Oxhem/W32yLvPm23bdEF5TqE&#13;&#10;bJ3525i/d/rv6vpNdnXfZPVun/diZP9BikO2r0A6LvU+67Lgodm/WOqwzxvVqm33OleHldpu93lh&#13;&#10;dIA2JDrT5ssuqwujC4zT1qOZ2v9v2fzj4+cm2G/WIRckDKrsgE26bYpCmzzQv8FCx7q9wsQv9eem&#13;&#10;f2vxqNV92jYH/T8UCZ6MVZ9HqxZPXZDjRxZzwtMwyDFEI5pEVK+5OoHzh7b7rVBmoezxQ9vZTdng&#13;&#10;yZh004uVq6pq913xFzZyeyixT7+sAsKF4GlwDHqaHnsG+duDpDGnSbALTtJg416wwBxLWTzIPBbq&#13;&#10;sAgasWhSFRdB5pEwh4RJzvkkiYsgSRyxeNJe3CEhQko6SeIjRCL5JIlwSASNySSHCyCUy5RMckiH&#13;&#10;I5aTDO70JGGUTRLEDsEsJVwAidgMHZB2R+elUSKSSTVchCCpnNQCIT1SwEUImd5wFxJNEhA3aBmR&#13;&#10;aTod5x5mlhrEDVrGqEjEpK08zLwNIW7YMp6QGb7rYWgUJ3TaZm7gMpmkgk1r42JkLPh0iBA3dG3m&#13;&#10;naZxMQkjc1KwG71MsniGHxMXQ5iI5ljNjeG5m+NiiIiknHGkuIHMKCXpdCYmLgZew8WMyHGDmXJO&#13;&#10;ZyRj4mII0rcQ097mBjQlCZ0TOy6GSBKJdJKHuplg5onvY16ekyhA7ocSI9sNVUf+VPVlB56CTFex&#13;&#10;kSnsatXqCsetQVDPDK+oL2xNA5SuWSbASDku2BRZkGceGInEBQ/V1DwwQt0Fs0ViI4BdMF8ERli6&#13;&#10;YLEIjFhzwXIRGAHkguNFYESFC04WgeHqLjhdBNZHmYvG+yIfO3eyZV6mzx6PfZmfkTNHw/si4c9c&#13;&#10;DefNIviZs+FMWAQ/czeyzN90xvZMt8zjdCL24Mt8jpw5Hd6X6K7TpsuOdwduk1SfIRt017qvLk1f&#13;&#10;3YUB+uomDNBX32lMdlVnnU6sw2NwPDWDu7EX1KMH9Vh8VWZep7OsTfFGENvh9DKc5pXVnPnDrPzh&#13;&#10;bp//Wnz3MFFMEutmaL1l2n8LqI0AKYps60MouyJrQuhjxkyX9lI2n8N/s0Au0thGFUlFal16WJQT&#13;&#10;yezGkTQSkYnVYcx0bJbQdGLDhnhKXSKkqSDWF0ksJTdePCyKCl9XsdhqIuMY0W53zJpfd292TOiu&#13;&#10;7CLhYNvBKHG/mumxesQw55JwTAwKEyqk8fFBttjGH4kiIY33ng2YLuuiUJeI+tUkpYnH8opE3GYp&#13;&#10;JiQ+UDgG0E2Z1V83W7OZpEjtHgrU6u56BLrauBKoR90R05sZKt2szGaKJe0zLD4ZmNQ6mIjoRsm6&#13;&#10;NYmZv62mSTNkY1BP+xCLOEQ2jnK2Ho1ZHFuFKYk8A9pubbleqIm5tKbXnudaitFYJtab45R7itmu&#13;&#10;zcq4aMMYQx9mNwZ2SzxDMk7TwRFjDHqymP7NEJq2bPa+IZQls9bkgie+FkKKXkHYnJuoG3bVdnKG&#13;&#10;0DRoFwmHaLMROXx2Q4SbZquHDJMuRQrDhvZVRyLxccxTGd+ARJ8UKHzVHzStmd0A03FdlO8ipUgl&#13;&#10;zGDcixPkRY9T0CS2aVi3PdQ3yWkPbPc1n5NFUWojn8SUwd+c0Gc8Rp9tBZI0pf6gadnsoOnEZnPS&#13;&#10;FBHb52KZ4uRxOSmOGGRAm4yTxE/Utn3rB3VXNp+TCT6YTwoGZ3b0pEhxqGssp27CvEHTyp0N6rN/&#13;&#10;Ml2QNMW3vzPk4MVExHI8AQmTnkD/duafcZaqLaAGhNHVxfhgygwj4elbcqvK/eZ2X5a6sDA3CsW7&#13;&#10;sgkeM9Qsd/dDWvdmlaZ7q5RGWRb9y0p/ALefvM1T91wWes2y+qPY4uM5KhZqmsQzkizPi6ojdmiX&#13;&#10;bQrLLSL863dxRBhNzIJ65S34x7X7BfSVyEmBYW0rZT9fQwtz6zGCbfc60lgJfPCIMMyq6kbwYV+p&#13;&#10;5pJmJbTqme38wUjWNNpKd2rzjKuFRtk7l7bOb/dN233I2u5z1uDjPfIuLo66T/izLRVqQxSB5ikM&#13;&#10;dqr5ful3PR93HxgNgyMubdZh+89D1hRhUP5e4VYERRXHsp154SLWxWzjjty5I9XD4Z2CL+C8gXTm&#13;&#10;Uc/vyuFx26jDN9wv3WhWDGVVDm50/V0zvLzr8I4hXJfkxc2NecbNDnzzQ/WlzvXi2qo1NP/69C1r&#13;&#10;6kA/rsMOtyMf1XDBk10N9x7ar8e5Glmpm4dObff6UsT4obVr/4JbIeM4/Q2WvnZy382s0z3b9Q8A&#13;&#10;AAD//wMAUEsDBBQABgAIAAAAIQCFhBpl5gAAAA8BAAAPAAAAZHJzL2Rvd25yZXYueG1sTI9BS8NA&#13;&#10;EIXvgv9hGcGL2N1WjCbNpmhKLgVB23rwtk2mSTA7G7LbNvXXOz3pZWCY9968L12MthNHHHzrSMN0&#13;&#10;okAgla5qqdaw3RT3zyB8MFSZzhFqOKOHRXZ9lZqkcif6wOM61IJDyCdGQxNCn0jpywat8RPXI/Ft&#13;&#10;7wZrAq9DLavBnDjcdnKmVCStaYk/NKbHvMHye32wGqR5K5Z3/mf/mdPr+8qei9VXXmh9ezMu5zxe&#13;&#10;5iACjuHPARcG7g8ZF9u5A1VedBriRzVjqYaHiMEuAqXiKYidhugpBpml8j9H9gsAAP//AwBQSwEC&#13;&#10;LQAUAAYACAAAACEAtoM4kv4AAADhAQAAEwAAAAAAAAAAAAAAAAAAAAAAW0NvbnRlbnRfVHlwZXNd&#13;&#10;LnhtbFBLAQItABQABgAIAAAAIQA4/SH/1gAAAJQBAAALAAAAAAAAAAAAAAAAAC8BAABfcmVscy8u&#13;&#10;cmVsc1BLAQItABQABgAIAAAAIQBjZiRnPwcAAK8bAAAOAAAAAAAAAAAAAAAAAC4CAABkcnMvZTJv&#13;&#10;RG9jLnhtbFBLAQItABQABgAIAAAAIQCFhBpl5gAAAA8BAAAPAAAAAAAAAAAAAAAAAJkJAABkcnMv&#13;&#10;ZG93bnJldi54bWxQSwUGAAAAAAQABADzAAAArAoAAAAA&#13;&#10;" path="m145549,197428r,c107184,201690,90395,207019,52030,197428,45972,195914,41639,190501,36444,187037,29517,176646,19611,167712,15662,155864l5271,124691c3539,112568,76,100569,76,88323,76,62288,-1043,35649,5271,10391,6599,5078,15390,5508,20858,5196,76213,2033,131694,1732,187112,v43296,1732,86667,2109,129887,5196c322461,5586,327687,7942,332585,10391v5585,2792,10391,6927,15586,10391c364638,45482,356587,30444,368953,67541r5196,15587c373710,86202,370352,125192,363758,135082v-4076,6113,-10883,9942,-15587,15586c330093,172361,347782,162921,322194,171450v-25977,-1732,-52026,-2604,-77932,-5195c235475,165376,227116,161059,218285,161059v-19129,,-60613,30307,-72736,36369xe" fillcolor="white [3212]" stroked="f" strokeweight="1pt">
                <v:stroke joinstyle="miter"/>
                <v:path arrowok="t" o:connecttype="custom" o:connectlocs="145549,197428;145549,197428;52030,197428;36444,187037;15662,155864;5271,124691;76,88323;5271,10391;20858,5196;187112,0;316999,5196;332585,10391;348171,20782;368953,67541;374149,83128;363758,135082;348171,150668;322194,171450;244262,166255;218285,161059;145549,197428" o:connectangles="0,0,0,0,0,0,0,0,0,0,0,0,0,0,0,0,0,0,0,0,0"/>
              </v:shape>
            </w:pict>
          </mc:Fallback>
        </mc:AlternateContent>
      </w:r>
      <w:r w:rsidR="00E93E71">
        <w:rPr>
          <w:noProof/>
        </w:rPr>
        <mc:AlternateContent>
          <mc:Choice Requires="wps">
            <w:drawing>
              <wp:anchor distT="0" distB="0" distL="114300" distR="114300" simplePos="0" relativeHeight="251841536" behindDoc="0" locked="0" layoutInCell="1" allowOverlap="1" wp14:anchorId="086DBC33" wp14:editId="25E6A21E">
                <wp:simplePos x="0" y="0"/>
                <wp:positionH relativeFrom="column">
                  <wp:posOffset>301625</wp:posOffset>
                </wp:positionH>
                <wp:positionV relativeFrom="paragraph">
                  <wp:posOffset>5540861</wp:posOffset>
                </wp:positionV>
                <wp:extent cx="9036237" cy="1003300"/>
                <wp:effectExtent l="0" t="0" r="6350" b="0"/>
                <wp:wrapNone/>
                <wp:docPr id="595" name="Text Box 595"/>
                <wp:cNvGraphicFramePr/>
                <a:graphic xmlns:a="http://schemas.openxmlformats.org/drawingml/2006/main">
                  <a:graphicData uri="http://schemas.microsoft.com/office/word/2010/wordprocessingShape">
                    <wps:wsp>
                      <wps:cNvSpPr txBox="1"/>
                      <wps:spPr>
                        <a:xfrm>
                          <a:off x="0" y="0"/>
                          <a:ext cx="9036237" cy="1003300"/>
                        </a:xfrm>
                        <a:prstGeom prst="rect">
                          <a:avLst/>
                        </a:prstGeom>
                        <a:solidFill>
                          <a:prstClr val="white"/>
                        </a:solidFill>
                        <a:ln>
                          <a:noFill/>
                        </a:ln>
                      </wps:spPr>
                      <wps:txbx>
                        <w:txbxContent>
                          <w:p w14:paraId="6C6D95C2" w14:textId="11D46BDA" w:rsidR="00F61130" w:rsidRPr="00B23FF8" w:rsidRDefault="00F61130" w:rsidP="00530A00">
                            <w:pPr>
                              <w:pStyle w:val="Caption"/>
                              <w:spacing w:line="360" w:lineRule="auto"/>
                              <w:jc w:val="both"/>
                              <w:rPr>
                                <w:sz w:val="20"/>
                                <w:szCs w:val="20"/>
                              </w:rPr>
                            </w:pPr>
                            <w:bookmarkStart w:id="584" w:name="_Ref522644196"/>
                            <w:bookmarkStart w:id="585" w:name="_Toc536814179"/>
                            <w:bookmarkStart w:id="586" w:name="_Toc525227240"/>
                            <w:r w:rsidRPr="00F64F3A">
                              <w:rPr>
                                <w:b/>
                                <w:sz w:val="20"/>
                                <w:szCs w:val="20"/>
                              </w:rPr>
                              <w:t xml:space="preserve">Figure </w:t>
                            </w:r>
                            <w:r>
                              <w:rPr>
                                <w:b/>
                                <w:sz w:val="20"/>
                                <w:szCs w:val="20"/>
                              </w:rPr>
                              <w:fldChar w:fldCharType="begin"/>
                            </w:r>
                            <w:r>
                              <w:rPr>
                                <w:b/>
                                <w:sz w:val="20"/>
                                <w:szCs w:val="20"/>
                              </w:rPr>
                              <w:instrText xml:space="preserve"> STYLEREF 1 \s </w:instrText>
                            </w:r>
                            <w:r>
                              <w:rPr>
                                <w:b/>
                                <w:sz w:val="20"/>
                                <w:szCs w:val="20"/>
                              </w:rPr>
                              <w:fldChar w:fldCharType="separate"/>
                            </w:r>
                            <w:r>
                              <w:rPr>
                                <w:b/>
                                <w:noProof/>
                                <w:sz w:val="20"/>
                                <w:szCs w:val="20"/>
                              </w:rPr>
                              <w:t>5</w:t>
                            </w:r>
                            <w:r>
                              <w:rPr>
                                <w:b/>
                                <w:sz w:val="20"/>
                                <w:szCs w:val="20"/>
                              </w:rPr>
                              <w:fldChar w:fldCharType="end"/>
                            </w:r>
                            <w:r>
                              <w:rPr>
                                <w:b/>
                                <w:sz w:val="20"/>
                                <w:szCs w:val="20"/>
                              </w:rPr>
                              <w:t>.</w:t>
                            </w:r>
                            <w:r>
                              <w:rPr>
                                <w:b/>
                                <w:sz w:val="20"/>
                                <w:szCs w:val="20"/>
                              </w:rPr>
                              <w:fldChar w:fldCharType="begin"/>
                            </w:r>
                            <w:r>
                              <w:rPr>
                                <w:b/>
                                <w:sz w:val="20"/>
                                <w:szCs w:val="20"/>
                              </w:rPr>
                              <w:instrText xml:space="preserve"> SEQ Figure \* ARABIC \s 1 </w:instrText>
                            </w:r>
                            <w:r>
                              <w:rPr>
                                <w:b/>
                                <w:sz w:val="20"/>
                                <w:szCs w:val="20"/>
                              </w:rPr>
                              <w:fldChar w:fldCharType="separate"/>
                            </w:r>
                            <w:r>
                              <w:rPr>
                                <w:b/>
                                <w:noProof/>
                                <w:sz w:val="20"/>
                                <w:szCs w:val="20"/>
                              </w:rPr>
                              <w:t>5</w:t>
                            </w:r>
                            <w:r>
                              <w:rPr>
                                <w:b/>
                                <w:sz w:val="20"/>
                                <w:szCs w:val="20"/>
                              </w:rPr>
                              <w:fldChar w:fldCharType="end"/>
                            </w:r>
                            <w:bookmarkEnd w:id="584"/>
                            <w:r w:rsidRPr="00F64F3A">
                              <w:rPr>
                                <w:b/>
                                <w:sz w:val="20"/>
                                <w:szCs w:val="20"/>
                              </w:rPr>
                              <w:t xml:space="preserve"> - Fitting of </w:t>
                            </w:r>
                            <w:r>
                              <w:rPr>
                                <w:b/>
                                <w:sz w:val="20"/>
                                <w:szCs w:val="20"/>
                              </w:rPr>
                              <w:t xml:space="preserve">T cell, </w:t>
                            </w:r>
                            <w:r w:rsidRPr="00F64F3A">
                              <w:rPr>
                                <w:b/>
                                <w:sz w:val="20"/>
                                <w:szCs w:val="20"/>
                              </w:rPr>
                              <w:t xml:space="preserve">myeloid cells and </w:t>
                            </w:r>
                            <w:r w:rsidRPr="00F64F3A">
                              <w:rPr>
                                <w:b/>
                                <w:i/>
                                <w:sz w:val="20"/>
                                <w:szCs w:val="20"/>
                              </w:rPr>
                              <w:t>Leishmania donovani</w:t>
                            </w:r>
                            <w:r w:rsidRPr="00F64F3A">
                              <w:rPr>
                                <w:b/>
                                <w:sz w:val="20"/>
                                <w:szCs w:val="20"/>
                              </w:rPr>
                              <w:t xml:space="preserve"> kinetics </w:t>
                            </w:r>
                            <w:r>
                              <w:rPr>
                                <w:b/>
                                <w:sz w:val="20"/>
                                <w:szCs w:val="20"/>
                              </w:rPr>
                              <w:t>to new model</w:t>
                            </w:r>
                            <w:r w:rsidRPr="00F64F3A">
                              <w:rPr>
                                <w:b/>
                                <w:sz w:val="20"/>
                                <w:szCs w:val="20"/>
                              </w:rPr>
                              <w:t xml:space="preserve">. </w:t>
                            </w:r>
                            <w:r>
                              <w:rPr>
                                <w:sz w:val="20"/>
                                <w:szCs w:val="20"/>
                              </w:rPr>
                              <w:t>T Cells (A),</w:t>
                            </w:r>
                            <w:r w:rsidRPr="00F64F3A">
                              <w:rPr>
                                <w:sz w:val="20"/>
                                <w:szCs w:val="20"/>
                              </w:rPr>
                              <w:t xml:space="preserve"> </w:t>
                            </w:r>
                            <w:r>
                              <w:rPr>
                                <w:sz w:val="20"/>
                                <w:szCs w:val="20"/>
                              </w:rPr>
                              <w:t xml:space="preserve">Total </w:t>
                            </w:r>
                            <w:r w:rsidRPr="00F64F3A">
                              <w:rPr>
                                <w:sz w:val="20"/>
                                <w:szCs w:val="20"/>
                              </w:rPr>
                              <w:t>Myeloid cell</w:t>
                            </w:r>
                            <w:r>
                              <w:rPr>
                                <w:sz w:val="20"/>
                                <w:szCs w:val="20"/>
                              </w:rPr>
                              <w:t>s</w:t>
                            </w:r>
                            <w:r w:rsidRPr="00F64F3A">
                              <w:rPr>
                                <w:sz w:val="20"/>
                                <w:szCs w:val="20"/>
                              </w:rPr>
                              <w:t xml:space="preserve"> (B) and</w:t>
                            </w:r>
                            <w:r>
                              <w:rPr>
                                <w:sz w:val="20"/>
                                <w:szCs w:val="20"/>
                              </w:rPr>
                              <w:t xml:space="preserve"> Total</w:t>
                            </w:r>
                            <w:r w:rsidRPr="00F64F3A">
                              <w:rPr>
                                <w:sz w:val="20"/>
                                <w:szCs w:val="20"/>
                              </w:rPr>
                              <w:t xml:space="preserve"> </w:t>
                            </w:r>
                            <w:r w:rsidRPr="00F64F3A">
                              <w:rPr>
                                <w:i/>
                                <w:sz w:val="20"/>
                                <w:szCs w:val="20"/>
                              </w:rPr>
                              <w:t>Leishmania donovani</w:t>
                            </w:r>
                            <w:r w:rsidRPr="00F64F3A">
                              <w:rPr>
                                <w:sz w:val="20"/>
                                <w:szCs w:val="20"/>
                              </w:rPr>
                              <w:t xml:space="preserve"> kinetics (C) were fitted, as the sum of susceptible (D) &amp; infected (F) myeloid cells and extracellular (E) &amp; intracellular (G) </w:t>
                            </w:r>
                            <w:r w:rsidRPr="00F64F3A">
                              <w:rPr>
                                <w:i/>
                                <w:sz w:val="20"/>
                                <w:szCs w:val="20"/>
                              </w:rPr>
                              <w:t>Leishmania donovani</w:t>
                            </w:r>
                            <w:r w:rsidRPr="00F64F3A">
                              <w:rPr>
                                <w:sz w:val="20"/>
                                <w:szCs w:val="20"/>
                              </w:rPr>
                              <w:t xml:space="preserve">, respectively, using the </w:t>
                            </w:r>
                            <w:r>
                              <w:rPr>
                                <w:i/>
                                <w:sz w:val="20"/>
                                <w:szCs w:val="20"/>
                              </w:rPr>
                              <w:t>nsga2</w:t>
                            </w:r>
                            <w:r w:rsidRPr="00F64F3A">
                              <w:rPr>
                                <w:sz w:val="20"/>
                                <w:szCs w:val="20"/>
                              </w:rPr>
                              <w:t xml:space="preserve"> function of the </w:t>
                            </w:r>
                            <w:r>
                              <w:rPr>
                                <w:i/>
                                <w:sz w:val="20"/>
                                <w:szCs w:val="20"/>
                              </w:rPr>
                              <w:t>mco</w:t>
                            </w:r>
                            <w:r w:rsidRPr="00F64F3A">
                              <w:rPr>
                                <w:sz w:val="20"/>
                                <w:szCs w:val="20"/>
                              </w:rPr>
                              <w:t xml:space="preserve"> package. </w:t>
                            </w:r>
                            <w:r>
                              <w:rPr>
                                <w:sz w:val="20"/>
                                <w:szCs w:val="20"/>
                              </w:rPr>
                              <w:t>Blue</w:t>
                            </w:r>
                            <w:r w:rsidRPr="00F64F3A">
                              <w:rPr>
                                <w:sz w:val="20"/>
                                <w:szCs w:val="20"/>
                              </w:rPr>
                              <w:t xml:space="preserve"> dots represent </w:t>
                            </w:r>
                            <w:r>
                              <w:rPr>
                                <w:sz w:val="20"/>
                                <w:szCs w:val="20"/>
                              </w:rPr>
                              <w:t>t</w:t>
                            </w:r>
                            <w:r w:rsidRPr="00F64F3A">
                              <w:rPr>
                                <w:sz w:val="20"/>
                                <w:szCs w:val="20"/>
                              </w:rPr>
                              <w:t xml:space="preserve">he mean of the biological replicates which the model was trained against, grey lines represent </w:t>
                            </w:r>
                            <w:r w:rsidRPr="00F64F3A">
                              <w:rPr>
                                <w:i/>
                                <w:sz w:val="20"/>
                                <w:szCs w:val="20"/>
                              </w:rPr>
                              <w:t>in silico</w:t>
                            </w:r>
                            <w:r w:rsidRPr="00F64F3A">
                              <w:rPr>
                                <w:sz w:val="20"/>
                                <w:szCs w:val="20"/>
                              </w:rPr>
                              <w:t xml:space="preserve"> parameterisation outputs (n = </w:t>
                            </w:r>
                            <w:r>
                              <w:rPr>
                                <w:sz w:val="20"/>
                                <w:szCs w:val="20"/>
                              </w:rPr>
                              <w:t>100</w:t>
                            </w:r>
                            <w:r w:rsidRPr="00F64F3A">
                              <w:rPr>
                                <w:sz w:val="20"/>
                                <w:szCs w:val="20"/>
                              </w:rPr>
                              <w:t>)</w:t>
                            </w:r>
                            <w:r>
                              <w:rPr>
                                <w:sz w:val="20"/>
                                <w:szCs w:val="20"/>
                              </w:rPr>
                              <w:t xml:space="preserve"> and red lines represent the 95% confidence interval of the </w:t>
                            </w:r>
                            <w:r>
                              <w:rPr>
                                <w:i/>
                                <w:sz w:val="20"/>
                                <w:szCs w:val="20"/>
                              </w:rPr>
                              <w:t xml:space="preserve">in silico </w:t>
                            </w:r>
                            <w:r>
                              <w:rPr>
                                <w:sz w:val="20"/>
                                <w:szCs w:val="20"/>
                              </w:rPr>
                              <w:t>outputs.</w:t>
                            </w:r>
                            <w:bookmarkEnd w:id="585"/>
                            <w:bookmarkEnd w:id="586"/>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086DBC33" id="Text Box 595" o:spid="_x0000_s1166" type="#_x0000_t202" style="position:absolute;margin-left:23.75pt;margin-top:436.3pt;width:711.5pt;height:79pt;z-index:2518415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oY3DQNwIAAG4EAAAOAAAAZHJzL2Uyb0RvYy54bWysVN9v2jAQfp+0/8Hy+0iAtWsjQsWomCah&#13;&#10;thJMfTaOQyzZPs82JOyv39khsHV7mvbinO/O9+P77jJ76LQiR+G8BFPS8SinRBgOlTT7kn7brj7c&#13;&#10;UeIDMxVTYERJT8LTh/n7d7PWFmICDahKOIJBjC9aW9ImBFtkmeeN0MyPwAqDxhqcZgGvbp9VjrUY&#13;&#10;Xatskue3WQuusg648B61j72RzlP8uhY8PNe1F4GokmJtIZ0unbt4ZvMZK/aO2UbycxnsH6rQTBpM&#13;&#10;egn1yAIjByf/CKUld+ChDiMOOoO6llykHrCbcf6mm03DrEi9IDjeXmDy/y8sfzq+OCKrkt7c31Bi&#13;&#10;mEaStqIL5DN0JOoQodb6Ah03Fl1DhwZketB7VMbGu9rp+MWWCNoR69MF3xiOo/I+n95Opp8o4Wgb&#13;&#10;5/l0micGsutz63z4IkCTKJTUIYEJV3Zc+4CloOvgErN5ULJaSaXiJRqWypEjQ7LbRgYRi8QXv3kp&#13;&#10;E30NxFe9OWqy2GPfS5RCt+sSKuOPqcKo20F1QgAc9EPkLV9JzLhmPrwwh1ODPeMmhGc8agVtSeEs&#13;&#10;UdKA+/E3ffRHMtFKSYtTWFL//cCcoER9NUhzHNlBcIOwGwRz0EvAXse4Y5YnER+4oAaxdqBfcUEW&#13;&#10;MQuamOGYq6RhEJeh3wVcMC4Wi+SEg2lZWJuN5TH0gOy2e2XOnnkJSOkTDPPJijf09L6JILs4BMQ6&#13;&#10;cXdF8Qw4DnUi6LyAcWt+vSev629i/hMAAP//AwBQSwMEFAAGAAgAAAAhALX75YrlAAAAEQEAAA8A&#13;&#10;AABkcnMvZG93bnJldi54bWxMTztPwzAQ3pH4D9YhsSBq04akSuNUVYEBlorQhc2N3TgQn6PYacO/&#13;&#10;5zrBcrrHd9+jWE+uYyczhNajhIeZAGaw9rrFRsL+4+V+CSxEhVp1Ho2EHxNgXV5fFSrX/ozv5lTF&#13;&#10;hhEJhlxJsDH2OeehtsapMPO9Qbod/eBUpHFouB7Umchdx+dCpNypFknBqt5sram/q9FJ2CWfO3s3&#13;&#10;Hp/fNslieN2P2/SrqaS8vZmeVlQ2K2DRTPHvAy4ZyD+UZOzgR9SBdRKS7JGQEpbZPAV2ASSZoNWB&#13;&#10;OrEQKfCy4P+TlL8AAAD//wMAUEsBAi0AFAAGAAgAAAAhALaDOJL+AAAA4QEAABMAAAAAAAAAAAAA&#13;&#10;AAAAAAAAAFtDb250ZW50X1R5cGVzXS54bWxQSwECLQAUAAYACAAAACEAOP0h/9YAAACUAQAACwAA&#13;&#10;AAAAAAAAAAAAAAAvAQAAX3JlbHMvLnJlbHNQSwECLQAUAAYACAAAACEA6GNw0DcCAABuBAAADgAA&#13;&#10;AAAAAAAAAAAAAAAuAgAAZHJzL2Uyb0RvYy54bWxQSwECLQAUAAYACAAAACEAtfvliuUAAAARAQAA&#13;&#10;DwAAAAAAAAAAAAAAAACRBAAAZHJzL2Rvd25yZXYueG1sUEsFBgAAAAAEAAQA8wAAAKMFAAAAAA==&#13;&#10;" stroked="f">
                <v:textbox style="mso-fit-shape-to-text:t" inset="0,0,0,0">
                  <w:txbxContent>
                    <w:p w14:paraId="6C6D95C2" w14:textId="11D46BDA" w:rsidR="00F61130" w:rsidRPr="00B23FF8" w:rsidRDefault="00F61130" w:rsidP="00530A00">
                      <w:pPr>
                        <w:pStyle w:val="Caption"/>
                        <w:spacing w:line="360" w:lineRule="auto"/>
                        <w:jc w:val="both"/>
                        <w:rPr>
                          <w:sz w:val="20"/>
                          <w:szCs w:val="20"/>
                        </w:rPr>
                      </w:pPr>
                      <w:bookmarkStart w:id="587" w:name="_Ref522644196"/>
                      <w:bookmarkStart w:id="588" w:name="_Toc536814179"/>
                      <w:bookmarkStart w:id="589" w:name="_Toc525227240"/>
                      <w:r w:rsidRPr="00F64F3A">
                        <w:rPr>
                          <w:b/>
                          <w:sz w:val="20"/>
                          <w:szCs w:val="20"/>
                        </w:rPr>
                        <w:t xml:space="preserve">Figure </w:t>
                      </w:r>
                      <w:r>
                        <w:rPr>
                          <w:b/>
                          <w:sz w:val="20"/>
                          <w:szCs w:val="20"/>
                        </w:rPr>
                        <w:fldChar w:fldCharType="begin"/>
                      </w:r>
                      <w:r>
                        <w:rPr>
                          <w:b/>
                          <w:sz w:val="20"/>
                          <w:szCs w:val="20"/>
                        </w:rPr>
                        <w:instrText xml:space="preserve"> STYLEREF 1 \s </w:instrText>
                      </w:r>
                      <w:r>
                        <w:rPr>
                          <w:b/>
                          <w:sz w:val="20"/>
                          <w:szCs w:val="20"/>
                        </w:rPr>
                        <w:fldChar w:fldCharType="separate"/>
                      </w:r>
                      <w:r>
                        <w:rPr>
                          <w:b/>
                          <w:noProof/>
                          <w:sz w:val="20"/>
                          <w:szCs w:val="20"/>
                        </w:rPr>
                        <w:t>5</w:t>
                      </w:r>
                      <w:r>
                        <w:rPr>
                          <w:b/>
                          <w:sz w:val="20"/>
                          <w:szCs w:val="20"/>
                        </w:rPr>
                        <w:fldChar w:fldCharType="end"/>
                      </w:r>
                      <w:r>
                        <w:rPr>
                          <w:b/>
                          <w:sz w:val="20"/>
                          <w:szCs w:val="20"/>
                        </w:rPr>
                        <w:t>.</w:t>
                      </w:r>
                      <w:r>
                        <w:rPr>
                          <w:b/>
                          <w:sz w:val="20"/>
                          <w:szCs w:val="20"/>
                        </w:rPr>
                        <w:fldChar w:fldCharType="begin"/>
                      </w:r>
                      <w:r>
                        <w:rPr>
                          <w:b/>
                          <w:sz w:val="20"/>
                          <w:szCs w:val="20"/>
                        </w:rPr>
                        <w:instrText xml:space="preserve"> SEQ Figure \* ARABIC \s 1 </w:instrText>
                      </w:r>
                      <w:r>
                        <w:rPr>
                          <w:b/>
                          <w:sz w:val="20"/>
                          <w:szCs w:val="20"/>
                        </w:rPr>
                        <w:fldChar w:fldCharType="separate"/>
                      </w:r>
                      <w:r>
                        <w:rPr>
                          <w:b/>
                          <w:noProof/>
                          <w:sz w:val="20"/>
                          <w:szCs w:val="20"/>
                        </w:rPr>
                        <w:t>5</w:t>
                      </w:r>
                      <w:r>
                        <w:rPr>
                          <w:b/>
                          <w:sz w:val="20"/>
                          <w:szCs w:val="20"/>
                        </w:rPr>
                        <w:fldChar w:fldCharType="end"/>
                      </w:r>
                      <w:bookmarkEnd w:id="587"/>
                      <w:r w:rsidRPr="00F64F3A">
                        <w:rPr>
                          <w:b/>
                          <w:sz w:val="20"/>
                          <w:szCs w:val="20"/>
                        </w:rPr>
                        <w:t xml:space="preserve"> - Fitting of </w:t>
                      </w:r>
                      <w:r>
                        <w:rPr>
                          <w:b/>
                          <w:sz w:val="20"/>
                          <w:szCs w:val="20"/>
                        </w:rPr>
                        <w:t xml:space="preserve">T cell, </w:t>
                      </w:r>
                      <w:r w:rsidRPr="00F64F3A">
                        <w:rPr>
                          <w:b/>
                          <w:sz w:val="20"/>
                          <w:szCs w:val="20"/>
                        </w:rPr>
                        <w:t xml:space="preserve">myeloid cells and </w:t>
                      </w:r>
                      <w:r w:rsidRPr="00F64F3A">
                        <w:rPr>
                          <w:b/>
                          <w:i/>
                          <w:sz w:val="20"/>
                          <w:szCs w:val="20"/>
                        </w:rPr>
                        <w:t>Leishmania donovani</w:t>
                      </w:r>
                      <w:r w:rsidRPr="00F64F3A">
                        <w:rPr>
                          <w:b/>
                          <w:sz w:val="20"/>
                          <w:szCs w:val="20"/>
                        </w:rPr>
                        <w:t xml:space="preserve"> kinetics </w:t>
                      </w:r>
                      <w:r>
                        <w:rPr>
                          <w:b/>
                          <w:sz w:val="20"/>
                          <w:szCs w:val="20"/>
                        </w:rPr>
                        <w:t>to new model</w:t>
                      </w:r>
                      <w:r w:rsidRPr="00F64F3A">
                        <w:rPr>
                          <w:b/>
                          <w:sz w:val="20"/>
                          <w:szCs w:val="20"/>
                        </w:rPr>
                        <w:t xml:space="preserve">. </w:t>
                      </w:r>
                      <w:r>
                        <w:rPr>
                          <w:sz w:val="20"/>
                          <w:szCs w:val="20"/>
                        </w:rPr>
                        <w:t>T Cells (A),</w:t>
                      </w:r>
                      <w:r w:rsidRPr="00F64F3A">
                        <w:rPr>
                          <w:sz w:val="20"/>
                          <w:szCs w:val="20"/>
                        </w:rPr>
                        <w:t xml:space="preserve"> </w:t>
                      </w:r>
                      <w:r>
                        <w:rPr>
                          <w:sz w:val="20"/>
                          <w:szCs w:val="20"/>
                        </w:rPr>
                        <w:t xml:space="preserve">Total </w:t>
                      </w:r>
                      <w:r w:rsidRPr="00F64F3A">
                        <w:rPr>
                          <w:sz w:val="20"/>
                          <w:szCs w:val="20"/>
                        </w:rPr>
                        <w:t>Myeloid cell</w:t>
                      </w:r>
                      <w:r>
                        <w:rPr>
                          <w:sz w:val="20"/>
                          <w:szCs w:val="20"/>
                        </w:rPr>
                        <w:t>s</w:t>
                      </w:r>
                      <w:r w:rsidRPr="00F64F3A">
                        <w:rPr>
                          <w:sz w:val="20"/>
                          <w:szCs w:val="20"/>
                        </w:rPr>
                        <w:t xml:space="preserve"> (B) and</w:t>
                      </w:r>
                      <w:r>
                        <w:rPr>
                          <w:sz w:val="20"/>
                          <w:szCs w:val="20"/>
                        </w:rPr>
                        <w:t xml:space="preserve"> Total</w:t>
                      </w:r>
                      <w:r w:rsidRPr="00F64F3A">
                        <w:rPr>
                          <w:sz w:val="20"/>
                          <w:szCs w:val="20"/>
                        </w:rPr>
                        <w:t xml:space="preserve"> </w:t>
                      </w:r>
                      <w:r w:rsidRPr="00F64F3A">
                        <w:rPr>
                          <w:i/>
                          <w:sz w:val="20"/>
                          <w:szCs w:val="20"/>
                        </w:rPr>
                        <w:t>Leishmania donovani</w:t>
                      </w:r>
                      <w:r w:rsidRPr="00F64F3A">
                        <w:rPr>
                          <w:sz w:val="20"/>
                          <w:szCs w:val="20"/>
                        </w:rPr>
                        <w:t xml:space="preserve"> kinetics (C) were fitted, as the sum of susceptible (D) &amp; infected (F) myeloid cells and extracellular (E) &amp; intracellular (G) </w:t>
                      </w:r>
                      <w:r w:rsidRPr="00F64F3A">
                        <w:rPr>
                          <w:i/>
                          <w:sz w:val="20"/>
                          <w:szCs w:val="20"/>
                        </w:rPr>
                        <w:t>Leishmania donovani</w:t>
                      </w:r>
                      <w:r w:rsidRPr="00F64F3A">
                        <w:rPr>
                          <w:sz w:val="20"/>
                          <w:szCs w:val="20"/>
                        </w:rPr>
                        <w:t xml:space="preserve">, respectively, using the </w:t>
                      </w:r>
                      <w:r>
                        <w:rPr>
                          <w:i/>
                          <w:sz w:val="20"/>
                          <w:szCs w:val="20"/>
                        </w:rPr>
                        <w:t>nsga2</w:t>
                      </w:r>
                      <w:r w:rsidRPr="00F64F3A">
                        <w:rPr>
                          <w:sz w:val="20"/>
                          <w:szCs w:val="20"/>
                        </w:rPr>
                        <w:t xml:space="preserve"> function of the </w:t>
                      </w:r>
                      <w:r>
                        <w:rPr>
                          <w:i/>
                          <w:sz w:val="20"/>
                          <w:szCs w:val="20"/>
                        </w:rPr>
                        <w:t>mco</w:t>
                      </w:r>
                      <w:r w:rsidRPr="00F64F3A">
                        <w:rPr>
                          <w:sz w:val="20"/>
                          <w:szCs w:val="20"/>
                        </w:rPr>
                        <w:t xml:space="preserve"> package. </w:t>
                      </w:r>
                      <w:r>
                        <w:rPr>
                          <w:sz w:val="20"/>
                          <w:szCs w:val="20"/>
                        </w:rPr>
                        <w:t>Blue</w:t>
                      </w:r>
                      <w:r w:rsidRPr="00F64F3A">
                        <w:rPr>
                          <w:sz w:val="20"/>
                          <w:szCs w:val="20"/>
                        </w:rPr>
                        <w:t xml:space="preserve"> dots represent </w:t>
                      </w:r>
                      <w:r>
                        <w:rPr>
                          <w:sz w:val="20"/>
                          <w:szCs w:val="20"/>
                        </w:rPr>
                        <w:t>t</w:t>
                      </w:r>
                      <w:r w:rsidRPr="00F64F3A">
                        <w:rPr>
                          <w:sz w:val="20"/>
                          <w:szCs w:val="20"/>
                        </w:rPr>
                        <w:t xml:space="preserve">he mean of the biological replicates which the model was trained against, grey lines represent </w:t>
                      </w:r>
                      <w:r w:rsidRPr="00F64F3A">
                        <w:rPr>
                          <w:i/>
                          <w:sz w:val="20"/>
                          <w:szCs w:val="20"/>
                        </w:rPr>
                        <w:t>in silico</w:t>
                      </w:r>
                      <w:r w:rsidRPr="00F64F3A">
                        <w:rPr>
                          <w:sz w:val="20"/>
                          <w:szCs w:val="20"/>
                        </w:rPr>
                        <w:t xml:space="preserve"> parameterisation outputs (n = </w:t>
                      </w:r>
                      <w:r>
                        <w:rPr>
                          <w:sz w:val="20"/>
                          <w:szCs w:val="20"/>
                        </w:rPr>
                        <w:t>100</w:t>
                      </w:r>
                      <w:r w:rsidRPr="00F64F3A">
                        <w:rPr>
                          <w:sz w:val="20"/>
                          <w:szCs w:val="20"/>
                        </w:rPr>
                        <w:t>)</w:t>
                      </w:r>
                      <w:r>
                        <w:rPr>
                          <w:sz w:val="20"/>
                          <w:szCs w:val="20"/>
                        </w:rPr>
                        <w:t xml:space="preserve"> and red lines represent the 95% confidence interval of the </w:t>
                      </w:r>
                      <w:r>
                        <w:rPr>
                          <w:i/>
                          <w:sz w:val="20"/>
                          <w:szCs w:val="20"/>
                        </w:rPr>
                        <w:t xml:space="preserve">in silico </w:t>
                      </w:r>
                      <w:r>
                        <w:rPr>
                          <w:sz w:val="20"/>
                          <w:szCs w:val="20"/>
                        </w:rPr>
                        <w:t>outputs.</w:t>
                      </w:r>
                      <w:bookmarkEnd w:id="588"/>
                      <w:bookmarkEnd w:id="589"/>
                    </w:p>
                  </w:txbxContent>
                </v:textbox>
              </v:shape>
            </w:pict>
          </mc:Fallback>
        </mc:AlternateContent>
      </w:r>
      <w:r w:rsidR="00E93E71" w:rsidRPr="00403511">
        <w:rPr>
          <w:b/>
          <w:noProof/>
        </w:rPr>
        <w:drawing>
          <wp:anchor distT="0" distB="0" distL="114300" distR="114300" simplePos="0" relativeHeight="251109881" behindDoc="0" locked="0" layoutInCell="1" allowOverlap="1" wp14:anchorId="20149024" wp14:editId="1BE62B8C">
            <wp:simplePos x="0" y="0"/>
            <wp:positionH relativeFrom="column">
              <wp:posOffset>62193</wp:posOffset>
            </wp:positionH>
            <wp:positionV relativeFrom="paragraph">
              <wp:posOffset>79375</wp:posOffset>
            </wp:positionV>
            <wp:extent cx="9272905" cy="5466080"/>
            <wp:effectExtent l="0" t="0" r="0" b="0"/>
            <wp:wrapTopAndBottom/>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extLst>
                        <a:ext uri="{28A0092B-C50C-407E-A947-70E740481C1C}">
                          <a14:useLocalDpi xmlns:a14="http://schemas.microsoft.com/office/drawing/2010/main" val="0"/>
                        </a:ext>
                      </a:extLst>
                    </a:blip>
                    <a:stretch>
                      <a:fillRect/>
                    </a:stretch>
                  </pic:blipFill>
                  <pic:spPr>
                    <a:xfrm>
                      <a:off x="0" y="0"/>
                      <a:ext cx="9272905" cy="5466080"/>
                    </a:xfrm>
                    <a:prstGeom prst="rect">
                      <a:avLst/>
                    </a:prstGeom>
                  </pic:spPr>
                </pic:pic>
              </a:graphicData>
            </a:graphic>
            <wp14:sizeRelH relativeFrom="page">
              <wp14:pctWidth>0</wp14:pctWidth>
            </wp14:sizeRelH>
            <wp14:sizeRelV relativeFrom="page">
              <wp14:pctHeight>0</wp14:pctHeight>
            </wp14:sizeRelV>
          </wp:anchor>
        </w:drawing>
      </w:r>
      <w:r w:rsidR="00803C0E">
        <w:rPr>
          <w:noProof/>
        </w:rPr>
        <mc:AlternateContent>
          <mc:Choice Requires="wps">
            <w:drawing>
              <wp:anchor distT="0" distB="0" distL="114300" distR="114300" simplePos="0" relativeHeight="251834368" behindDoc="0" locked="0" layoutInCell="1" allowOverlap="1" wp14:anchorId="738EE889" wp14:editId="68215ABF">
                <wp:simplePos x="0" y="0"/>
                <wp:positionH relativeFrom="column">
                  <wp:posOffset>349055</wp:posOffset>
                </wp:positionH>
                <wp:positionV relativeFrom="paragraph">
                  <wp:posOffset>537</wp:posOffset>
                </wp:positionV>
                <wp:extent cx="187325" cy="179070"/>
                <wp:effectExtent l="0" t="0" r="3175" b="0"/>
                <wp:wrapTopAndBottom/>
                <wp:docPr id="580" name="Text Box 580"/>
                <wp:cNvGraphicFramePr/>
                <a:graphic xmlns:a="http://schemas.openxmlformats.org/drawingml/2006/main">
                  <a:graphicData uri="http://schemas.microsoft.com/office/word/2010/wordprocessingShape">
                    <wps:wsp>
                      <wps:cNvSpPr txBox="1"/>
                      <wps:spPr>
                        <a:xfrm>
                          <a:off x="0" y="0"/>
                          <a:ext cx="187325" cy="179070"/>
                        </a:xfrm>
                        <a:prstGeom prst="rect">
                          <a:avLst/>
                        </a:prstGeom>
                        <a:noFill/>
                        <a:ln w="6350">
                          <a:noFill/>
                        </a:ln>
                      </wps:spPr>
                      <wps:txbx>
                        <w:txbxContent>
                          <w:p w14:paraId="2323E20F" w14:textId="77777777" w:rsidR="00F61130" w:rsidRPr="006508D1" w:rsidRDefault="00F61130" w:rsidP="00065F42">
                            <w:pPr>
                              <w:jc w:val="center"/>
                            </w:pPr>
                            <w:r w:rsidRPr="006508D1">
                              <w:t>A</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738EE889" id="Text Box 580" o:spid="_x0000_s1167" type="#_x0000_t202" style="position:absolute;margin-left:27.5pt;margin-top:.05pt;width:14.75pt;height:14.1pt;z-index:2518343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gfATKAIAAE0EAAAOAAAAZHJzL2Uyb0RvYy54bWysVF1v2jAUfZ+0/2D5fSTQUVhEqFgrpkmo&#13;&#10;rQRTn41jk0i2r2cbEvbrd+0QWnV7mvZibnw/z7nHLO46rchJON+AKel4lFMiDIeqMYeS/titP80p&#13;&#10;8YGZiikwoqRn4end8uOHRWsLMYEaVCUcwSLGF60taR2CLbLM81po5kdghUGnBKdZwE93yCrHWqyu&#13;&#10;VTbJ89usBVdZB1x4j7cPvZMuU30pBQ9PUnoRiCopzhbS6dK5j2e2XLDi4JitG34Zg/3DFJo1Bpte&#13;&#10;Sz2wwMjRNX+U0g134EGGEQedgZQNFwkDohnn79Bsa2ZFwoLkeHulyf+/svzx9OxIU5V0Okd+DNO4&#13;&#10;pJ3oAvkKHYl3yFBrfYGBW4uhoUMHbnq493gZgXfS6fiLkAj6sdb5ym8sx2PSfHYzmVLC0TWefcln&#13;&#10;qXr2mmydD98EaBKNkjpcX2KVnTY+4CAYOoTEXgbWjVJphcqQtqS3N9M8JVw9mKEMJkYI/ajRCt2+&#13;&#10;S6DHn69A9lCdEZ+DXiPe8nWDU2yYD8/MoSgQEgo9POEhFWA3uFiU1OB+/e0+xuOu0EtJiyIrqf95&#13;&#10;ZE5Qor4b3GJU5GC4wdgPhjnqe0DdjvEJWZ5MTHBBDaZ0oF9Q/6vYBV3McOxV0jCY96GXOr4fLlar&#13;&#10;FIS6syxszNbyWDryGDnddS/M2QvxATf2CIP8WPGO/z6238DqGEA2aTmR2Z7FC+Go2bSzy/uKj+Lt&#13;&#10;d4p6/RdY/gYAAP//AwBQSwMEFAAGAAgAAAAhAME5KXHgAAAACgEAAA8AAABkcnMvZG93bnJldi54&#13;&#10;bWxMj0FPwzAMhe9I/IfISNxYukFR1TWdEIMbMBggwS1tTFvRJFXiduXf453gYsl+es/vKzaz7cWE&#13;&#10;IXbeKVguEhDoam861yh4e72/yEBE0s7o3jtU8IMRNuXpSaFz4w/uBac9NYJDXMy1gpZoyKWMdYtW&#13;&#10;x4Uf0LH25YPVxGtopAn6wOG2l6skuZZWd44/tHrA2xbr7/1oFfQfMTxUCX1O2+aRnndyfL9bPil1&#13;&#10;fjZv1zxu1iAIZ/pzwJGB+0PJxSo/OhNFryBNmYeOd8FqdpWCqBSsskuQZSH/I5S/AAAA//8DAFBL&#13;&#10;AQItABQABgAIAAAAIQC2gziS/gAAAOEBAAATAAAAAAAAAAAAAAAAAAAAAABbQ29udGVudF9UeXBl&#13;&#10;c10ueG1sUEsBAi0AFAAGAAgAAAAhADj9If/WAAAAlAEAAAsAAAAAAAAAAAAAAAAALwEAAF9yZWxz&#13;&#10;Ly5yZWxzUEsBAi0AFAAGAAgAAAAhAACB8BMoAgAATQQAAA4AAAAAAAAAAAAAAAAALgIAAGRycy9l&#13;&#10;Mm9Eb2MueG1sUEsBAi0AFAAGAAgAAAAhAME5KXHgAAAACgEAAA8AAAAAAAAAAAAAAAAAggQAAGRy&#13;&#10;cy9kb3ducmV2LnhtbFBLBQYAAAAABAAEAPMAAACPBQAAAAA=&#13;&#10;" filled="f" stroked="f" strokeweight=".5pt">
                <v:textbox inset="0,0,0,0">
                  <w:txbxContent>
                    <w:p w14:paraId="2323E20F" w14:textId="77777777" w:rsidR="00F61130" w:rsidRPr="006508D1" w:rsidRDefault="00F61130" w:rsidP="00065F42">
                      <w:pPr>
                        <w:jc w:val="center"/>
                      </w:pPr>
                      <w:r w:rsidRPr="006508D1">
                        <w:t>A</w:t>
                      </w:r>
                    </w:p>
                  </w:txbxContent>
                </v:textbox>
                <w10:wrap type="topAndBottom"/>
              </v:shape>
            </w:pict>
          </mc:Fallback>
        </mc:AlternateContent>
      </w:r>
      <w:r w:rsidR="00803C0E">
        <w:rPr>
          <w:noProof/>
        </w:rPr>
        <mc:AlternateContent>
          <mc:Choice Requires="wps">
            <w:drawing>
              <wp:anchor distT="0" distB="0" distL="114300" distR="114300" simplePos="0" relativeHeight="251835392" behindDoc="0" locked="0" layoutInCell="1" allowOverlap="1" wp14:anchorId="7C1237FD" wp14:editId="62A336C3">
                <wp:simplePos x="0" y="0"/>
                <wp:positionH relativeFrom="column">
                  <wp:posOffset>3078187</wp:posOffset>
                </wp:positionH>
                <wp:positionV relativeFrom="paragraph">
                  <wp:posOffset>537</wp:posOffset>
                </wp:positionV>
                <wp:extent cx="187325" cy="179070"/>
                <wp:effectExtent l="0" t="0" r="3175" b="0"/>
                <wp:wrapTopAndBottom/>
                <wp:docPr id="581" name="Text Box 581"/>
                <wp:cNvGraphicFramePr/>
                <a:graphic xmlns:a="http://schemas.openxmlformats.org/drawingml/2006/main">
                  <a:graphicData uri="http://schemas.microsoft.com/office/word/2010/wordprocessingShape">
                    <wps:wsp>
                      <wps:cNvSpPr txBox="1"/>
                      <wps:spPr>
                        <a:xfrm>
                          <a:off x="0" y="0"/>
                          <a:ext cx="187325" cy="179070"/>
                        </a:xfrm>
                        <a:prstGeom prst="rect">
                          <a:avLst/>
                        </a:prstGeom>
                        <a:noFill/>
                        <a:ln w="6350">
                          <a:noFill/>
                        </a:ln>
                      </wps:spPr>
                      <wps:txbx>
                        <w:txbxContent>
                          <w:p w14:paraId="5EEEDF76" w14:textId="77777777" w:rsidR="00F61130" w:rsidRPr="006508D1" w:rsidRDefault="00F61130" w:rsidP="00065F42">
                            <w:pPr>
                              <w:jc w:val="center"/>
                            </w:pPr>
                            <w:r>
                              <w:t>B</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7C1237FD" id="Text Box 581" o:spid="_x0000_s1168" type="#_x0000_t202" style="position:absolute;margin-left:242.4pt;margin-top:.05pt;width:14.75pt;height:14.1pt;z-index:2518353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1lEePKQIAAE0EAAAOAAAAZHJzL2Uyb0RvYy54bWysVF1v2jAUfZ+0/2D5fSTQUVhEqFgrpkmo&#13;&#10;rQRTn41jk0i2r2cbEvbrd+0QWnV7mvZibnw/z7nHLO46rchJON+AKel4lFMiDIeqMYeS/titP80p&#13;&#10;8YGZiikwoqRn4end8uOHRWsLMYEaVCUcwSLGF60taR2CLbLM81po5kdghUGnBKdZwE93yCrHWqyu&#13;&#10;VTbJ89usBVdZB1x4j7cPvZMuU30pBQ9PUnoRiCopzhbS6dK5j2e2XLDi4JitG34Zg/3DFJo1Bpte&#13;&#10;Sz2wwMjRNX+U0g134EGGEQedgZQNFwkDohnn79Bsa2ZFwoLkeHulyf+/svzx9OxIU5V0Oh9TYpjG&#13;&#10;Je1EF8hX6Ei8Q4Za6wsM3FoMDR06cNPDvcfLCLyTTsdfhETQj1yfr/zGcjwmzWc3kyklHF3j2Zd8&#13;&#10;lvjPXpOt8+GbAE2iUVKH60usstPGBxwEQ4eQ2MvAulEqrVAZ0pb09maap4SrBzOUwcQIoR81WqHb&#13;&#10;dwn0+PNkALKH6oz4HPQa8ZavG5xiw3x4Zg5FgZBQ6OEJD6kAu8HFoqQG9+tv9zEed4VeSloUWUn9&#13;&#10;zyNzghL13eAWoyIHww3GfjDMUd8D6hb3gtMkExNcUIMpHegX1P8qdkEXMxx7lTQM5n3opY7vh4vV&#13;&#10;KgWh7iwLG7O1PJaOPEZOd90Lc/ZCfMCNPcIgP1a847+P7TewOgaQTVpOZLZn8UI4ajbt7PK+4qN4&#13;&#10;+52iXv8Flr8BAAD//wMAUEsDBBQABgAIAAAAIQCrsAb74QAAAAwBAAAPAAAAZHJzL2Rvd25yZXYu&#13;&#10;eG1sTI/LTsMwEEX3SPyDNUjsqJM2oCiNUyEKO56llWDnxCaJsMeRPUnD3+OuYDPS6GjunFtuZmvY&#13;&#10;pH3oHQpIFwkwjY1TPbYC9u8PVzmwQBKVNA61gB8dYFOdn5WyUO6Ib3raUctiCIZCCuiIhoLz0HTa&#13;&#10;yrBwg8bIvpy3kuLqW668PMZwa/gySW64lT3GD50c9F2nm+/daAWYj+Af64Q+p237RK8vfDzcp89C&#13;&#10;XF7M23Uct2tgpGf6u4BTh+gPVRSr3YgqMCMgy7PoTyfAIr5OsxWwWsAyXwGvSv6/RPULAAD//wMA&#13;&#10;UEsBAi0AFAAGAAgAAAAhALaDOJL+AAAA4QEAABMAAAAAAAAAAAAAAAAAAAAAAFtDb250ZW50X1R5&#13;&#10;cGVzXS54bWxQSwECLQAUAAYACAAAACEAOP0h/9YAAACUAQAACwAAAAAAAAAAAAAAAAAvAQAAX3Jl&#13;&#10;bHMvLnJlbHNQSwECLQAUAAYACAAAACEANZRHjykCAABNBAAADgAAAAAAAAAAAAAAAAAuAgAAZHJz&#13;&#10;L2Uyb0RvYy54bWxQSwECLQAUAAYACAAAACEAq7AG++EAAAAMAQAADwAAAAAAAAAAAAAAAACDBAAA&#13;&#10;ZHJzL2Rvd25yZXYueG1sUEsFBgAAAAAEAAQA8wAAAJEFAAAAAA==&#13;&#10;" filled="f" stroked="f" strokeweight=".5pt">
                <v:textbox inset="0,0,0,0">
                  <w:txbxContent>
                    <w:p w14:paraId="5EEEDF76" w14:textId="77777777" w:rsidR="00F61130" w:rsidRPr="006508D1" w:rsidRDefault="00F61130" w:rsidP="00065F42">
                      <w:pPr>
                        <w:jc w:val="center"/>
                      </w:pPr>
                      <w:r>
                        <w:t>B</w:t>
                      </w:r>
                    </w:p>
                  </w:txbxContent>
                </v:textbox>
                <w10:wrap type="topAndBottom"/>
              </v:shape>
            </w:pict>
          </mc:Fallback>
        </mc:AlternateContent>
      </w:r>
    </w:p>
    <w:p w14:paraId="479372EA" w14:textId="19B88B28" w:rsidR="00065F42" w:rsidRPr="008B3AD6" w:rsidRDefault="00065F42" w:rsidP="00065F42">
      <w:pPr>
        <w:pStyle w:val="Heading3"/>
        <w:numPr>
          <w:ilvl w:val="0"/>
          <w:numId w:val="0"/>
        </w:numPr>
        <w:jc w:val="both"/>
        <w:rPr>
          <w:b w:val="0"/>
        </w:rPr>
        <w:sectPr w:rsidR="00065F42" w:rsidRPr="008B3AD6" w:rsidSect="00065F42">
          <w:pgSz w:w="16840" w:h="11900" w:orient="landscape"/>
          <w:pgMar w:top="851" w:right="1134" w:bottom="2268" w:left="1134" w:header="709" w:footer="709" w:gutter="0"/>
          <w:cols w:space="708"/>
          <w:docGrid w:linePitch="360"/>
        </w:sectPr>
      </w:pPr>
    </w:p>
    <w:p w14:paraId="0AC6B2BD" w14:textId="09E75F5C" w:rsidR="004829B2" w:rsidRPr="008B3AD6" w:rsidRDefault="00237515" w:rsidP="00811814">
      <w:pPr>
        <w:sectPr w:rsidR="004829B2" w:rsidRPr="008B3AD6" w:rsidSect="004829B2">
          <w:pgSz w:w="16840" w:h="11900" w:orient="landscape"/>
          <w:pgMar w:top="851" w:right="1134" w:bottom="2268" w:left="1134" w:header="709" w:footer="709" w:gutter="0"/>
          <w:cols w:space="708"/>
          <w:docGrid w:linePitch="360"/>
        </w:sectPr>
      </w:pPr>
      <w:r>
        <w:rPr>
          <w:noProof/>
        </w:rPr>
        <w:lastRenderedPageBreak/>
        <mc:AlternateContent>
          <mc:Choice Requires="wps">
            <w:drawing>
              <wp:anchor distT="0" distB="0" distL="114300" distR="114300" simplePos="0" relativeHeight="251847680" behindDoc="0" locked="0" layoutInCell="1" allowOverlap="1" wp14:anchorId="44B03ABD" wp14:editId="2A78CDD4">
                <wp:simplePos x="0" y="0"/>
                <wp:positionH relativeFrom="column">
                  <wp:posOffset>379095</wp:posOffset>
                </wp:positionH>
                <wp:positionV relativeFrom="paragraph">
                  <wp:posOffset>5081473</wp:posOffset>
                </wp:positionV>
                <wp:extent cx="8622665" cy="992221"/>
                <wp:effectExtent l="0" t="0" r="635" b="0"/>
                <wp:wrapNone/>
                <wp:docPr id="604" name="Text Box 604"/>
                <wp:cNvGraphicFramePr/>
                <a:graphic xmlns:a="http://schemas.openxmlformats.org/drawingml/2006/main">
                  <a:graphicData uri="http://schemas.microsoft.com/office/word/2010/wordprocessingShape">
                    <wps:wsp>
                      <wps:cNvSpPr txBox="1"/>
                      <wps:spPr>
                        <a:xfrm>
                          <a:off x="0" y="0"/>
                          <a:ext cx="8622665" cy="992221"/>
                        </a:xfrm>
                        <a:prstGeom prst="rect">
                          <a:avLst/>
                        </a:prstGeom>
                        <a:solidFill>
                          <a:prstClr val="white"/>
                        </a:solidFill>
                        <a:ln>
                          <a:noFill/>
                        </a:ln>
                      </wps:spPr>
                      <wps:txbx>
                        <w:txbxContent>
                          <w:p w14:paraId="5E61E81F" w14:textId="14F1012A" w:rsidR="00F61130" w:rsidRPr="00BF6F34" w:rsidRDefault="00F61130" w:rsidP="00E63858">
                            <w:pPr>
                              <w:pStyle w:val="Caption"/>
                              <w:spacing w:line="360" w:lineRule="auto"/>
                              <w:jc w:val="both"/>
                              <w:rPr>
                                <w:noProof/>
                                <w:sz w:val="20"/>
                                <w:szCs w:val="20"/>
                              </w:rPr>
                            </w:pPr>
                            <w:bookmarkStart w:id="590" w:name="_Ref522644981"/>
                            <w:bookmarkStart w:id="591" w:name="_Toc525227241"/>
                            <w:bookmarkStart w:id="592" w:name="_Toc536814180"/>
                            <w:r w:rsidRPr="00E63858">
                              <w:rPr>
                                <w:b/>
                                <w:sz w:val="20"/>
                                <w:szCs w:val="20"/>
                              </w:rPr>
                              <w:t xml:space="preserve">Figure </w:t>
                            </w:r>
                            <w:r>
                              <w:rPr>
                                <w:b/>
                                <w:sz w:val="20"/>
                                <w:szCs w:val="20"/>
                              </w:rPr>
                              <w:fldChar w:fldCharType="begin"/>
                            </w:r>
                            <w:r>
                              <w:rPr>
                                <w:b/>
                                <w:sz w:val="20"/>
                                <w:szCs w:val="20"/>
                              </w:rPr>
                              <w:instrText xml:space="preserve"> STYLEREF 1 \s </w:instrText>
                            </w:r>
                            <w:r>
                              <w:rPr>
                                <w:b/>
                                <w:sz w:val="20"/>
                                <w:szCs w:val="20"/>
                              </w:rPr>
                              <w:fldChar w:fldCharType="separate"/>
                            </w:r>
                            <w:r>
                              <w:rPr>
                                <w:b/>
                                <w:noProof/>
                                <w:sz w:val="20"/>
                                <w:szCs w:val="20"/>
                              </w:rPr>
                              <w:t>5</w:t>
                            </w:r>
                            <w:r>
                              <w:rPr>
                                <w:b/>
                                <w:sz w:val="20"/>
                                <w:szCs w:val="20"/>
                              </w:rPr>
                              <w:fldChar w:fldCharType="end"/>
                            </w:r>
                            <w:r>
                              <w:rPr>
                                <w:b/>
                                <w:sz w:val="20"/>
                                <w:szCs w:val="20"/>
                              </w:rPr>
                              <w:t>.</w:t>
                            </w:r>
                            <w:r>
                              <w:rPr>
                                <w:b/>
                                <w:sz w:val="20"/>
                                <w:szCs w:val="20"/>
                              </w:rPr>
                              <w:fldChar w:fldCharType="begin"/>
                            </w:r>
                            <w:r>
                              <w:rPr>
                                <w:b/>
                                <w:sz w:val="20"/>
                                <w:szCs w:val="20"/>
                              </w:rPr>
                              <w:instrText xml:space="preserve"> SEQ Figure \* ARABIC \s 1 </w:instrText>
                            </w:r>
                            <w:r>
                              <w:rPr>
                                <w:b/>
                                <w:sz w:val="20"/>
                                <w:szCs w:val="20"/>
                              </w:rPr>
                              <w:fldChar w:fldCharType="separate"/>
                            </w:r>
                            <w:r>
                              <w:rPr>
                                <w:b/>
                                <w:noProof/>
                                <w:sz w:val="20"/>
                                <w:szCs w:val="20"/>
                              </w:rPr>
                              <w:t>6</w:t>
                            </w:r>
                            <w:r>
                              <w:rPr>
                                <w:b/>
                                <w:sz w:val="20"/>
                                <w:szCs w:val="20"/>
                              </w:rPr>
                              <w:fldChar w:fldCharType="end"/>
                            </w:r>
                            <w:bookmarkEnd w:id="590"/>
                            <w:r w:rsidRPr="00E63858">
                              <w:rPr>
                                <w:b/>
                                <w:sz w:val="20"/>
                                <w:szCs w:val="20"/>
                              </w:rPr>
                              <w:t xml:space="preserve"> - Best fits of</w:t>
                            </w:r>
                            <w:r w:rsidRPr="00BF6F34">
                              <w:rPr>
                                <w:b/>
                                <w:sz w:val="20"/>
                                <w:szCs w:val="20"/>
                              </w:rPr>
                              <w:t xml:space="preserve"> </w:t>
                            </w:r>
                            <w:r>
                              <w:rPr>
                                <w:b/>
                                <w:sz w:val="20"/>
                                <w:szCs w:val="20"/>
                              </w:rPr>
                              <w:t xml:space="preserve">T cells, </w:t>
                            </w:r>
                            <w:r w:rsidRPr="00BF6F34">
                              <w:rPr>
                                <w:b/>
                                <w:sz w:val="20"/>
                                <w:szCs w:val="20"/>
                              </w:rPr>
                              <w:t xml:space="preserve">myeloid cells and </w:t>
                            </w:r>
                            <w:r w:rsidRPr="00BF6F34">
                              <w:rPr>
                                <w:b/>
                                <w:i/>
                                <w:sz w:val="20"/>
                                <w:szCs w:val="20"/>
                              </w:rPr>
                              <w:t>Leishmania donovani</w:t>
                            </w:r>
                            <w:r w:rsidRPr="00BF6F34">
                              <w:rPr>
                                <w:b/>
                                <w:sz w:val="20"/>
                                <w:szCs w:val="20"/>
                              </w:rPr>
                              <w:t xml:space="preserve"> kinetics </w:t>
                            </w:r>
                            <w:r>
                              <w:rPr>
                                <w:b/>
                                <w:sz w:val="20"/>
                                <w:szCs w:val="20"/>
                              </w:rPr>
                              <w:t>for new model</w:t>
                            </w:r>
                            <w:r w:rsidRPr="00BF6F34">
                              <w:rPr>
                                <w:b/>
                                <w:sz w:val="20"/>
                                <w:szCs w:val="20"/>
                              </w:rPr>
                              <w:t>.</w:t>
                            </w:r>
                            <w:r w:rsidRPr="00BF6F34">
                              <w:rPr>
                                <w:sz w:val="20"/>
                                <w:szCs w:val="20"/>
                              </w:rPr>
                              <w:t xml:space="preserve"> The best fit from the </w:t>
                            </w:r>
                            <w:r>
                              <w:rPr>
                                <w:sz w:val="20"/>
                                <w:szCs w:val="20"/>
                              </w:rPr>
                              <w:t>100</w:t>
                            </w:r>
                            <w:r w:rsidRPr="00BF6F34">
                              <w:rPr>
                                <w:sz w:val="20"/>
                                <w:szCs w:val="20"/>
                              </w:rPr>
                              <w:t xml:space="preserve"> runs derived using </w:t>
                            </w:r>
                            <w:r>
                              <w:rPr>
                                <w:sz w:val="20"/>
                                <w:szCs w:val="20"/>
                              </w:rPr>
                              <w:t xml:space="preserve">the </w:t>
                            </w:r>
                            <w:r w:rsidRPr="00BF6F34">
                              <w:rPr>
                                <w:i/>
                                <w:sz w:val="20"/>
                                <w:szCs w:val="20"/>
                              </w:rPr>
                              <w:t>NSGA2</w:t>
                            </w:r>
                            <w:r>
                              <w:rPr>
                                <w:sz w:val="20"/>
                                <w:szCs w:val="20"/>
                              </w:rPr>
                              <w:t xml:space="preserve"> function from the </w:t>
                            </w:r>
                            <w:r>
                              <w:rPr>
                                <w:i/>
                                <w:sz w:val="20"/>
                                <w:szCs w:val="20"/>
                              </w:rPr>
                              <w:t>mco</w:t>
                            </w:r>
                            <w:r>
                              <w:rPr>
                                <w:sz w:val="20"/>
                                <w:szCs w:val="20"/>
                              </w:rPr>
                              <w:t xml:space="preserve"> package, </w:t>
                            </w:r>
                            <w:r>
                              <w:rPr>
                                <w:sz w:val="20"/>
                                <w:szCs w:val="20"/>
                              </w:rPr>
                              <w:fldChar w:fldCharType="begin"/>
                            </w:r>
                            <w:r>
                              <w:rPr>
                                <w:sz w:val="20"/>
                                <w:szCs w:val="20"/>
                              </w:rPr>
                              <w:instrText xml:space="preserve"> REF _Ref522644196 </w:instrText>
                            </w:r>
                            <w:r>
                              <w:rPr>
                                <w:sz w:val="20"/>
                                <w:szCs w:val="20"/>
                              </w:rPr>
                              <w:fldChar w:fldCharType="separate"/>
                            </w:r>
                            <w:r w:rsidRPr="00F64F3A">
                              <w:rPr>
                                <w:b/>
                                <w:sz w:val="20"/>
                                <w:szCs w:val="20"/>
                              </w:rPr>
                              <w:t xml:space="preserve">Figure </w:t>
                            </w:r>
                            <w:r>
                              <w:rPr>
                                <w:b/>
                                <w:noProof/>
                                <w:sz w:val="20"/>
                                <w:szCs w:val="20"/>
                              </w:rPr>
                              <w:t>5</w:t>
                            </w:r>
                            <w:r>
                              <w:rPr>
                                <w:b/>
                                <w:sz w:val="20"/>
                                <w:szCs w:val="20"/>
                              </w:rPr>
                              <w:t>.</w:t>
                            </w:r>
                            <w:r>
                              <w:rPr>
                                <w:b/>
                                <w:noProof/>
                                <w:sz w:val="20"/>
                                <w:szCs w:val="20"/>
                              </w:rPr>
                              <w:t>5</w:t>
                            </w:r>
                            <w:r>
                              <w:rPr>
                                <w:sz w:val="20"/>
                                <w:szCs w:val="20"/>
                              </w:rPr>
                              <w:fldChar w:fldCharType="end"/>
                            </w:r>
                            <w:r>
                              <w:rPr>
                                <w:sz w:val="20"/>
                                <w:szCs w:val="20"/>
                              </w:rPr>
                              <w:t>,</w:t>
                            </w:r>
                            <w:r w:rsidRPr="00BF6F34">
                              <w:rPr>
                                <w:sz w:val="20"/>
                                <w:szCs w:val="20"/>
                              </w:rPr>
                              <w:t xml:space="preserve"> </w:t>
                            </w:r>
                            <w:r>
                              <w:rPr>
                                <w:sz w:val="20"/>
                                <w:szCs w:val="20"/>
                              </w:rPr>
                              <w:t xml:space="preserve">were analysed, to derive the </w:t>
                            </w:r>
                            <w:r w:rsidRPr="00BF6F34">
                              <w:rPr>
                                <w:sz w:val="20"/>
                                <w:szCs w:val="20"/>
                              </w:rPr>
                              <w:t>lowest root mean square error from observed vs. expected</w:t>
                            </w:r>
                            <w:r>
                              <w:rPr>
                                <w:sz w:val="20"/>
                                <w:szCs w:val="20"/>
                              </w:rPr>
                              <w:t>. The model output from the best parameter set was plotted for T Cells (A),</w:t>
                            </w:r>
                            <w:r w:rsidRPr="00F64F3A">
                              <w:rPr>
                                <w:sz w:val="20"/>
                                <w:szCs w:val="20"/>
                              </w:rPr>
                              <w:t xml:space="preserve"> </w:t>
                            </w:r>
                            <w:r>
                              <w:rPr>
                                <w:sz w:val="20"/>
                                <w:szCs w:val="20"/>
                              </w:rPr>
                              <w:t xml:space="preserve">Total </w:t>
                            </w:r>
                            <w:r w:rsidRPr="00F64F3A">
                              <w:rPr>
                                <w:sz w:val="20"/>
                                <w:szCs w:val="20"/>
                              </w:rPr>
                              <w:t>Myeloid cell</w:t>
                            </w:r>
                            <w:r>
                              <w:rPr>
                                <w:sz w:val="20"/>
                                <w:szCs w:val="20"/>
                              </w:rPr>
                              <w:t>s</w:t>
                            </w:r>
                            <w:r w:rsidRPr="00F64F3A">
                              <w:rPr>
                                <w:sz w:val="20"/>
                                <w:szCs w:val="20"/>
                              </w:rPr>
                              <w:t xml:space="preserve"> (B)</w:t>
                            </w:r>
                            <w:r>
                              <w:rPr>
                                <w:sz w:val="20"/>
                                <w:szCs w:val="20"/>
                              </w:rPr>
                              <w:t xml:space="preserve">, Total </w:t>
                            </w:r>
                            <w:r w:rsidRPr="00F64F3A">
                              <w:rPr>
                                <w:i/>
                                <w:sz w:val="20"/>
                                <w:szCs w:val="20"/>
                              </w:rPr>
                              <w:t>Leishmania donovani</w:t>
                            </w:r>
                            <w:r w:rsidRPr="00F64F3A">
                              <w:rPr>
                                <w:sz w:val="20"/>
                                <w:szCs w:val="20"/>
                              </w:rPr>
                              <w:t xml:space="preserve"> (C)</w:t>
                            </w:r>
                            <w:r>
                              <w:rPr>
                                <w:sz w:val="20"/>
                                <w:szCs w:val="20"/>
                              </w:rPr>
                              <w:t>,</w:t>
                            </w:r>
                            <w:r w:rsidRPr="00F64F3A">
                              <w:rPr>
                                <w:sz w:val="20"/>
                                <w:szCs w:val="20"/>
                              </w:rPr>
                              <w:t xml:space="preserve"> susceptible</w:t>
                            </w:r>
                            <w:r>
                              <w:rPr>
                                <w:sz w:val="20"/>
                                <w:szCs w:val="20"/>
                              </w:rPr>
                              <w:t xml:space="preserve"> </w:t>
                            </w:r>
                            <w:r w:rsidRPr="00F64F3A">
                              <w:rPr>
                                <w:sz w:val="20"/>
                                <w:szCs w:val="20"/>
                              </w:rPr>
                              <w:t>myeloid cells</w:t>
                            </w:r>
                            <w:r>
                              <w:rPr>
                                <w:sz w:val="20"/>
                                <w:szCs w:val="20"/>
                              </w:rPr>
                              <w:t xml:space="preserve"> (D), </w:t>
                            </w:r>
                            <w:r w:rsidRPr="00F64F3A">
                              <w:rPr>
                                <w:sz w:val="20"/>
                                <w:szCs w:val="20"/>
                              </w:rPr>
                              <w:t xml:space="preserve">infected myeloid cells </w:t>
                            </w:r>
                            <w:r>
                              <w:rPr>
                                <w:sz w:val="20"/>
                                <w:szCs w:val="20"/>
                              </w:rPr>
                              <w:t xml:space="preserve">(F), </w:t>
                            </w:r>
                            <w:r w:rsidRPr="00F64F3A">
                              <w:rPr>
                                <w:sz w:val="20"/>
                                <w:szCs w:val="20"/>
                              </w:rPr>
                              <w:t xml:space="preserve">extracellular </w:t>
                            </w:r>
                            <w:r w:rsidRPr="00F64F3A">
                              <w:rPr>
                                <w:i/>
                                <w:sz w:val="20"/>
                                <w:szCs w:val="20"/>
                              </w:rPr>
                              <w:t>Leishmania donovani</w:t>
                            </w:r>
                            <w:r>
                              <w:rPr>
                                <w:sz w:val="20"/>
                                <w:szCs w:val="20"/>
                              </w:rPr>
                              <w:t xml:space="preserve"> </w:t>
                            </w:r>
                            <w:r w:rsidRPr="00F64F3A">
                              <w:rPr>
                                <w:sz w:val="20"/>
                                <w:szCs w:val="20"/>
                              </w:rPr>
                              <w:t>(E) &amp; intracellular</w:t>
                            </w:r>
                            <w:r>
                              <w:rPr>
                                <w:sz w:val="20"/>
                                <w:szCs w:val="20"/>
                              </w:rPr>
                              <w:t xml:space="preserve"> </w:t>
                            </w:r>
                            <w:r w:rsidRPr="00F64F3A">
                              <w:rPr>
                                <w:i/>
                                <w:sz w:val="20"/>
                                <w:szCs w:val="20"/>
                              </w:rPr>
                              <w:t>Leishmania donovani</w:t>
                            </w:r>
                            <w:r w:rsidRPr="00F64F3A">
                              <w:rPr>
                                <w:sz w:val="20"/>
                                <w:szCs w:val="20"/>
                              </w:rPr>
                              <w:t xml:space="preserve"> (G) </w:t>
                            </w:r>
                            <w:r>
                              <w:rPr>
                                <w:sz w:val="20"/>
                                <w:szCs w:val="20"/>
                              </w:rPr>
                              <w:t>(</w:t>
                            </w:r>
                            <w:r w:rsidRPr="00BF6F34">
                              <w:rPr>
                                <w:sz w:val="20"/>
                                <w:szCs w:val="20"/>
                              </w:rPr>
                              <w:t>Black lines</w:t>
                            </w:r>
                            <w:r>
                              <w:rPr>
                                <w:sz w:val="20"/>
                                <w:szCs w:val="20"/>
                              </w:rPr>
                              <w:t>) with</w:t>
                            </w:r>
                            <w:r w:rsidRPr="00BF6F34">
                              <w:rPr>
                                <w:sz w:val="20"/>
                                <w:szCs w:val="20"/>
                              </w:rPr>
                              <w:t xml:space="preserve"> blue dots represent</w:t>
                            </w:r>
                            <w:r>
                              <w:rPr>
                                <w:sz w:val="20"/>
                                <w:szCs w:val="20"/>
                              </w:rPr>
                              <w:t>ing the</w:t>
                            </w:r>
                            <w:r w:rsidRPr="00BF6F34">
                              <w:rPr>
                                <w:sz w:val="20"/>
                                <w:szCs w:val="20"/>
                              </w:rPr>
                              <w:t xml:space="preserve"> mean of biological replicates (n = 4-5).</w:t>
                            </w:r>
                            <w:bookmarkEnd w:id="591"/>
                            <w:bookmarkEnd w:id="592"/>
                          </w:p>
                          <w:p w14:paraId="093E9731" w14:textId="67706865" w:rsidR="00F61130" w:rsidRPr="00E64DC1" w:rsidRDefault="00F61130" w:rsidP="00E64DC1">
                            <w:pPr>
                              <w:pStyle w:val="Caption"/>
                              <w:spacing w:line="360" w:lineRule="auto"/>
                              <w:rPr>
                                <w:color w:val="auto"/>
                                <w:sz w:val="20"/>
                                <w:szCs w:val="20"/>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4B03ABD" id="Text Box 604" o:spid="_x0000_s1169" type="#_x0000_t202" style="position:absolute;margin-left:29.85pt;margin-top:400.1pt;width:678.95pt;height:78.15pt;z-index:2518476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QV8YSNwIAAG0EAAAOAAAAZHJzL2Uyb0RvYy54bWysVFFv2yAQfp+0/4B4X5x4XdRGcaosVaZJ&#13;&#10;UVspmfpMMMRIwDEgsbNfvwPH6dbtadoLPu6Og+/77jy/74wmJ+GDAlvRyWhMibAcamUPFf22W3+4&#13;&#10;pSREZmumwYqKnkWg94v37+atm4kSGtC18ASL2DBrXUWbGN2sKAJvhGFhBE5YDErwhkXc+kNRe9Zi&#13;&#10;daOLcjyeFi342nngIgT0PvRBusj1pRQ8PkkZRCS6ovi2mFef131ai8WczQ6euUbxyzPYP7zCMGXx&#13;&#10;0mupBxYZOXr1RymjuIcAMo44mAKkVFxkDIhmMn6DZtswJzIWJCe4K03h/5Xlj6dnT1Rd0en4hhLL&#13;&#10;DIq0E10kn6EjyYcMtS7MMHHrMDV2GEClB39AZwLeSW/SFyERjCPX5yu/qRxH5+20LKfTT5RwjN3d&#13;&#10;lWWZyxSvp50P8YsAQ5JRUY/6ZVrZaRMivgRTh5R0WQCt6rXSOm1SYKU9OTHUum1UFOmNeOK3LG1T&#13;&#10;roV0qg8nT5Eg9lCSFbt9l0mZ3HwcgO6hPiN+D30PBcfXCm/csBCfmcemQcg4CPEJF6mhrShcLEoa&#13;&#10;8D/+5k/5qCVGKWmxCSsavh+ZF5TorxZVTh07GH4w9oNhj2YFiHWCI+Z4NvGAj3owpQfzgvOxTLdg&#13;&#10;iFmOd1U0DuYq9qOA88XFcpmTsC8dixu7dTyVHpjddS/Mu4suERV9hKE92eyNPH1uz/PyGEGqrF1i&#13;&#10;tmfxQjj2dBboMn9paH7d56zXv8TiJwAAAP//AwBQSwMEFAAGAAgAAAAhAJDr5jLjAAAAEAEAAA8A&#13;&#10;AABkcnMvZG93bnJldi54bWxMTz1PwzAQ3ZH4D9YhsSBqNyJpm+ZSQQNbGVqqzm5skoj4HMVOk/57&#13;&#10;3AmWk57ufWabybTsonvXWEKYzwQwTaVVDVUIx6+P5yUw5yUp2VrSCFftYJPf32UyVXakvb4cfMWC&#13;&#10;CblUItTedynnrqy1kW5mO03h9217I32AfcVVL8dgbloeCZFwIxsKCbXs9LbW5c9hMAhJ0Q/jnrZP&#13;&#10;xfF9Jz+7Kjq9XU+Ijw9TsQ7ndQ3M68n/KeC2IfSHPBQ724GUYy1CvFoEJsJSiAjYjfAyXyTAzgir&#13;&#10;OImB5xn/PyT/BQAA//8DAFBLAQItABQABgAIAAAAIQC2gziS/gAAAOEBAAATAAAAAAAAAAAAAAAA&#13;&#10;AAAAAABbQ29udGVudF9UeXBlc10ueG1sUEsBAi0AFAAGAAgAAAAhADj9If/WAAAAlAEAAAsAAAAA&#13;&#10;AAAAAAAAAAAALwEAAF9yZWxzLy5yZWxzUEsBAi0AFAAGAAgAAAAhANBXxhI3AgAAbQQAAA4AAAAA&#13;&#10;AAAAAAAAAAAALgIAAGRycy9lMm9Eb2MueG1sUEsBAi0AFAAGAAgAAAAhAJDr5jLjAAAAEAEAAA8A&#13;&#10;AAAAAAAAAAAAAAAAkQQAAGRycy9kb3ducmV2LnhtbFBLBQYAAAAABAAEAPMAAAChBQAAAAA=&#13;&#10;" stroked="f">
                <v:textbox inset="0,0,0,0">
                  <w:txbxContent>
                    <w:p w14:paraId="5E61E81F" w14:textId="14F1012A" w:rsidR="00F61130" w:rsidRPr="00BF6F34" w:rsidRDefault="00F61130" w:rsidP="00E63858">
                      <w:pPr>
                        <w:pStyle w:val="Caption"/>
                        <w:spacing w:line="360" w:lineRule="auto"/>
                        <w:jc w:val="both"/>
                        <w:rPr>
                          <w:noProof/>
                          <w:sz w:val="20"/>
                          <w:szCs w:val="20"/>
                        </w:rPr>
                      </w:pPr>
                      <w:bookmarkStart w:id="593" w:name="_Ref522644981"/>
                      <w:bookmarkStart w:id="594" w:name="_Toc525227241"/>
                      <w:bookmarkStart w:id="595" w:name="_Toc536814180"/>
                      <w:r w:rsidRPr="00E63858">
                        <w:rPr>
                          <w:b/>
                          <w:sz w:val="20"/>
                          <w:szCs w:val="20"/>
                        </w:rPr>
                        <w:t xml:space="preserve">Figure </w:t>
                      </w:r>
                      <w:r>
                        <w:rPr>
                          <w:b/>
                          <w:sz w:val="20"/>
                          <w:szCs w:val="20"/>
                        </w:rPr>
                        <w:fldChar w:fldCharType="begin"/>
                      </w:r>
                      <w:r>
                        <w:rPr>
                          <w:b/>
                          <w:sz w:val="20"/>
                          <w:szCs w:val="20"/>
                        </w:rPr>
                        <w:instrText xml:space="preserve"> STYLEREF 1 \s </w:instrText>
                      </w:r>
                      <w:r>
                        <w:rPr>
                          <w:b/>
                          <w:sz w:val="20"/>
                          <w:szCs w:val="20"/>
                        </w:rPr>
                        <w:fldChar w:fldCharType="separate"/>
                      </w:r>
                      <w:r>
                        <w:rPr>
                          <w:b/>
                          <w:noProof/>
                          <w:sz w:val="20"/>
                          <w:szCs w:val="20"/>
                        </w:rPr>
                        <w:t>5</w:t>
                      </w:r>
                      <w:r>
                        <w:rPr>
                          <w:b/>
                          <w:sz w:val="20"/>
                          <w:szCs w:val="20"/>
                        </w:rPr>
                        <w:fldChar w:fldCharType="end"/>
                      </w:r>
                      <w:r>
                        <w:rPr>
                          <w:b/>
                          <w:sz w:val="20"/>
                          <w:szCs w:val="20"/>
                        </w:rPr>
                        <w:t>.</w:t>
                      </w:r>
                      <w:r>
                        <w:rPr>
                          <w:b/>
                          <w:sz w:val="20"/>
                          <w:szCs w:val="20"/>
                        </w:rPr>
                        <w:fldChar w:fldCharType="begin"/>
                      </w:r>
                      <w:r>
                        <w:rPr>
                          <w:b/>
                          <w:sz w:val="20"/>
                          <w:szCs w:val="20"/>
                        </w:rPr>
                        <w:instrText xml:space="preserve"> SEQ Figure \* ARABIC \s 1 </w:instrText>
                      </w:r>
                      <w:r>
                        <w:rPr>
                          <w:b/>
                          <w:sz w:val="20"/>
                          <w:szCs w:val="20"/>
                        </w:rPr>
                        <w:fldChar w:fldCharType="separate"/>
                      </w:r>
                      <w:r>
                        <w:rPr>
                          <w:b/>
                          <w:noProof/>
                          <w:sz w:val="20"/>
                          <w:szCs w:val="20"/>
                        </w:rPr>
                        <w:t>6</w:t>
                      </w:r>
                      <w:r>
                        <w:rPr>
                          <w:b/>
                          <w:sz w:val="20"/>
                          <w:szCs w:val="20"/>
                        </w:rPr>
                        <w:fldChar w:fldCharType="end"/>
                      </w:r>
                      <w:bookmarkEnd w:id="593"/>
                      <w:r w:rsidRPr="00E63858">
                        <w:rPr>
                          <w:b/>
                          <w:sz w:val="20"/>
                          <w:szCs w:val="20"/>
                        </w:rPr>
                        <w:t xml:space="preserve"> - Best fits of</w:t>
                      </w:r>
                      <w:r w:rsidRPr="00BF6F34">
                        <w:rPr>
                          <w:b/>
                          <w:sz w:val="20"/>
                          <w:szCs w:val="20"/>
                        </w:rPr>
                        <w:t xml:space="preserve"> </w:t>
                      </w:r>
                      <w:r>
                        <w:rPr>
                          <w:b/>
                          <w:sz w:val="20"/>
                          <w:szCs w:val="20"/>
                        </w:rPr>
                        <w:t xml:space="preserve">T cells, </w:t>
                      </w:r>
                      <w:r w:rsidRPr="00BF6F34">
                        <w:rPr>
                          <w:b/>
                          <w:sz w:val="20"/>
                          <w:szCs w:val="20"/>
                        </w:rPr>
                        <w:t xml:space="preserve">myeloid cells and </w:t>
                      </w:r>
                      <w:r w:rsidRPr="00BF6F34">
                        <w:rPr>
                          <w:b/>
                          <w:i/>
                          <w:sz w:val="20"/>
                          <w:szCs w:val="20"/>
                        </w:rPr>
                        <w:t>Leishmania donovani</w:t>
                      </w:r>
                      <w:r w:rsidRPr="00BF6F34">
                        <w:rPr>
                          <w:b/>
                          <w:sz w:val="20"/>
                          <w:szCs w:val="20"/>
                        </w:rPr>
                        <w:t xml:space="preserve"> kinetics </w:t>
                      </w:r>
                      <w:r>
                        <w:rPr>
                          <w:b/>
                          <w:sz w:val="20"/>
                          <w:szCs w:val="20"/>
                        </w:rPr>
                        <w:t>for new model</w:t>
                      </w:r>
                      <w:r w:rsidRPr="00BF6F34">
                        <w:rPr>
                          <w:b/>
                          <w:sz w:val="20"/>
                          <w:szCs w:val="20"/>
                        </w:rPr>
                        <w:t>.</w:t>
                      </w:r>
                      <w:r w:rsidRPr="00BF6F34">
                        <w:rPr>
                          <w:sz w:val="20"/>
                          <w:szCs w:val="20"/>
                        </w:rPr>
                        <w:t xml:space="preserve"> The best fit from the </w:t>
                      </w:r>
                      <w:r>
                        <w:rPr>
                          <w:sz w:val="20"/>
                          <w:szCs w:val="20"/>
                        </w:rPr>
                        <w:t>100</w:t>
                      </w:r>
                      <w:r w:rsidRPr="00BF6F34">
                        <w:rPr>
                          <w:sz w:val="20"/>
                          <w:szCs w:val="20"/>
                        </w:rPr>
                        <w:t xml:space="preserve"> runs derived using </w:t>
                      </w:r>
                      <w:r>
                        <w:rPr>
                          <w:sz w:val="20"/>
                          <w:szCs w:val="20"/>
                        </w:rPr>
                        <w:t xml:space="preserve">the </w:t>
                      </w:r>
                      <w:r w:rsidRPr="00BF6F34">
                        <w:rPr>
                          <w:i/>
                          <w:sz w:val="20"/>
                          <w:szCs w:val="20"/>
                        </w:rPr>
                        <w:t>NSGA2</w:t>
                      </w:r>
                      <w:r>
                        <w:rPr>
                          <w:sz w:val="20"/>
                          <w:szCs w:val="20"/>
                        </w:rPr>
                        <w:t xml:space="preserve"> function from the </w:t>
                      </w:r>
                      <w:r>
                        <w:rPr>
                          <w:i/>
                          <w:sz w:val="20"/>
                          <w:szCs w:val="20"/>
                        </w:rPr>
                        <w:t>mco</w:t>
                      </w:r>
                      <w:r>
                        <w:rPr>
                          <w:sz w:val="20"/>
                          <w:szCs w:val="20"/>
                        </w:rPr>
                        <w:t xml:space="preserve"> package, </w:t>
                      </w:r>
                      <w:r>
                        <w:rPr>
                          <w:sz w:val="20"/>
                          <w:szCs w:val="20"/>
                        </w:rPr>
                        <w:fldChar w:fldCharType="begin"/>
                      </w:r>
                      <w:r>
                        <w:rPr>
                          <w:sz w:val="20"/>
                          <w:szCs w:val="20"/>
                        </w:rPr>
                        <w:instrText xml:space="preserve"> REF _Ref522644196 </w:instrText>
                      </w:r>
                      <w:r>
                        <w:rPr>
                          <w:sz w:val="20"/>
                          <w:szCs w:val="20"/>
                        </w:rPr>
                        <w:fldChar w:fldCharType="separate"/>
                      </w:r>
                      <w:r w:rsidRPr="00F64F3A">
                        <w:rPr>
                          <w:b/>
                          <w:sz w:val="20"/>
                          <w:szCs w:val="20"/>
                        </w:rPr>
                        <w:t xml:space="preserve">Figure </w:t>
                      </w:r>
                      <w:r>
                        <w:rPr>
                          <w:b/>
                          <w:noProof/>
                          <w:sz w:val="20"/>
                          <w:szCs w:val="20"/>
                        </w:rPr>
                        <w:t>5</w:t>
                      </w:r>
                      <w:r>
                        <w:rPr>
                          <w:b/>
                          <w:sz w:val="20"/>
                          <w:szCs w:val="20"/>
                        </w:rPr>
                        <w:t>.</w:t>
                      </w:r>
                      <w:r>
                        <w:rPr>
                          <w:b/>
                          <w:noProof/>
                          <w:sz w:val="20"/>
                          <w:szCs w:val="20"/>
                        </w:rPr>
                        <w:t>5</w:t>
                      </w:r>
                      <w:r>
                        <w:rPr>
                          <w:sz w:val="20"/>
                          <w:szCs w:val="20"/>
                        </w:rPr>
                        <w:fldChar w:fldCharType="end"/>
                      </w:r>
                      <w:r>
                        <w:rPr>
                          <w:sz w:val="20"/>
                          <w:szCs w:val="20"/>
                        </w:rPr>
                        <w:t>,</w:t>
                      </w:r>
                      <w:r w:rsidRPr="00BF6F34">
                        <w:rPr>
                          <w:sz w:val="20"/>
                          <w:szCs w:val="20"/>
                        </w:rPr>
                        <w:t xml:space="preserve"> </w:t>
                      </w:r>
                      <w:r>
                        <w:rPr>
                          <w:sz w:val="20"/>
                          <w:szCs w:val="20"/>
                        </w:rPr>
                        <w:t xml:space="preserve">were analysed, to derive the </w:t>
                      </w:r>
                      <w:r w:rsidRPr="00BF6F34">
                        <w:rPr>
                          <w:sz w:val="20"/>
                          <w:szCs w:val="20"/>
                        </w:rPr>
                        <w:t>lowest root mean square error from observed vs. expected</w:t>
                      </w:r>
                      <w:r>
                        <w:rPr>
                          <w:sz w:val="20"/>
                          <w:szCs w:val="20"/>
                        </w:rPr>
                        <w:t>. The model output from the best parameter set was plotted for T Cells (A),</w:t>
                      </w:r>
                      <w:r w:rsidRPr="00F64F3A">
                        <w:rPr>
                          <w:sz w:val="20"/>
                          <w:szCs w:val="20"/>
                        </w:rPr>
                        <w:t xml:space="preserve"> </w:t>
                      </w:r>
                      <w:r>
                        <w:rPr>
                          <w:sz w:val="20"/>
                          <w:szCs w:val="20"/>
                        </w:rPr>
                        <w:t xml:space="preserve">Total </w:t>
                      </w:r>
                      <w:r w:rsidRPr="00F64F3A">
                        <w:rPr>
                          <w:sz w:val="20"/>
                          <w:szCs w:val="20"/>
                        </w:rPr>
                        <w:t>Myeloid cell</w:t>
                      </w:r>
                      <w:r>
                        <w:rPr>
                          <w:sz w:val="20"/>
                          <w:szCs w:val="20"/>
                        </w:rPr>
                        <w:t>s</w:t>
                      </w:r>
                      <w:r w:rsidRPr="00F64F3A">
                        <w:rPr>
                          <w:sz w:val="20"/>
                          <w:szCs w:val="20"/>
                        </w:rPr>
                        <w:t xml:space="preserve"> (B)</w:t>
                      </w:r>
                      <w:r>
                        <w:rPr>
                          <w:sz w:val="20"/>
                          <w:szCs w:val="20"/>
                        </w:rPr>
                        <w:t xml:space="preserve">, Total </w:t>
                      </w:r>
                      <w:r w:rsidRPr="00F64F3A">
                        <w:rPr>
                          <w:i/>
                          <w:sz w:val="20"/>
                          <w:szCs w:val="20"/>
                        </w:rPr>
                        <w:t>Leishmania donovani</w:t>
                      </w:r>
                      <w:r w:rsidRPr="00F64F3A">
                        <w:rPr>
                          <w:sz w:val="20"/>
                          <w:szCs w:val="20"/>
                        </w:rPr>
                        <w:t xml:space="preserve"> (C)</w:t>
                      </w:r>
                      <w:r>
                        <w:rPr>
                          <w:sz w:val="20"/>
                          <w:szCs w:val="20"/>
                        </w:rPr>
                        <w:t>,</w:t>
                      </w:r>
                      <w:r w:rsidRPr="00F64F3A">
                        <w:rPr>
                          <w:sz w:val="20"/>
                          <w:szCs w:val="20"/>
                        </w:rPr>
                        <w:t xml:space="preserve"> susceptible</w:t>
                      </w:r>
                      <w:r>
                        <w:rPr>
                          <w:sz w:val="20"/>
                          <w:szCs w:val="20"/>
                        </w:rPr>
                        <w:t xml:space="preserve"> </w:t>
                      </w:r>
                      <w:r w:rsidRPr="00F64F3A">
                        <w:rPr>
                          <w:sz w:val="20"/>
                          <w:szCs w:val="20"/>
                        </w:rPr>
                        <w:t>myeloid cells</w:t>
                      </w:r>
                      <w:r>
                        <w:rPr>
                          <w:sz w:val="20"/>
                          <w:szCs w:val="20"/>
                        </w:rPr>
                        <w:t xml:space="preserve"> (D), </w:t>
                      </w:r>
                      <w:r w:rsidRPr="00F64F3A">
                        <w:rPr>
                          <w:sz w:val="20"/>
                          <w:szCs w:val="20"/>
                        </w:rPr>
                        <w:t xml:space="preserve">infected myeloid cells </w:t>
                      </w:r>
                      <w:r>
                        <w:rPr>
                          <w:sz w:val="20"/>
                          <w:szCs w:val="20"/>
                        </w:rPr>
                        <w:t xml:space="preserve">(F), </w:t>
                      </w:r>
                      <w:r w:rsidRPr="00F64F3A">
                        <w:rPr>
                          <w:sz w:val="20"/>
                          <w:szCs w:val="20"/>
                        </w:rPr>
                        <w:t xml:space="preserve">extracellular </w:t>
                      </w:r>
                      <w:r w:rsidRPr="00F64F3A">
                        <w:rPr>
                          <w:i/>
                          <w:sz w:val="20"/>
                          <w:szCs w:val="20"/>
                        </w:rPr>
                        <w:t>Leishmania donovani</w:t>
                      </w:r>
                      <w:r>
                        <w:rPr>
                          <w:sz w:val="20"/>
                          <w:szCs w:val="20"/>
                        </w:rPr>
                        <w:t xml:space="preserve"> </w:t>
                      </w:r>
                      <w:r w:rsidRPr="00F64F3A">
                        <w:rPr>
                          <w:sz w:val="20"/>
                          <w:szCs w:val="20"/>
                        </w:rPr>
                        <w:t>(E) &amp; intracellular</w:t>
                      </w:r>
                      <w:r>
                        <w:rPr>
                          <w:sz w:val="20"/>
                          <w:szCs w:val="20"/>
                        </w:rPr>
                        <w:t xml:space="preserve"> </w:t>
                      </w:r>
                      <w:r w:rsidRPr="00F64F3A">
                        <w:rPr>
                          <w:i/>
                          <w:sz w:val="20"/>
                          <w:szCs w:val="20"/>
                        </w:rPr>
                        <w:t>Leishmania donovani</w:t>
                      </w:r>
                      <w:r w:rsidRPr="00F64F3A">
                        <w:rPr>
                          <w:sz w:val="20"/>
                          <w:szCs w:val="20"/>
                        </w:rPr>
                        <w:t xml:space="preserve"> (G) </w:t>
                      </w:r>
                      <w:r>
                        <w:rPr>
                          <w:sz w:val="20"/>
                          <w:szCs w:val="20"/>
                        </w:rPr>
                        <w:t>(</w:t>
                      </w:r>
                      <w:r w:rsidRPr="00BF6F34">
                        <w:rPr>
                          <w:sz w:val="20"/>
                          <w:szCs w:val="20"/>
                        </w:rPr>
                        <w:t>Black lines</w:t>
                      </w:r>
                      <w:r>
                        <w:rPr>
                          <w:sz w:val="20"/>
                          <w:szCs w:val="20"/>
                        </w:rPr>
                        <w:t>) with</w:t>
                      </w:r>
                      <w:r w:rsidRPr="00BF6F34">
                        <w:rPr>
                          <w:sz w:val="20"/>
                          <w:szCs w:val="20"/>
                        </w:rPr>
                        <w:t xml:space="preserve"> blue dots represent</w:t>
                      </w:r>
                      <w:r>
                        <w:rPr>
                          <w:sz w:val="20"/>
                          <w:szCs w:val="20"/>
                        </w:rPr>
                        <w:t>ing the</w:t>
                      </w:r>
                      <w:r w:rsidRPr="00BF6F34">
                        <w:rPr>
                          <w:sz w:val="20"/>
                          <w:szCs w:val="20"/>
                        </w:rPr>
                        <w:t xml:space="preserve"> mean of biological replicates (n = 4-5).</w:t>
                      </w:r>
                      <w:bookmarkEnd w:id="594"/>
                      <w:bookmarkEnd w:id="595"/>
                    </w:p>
                    <w:p w14:paraId="093E9731" w14:textId="67706865" w:rsidR="00F61130" w:rsidRPr="00E64DC1" w:rsidRDefault="00F61130" w:rsidP="00E64DC1">
                      <w:pPr>
                        <w:pStyle w:val="Caption"/>
                        <w:spacing w:line="360" w:lineRule="auto"/>
                        <w:rPr>
                          <w:color w:val="auto"/>
                          <w:sz w:val="20"/>
                          <w:szCs w:val="20"/>
                        </w:rPr>
                      </w:pPr>
                    </w:p>
                  </w:txbxContent>
                </v:textbox>
              </v:shape>
            </w:pict>
          </mc:Fallback>
        </mc:AlternateContent>
      </w:r>
      <w:r w:rsidRPr="00237515">
        <w:rPr>
          <w:noProof/>
        </w:rPr>
        <mc:AlternateContent>
          <mc:Choice Requires="wps">
            <w:drawing>
              <wp:anchor distT="0" distB="0" distL="114300" distR="114300" simplePos="0" relativeHeight="252144640" behindDoc="0" locked="0" layoutInCell="1" allowOverlap="1" wp14:anchorId="089B850D" wp14:editId="777D0292">
                <wp:simplePos x="0" y="0"/>
                <wp:positionH relativeFrom="column">
                  <wp:posOffset>368935</wp:posOffset>
                </wp:positionH>
                <wp:positionV relativeFrom="paragraph">
                  <wp:posOffset>0</wp:posOffset>
                </wp:positionV>
                <wp:extent cx="187325" cy="179070"/>
                <wp:effectExtent l="0" t="0" r="3175" b="0"/>
                <wp:wrapTopAndBottom/>
                <wp:docPr id="28" name="Text Box 28"/>
                <wp:cNvGraphicFramePr/>
                <a:graphic xmlns:a="http://schemas.openxmlformats.org/drawingml/2006/main">
                  <a:graphicData uri="http://schemas.microsoft.com/office/word/2010/wordprocessingShape">
                    <wps:wsp>
                      <wps:cNvSpPr txBox="1"/>
                      <wps:spPr>
                        <a:xfrm>
                          <a:off x="0" y="0"/>
                          <a:ext cx="187325" cy="179070"/>
                        </a:xfrm>
                        <a:prstGeom prst="rect">
                          <a:avLst/>
                        </a:prstGeom>
                        <a:noFill/>
                        <a:ln w="6350">
                          <a:noFill/>
                        </a:ln>
                      </wps:spPr>
                      <wps:txbx>
                        <w:txbxContent>
                          <w:p w14:paraId="026D8E3C" w14:textId="77777777" w:rsidR="00F61130" w:rsidRPr="006508D1" w:rsidRDefault="00F61130" w:rsidP="00237515">
                            <w:pPr>
                              <w:jc w:val="center"/>
                            </w:pPr>
                            <w:r w:rsidRPr="006508D1">
                              <w:t>A</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089B850D" id="Text Box 28" o:spid="_x0000_s1170" type="#_x0000_t202" style="position:absolute;margin-left:29.05pt;margin-top:0;width:14.75pt;height:14.1pt;z-index:2521446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9O+WKKQIAAEsEAAAOAAAAZHJzL2Uyb0RvYy54bWysVF1v2jAUfZ+0/2D5fSTQDzpEqFgrpkmo&#13;&#10;rQRTn43jkEiJr2cbEvbrd+wQOnV7mvZibu6X7z3nmPl919TsqKyrSGd8PEo5U1pSXul9xr9vV5/u&#13;&#10;OHNe6FzUpFXGT8rx+8XHD/PWzNSESqpzZRmaaDdrTcZL780sSZwsVSPciIzSCBZkG+HxafdJbkWL&#13;&#10;7k2dTNL0NmnJ5saSVM7B+9gH+SL2Lwol/XNROOVZnXHM5uNp47kLZ7KYi9neClNW8jyG+IcpGlFp&#13;&#10;XHpp9Si8YAdb/dGqqaQlR4UfSWoSKopKqrgDthmn77bZlMKouAvAceYCk/t/beXT8cWyKs/4BExp&#13;&#10;0YCjreo8+0Idgwv4tMbNkLYxSPQd/OB58Ds4w9pdYZvwi4UY4kD6dEE3dJOh6G56NbnhTCI0nn5O&#13;&#10;pxH95K3YWOe/KmpYMDJuQV7EVBzXzmMQpA4p4S5Nq6quI4G1Zm3Gb69u0lhwiaCi1igMK/SjBst3&#13;&#10;uy6uPL6+HhbZUX7CfpZ6hTgjVxWmWAvnX4SFJLASZO6fcRQ14TY6W5yVZH/+zR/ywRSinLWQWMbd&#13;&#10;j4OwirP6mwaHQY+DYQdjNxj60DwQVDvGAzIymiiwvh7MwlLzCvUvwy0ICS1xV8b9YD74Xuh4PVIt&#13;&#10;lzEJqjPCr/XGyNA64Bgw3Xavwpoz8B6MPdEgPjF7h3+f2zOwPHgqqkhOQLZH8Qw4FBs5O7+u8CR+&#13;&#10;/45Zb/8Bi18AAAD//wMAUEsDBBQABgAIAAAAIQA2vd9x4AAAAAoBAAAPAAAAZHJzL2Rvd25yZXYu&#13;&#10;eG1sTI9PT4QwEMXvJn6HZky8uQUSV8JSNsbVm3/WVRO9FToCkU5JW1j89o4nvUwyeW/evF+5Xewg&#13;&#10;ZvShd6QgXSUgkBpnemoVvL7cXeQgQtRk9OAIFXxjgG11elLqwrgjPeN8iK3gEAqFVtDFOBZShqZD&#13;&#10;q8PKjUisfTpvdeTVt9J4feRwO8gsSdbS6p74Q6dHvOmw+TpMVsHwHvx9ncSPedc+xP2TnN5u00el&#13;&#10;zs+W3YbH9QZExCX+XcAvA/eHiovVbiITxKDgMk/ZqYCpWM2v1iBqBVmegaxK+R+h+gEAAP//AwBQ&#13;&#10;SwECLQAUAAYACAAAACEAtoM4kv4AAADhAQAAEwAAAAAAAAAAAAAAAAAAAAAAW0NvbnRlbnRfVHlw&#13;&#10;ZXNdLnhtbFBLAQItABQABgAIAAAAIQA4/SH/1gAAAJQBAAALAAAAAAAAAAAAAAAAAC8BAABfcmVs&#13;&#10;cy8ucmVsc1BLAQItABQABgAIAAAAIQA9O+WKKQIAAEsEAAAOAAAAAAAAAAAAAAAAAC4CAABkcnMv&#13;&#10;ZTJvRG9jLnhtbFBLAQItABQABgAIAAAAIQA2vd9x4AAAAAoBAAAPAAAAAAAAAAAAAAAAAIMEAABk&#13;&#10;cnMvZG93bnJldi54bWxQSwUGAAAAAAQABADzAAAAkAUAAAAA&#13;&#10;" filled="f" stroked="f" strokeweight=".5pt">
                <v:textbox inset="0,0,0,0">
                  <w:txbxContent>
                    <w:p w14:paraId="026D8E3C" w14:textId="77777777" w:rsidR="00F61130" w:rsidRPr="006508D1" w:rsidRDefault="00F61130" w:rsidP="00237515">
                      <w:pPr>
                        <w:jc w:val="center"/>
                      </w:pPr>
                      <w:r w:rsidRPr="006508D1">
                        <w:t>A</w:t>
                      </w:r>
                    </w:p>
                  </w:txbxContent>
                </v:textbox>
                <w10:wrap type="topAndBottom"/>
              </v:shape>
            </w:pict>
          </mc:Fallback>
        </mc:AlternateContent>
      </w:r>
      <w:r w:rsidRPr="00237515">
        <w:rPr>
          <w:noProof/>
        </w:rPr>
        <mc:AlternateContent>
          <mc:Choice Requires="wps">
            <w:drawing>
              <wp:anchor distT="0" distB="0" distL="114300" distR="114300" simplePos="0" relativeHeight="252145664" behindDoc="0" locked="0" layoutInCell="1" allowOverlap="1" wp14:anchorId="6A0C748F" wp14:editId="11D8A2F6">
                <wp:simplePos x="0" y="0"/>
                <wp:positionH relativeFrom="column">
                  <wp:posOffset>3098165</wp:posOffset>
                </wp:positionH>
                <wp:positionV relativeFrom="paragraph">
                  <wp:posOffset>0</wp:posOffset>
                </wp:positionV>
                <wp:extent cx="187325" cy="179070"/>
                <wp:effectExtent l="0" t="0" r="3175" b="0"/>
                <wp:wrapTopAndBottom/>
                <wp:docPr id="31" name="Text Box 31"/>
                <wp:cNvGraphicFramePr/>
                <a:graphic xmlns:a="http://schemas.openxmlformats.org/drawingml/2006/main">
                  <a:graphicData uri="http://schemas.microsoft.com/office/word/2010/wordprocessingShape">
                    <wps:wsp>
                      <wps:cNvSpPr txBox="1"/>
                      <wps:spPr>
                        <a:xfrm>
                          <a:off x="0" y="0"/>
                          <a:ext cx="187325" cy="179070"/>
                        </a:xfrm>
                        <a:prstGeom prst="rect">
                          <a:avLst/>
                        </a:prstGeom>
                        <a:noFill/>
                        <a:ln w="6350">
                          <a:noFill/>
                        </a:ln>
                      </wps:spPr>
                      <wps:txbx>
                        <w:txbxContent>
                          <w:p w14:paraId="3FF65835" w14:textId="77777777" w:rsidR="00F61130" w:rsidRPr="006508D1" w:rsidRDefault="00F61130" w:rsidP="00237515">
                            <w:pPr>
                              <w:jc w:val="center"/>
                            </w:pPr>
                            <w:r>
                              <w:t>B</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6A0C748F" id="Text Box 31" o:spid="_x0000_s1171" type="#_x0000_t202" style="position:absolute;margin-left:243.95pt;margin-top:0;width:14.75pt;height:14.1pt;z-index:2521456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rd2YWKQIAAEsEAAAOAAAAZHJzL2Uyb0RvYy54bWysVF1v2jAUfZ+0/2D5fSTAKF1EqFgrpkmo&#13;&#10;rQRTn41jk0i2r2cbEvbrd+0QWnV7mvZibu6X7zn3mMVdpxU5CecbMCUdj3JKhOFQNeZQ0h+79adb&#13;&#10;SnxgpmIKjCjpWXh6t/z4YdHaQkygBlUJR7CJ8UVrS1qHYIss87wWmvkRWGEwKMFpFvDTHbLKsRa7&#13;&#10;a5VN8vwma8FV1gEX3qP3oQ/SZeovpeDhSUovAlElxdlCOl069/HMlgtWHByzdcMvY7B/mEKzxuCl&#13;&#10;11YPLDBydM0frXTDHXiQYcRBZyBlw0XCgGjG+Ts025pZkbAgOd5eafL/ry1/PD070lQlnY4pMUzj&#13;&#10;jnaiC+QrdARdyE9rfYFpW4uJoUM/7nnwe3RG2J10Ov4iIIJxZPp8ZTd247Hodj6dzCjhGBrPv+Tz&#13;&#10;xH72WmydD98EaBKNkjpcXuKUnTY+4CCYOqTEuwysG6XSApUhbUlvprM8FVwjWKEMFkYI/ajRCt2+&#13;&#10;S5DHn2cDkD1UZ8TnoFeIt3zd4BQb5sMzcygJhIQyD094SAV4G1wsSmpwv/7mj/m4KYxS0qLESup/&#13;&#10;HpkTlKjvBncY9TgYbjD2g2GO+h5QtbgWnCaZWOCCGkzpQL+g+lfxFgwxw/GukobBvA+90PH1cLFa&#13;&#10;pSRUnWVhY7aWx9aRx8jprnthzl6ID7ixRxjEx4p3/Pe5/QZWxwCyScuJzPYsXghHxaadXV5XfBJv&#13;&#10;v1PW63/A8jcAAAD//wMAUEsDBBQABgAIAAAAIQAkOpIB4gAAAAwBAAAPAAAAZHJzL2Rvd25yZXYu&#13;&#10;eG1sTI/NTsMwEITvSLyDtUjcqJOo0DSNUyEKN35bkODmxCaJsNeR7aTh7VlOcFlpNbOz85Xb2Ro2&#13;&#10;aR96hwLSRQJMY+NUj62A18PdRQ4sRIlKGodawLcOsK1OT0pZKHfEFz3tY8soBEMhBXQxDgXnoem0&#13;&#10;lWHhBo2kfTpvZaTVt1x5eaRwa3iWJFfcyh7pQycHfdPp5ms/WgHmPfj7Ookf0659iM9PfHy7TR+F&#13;&#10;OD+bdxsa1xtgUc/x7wJ+Gag/VFSsdiOqwIyAZb5ak1UAYZF8ma6WwGoBWZ4Br0r+H6L6AQAA//8D&#13;&#10;AFBLAQItABQABgAIAAAAIQC2gziS/gAAAOEBAAATAAAAAAAAAAAAAAAAAAAAAABbQ29udGVudF9U&#13;&#10;eXBlc10ueG1sUEsBAi0AFAAGAAgAAAAhADj9If/WAAAAlAEAAAsAAAAAAAAAAAAAAAAALwEAAF9y&#13;&#10;ZWxzLy5yZWxzUEsBAi0AFAAGAAgAAAAhAGt3ZhYpAgAASwQAAA4AAAAAAAAAAAAAAAAALgIAAGRy&#13;&#10;cy9lMm9Eb2MueG1sUEsBAi0AFAAGAAgAAAAhACQ6kgHiAAAADAEAAA8AAAAAAAAAAAAAAAAAgwQA&#13;&#10;AGRycy9kb3ducmV2LnhtbFBLBQYAAAAABAAEAPMAAACSBQAAAAA=&#13;&#10;" filled="f" stroked="f" strokeweight=".5pt">
                <v:textbox inset="0,0,0,0">
                  <w:txbxContent>
                    <w:p w14:paraId="3FF65835" w14:textId="77777777" w:rsidR="00F61130" w:rsidRPr="006508D1" w:rsidRDefault="00F61130" w:rsidP="00237515">
                      <w:pPr>
                        <w:jc w:val="center"/>
                      </w:pPr>
                      <w:r>
                        <w:t>B</w:t>
                      </w:r>
                    </w:p>
                  </w:txbxContent>
                </v:textbox>
                <w10:wrap type="topAndBottom"/>
              </v:shape>
            </w:pict>
          </mc:Fallback>
        </mc:AlternateContent>
      </w:r>
      <w:r w:rsidRPr="00237515">
        <w:rPr>
          <w:noProof/>
        </w:rPr>
        <mc:AlternateContent>
          <mc:Choice Requires="wps">
            <w:drawing>
              <wp:anchor distT="0" distB="0" distL="114300" distR="114300" simplePos="0" relativeHeight="252146688" behindDoc="0" locked="0" layoutInCell="1" allowOverlap="1" wp14:anchorId="1311C254" wp14:editId="3EF07E06">
                <wp:simplePos x="0" y="0"/>
                <wp:positionH relativeFrom="column">
                  <wp:posOffset>6038215</wp:posOffset>
                </wp:positionH>
                <wp:positionV relativeFrom="paragraph">
                  <wp:posOffset>0</wp:posOffset>
                </wp:positionV>
                <wp:extent cx="187325" cy="179070"/>
                <wp:effectExtent l="0" t="0" r="3175" b="0"/>
                <wp:wrapTopAndBottom/>
                <wp:docPr id="33" name="Text Box 33"/>
                <wp:cNvGraphicFramePr/>
                <a:graphic xmlns:a="http://schemas.openxmlformats.org/drawingml/2006/main">
                  <a:graphicData uri="http://schemas.microsoft.com/office/word/2010/wordprocessingShape">
                    <wps:wsp>
                      <wps:cNvSpPr txBox="1"/>
                      <wps:spPr>
                        <a:xfrm>
                          <a:off x="0" y="0"/>
                          <a:ext cx="187325" cy="179070"/>
                        </a:xfrm>
                        <a:prstGeom prst="rect">
                          <a:avLst/>
                        </a:prstGeom>
                        <a:noFill/>
                        <a:ln w="6350">
                          <a:noFill/>
                        </a:ln>
                      </wps:spPr>
                      <wps:txbx>
                        <w:txbxContent>
                          <w:p w14:paraId="68A2BCE0" w14:textId="77777777" w:rsidR="00F61130" w:rsidRPr="006508D1" w:rsidRDefault="00F61130" w:rsidP="00237515">
                            <w:pPr>
                              <w:jc w:val="center"/>
                            </w:pPr>
                            <w:r>
                              <w:t>C</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1311C254" id="Text Box 33" o:spid="_x0000_s1172" type="#_x0000_t202" style="position:absolute;margin-left:475.45pt;margin-top:0;width:14.75pt;height:14.1pt;z-index:2521466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OehJVKQIAAEsEAAAOAAAAZHJzL2Uyb0RvYy54bWysVF1v2jAUfZ+0/2D5fSTACl1EqFgrpkmo&#13;&#10;rQRTn41jk0i2r2cbEvbrd+0QWnV7mvZibu6X7zn3mMVdpxU5CecbMCUdj3JKhOFQNeZQ0h+79adb&#13;&#10;SnxgpmIKjCjpWXh6t/z4YdHaQkygBlUJR7CJ8UVrS1qHYIss87wWmvkRWGEwKMFpFvDTHbLKsRa7&#13;&#10;a5VN8nyWteAq64AL79H70AfpMvWXUvDwJKUXgaiS4mwhnS6d+3hmywUrDo7ZuuGXMdg/TKFZY/DS&#13;&#10;a6sHFhg5uuaPVrrhDjzIMOKgM5Cy4SJhQDTj/B2abc2sSFiQHG+vNPn/15Y/np4daaqSTqeUGKZx&#13;&#10;RzvRBfIVOoIu5Ke1vsC0rcXE0KEf9zz4PToj7E46HX8REME4Mn2+shu78Vh0O59ObijhGBrPv+Tz&#13;&#10;xH72WmydD98EaBKNkjpcXuKUnTY+4CCYOqTEuwysG6XSApUhbUln05s8FVwjWKEMFkYI/ajRCt2+&#13;&#10;S5DHn2cDkD1UZ8TnoFeIt3zd4BQb5sMzcygJhIQyD094SAV4G1wsSmpwv/7mj/m4KYxS0qLESup/&#13;&#10;HpkTlKjvBncY9TgYbjD2g2GO+h5QtWN8QJYnEwtcUIMpHegXVP8q3oIhZjjeVdIwmPehFzq+Hi5W&#13;&#10;q5SEqrMsbMzW8tg68hg53XUvzNkL8QE39giD+Fjxjv8+t9/A6hhANmk5kdmexQvhqNi0s8vrik/i&#13;&#10;7XfKev0PWP4GAAD//wMAUEsDBBQABgAIAAAAIQDTT7xb4QAAAAwBAAAPAAAAZHJzL2Rvd25yZXYu&#13;&#10;eG1sTI9PS8QwEMXvgt8hjODNTbaotN2mi7h68++qoLe0iW0xmZQk7dZv73jSy8Dw3rx5v2q7OMtm&#13;&#10;E+LgUcJ6JYAZbL0esJPw+nJ7lgOLSaFW1qOR8G0ibOvjo0qV2h/w2cz71DEKwVgqCX1KY8l5bHvj&#13;&#10;VFz50SBpnz44lWgNHddBHSjcWZ4JccmdGpA+9Go0171pv/aTk2DfY7hrRPqYd919enrk09vN+kHK&#13;&#10;05Nlt6FxtQGWzJL+LuCXgfpDTcUaP6GOzEooLkRBVgmERXKRi3NgjYQsz4DXFf8PUf8AAAD//wMA&#13;&#10;UEsBAi0AFAAGAAgAAAAhALaDOJL+AAAA4QEAABMAAAAAAAAAAAAAAAAAAAAAAFtDb250ZW50X1R5&#13;&#10;cGVzXS54bWxQSwECLQAUAAYACAAAACEAOP0h/9YAAACUAQAACwAAAAAAAAAAAAAAAAAvAQAAX3Jl&#13;&#10;bHMvLnJlbHNQSwECLQAUAAYACAAAACEATnoSVSkCAABLBAAADgAAAAAAAAAAAAAAAAAuAgAAZHJz&#13;&#10;L2Uyb0RvYy54bWxQSwECLQAUAAYACAAAACEA00+8W+EAAAAMAQAADwAAAAAAAAAAAAAAAACDBAAA&#13;&#10;ZHJzL2Rvd25yZXYueG1sUEsFBgAAAAAEAAQA8wAAAJEFAAAAAA==&#13;&#10;" filled="f" stroked="f" strokeweight=".5pt">
                <v:textbox inset="0,0,0,0">
                  <w:txbxContent>
                    <w:p w14:paraId="68A2BCE0" w14:textId="77777777" w:rsidR="00F61130" w:rsidRPr="006508D1" w:rsidRDefault="00F61130" w:rsidP="00237515">
                      <w:pPr>
                        <w:jc w:val="center"/>
                      </w:pPr>
                      <w:r>
                        <w:t>C</w:t>
                      </w:r>
                    </w:p>
                  </w:txbxContent>
                </v:textbox>
                <w10:wrap type="topAndBottom"/>
              </v:shape>
            </w:pict>
          </mc:Fallback>
        </mc:AlternateContent>
      </w:r>
      <w:r w:rsidRPr="00237515">
        <w:rPr>
          <w:noProof/>
        </w:rPr>
        <mc:AlternateContent>
          <mc:Choice Requires="wps">
            <w:drawing>
              <wp:anchor distT="0" distB="0" distL="114300" distR="114300" simplePos="0" relativeHeight="252147712" behindDoc="0" locked="0" layoutInCell="1" allowOverlap="1" wp14:anchorId="07863766" wp14:editId="2B1F9109">
                <wp:simplePos x="0" y="0"/>
                <wp:positionH relativeFrom="column">
                  <wp:posOffset>3098165</wp:posOffset>
                </wp:positionH>
                <wp:positionV relativeFrom="paragraph">
                  <wp:posOffset>1670050</wp:posOffset>
                </wp:positionV>
                <wp:extent cx="187325" cy="179070"/>
                <wp:effectExtent l="0" t="0" r="3175" b="0"/>
                <wp:wrapTopAndBottom/>
                <wp:docPr id="35" name="Text Box 35"/>
                <wp:cNvGraphicFramePr/>
                <a:graphic xmlns:a="http://schemas.openxmlformats.org/drawingml/2006/main">
                  <a:graphicData uri="http://schemas.microsoft.com/office/word/2010/wordprocessingShape">
                    <wps:wsp>
                      <wps:cNvSpPr txBox="1"/>
                      <wps:spPr>
                        <a:xfrm>
                          <a:off x="0" y="0"/>
                          <a:ext cx="187325" cy="179070"/>
                        </a:xfrm>
                        <a:prstGeom prst="rect">
                          <a:avLst/>
                        </a:prstGeom>
                        <a:noFill/>
                        <a:ln w="6350">
                          <a:noFill/>
                        </a:ln>
                      </wps:spPr>
                      <wps:txbx>
                        <w:txbxContent>
                          <w:p w14:paraId="4634C321" w14:textId="77777777" w:rsidR="00F61130" w:rsidRPr="006508D1" w:rsidRDefault="00F61130" w:rsidP="00237515">
                            <w:pPr>
                              <w:jc w:val="center"/>
                            </w:pPr>
                            <w:r>
                              <w:t>D</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07863766" id="Text Box 35" o:spid="_x0000_s1173" type="#_x0000_t202" style="position:absolute;margin-left:243.95pt;margin-top:131.5pt;width:14.75pt;height:14.1pt;z-index:2521477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l8xwEKAIAAEsEAAAOAAAAZHJzL2Uyb0RvYy54bWysVF1v2jAUfZ+0/2D5fSTAWjpEqFgrpklV&#13;&#10;WwmmPhvHIZESX882JOzX79ghtOr2NO3F3Ph+nnOPWdx2Tc2OyrqKdMbHo5QzpSXlld5n/Md2/emG&#13;&#10;M+eFzkVNWmX8pBy/XX78sGjNXE2opDpXlqGIdvPWZLz03syTxMlSNcKNyCgNZ0G2ER6fdp/kVrSo&#13;&#10;3tTJJE2vk5ZsbixJ5Rxu73snX8b6RaGkfyoKpzyrM47ZfDxtPHfhTJYLMd9bYcpKnscQ/zBFIyqN&#13;&#10;ppdS98ILdrDVH6WaSlpyVPiRpCahoqikihiAZpy+Q7MphVERC8hx5kKT+39l5ePx2bIqz/j0ijMt&#13;&#10;GuxoqzrPvlLHcAV+WuPmCNsYBPoO99jzcO9wGWB3hW3CLwAx+MH06cJuqCZD0s1sOkETCdd49iWd&#13;&#10;RfaT12Rjnf+mqGHByLjF8iKn4vjgPAZB6BASemlaV3UdF1hr1mb8enqVxoSLBxm1RmKA0I8aLN/t&#13;&#10;ugh5/Hk2ANlRfgI+S71CnJHrClM8COefhYUkAAky9084iprQjc4WZyXZX3+7D/HYFLyctZBYxt3P&#13;&#10;g7CKs/q7xg6DHgfDDsZuMPShuSOodowHZGQ0kWB9PZiFpeYF6l+FLnAJLdEr434w73wvdLweqVar&#13;&#10;GATVGeEf9MbIUDrwGDjddi/CmjPxHht7pEF8Yv6O/z6238Dq4Kmo4nICsz2LZ8Kh2Liz8+sKT+Lt&#13;&#10;d4x6/Q9Y/gYAAP//AwBQSwMEFAAGAAgAAAAhAPQtyEnmAAAAEAEAAA8AAABkcnMvZG93bnJldi54&#13;&#10;bWxMj01PwzAMhu9I/IfISNxY2jL20TWdEIMb42OABLe0CW1F4lRJ2pV/jznBxZLt16/fp9hO1rBR&#13;&#10;+9A5FJDOEmAaa6c6bAS8vtxdrICFKFFJ41AL+NYBtuXpSSFz5Y74rMdDbBiZYMilgDbGPuc81K22&#13;&#10;Msxcr5F2n85bGan1DVdeHsncGp4lyYJb2SF9aGWvb1pdfx0GK8C8B39fJfFj3DX7+PTIh7fb9EGI&#13;&#10;87Npt6FyvQEW9RT/LuCXgfJDScEqN6AKzAiYr5ZrkgrIFpdERoqrdDkHVtFknWbAy4L/Byl/AAAA&#13;&#10;//8DAFBLAQItABQABgAIAAAAIQC2gziS/gAAAOEBAAATAAAAAAAAAAAAAAAAAAAAAABbQ29udGVu&#13;&#10;dF9UeXBlc10ueG1sUEsBAi0AFAAGAAgAAAAhADj9If/WAAAAlAEAAAsAAAAAAAAAAAAAAAAALwEA&#13;&#10;AF9yZWxzLy5yZWxzUEsBAi0AFAAGAAgAAAAhACXzHAQoAgAASwQAAA4AAAAAAAAAAAAAAAAALgIA&#13;&#10;AGRycy9lMm9Eb2MueG1sUEsBAi0AFAAGAAgAAAAhAPQtyEnmAAAAEAEAAA8AAAAAAAAAAAAAAAAA&#13;&#10;ggQAAGRycy9kb3ducmV2LnhtbFBLBQYAAAAABAAEAPMAAACVBQAAAAA=&#13;&#10;" filled="f" stroked="f" strokeweight=".5pt">
                <v:textbox inset="0,0,0,0">
                  <w:txbxContent>
                    <w:p w14:paraId="4634C321" w14:textId="77777777" w:rsidR="00F61130" w:rsidRPr="006508D1" w:rsidRDefault="00F61130" w:rsidP="00237515">
                      <w:pPr>
                        <w:jc w:val="center"/>
                      </w:pPr>
                      <w:r>
                        <w:t>D</w:t>
                      </w:r>
                    </w:p>
                  </w:txbxContent>
                </v:textbox>
                <w10:wrap type="topAndBottom"/>
              </v:shape>
            </w:pict>
          </mc:Fallback>
        </mc:AlternateContent>
      </w:r>
      <w:r w:rsidRPr="00237515">
        <w:rPr>
          <w:noProof/>
        </w:rPr>
        <mc:AlternateContent>
          <mc:Choice Requires="wps">
            <w:drawing>
              <wp:anchor distT="0" distB="0" distL="114300" distR="114300" simplePos="0" relativeHeight="252148736" behindDoc="0" locked="0" layoutInCell="1" allowOverlap="1" wp14:anchorId="21F541FF" wp14:editId="750BCC79">
                <wp:simplePos x="0" y="0"/>
                <wp:positionH relativeFrom="column">
                  <wp:posOffset>6038215</wp:posOffset>
                </wp:positionH>
                <wp:positionV relativeFrom="paragraph">
                  <wp:posOffset>1684020</wp:posOffset>
                </wp:positionV>
                <wp:extent cx="187325" cy="179070"/>
                <wp:effectExtent l="0" t="0" r="3175" b="0"/>
                <wp:wrapTopAndBottom/>
                <wp:docPr id="37" name="Text Box 37"/>
                <wp:cNvGraphicFramePr/>
                <a:graphic xmlns:a="http://schemas.openxmlformats.org/drawingml/2006/main">
                  <a:graphicData uri="http://schemas.microsoft.com/office/word/2010/wordprocessingShape">
                    <wps:wsp>
                      <wps:cNvSpPr txBox="1"/>
                      <wps:spPr>
                        <a:xfrm>
                          <a:off x="0" y="0"/>
                          <a:ext cx="187325" cy="179070"/>
                        </a:xfrm>
                        <a:prstGeom prst="rect">
                          <a:avLst/>
                        </a:prstGeom>
                        <a:noFill/>
                        <a:ln w="6350">
                          <a:noFill/>
                        </a:ln>
                      </wps:spPr>
                      <wps:txbx>
                        <w:txbxContent>
                          <w:p w14:paraId="712E9616" w14:textId="77777777" w:rsidR="00F61130" w:rsidRPr="006508D1" w:rsidRDefault="00F61130" w:rsidP="00237515">
                            <w:pPr>
                              <w:jc w:val="center"/>
                            </w:pPr>
                            <w:r>
                              <w:t>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21F541FF" id="Text Box 37" o:spid="_x0000_s1174" type="#_x0000_t202" style="position:absolute;margin-left:475.45pt;margin-top:132.6pt;width:14.75pt;height:14.1pt;z-index:2521487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NWq4hKQIAAEsEAAAOAAAAZHJzL2Uyb0RvYy54bWysVF1v2jAUfZ+0/2D5fSTAWlhEqFgrpkmo&#13;&#10;rQRTn41jk0i2r2cbEvbrd+0QWnV7mvZibu6X7zn3mMVdpxU5CecbMCUdj3JKhOFQNeZQ0h+79ac5&#13;&#10;JT4wUzEFRpT0LDy9W378sGhtISZQg6qEI9jE+KK1Ja1DsEWWeV4LzfwIrDAYlOA0C/jpDlnlWIvd&#13;&#10;tcomeX6bteAq64AL79H70AfpMvWXUvDwJKUXgaiS4mwhnS6d+3hmywUrDo7ZuuGXMdg/TKFZY/DS&#13;&#10;a6sHFhg5uuaPVrrhDjzIMOKgM5Cy4SJhQDTj/B2abc2sSFiQHG+vNPn/15Y/np4daaqSTmeUGKZx&#13;&#10;RzvRBfIVOoIu5Ke1vsC0rcXE0KEf9zz4PToj7E46HX8REME4Mn2+shu78Vg0n00nN5RwDI1nX/JZ&#13;&#10;Yj97LbbOh28CNIlGSR0uL3HKThsfcBBMHVLiXQbWjVJpgcqQtqS305s8FVwjWKEMFkYI/ajRCt2+&#13;&#10;S5DHn+cDkD1UZ8TnoFeIt3zd4BQb5sMzcygJhIQyD094SAV4G1wsSmpwv/7mj/m4KYxS0qLESup/&#13;&#10;HpkTlKjvBncY9TgYbjD2g2GO+h5QtWN8QJYnEwtcUIMpHegXVP8q3oIhZjjeVdIwmPehFzq+Hi5W&#13;&#10;q5SEqrMsbMzW8tg68hg53XUvzNkL8QE39giD+Fjxjv8+t9/A6hhANmk5kdmexQvhqNi0s8vrik/i&#13;&#10;7XfKev0PWP4GAAD//wMAUEsDBBQABgAIAAAAIQBXlJGj5AAAABABAAAPAAAAZHJzL2Rvd25yZXYu&#13;&#10;eG1sTE/LTsMwELwj8Q/WInGjdkNbNWmcClG48WyLBDcnXpKI2I5sJw1/z3KCy0q7MzuPfDuZjo3o&#13;&#10;Q+ushPlMAENbOd3aWsLxcH+1Bhaislp1zqKEbwywLc7PcpVpd7KvOO5jzUjEhkxJaGLsM85D1aBR&#13;&#10;YeZ6tIR9Om9UpNXXXHt1InHT8USIFTeqteTQqB5vG6y+9oOR0L0H/1CK+DHu6sf48syHt7v5k5SX&#13;&#10;F9NuQ+NmAyziFP8+4LcD5YeCgpVusDqwTkK6FClRJSSrZQKMGOlaLICVdEmvF8CLnP8vUvwAAAD/&#13;&#10;/wMAUEsBAi0AFAAGAAgAAAAhALaDOJL+AAAA4QEAABMAAAAAAAAAAAAAAAAAAAAAAFtDb250ZW50&#13;&#10;X1R5cGVzXS54bWxQSwECLQAUAAYACAAAACEAOP0h/9YAAACUAQAACwAAAAAAAAAAAAAAAAAvAQAA&#13;&#10;X3JlbHMvLnJlbHNQSwECLQAUAAYACAAAACEATVquISkCAABLBAAADgAAAAAAAAAAAAAAAAAuAgAA&#13;&#10;ZHJzL2Uyb0RvYy54bWxQSwECLQAUAAYACAAAACEAV5SRo+QAAAAQAQAADwAAAAAAAAAAAAAAAACD&#13;&#10;BAAAZHJzL2Rvd25yZXYueG1sUEsFBgAAAAAEAAQA8wAAAJQFAAAAAA==&#13;&#10;" filled="f" stroked="f" strokeweight=".5pt">
                <v:textbox inset="0,0,0,0">
                  <w:txbxContent>
                    <w:p w14:paraId="712E9616" w14:textId="77777777" w:rsidR="00F61130" w:rsidRPr="006508D1" w:rsidRDefault="00F61130" w:rsidP="00237515">
                      <w:pPr>
                        <w:jc w:val="center"/>
                      </w:pPr>
                      <w:r>
                        <w:t>E</w:t>
                      </w:r>
                    </w:p>
                  </w:txbxContent>
                </v:textbox>
                <w10:wrap type="topAndBottom"/>
              </v:shape>
            </w:pict>
          </mc:Fallback>
        </mc:AlternateContent>
      </w:r>
      <w:r w:rsidRPr="00237515">
        <w:rPr>
          <w:noProof/>
        </w:rPr>
        <mc:AlternateContent>
          <mc:Choice Requires="wps">
            <w:drawing>
              <wp:anchor distT="0" distB="0" distL="114300" distR="114300" simplePos="0" relativeHeight="252149760" behindDoc="0" locked="0" layoutInCell="1" allowOverlap="1" wp14:anchorId="47E71208" wp14:editId="60B045BA">
                <wp:simplePos x="0" y="0"/>
                <wp:positionH relativeFrom="column">
                  <wp:posOffset>3098165</wp:posOffset>
                </wp:positionH>
                <wp:positionV relativeFrom="paragraph">
                  <wp:posOffset>3527425</wp:posOffset>
                </wp:positionV>
                <wp:extent cx="187325" cy="179070"/>
                <wp:effectExtent l="0" t="0" r="3175" b="0"/>
                <wp:wrapTopAndBottom/>
                <wp:docPr id="39" name="Text Box 39"/>
                <wp:cNvGraphicFramePr/>
                <a:graphic xmlns:a="http://schemas.openxmlformats.org/drawingml/2006/main">
                  <a:graphicData uri="http://schemas.microsoft.com/office/word/2010/wordprocessingShape">
                    <wps:wsp>
                      <wps:cNvSpPr txBox="1"/>
                      <wps:spPr>
                        <a:xfrm>
                          <a:off x="0" y="0"/>
                          <a:ext cx="187325" cy="179070"/>
                        </a:xfrm>
                        <a:prstGeom prst="rect">
                          <a:avLst/>
                        </a:prstGeom>
                        <a:noFill/>
                        <a:ln w="6350">
                          <a:noFill/>
                        </a:ln>
                      </wps:spPr>
                      <wps:txbx>
                        <w:txbxContent>
                          <w:p w14:paraId="2340C6AD" w14:textId="77777777" w:rsidR="00F61130" w:rsidRPr="006508D1" w:rsidRDefault="00F61130" w:rsidP="00237515">
                            <w:pPr>
                              <w:jc w:val="center"/>
                            </w:pPr>
                            <w:r>
                              <w:t>F</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47E71208" id="Text Box 39" o:spid="_x0000_s1175" type="#_x0000_t202" style="position:absolute;margin-left:243.95pt;margin-top:277.75pt;width:14.75pt;height:14.1pt;z-index:2521497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RcfAKQIAAEsEAAAOAAAAZHJzL2Uyb0RvYy54bWysVF1v2jAUfZ/U/2D5fSTAWtqIUNFWTJNQ&#13;&#10;WwmmPhvHJpFsX882JOzX79ohdOr2NO3F3Nwv33PuMfP7TityFM43YEo6HuWUCMOhasy+pN+3q8+3&#13;&#10;lPjATMUUGFHSk/D0fnH1ad7aQkygBlUJR7CJ8UVrS1qHYIss87wWmvkRWGEwKMFpFvDT7bPKsRa7&#13;&#10;a5VN8vwma8FV1gEX3qP3qQ/SReovpeDhRUovAlElxdlCOl06d/HMFnNW7B2zdcPPY7B/mEKzxuCl&#13;&#10;l1ZPLDBycM0frXTDHXiQYcRBZyBlw0XCgGjG+Qc0m5pZkbAgOd5eaPL/ry1/Pr460lQlnd5RYpjG&#13;&#10;HW1FF8gDdARdyE9rfYFpG4uJoUM/7nnwe3RG2J10Ov4iIIJxZPp0YTd247HodjadXFPCMTSe3eWz&#13;&#10;xH72XmydD18FaBKNkjpcXuKUHdc+4CCYOqTEuwysGqXSApUhbUlvptd5KrhEsEIZLIwQ+lGjFbpd&#13;&#10;lyCPv1wA7qA6IT4HvUK85asGp1gzH16ZQ0kgJJR5eMFDKsDb4GxRUoP7+Td/zMdNYZSSFiVWUv/j&#13;&#10;wJygRH0zuMOox8Fwg7EbDHPQj4CqHeMDsjyZWOCCGkzpQL+h+pfxFgwxw/GukobBfAy90PH1cLFc&#13;&#10;piRUnWVhbTaWx9aRx8jptntjzp6JD7ixZxjEx4oP/Pe5/QaWhwCyScuJzPYsnglHxaadnV9XfBK/&#13;&#10;f6es9/+AxS8AAAD//wMAUEsDBBQABgAIAAAAIQDexVob4wAAABABAAAPAAAAZHJzL2Rvd25yZXYu&#13;&#10;eG1sTE9LT8MwDL4j8R8iI3FjaWGjpWs6IQY3xmOABLe0MW1FHlWSduXfY07gg2XLn79HuZmNZhP6&#13;&#10;0DsrIF0kwNA2TvW2FfD6cneWAwtRWiW1syjgGwNsquOjUhbKHewzTvvYMiKxoZACuhiHgvPQdGhk&#13;&#10;WLgBLd0+nTcy0upbrrw8ELnR/DxJLrmRvSWFTg5402HztR+NAP0e/H2dxI9p2+7i0yMf327TByFO&#13;&#10;T+btmtr1GljEOf59wG8G8g8VGavdaFVgWsAyz64IKmBFBYwQqzRbAqtpyC8y4FXJ/wepfgAAAP//&#13;&#10;AwBQSwECLQAUAAYACAAAACEAtoM4kv4AAADhAQAAEwAAAAAAAAAAAAAAAAAAAAAAW0NvbnRlbnRf&#13;&#10;VHlwZXNdLnhtbFBLAQItABQABgAIAAAAIQA4/SH/1gAAAJQBAAALAAAAAAAAAAAAAAAAAC8BAABf&#13;&#10;cmVscy8ucmVsc1BLAQItABQABgAIAAAAIQC+RcfAKQIAAEsEAAAOAAAAAAAAAAAAAAAAAC4CAABk&#13;&#10;cnMvZTJvRG9jLnhtbFBLAQItABQABgAIAAAAIQDexVob4wAAABABAAAPAAAAAAAAAAAAAAAAAIME&#13;&#10;AABkcnMvZG93bnJldi54bWxQSwUGAAAAAAQABADzAAAAkwUAAAAA&#13;&#10;" filled="f" stroked="f" strokeweight=".5pt">
                <v:textbox inset="0,0,0,0">
                  <w:txbxContent>
                    <w:p w14:paraId="2340C6AD" w14:textId="77777777" w:rsidR="00F61130" w:rsidRPr="006508D1" w:rsidRDefault="00F61130" w:rsidP="00237515">
                      <w:pPr>
                        <w:jc w:val="center"/>
                      </w:pPr>
                      <w:r>
                        <w:t>F</w:t>
                      </w:r>
                    </w:p>
                  </w:txbxContent>
                </v:textbox>
                <w10:wrap type="topAndBottom"/>
              </v:shape>
            </w:pict>
          </mc:Fallback>
        </mc:AlternateContent>
      </w:r>
      <w:r w:rsidRPr="00237515">
        <w:rPr>
          <w:noProof/>
        </w:rPr>
        <mc:AlternateContent>
          <mc:Choice Requires="wps">
            <w:drawing>
              <wp:anchor distT="0" distB="0" distL="114300" distR="114300" simplePos="0" relativeHeight="252150784" behindDoc="0" locked="0" layoutInCell="1" allowOverlap="1" wp14:anchorId="7E6FBE51" wp14:editId="656FCF81">
                <wp:simplePos x="0" y="0"/>
                <wp:positionH relativeFrom="column">
                  <wp:posOffset>6038215</wp:posOffset>
                </wp:positionH>
                <wp:positionV relativeFrom="paragraph">
                  <wp:posOffset>3527857</wp:posOffset>
                </wp:positionV>
                <wp:extent cx="187325" cy="179070"/>
                <wp:effectExtent l="0" t="0" r="3175" b="0"/>
                <wp:wrapTopAndBottom/>
                <wp:docPr id="40" name="Text Box 40"/>
                <wp:cNvGraphicFramePr/>
                <a:graphic xmlns:a="http://schemas.openxmlformats.org/drawingml/2006/main">
                  <a:graphicData uri="http://schemas.microsoft.com/office/word/2010/wordprocessingShape">
                    <wps:wsp>
                      <wps:cNvSpPr txBox="1"/>
                      <wps:spPr>
                        <a:xfrm>
                          <a:off x="0" y="0"/>
                          <a:ext cx="187325" cy="179070"/>
                        </a:xfrm>
                        <a:prstGeom prst="rect">
                          <a:avLst/>
                        </a:prstGeom>
                        <a:noFill/>
                        <a:ln w="6350">
                          <a:noFill/>
                        </a:ln>
                      </wps:spPr>
                      <wps:txbx>
                        <w:txbxContent>
                          <w:p w14:paraId="071297EB" w14:textId="77777777" w:rsidR="00F61130" w:rsidRPr="006508D1" w:rsidRDefault="00F61130" w:rsidP="00237515">
                            <w:pPr>
                              <w:jc w:val="center"/>
                            </w:pPr>
                            <w:r>
                              <w:t>G</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7E6FBE51" id="Text Box 40" o:spid="_x0000_s1176" type="#_x0000_t202" style="position:absolute;margin-left:475.45pt;margin-top:277.8pt;width:14.75pt;height:14.1pt;z-index:2521507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4hSF0KAIAAEsEAAAOAAAAZHJzL2Uyb0RvYy54bWysVF1v2jAUfZ+0/2D5fQToWrqIULFWTJNQ&#13;&#10;WwmmPhvHgUiJr2cbEvbrd+wktOr2NO3F3Nwv33PuMfO7tq7YSVlXks74ZDTmTGlJean3Gf+xXX26&#13;&#10;5cx5oXNRkVYZPyvH7xYfP8wbk6opHajKlWVool3amIwfvDdpkjh5ULVwIzJKI1iQrYXHp90nuRUN&#13;&#10;utdVMh2Pb5KGbG4sSeUcvA9dkC9i/6JQ0j8VhVOeVRnHbD6eNp67cCaLuUj3VphDKfsxxD9MUYtS&#13;&#10;49JLqwfhBTva8o9WdSktOSr8SFKdUFGUUkUMQDMZv0OzOQijIhaQ48yFJvf/2srH07NlZZ7xz6BH&#13;&#10;ixo72qrWs6/UMrjAT2NcirSNQaJv4ceeB7+DM8BuC1uHXwBiiKPV+cJu6CZD0e3sanrNmURoMvsy&#13;&#10;nsXuyWuxsc5/U1SzYGTcYnmRU3FaO49BkDqkhLs0rcqqigusNGsyfnN1PY4FlwgqKo3CAKEbNVi+&#13;&#10;3bUR8gT5PcAd5Wfgs9QpxBm5KjHFWjj/LCwkAUiQuX/CUVSE26i3ODuQ/fU3f8jHphDlrIHEMu5+&#13;&#10;HoVVnFXfNXYY9DgYdjB2g6GP9T1BtRM8ICOjiQLrq8EsLNUvUP8y3IKQ0BJ3ZdwP5r3vhI7XI9Vy&#13;&#10;GZOgOiP8Wm+MDK0Dj4HTbfsirOmJ99jYIw3iE+k7/rvcbgPLo6eijMsJzHYs9oRDsXFn/esKT+Lt&#13;&#10;d8x6/Q9Y/AYAAP//AwBQSwMEFAAGAAgAAAAhAP2Arv7kAAAAEAEAAA8AAABkcnMvZG93bnJldi54&#13;&#10;bWxMT8tOwzAQvCPxD9YicaN2gVRJGqdCFG482yLBzYlNEhGvI9tJw9+znOCy0u7MzqPYzLZnk/Gh&#13;&#10;cyhhuRDADNZOd9hIOOzvL1JgISrUqndoJHybAJvy9KRQuXZHfDXTLjaMRDDkSkIb45BzHurWWBUW&#13;&#10;bjBI2KfzVkVafcO1V0cStz2/FGLFreqQHFo1mNvW1F+70Uro34N/qET8mLbNY3x55uPb3fJJyvOz&#13;&#10;ebumcbMGFs0c/z7gtwPlh5KCVW5EHVgvIUtERlQJSZKsgBEjS8U1sIou6VUKvCz4/yLlDwAAAP//&#13;&#10;AwBQSwECLQAUAAYACAAAACEAtoM4kv4AAADhAQAAEwAAAAAAAAAAAAAAAAAAAAAAW0NvbnRlbnRf&#13;&#10;VHlwZXNdLnhtbFBLAQItABQABgAIAAAAIQA4/SH/1gAAAJQBAAALAAAAAAAAAAAAAAAAAC8BAABf&#13;&#10;cmVscy8ucmVsc1BLAQItABQABgAIAAAAIQD4hSF0KAIAAEsEAAAOAAAAAAAAAAAAAAAAAC4CAABk&#13;&#10;cnMvZTJvRG9jLnhtbFBLAQItABQABgAIAAAAIQD9gK7+5AAAABABAAAPAAAAAAAAAAAAAAAAAIIE&#13;&#10;AABkcnMvZG93bnJldi54bWxQSwUGAAAAAAQABADzAAAAkwUAAAAA&#13;&#10;" filled="f" stroked="f" strokeweight=".5pt">
                <v:textbox inset="0,0,0,0">
                  <w:txbxContent>
                    <w:p w14:paraId="071297EB" w14:textId="77777777" w:rsidR="00F61130" w:rsidRPr="006508D1" w:rsidRDefault="00F61130" w:rsidP="00237515">
                      <w:pPr>
                        <w:jc w:val="center"/>
                      </w:pPr>
                      <w:r>
                        <w:t>G</w:t>
                      </w:r>
                    </w:p>
                  </w:txbxContent>
                </v:textbox>
                <w10:wrap type="topAndBottom"/>
              </v:shape>
            </w:pict>
          </mc:Fallback>
        </mc:AlternateContent>
      </w:r>
      <w:r w:rsidR="00803C0E">
        <w:rPr>
          <w:noProof/>
        </w:rPr>
        <w:drawing>
          <wp:anchor distT="0" distB="0" distL="114300" distR="114300" simplePos="0" relativeHeight="251846656" behindDoc="0" locked="0" layoutInCell="1" allowOverlap="1" wp14:anchorId="323899E7" wp14:editId="0D786707">
            <wp:simplePos x="0" y="0"/>
            <wp:positionH relativeFrom="column">
              <wp:posOffset>369570</wp:posOffset>
            </wp:positionH>
            <wp:positionV relativeFrom="paragraph">
              <wp:posOffset>0</wp:posOffset>
            </wp:positionV>
            <wp:extent cx="8622665" cy="5083175"/>
            <wp:effectExtent l="0" t="0" r="635" b="0"/>
            <wp:wrapTopAndBottom/>
            <wp:docPr id="603" name="Picture 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3" name="Picture 603"/>
                    <pic:cNvPicPr>
                      <a:picLocks noChangeAspect="1"/>
                    </pic:cNvPicPr>
                  </pic:nvPicPr>
                  <pic:blipFill>
                    <a:blip r:embed="rId86">
                      <a:extLst>
                        <a:ext uri="{28A0092B-C50C-407E-A947-70E740481C1C}">
                          <a14:useLocalDpi xmlns:a14="http://schemas.microsoft.com/office/drawing/2010/main" val="0"/>
                        </a:ext>
                      </a:extLst>
                    </a:blip>
                    <a:stretch>
                      <a:fillRect/>
                    </a:stretch>
                  </pic:blipFill>
                  <pic:spPr>
                    <a:xfrm>
                      <a:off x="0" y="0"/>
                      <a:ext cx="8622665" cy="5083175"/>
                    </a:xfrm>
                    <a:prstGeom prst="rect">
                      <a:avLst/>
                    </a:prstGeom>
                  </pic:spPr>
                </pic:pic>
              </a:graphicData>
            </a:graphic>
          </wp:anchor>
        </w:drawing>
      </w:r>
    </w:p>
    <w:p w14:paraId="7DA5AE77" w14:textId="79D3AD6A" w:rsidR="0098206B" w:rsidRPr="008B3AD6" w:rsidRDefault="00D540E9" w:rsidP="00B23FF8">
      <w:pPr>
        <w:spacing w:line="360" w:lineRule="auto"/>
      </w:pPr>
      <w:r>
        <w:rPr>
          <w:noProof/>
        </w:rPr>
        <w:lastRenderedPageBreak/>
        <mc:AlternateContent>
          <mc:Choice Requires="wps">
            <w:drawing>
              <wp:anchor distT="0" distB="0" distL="114300" distR="114300" simplePos="0" relativeHeight="251853824" behindDoc="0" locked="0" layoutInCell="1" allowOverlap="1" wp14:anchorId="22DCCACD" wp14:editId="5F151EE1">
                <wp:simplePos x="0" y="0"/>
                <wp:positionH relativeFrom="column">
                  <wp:posOffset>-272415</wp:posOffset>
                </wp:positionH>
                <wp:positionV relativeFrom="paragraph">
                  <wp:posOffset>3874973</wp:posOffset>
                </wp:positionV>
                <wp:extent cx="6113780" cy="863600"/>
                <wp:effectExtent l="0" t="0" r="0" b="0"/>
                <wp:wrapTopAndBottom/>
                <wp:docPr id="608" name="Text Box 608"/>
                <wp:cNvGraphicFramePr/>
                <a:graphic xmlns:a="http://schemas.openxmlformats.org/drawingml/2006/main">
                  <a:graphicData uri="http://schemas.microsoft.com/office/word/2010/wordprocessingShape">
                    <wps:wsp>
                      <wps:cNvSpPr txBox="1"/>
                      <wps:spPr>
                        <a:xfrm>
                          <a:off x="0" y="0"/>
                          <a:ext cx="6113780" cy="863600"/>
                        </a:xfrm>
                        <a:prstGeom prst="rect">
                          <a:avLst/>
                        </a:prstGeom>
                        <a:solidFill>
                          <a:prstClr val="white"/>
                        </a:solidFill>
                        <a:ln>
                          <a:noFill/>
                        </a:ln>
                      </wps:spPr>
                      <wps:txbx>
                        <w:txbxContent>
                          <w:p w14:paraId="51ADB9C8" w14:textId="37808B9D" w:rsidR="00F61130" w:rsidRPr="005078D7" w:rsidRDefault="00F61130" w:rsidP="00162201">
                            <w:pPr>
                              <w:pStyle w:val="Caption"/>
                              <w:spacing w:line="360" w:lineRule="auto"/>
                              <w:jc w:val="both"/>
                              <w:rPr>
                                <w:noProof/>
                                <w:sz w:val="20"/>
                                <w:szCs w:val="20"/>
                              </w:rPr>
                            </w:pPr>
                            <w:bookmarkStart w:id="596" w:name="_Ref522646935"/>
                            <w:bookmarkStart w:id="597" w:name="_Toc536814206"/>
                            <w:r w:rsidRPr="00162201">
                              <w:rPr>
                                <w:b/>
                                <w:sz w:val="20"/>
                                <w:szCs w:val="20"/>
                              </w:rPr>
                              <w:t xml:space="preserve">Table </w:t>
                            </w:r>
                            <w:r>
                              <w:rPr>
                                <w:b/>
                                <w:sz w:val="20"/>
                                <w:szCs w:val="20"/>
                              </w:rPr>
                              <w:fldChar w:fldCharType="begin"/>
                            </w:r>
                            <w:r>
                              <w:rPr>
                                <w:b/>
                                <w:sz w:val="20"/>
                                <w:szCs w:val="20"/>
                              </w:rPr>
                              <w:instrText xml:space="preserve"> STYLEREF 1 \s </w:instrText>
                            </w:r>
                            <w:r>
                              <w:rPr>
                                <w:b/>
                                <w:sz w:val="20"/>
                                <w:szCs w:val="20"/>
                              </w:rPr>
                              <w:fldChar w:fldCharType="separate"/>
                            </w:r>
                            <w:r>
                              <w:rPr>
                                <w:b/>
                                <w:noProof/>
                                <w:sz w:val="20"/>
                                <w:szCs w:val="20"/>
                              </w:rPr>
                              <w:t>5</w:t>
                            </w:r>
                            <w:r>
                              <w:rPr>
                                <w:b/>
                                <w:sz w:val="20"/>
                                <w:szCs w:val="20"/>
                              </w:rPr>
                              <w:fldChar w:fldCharType="end"/>
                            </w:r>
                            <w:r>
                              <w:rPr>
                                <w:b/>
                                <w:sz w:val="20"/>
                                <w:szCs w:val="20"/>
                              </w:rPr>
                              <w:t>.</w:t>
                            </w:r>
                            <w:r>
                              <w:rPr>
                                <w:b/>
                                <w:sz w:val="20"/>
                                <w:szCs w:val="20"/>
                              </w:rPr>
                              <w:fldChar w:fldCharType="begin"/>
                            </w:r>
                            <w:r>
                              <w:rPr>
                                <w:b/>
                                <w:sz w:val="20"/>
                                <w:szCs w:val="20"/>
                              </w:rPr>
                              <w:instrText xml:space="preserve"> SEQ Table \* ARABIC \s 1 </w:instrText>
                            </w:r>
                            <w:r>
                              <w:rPr>
                                <w:b/>
                                <w:sz w:val="20"/>
                                <w:szCs w:val="20"/>
                              </w:rPr>
                              <w:fldChar w:fldCharType="separate"/>
                            </w:r>
                            <w:r>
                              <w:rPr>
                                <w:b/>
                                <w:noProof/>
                                <w:sz w:val="20"/>
                                <w:szCs w:val="20"/>
                              </w:rPr>
                              <w:t>2</w:t>
                            </w:r>
                            <w:r>
                              <w:rPr>
                                <w:b/>
                                <w:sz w:val="20"/>
                                <w:szCs w:val="20"/>
                              </w:rPr>
                              <w:fldChar w:fldCharType="end"/>
                            </w:r>
                            <w:bookmarkEnd w:id="596"/>
                            <w:r w:rsidRPr="00162201">
                              <w:rPr>
                                <w:b/>
                                <w:sz w:val="20"/>
                                <w:szCs w:val="20"/>
                              </w:rPr>
                              <w:t xml:space="preserve"> - Final Parameter Values derived for the</w:t>
                            </w:r>
                            <w:r w:rsidRPr="005078D7">
                              <w:rPr>
                                <w:b/>
                                <w:sz w:val="20"/>
                                <w:szCs w:val="20"/>
                              </w:rPr>
                              <w:t xml:space="preserve"> </w:t>
                            </w:r>
                            <w:r>
                              <w:rPr>
                                <w:b/>
                                <w:sz w:val="20"/>
                                <w:szCs w:val="20"/>
                              </w:rPr>
                              <w:t>new</w:t>
                            </w:r>
                            <w:r w:rsidRPr="005078D7">
                              <w:rPr>
                                <w:b/>
                                <w:sz w:val="20"/>
                                <w:szCs w:val="20"/>
                              </w:rPr>
                              <w:t xml:space="preserve"> model.</w:t>
                            </w:r>
                            <w:r w:rsidRPr="005078D7">
                              <w:rPr>
                                <w:sz w:val="20"/>
                                <w:szCs w:val="20"/>
                              </w:rPr>
                              <w:t xml:space="preserve"> </w:t>
                            </w:r>
                            <w:r>
                              <w:rPr>
                                <w:sz w:val="20"/>
                                <w:szCs w:val="20"/>
                              </w:rPr>
                              <w:t>Using</w:t>
                            </w:r>
                            <w:r w:rsidRPr="005078D7">
                              <w:rPr>
                                <w:sz w:val="20"/>
                                <w:szCs w:val="20"/>
                              </w:rPr>
                              <w:t xml:space="preserve"> the </w:t>
                            </w:r>
                            <w:r>
                              <w:rPr>
                                <w:i/>
                                <w:sz w:val="20"/>
                                <w:szCs w:val="20"/>
                              </w:rPr>
                              <w:t>nsga2</w:t>
                            </w:r>
                            <w:r w:rsidRPr="005078D7">
                              <w:rPr>
                                <w:sz w:val="20"/>
                                <w:szCs w:val="20"/>
                              </w:rPr>
                              <w:t xml:space="preserve"> function of the </w:t>
                            </w:r>
                            <w:r w:rsidRPr="005078D7">
                              <w:rPr>
                                <w:i/>
                                <w:sz w:val="20"/>
                                <w:szCs w:val="20"/>
                              </w:rPr>
                              <w:t>mco</w:t>
                            </w:r>
                            <w:r>
                              <w:rPr>
                                <w:sz w:val="20"/>
                                <w:szCs w:val="20"/>
                              </w:rPr>
                              <w:t xml:space="preserve"> package </w:t>
                            </w:r>
                            <w:r w:rsidRPr="005078D7">
                              <w:rPr>
                                <w:sz w:val="20"/>
                                <w:szCs w:val="20"/>
                              </w:rPr>
                              <w:t>the rema</w:t>
                            </w:r>
                            <w:r>
                              <w:rPr>
                                <w:sz w:val="20"/>
                                <w:szCs w:val="20"/>
                              </w:rPr>
                              <w:t>ining unknown parameter values show in in the table were derived</w:t>
                            </w:r>
                            <w:r w:rsidRPr="005078D7">
                              <w:rPr>
                                <w:sz w:val="20"/>
                                <w:szCs w:val="20"/>
                              </w:rPr>
                              <w:t xml:space="preserve">, in combination with parameters </w:t>
                            </w:r>
                            <w:r>
                              <w:rPr>
                                <w:sz w:val="20"/>
                                <w:szCs w:val="20"/>
                              </w:rPr>
                              <w:t xml:space="preserve">previously </w:t>
                            </w:r>
                            <w:r w:rsidRPr="005078D7">
                              <w:rPr>
                                <w:sz w:val="20"/>
                                <w:szCs w:val="20"/>
                              </w:rPr>
                              <w:t>derived (</w:t>
                            </w:r>
                            <w:r>
                              <w:rPr>
                                <w:sz w:val="20"/>
                                <w:szCs w:val="20"/>
                              </w:rPr>
                              <w:fldChar w:fldCharType="begin"/>
                            </w:r>
                            <w:r>
                              <w:rPr>
                                <w:sz w:val="20"/>
                                <w:szCs w:val="20"/>
                              </w:rPr>
                              <w:instrText xml:space="preserve"> REF _Ref522637474 </w:instrText>
                            </w:r>
                            <w:r>
                              <w:rPr>
                                <w:sz w:val="20"/>
                                <w:szCs w:val="20"/>
                              </w:rPr>
                              <w:fldChar w:fldCharType="separate"/>
                            </w:r>
                            <w:r w:rsidRPr="00CC1327">
                              <w:rPr>
                                <w:b/>
                                <w:sz w:val="20"/>
                                <w:szCs w:val="20"/>
                              </w:rPr>
                              <w:t xml:space="preserve">Table </w:t>
                            </w:r>
                            <w:r>
                              <w:rPr>
                                <w:b/>
                                <w:noProof/>
                                <w:sz w:val="20"/>
                                <w:szCs w:val="20"/>
                              </w:rPr>
                              <w:t>5</w:t>
                            </w:r>
                            <w:r>
                              <w:rPr>
                                <w:b/>
                                <w:sz w:val="20"/>
                                <w:szCs w:val="20"/>
                              </w:rPr>
                              <w:t>.</w:t>
                            </w:r>
                            <w:r>
                              <w:rPr>
                                <w:b/>
                                <w:noProof/>
                                <w:sz w:val="20"/>
                                <w:szCs w:val="20"/>
                              </w:rPr>
                              <w:t>1</w:t>
                            </w:r>
                            <w:r>
                              <w:rPr>
                                <w:sz w:val="20"/>
                                <w:szCs w:val="20"/>
                              </w:rPr>
                              <w:fldChar w:fldCharType="end"/>
                            </w:r>
                            <w:r w:rsidRPr="005078D7">
                              <w:rPr>
                                <w:sz w:val="20"/>
                                <w:szCs w:val="20"/>
                              </w:rPr>
                              <w:t>).</w:t>
                            </w:r>
                            <w:r>
                              <w:rPr>
                                <w:sz w:val="20"/>
                                <w:szCs w:val="20"/>
                              </w:rPr>
                              <w:t xml:space="preserve"> Supplied parameter ranges for sampling were recorded alongside the value from the best fitting parameter set.</w:t>
                            </w:r>
                            <w:bookmarkEnd w:id="597"/>
                          </w:p>
                          <w:p w14:paraId="57BFF8D9" w14:textId="5CC0208D" w:rsidR="00F61130" w:rsidRPr="00CB43CB" w:rsidRDefault="00F61130" w:rsidP="00162201">
                            <w:pPr>
                              <w:pStyle w:val="Caption"/>
                              <w:rPr>
                                <w:color w:val="auto"/>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22DCCACD" id="Text Box 608" o:spid="_x0000_s1177" type="#_x0000_t202" style="position:absolute;margin-left:-21.45pt;margin-top:305.1pt;width:481.4pt;height:68pt;z-index:2518538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y+U0sNAIAAG0EAAAOAAAAZHJzL2Uyb0RvYy54bWysVFFv2yAQfp+0/4B4X2y3WlZFcaosVaZJ&#13;&#10;UVspmfpMMMRIwDEgsbNfvwPH6dbtadoLPu6Og+/77jy/740mJ+GDAlvTalJSIiyHRtlDTb/t1h/u&#13;&#10;KAmR2YZpsKKmZxHo/eL9u3nnZuIGWtCN8ASL2DDrXE3bGN2sKAJvhWFhAk5YDErwhkXc+kPReNZh&#13;&#10;daOLm7KcFh34xnngIgT0PgxBusj1pRQ8PkkZRCS6pvi2mFef131ai8WczQ6euVbxyzPYP7zCMGXx&#13;&#10;0mupBxYZOXr1RymjuIcAMk44mAKkVFxkDIimKt+g2bbMiYwFyQnuSlP4f2X54+nZE9XUdFqiVJYZ&#13;&#10;FGkn+kg+Q0+SDxnqXJhh4tZhauwxgEqP/oDOBLyX3qQvQiIYR67PV35TOY7OaVXdfrrDEMfY3fR2&#13;&#10;WmYBitfTzof4RYAhyaipR/0yrey0CRFfgqljSrosgFbNWmmdNimw0p6cGGrdtSqK9EY88VuWtinX&#13;&#10;Qjo1hJOnSBAHKMmK/b7PpFQfr0D30JwRv4ehh4Lja4U3bliIz8xj0yAuHIT4hIvU0NUULhYlLfgf&#13;&#10;f/OnfNQSo5R02IQ1Dd+PzAtK9FeLKqeOHQ0/GvvRsEezAsRa4Yg5nk084KMeTenBvOB8LNMtGGKW&#13;&#10;4101jaO5isMo4HxxsVzmJOxLx+LGbh1PpUdmd/0L8+6iS0RFH2FsTzZ7I8+QO/C8PEaQKmuXmB1Y&#13;&#10;vBCOPZ0FusxfGppf9znr9S+x+AkAAP//AwBQSwMEFAAGAAgAAAAhAJpZexPlAAAAEAEAAA8AAABk&#13;&#10;cnMvZG93bnJldi54bWxMj0FPwzAMhe9I/IfISFzQljaaCu2aTrDCDQ4b085Zm7XVGqdK0rX795gT&#13;&#10;XCzZfv78Xr6ZTc+u2vnOooR4GQHTWNm6w0bC4ftj8QLMB4W16i1qCTftYVPc3+Uqq+2EO33dh4YR&#13;&#10;BH2mJLQhDBnnvmq1UX5pB420O1tnVKDWNbx2aiK46bmIooQb1SF9aNWgt62uLvvRSEhKN0473D6V&#13;&#10;h/dP9TU04vh2O0r5+DCXayqva2BBz+HvAn4zkH8oyNjJjlh71ktYrERKUiLGkQBGijROaXKS8LxK&#13;&#10;BPAi5/+DFD8AAAD//wMAUEsBAi0AFAAGAAgAAAAhALaDOJL+AAAA4QEAABMAAAAAAAAAAAAAAAAA&#13;&#10;AAAAAFtDb250ZW50X1R5cGVzXS54bWxQSwECLQAUAAYACAAAACEAOP0h/9YAAACUAQAACwAAAAAA&#13;&#10;AAAAAAAAAAAvAQAAX3JlbHMvLnJlbHNQSwECLQAUAAYACAAAACEAcvlNLDQCAABtBAAADgAAAAAA&#13;&#10;AAAAAAAAAAAuAgAAZHJzL2Uyb0RvYy54bWxQSwECLQAUAAYACAAAACEAmll7E+UAAAAQAQAADwAA&#13;&#10;AAAAAAAAAAAAAACOBAAAZHJzL2Rvd25yZXYueG1sUEsFBgAAAAAEAAQA8wAAAKAFAAAAAA==&#13;&#10;" stroked="f">
                <v:textbox inset="0,0,0,0">
                  <w:txbxContent>
                    <w:p w14:paraId="51ADB9C8" w14:textId="37808B9D" w:rsidR="00F61130" w:rsidRPr="005078D7" w:rsidRDefault="00F61130" w:rsidP="00162201">
                      <w:pPr>
                        <w:pStyle w:val="Caption"/>
                        <w:spacing w:line="360" w:lineRule="auto"/>
                        <w:jc w:val="both"/>
                        <w:rPr>
                          <w:noProof/>
                          <w:sz w:val="20"/>
                          <w:szCs w:val="20"/>
                        </w:rPr>
                      </w:pPr>
                      <w:bookmarkStart w:id="598" w:name="_Ref522646935"/>
                      <w:bookmarkStart w:id="599" w:name="_Toc536814206"/>
                      <w:r w:rsidRPr="00162201">
                        <w:rPr>
                          <w:b/>
                          <w:sz w:val="20"/>
                          <w:szCs w:val="20"/>
                        </w:rPr>
                        <w:t xml:space="preserve">Table </w:t>
                      </w:r>
                      <w:r>
                        <w:rPr>
                          <w:b/>
                          <w:sz w:val="20"/>
                          <w:szCs w:val="20"/>
                        </w:rPr>
                        <w:fldChar w:fldCharType="begin"/>
                      </w:r>
                      <w:r>
                        <w:rPr>
                          <w:b/>
                          <w:sz w:val="20"/>
                          <w:szCs w:val="20"/>
                        </w:rPr>
                        <w:instrText xml:space="preserve"> STYLEREF 1 \s </w:instrText>
                      </w:r>
                      <w:r>
                        <w:rPr>
                          <w:b/>
                          <w:sz w:val="20"/>
                          <w:szCs w:val="20"/>
                        </w:rPr>
                        <w:fldChar w:fldCharType="separate"/>
                      </w:r>
                      <w:r>
                        <w:rPr>
                          <w:b/>
                          <w:noProof/>
                          <w:sz w:val="20"/>
                          <w:szCs w:val="20"/>
                        </w:rPr>
                        <w:t>5</w:t>
                      </w:r>
                      <w:r>
                        <w:rPr>
                          <w:b/>
                          <w:sz w:val="20"/>
                          <w:szCs w:val="20"/>
                        </w:rPr>
                        <w:fldChar w:fldCharType="end"/>
                      </w:r>
                      <w:r>
                        <w:rPr>
                          <w:b/>
                          <w:sz w:val="20"/>
                          <w:szCs w:val="20"/>
                        </w:rPr>
                        <w:t>.</w:t>
                      </w:r>
                      <w:r>
                        <w:rPr>
                          <w:b/>
                          <w:sz w:val="20"/>
                          <w:szCs w:val="20"/>
                        </w:rPr>
                        <w:fldChar w:fldCharType="begin"/>
                      </w:r>
                      <w:r>
                        <w:rPr>
                          <w:b/>
                          <w:sz w:val="20"/>
                          <w:szCs w:val="20"/>
                        </w:rPr>
                        <w:instrText xml:space="preserve"> SEQ Table \* ARABIC \s 1 </w:instrText>
                      </w:r>
                      <w:r>
                        <w:rPr>
                          <w:b/>
                          <w:sz w:val="20"/>
                          <w:szCs w:val="20"/>
                        </w:rPr>
                        <w:fldChar w:fldCharType="separate"/>
                      </w:r>
                      <w:r>
                        <w:rPr>
                          <w:b/>
                          <w:noProof/>
                          <w:sz w:val="20"/>
                          <w:szCs w:val="20"/>
                        </w:rPr>
                        <w:t>2</w:t>
                      </w:r>
                      <w:r>
                        <w:rPr>
                          <w:b/>
                          <w:sz w:val="20"/>
                          <w:szCs w:val="20"/>
                        </w:rPr>
                        <w:fldChar w:fldCharType="end"/>
                      </w:r>
                      <w:bookmarkEnd w:id="598"/>
                      <w:r w:rsidRPr="00162201">
                        <w:rPr>
                          <w:b/>
                          <w:sz w:val="20"/>
                          <w:szCs w:val="20"/>
                        </w:rPr>
                        <w:t xml:space="preserve"> - Final Parameter Values derived for the</w:t>
                      </w:r>
                      <w:r w:rsidRPr="005078D7">
                        <w:rPr>
                          <w:b/>
                          <w:sz w:val="20"/>
                          <w:szCs w:val="20"/>
                        </w:rPr>
                        <w:t xml:space="preserve"> </w:t>
                      </w:r>
                      <w:r>
                        <w:rPr>
                          <w:b/>
                          <w:sz w:val="20"/>
                          <w:szCs w:val="20"/>
                        </w:rPr>
                        <w:t>new</w:t>
                      </w:r>
                      <w:r w:rsidRPr="005078D7">
                        <w:rPr>
                          <w:b/>
                          <w:sz w:val="20"/>
                          <w:szCs w:val="20"/>
                        </w:rPr>
                        <w:t xml:space="preserve"> model.</w:t>
                      </w:r>
                      <w:r w:rsidRPr="005078D7">
                        <w:rPr>
                          <w:sz w:val="20"/>
                          <w:szCs w:val="20"/>
                        </w:rPr>
                        <w:t xml:space="preserve"> </w:t>
                      </w:r>
                      <w:r>
                        <w:rPr>
                          <w:sz w:val="20"/>
                          <w:szCs w:val="20"/>
                        </w:rPr>
                        <w:t>Using</w:t>
                      </w:r>
                      <w:r w:rsidRPr="005078D7">
                        <w:rPr>
                          <w:sz w:val="20"/>
                          <w:szCs w:val="20"/>
                        </w:rPr>
                        <w:t xml:space="preserve"> the </w:t>
                      </w:r>
                      <w:r>
                        <w:rPr>
                          <w:i/>
                          <w:sz w:val="20"/>
                          <w:szCs w:val="20"/>
                        </w:rPr>
                        <w:t>nsga2</w:t>
                      </w:r>
                      <w:r w:rsidRPr="005078D7">
                        <w:rPr>
                          <w:sz w:val="20"/>
                          <w:szCs w:val="20"/>
                        </w:rPr>
                        <w:t xml:space="preserve"> function of the </w:t>
                      </w:r>
                      <w:r w:rsidRPr="005078D7">
                        <w:rPr>
                          <w:i/>
                          <w:sz w:val="20"/>
                          <w:szCs w:val="20"/>
                        </w:rPr>
                        <w:t>mco</w:t>
                      </w:r>
                      <w:r>
                        <w:rPr>
                          <w:sz w:val="20"/>
                          <w:szCs w:val="20"/>
                        </w:rPr>
                        <w:t xml:space="preserve"> package </w:t>
                      </w:r>
                      <w:r w:rsidRPr="005078D7">
                        <w:rPr>
                          <w:sz w:val="20"/>
                          <w:szCs w:val="20"/>
                        </w:rPr>
                        <w:t>the rema</w:t>
                      </w:r>
                      <w:r>
                        <w:rPr>
                          <w:sz w:val="20"/>
                          <w:szCs w:val="20"/>
                        </w:rPr>
                        <w:t>ining unknown parameter values show in in the table were derived</w:t>
                      </w:r>
                      <w:r w:rsidRPr="005078D7">
                        <w:rPr>
                          <w:sz w:val="20"/>
                          <w:szCs w:val="20"/>
                        </w:rPr>
                        <w:t xml:space="preserve">, in combination with parameters </w:t>
                      </w:r>
                      <w:r>
                        <w:rPr>
                          <w:sz w:val="20"/>
                          <w:szCs w:val="20"/>
                        </w:rPr>
                        <w:t xml:space="preserve">previously </w:t>
                      </w:r>
                      <w:r w:rsidRPr="005078D7">
                        <w:rPr>
                          <w:sz w:val="20"/>
                          <w:szCs w:val="20"/>
                        </w:rPr>
                        <w:t>derived (</w:t>
                      </w:r>
                      <w:r>
                        <w:rPr>
                          <w:sz w:val="20"/>
                          <w:szCs w:val="20"/>
                        </w:rPr>
                        <w:fldChar w:fldCharType="begin"/>
                      </w:r>
                      <w:r>
                        <w:rPr>
                          <w:sz w:val="20"/>
                          <w:szCs w:val="20"/>
                        </w:rPr>
                        <w:instrText xml:space="preserve"> REF _Ref522637474 </w:instrText>
                      </w:r>
                      <w:r>
                        <w:rPr>
                          <w:sz w:val="20"/>
                          <w:szCs w:val="20"/>
                        </w:rPr>
                        <w:fldChar w:fldCharType="separate"/>
                      </w:r>
                      <w:r w:rsidRPr="00CC1327">
                        <w:rPr>
                          <w:b/>
                          <w:sz w:val="20"/>
                          <w:szCs w:val="20"/>
                        </w:rPr>
                        <w:t xml:space="preserve">Table </w:t>
                      </w:r>
                      <w:r>
                        <w:rPr>
                          <w:b/>
                          <w:noProof/>
                          <w:sz w:val="20"/>
                          <w:szCs w:val="20"/>
                        </w:rPr>
                        <w:t>5</w:t>
                      </w:r>
                      <w:r>
                        <w:rPr>
                          <w:b/>
                          <w:sz w:val="20"/>
                          <w:szCs w:val="20"/>
                        </w:rPr>
                        <w:t>.</w:t>
                      </w:r>
                      <w:r>
                        <w:rPr>
                          <w:b/>
                          <w:noProof/>
                          <w:sz w:val="20"/>
                          <w:szCs w:val="20"/>
                        </w:rPr>
                        <w:t>1</w:t>
                      </w:r>
                      <w:r>
                        <w:rPr>
                          <w:sz w:val="20"/>
                          <w:szCs w:val="20"/>
                        </w:rPr>
                        <w:fldChar w:fldCharType="end"/>
                      </w:r>
                      <w:r w:rsidRPr="005078D7">
                        <w:rPr>
                          <w:sz w:val="20"/>
                          <w:szCs w:val="20"/>
                        </w:rPr>
                        <w:t>).</w:t>
                      </w:r>
                      <w:r>
                        <w:rPr>
                          <w:sz w:val="20"/>
                          <w:szCs w:val="20"/>
                        </w:rPr>
                        <w:t xml:space="preserve"> Supplied parameter ranges for sampling were recorded alongside the value from the best fitting parameter set.</w:t>
                      </w:r>
                      <w:bookmarkEnd w:id="599"/>
                    </w:p>
                    <w:p w14:paraId="57BFF8D9" w14:textId="5CC0208D" w:rsidR="00F61130" w:rsidRPr="00CB43CB" w:rsidRDefault="00F61130" w:rsidP="00162201">
                      <w:pPr>
                        <w:pStyle w:val="Caption"/>
                        <w:rPr>
                          <w:color w:val="auto"/>
                        </w:rPr>
                      </w:pPr>
                    </w:p>
                  </w:txbxContent>
                </v:textbox>
                <w10:wrap type="topAndBottom"/>
              </v:shape>
            </w:pict>
          </mc:Fallback>
        </mc:AlternateContent>
      </w:r>
      <w:r w:rsidR="00C26A6F" w:rsidRPr="00281A6B">
        <w:rPr>
          <w:noProof/>
        </w:rPr>
        <w:drawing>
          <wp:anchor distT="0" distB="0" distL="114300" distR="114300" simplePos="0" relativeHeight="252185600" behindDoc="0" locked="0" layoutInCell="1" allowOverlap="1" wp14:anchorId="182849AF" wp14:editId="484E8570">
            <wp:simplePos x="0" y="0"/>
            <wp:positionH relativeFrom="margin">
              <wp:align>center</wp:align>
            </wp:positionH>
            <wp:positionV relativeFrom="paragraph">
              <wp:posOffset>0</wp:posOffset>
            </wp:positionV>
            <wp:extent cx="4270514" cy="3852000"/>
            <wp:effectExtent l="0" t="0" r="0" b="0"/>
            <wp:wrapTopAndBottom/>
            <wp:docPr id="519" name="Picture 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7">
                      <a:extLst>
                        <a:ext uri="{28A0092B-C50C-407E-A947-70E740481C1C}">
                          <a14:useLocalDpi xmlns:a14="http://schemas.microsoft.com/office/drawing/2010/main" val="0"/>
                        </a:ext>
                      </a:extLst>
                    </a:blip>
                    <a:srcRect r="2464" b="2890"/>
                    <a:stretch/>
                  </pic:blipFill>
                  <pic:spPr bwMode="auto">
                    <a:xfrm>
                      <a:off x="0" y="0"/>
                      <a:ext cx="4270514" cy="38520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E18A2DB" w14:textId="6059F98F" w:rsidR="00A61045" w:rsidRPr="008B3AD6" w:rsidRDefault="00A74364" w:rsidP="00C26A6F">
      <w:pPr>
        <w:spacing w:line="360" w:lineRule="auto"/>
        <w:jc w:val="both"/>
        <w:sectPr w:rsidR="00A61045" w:rsidRPr="008B3AD6" w:rsidSect="00E44977">
          <w:pgSz w:w="11900" w:h="16840"/>
          <w:pgMar w:top="1134" w:right="851" w:bottom="1134" w:left="2268" w:header="709" w:footer="709" w:gutter="0"/>
          <w:cols w:space="708"/>
          <w:docGrid w:linePitch="360"/>
        </w:sectPr>
      </w:pPr>
      <w:r w:rsidRPr="00803C0E">
        <w:rPr>
          <w:b/>
        </w:rPr>
        <w:fldChar w:fldCharType="begin"/>
      </w:r>
      <w:r w:rsidRPr="00803C0E">
        <w:rPr>
          <w:b/>
        </w:rPr>
        <w:instrText xml:space="preserve"> REF _Ref522646935 </w:instrText>
      </w:r>
      <w:r w:rsidR="00A61045" w:rsidRPr="00803C0E">
        <w:rPr>
          <w:b/>
        </w:rPr>
        <w:instrText xml:space="preserve"> \* MERGEFORMAT </w:instrText>
      </w:r>
      <w:r w:rsidRPr="00803C0E">
        <w:rPr>
          <w:b/>
        </w:rPr>
        <w:fldChar w:fldCharType="separate"/>
      </w:r>
      <w:r w:rsidR="00921CAF" w:rsidRPr="00921CAF">
        <w:rPr>
          <w:b/>
        </w:rPr>
        <w:t xml:space="preserve">Table </w:t>
      </w:r>
      <w:r w:rsidR="00921CAF" w:rsidRPr="00921CAF">
        <w:rPr>
          <w:b/>
          <w:noProof/>
        </w:rPr>
        <w:t>5.2</w:t>
      </w:r>
      <w:r w:rsidRPr="00803C0E">
        <w:rPr>
          <w:b/>
        </w:rPr>
        <w:fldChar w:fldCharType="end"/>
      </w:r>
      <w:r w:rsidRPr="008B3AD6">
        <w:t xml:space="preserve"> shows the </w:t>
      </w:r>
      <w:r w:rsidR="00A61045" w:rsidRPr="008B3AD6">
        <w:t>parameters that were identified using the multi-objective optimisation approach alongside the ranges that were sampled and the best fit value for each. Once the model had been calibrated a global sensitivity analysis</w:t>
      </w:r>
      <w:r w:rsidR="00237515">
        <w:t xml:space="preserve"> (see Section </w:t>
      </w:r>
      <w:r w:rsidR="00237515">
        <w:fldChar w:fldCharType="begin"/>
      </w:r>
      <w:r w:rsidR="00237515">
        <w:instrText xml:space="preserve"> REF _Ref525145100 \r \h </w:instrText>
      </w:r>
      <w:r w:rsidR="00237515">
        <w:fldChar w:fldCharType="separate"/>
      </w:r>
      <w:r w:rsidR="00921CAF">
        <w:t>2.15.8</w:t>
      </w:r>
      <w:r w:rsidR="00237515">
        <w:fldChar w:fldCharType="end"/>
      </w:r>
      <w:r w:rsidR="00237515">
        <w:t>)</w:t>
      </w:r>
      <w:r w:rsidR="00A61045" w:rsidRPr="008B3AD6">
        <w:t xml:space="preserve"> of all parameters shown in </w:t>
      </w:r>
      <w:r w:rsidR="00D034D1" w:rsidRPr="00803C0E">
        <w:rPr>
          <w:b/>
        </w:rPr>
        <w:fldChar w:fldCharType="begin"/>
      </w:r>
      <w:r w:rsidR="00D034D1" w:rsidRPr="00803C0E">
        <w:rPr>
          <w:b/>
        </w:rPr>
        <w:instrText xml:space="preserve"> REF _Ref522637474  \* MERGEFORMAT </w:instrText>
      </w:r>
      <w:r w:rsidR="00D034D1" w:rsidRPr="00803C0E">
        <w:rPr>
          <w:b/>
        </w:rPr>
        <w:fldChar w:fldCharType="separate"/>
      </w:r>
      <w:r w:rsidR="00921CAF" w:rsidRPr="00921CAF">
        <w:rPr>
          <w:b/>
        </w:rPr>
        <w:t xml:space="preserve">Table </w:t>
      </w:r>
      <w:r w:rsidR="00921CAF" w:rsidRPr="00921CAF">
        <w:rPr>
          <w:b/>
          <w:noProof/>
        </w:rPr>
        <w:t>5.1</w:t>
      </w:r>
      <w:r w:rsidR="00D034D1" w:rsidRPr="00803C0E">
        <w:rPr>
          <w:b/>
          <w:noProof/>
        </w:rPr>
        <w:fldChar w:fldCharType="end"/>
      </w:r>
      <w:r w:rsidR="00A61045" w:rsidRPr="00803C0E">
        <w:rPr>
          <w:b/>
        </w:rPr>
        <w:t xml:space="preserve"> </w:t>
      </w:r>
      <w:r w:rsidR="00A61045" w:rsidRPr="00803C0E">
        <w:t>and</w:t>
      </w:r>
      <w:r w:rsidR="00A61045" w:rsidRPr="00803C0E">
        <w:rPr>
          <w:b/>
        </w:rPr>
        <w:t xml:space="preserve"> </w:t>
      </w:r>
      <w:r w:rsidR="00D034D1" w:rsidRPr="00803C0E">
        <w:rPr>
          <w:b/>
        </w:rPr>
        <w:fldChar w:fldCharType="begin"/>
      </w:r>
      <w:r w:rsidR="00D034D1" w:rsidRPr="00803C0E">
        <w:rPr>
          <w:b/>
        </w:rPr>
        <w:instrText xml:space="preserve"> REF _Ref522646935  \* MERGEFORMAT </w:instrText>
      </w:r>
      <w:r w:rsidR="00D034D1" w:rsidRPr="00803C0E">
        <w:rPr>
          <w:b/>
        </w:rPr>
        <w:fldChar w:fldCharType="separate"/>
      </w:r>
      <w:r w:rsidR="00921CAF" w:rsidRPr="00921CAF">
        <w:rPr>
          <w:b/>
        </w:rPr>
        <w:t xml:space="preserve">Table </w:t>
      </w:r>
      <w:r w:rsidR="00921CAF" w:rsidRPr="00921CAF">
        <w:rPr>
          <w:b/>
          <w:noProof/>
        </w:rPr>
        <w:t>5.2</w:t>
      </w:r>
      <w:r w:rsidR="00D034D1" w:rsidRPr="00803C0E">
        <w:rPr>
          <w:b/>
          <w:noProof/>
        </w:rPr>
        <w:fldChar w:fldCharType="end"/>
      </w:r>
      <w:r w:rsidR="00A61045" w:rsidRPr="008B3AD6">
        <w:t xml:space="preserve"> was carried out with parameter perturbed over the prior ranges that</w:t>
      </w:r>
      <w:r w:rsidR="00FB09BC" w:rsidRPr="008B3AD6">
        <w:t xml:space="preserve"> were</w:t>
      </w:r>
      <w:r w:rsidR="00A61045" w:rsidRPr="008B3AD6">
        <w:t xml:space="preserve"> used in the calibration.</w:t>
      </w:r>
      <w:r w:rsidR="00853D39" w:rsidRPr="008B3AD6">
        <w:t xml:space="preserve">  One of the novel features within the presented model is the simulation of both susceptible and infected myeloid cells </w:t>
      </w:r>
      <w:r w:rsidR="005E355D" w:rsidRPr="008B3AD6">
        <w:t xml:space="preserve">coupled to intracellular and extracellular </w:t>
      </w:r>
      <w:r w:rsidR="005E355D" w:rsidRPr="008B3AD6">
        <w:rPr>
          <w:i/>
        </w:rPr>
        <w:t>L. donovani</w:t>
      </w:r>
      <w:r w:rsidR="005E355D" w:rsidRPr="008B3AD6">
        <w:t>.</w:t>
      </w:r>
      <w:r w:rsidR="00A36E67" w:rsidRPr="008B3AD6">
        <w:t xml:space="preserve"> </w:t>
      </w:r>
      <w:r w:rsidR="00D034D1" w:rsidRPr="00803C0E">
        <w:rPr>
          <w:b/>
        </w:rPr>
        <w:fldChar w:fldCharType="begin"/>
      </w:r>
      <w:r w:rsidR="00D034D1" w:rsidRPr="00803C0E">
        <w:rPr>
          <w:b/>
        </w:rPr>
        <w:instrText xml:space="preserve"> REF _Ref522716221  \* MERGEFORMAT </w:instrText>
      </w:r>
      <w:r w:rsidR="00D034D1" w:rsidRPr="00803C0E">
        <w:rPr>
          <w:b/>
        </w:rPr>
        <w:fldChar w:fldCharType="separate"/>
      </w:r>
      <w:r w:rsidR="00921CAF" w:rsidRPr="00921CAF">
        <w:rPr>
          <w:b/>
        </w:rPr>
        <w:t xml:space="preserve">Figure </w:t>
      </w:r>
      <w:r w:rsidR="00921CAF" w:rsidRPr="00921CAF">
        <w:rPr>
          <w:b/>
          <w:noProof/>
        </w:rPr>
        <w:t>5.7</w:t>
      </w:r>
      <w:r w:rsidR="00D034D1" w:rsidRPr="00803C0E">
        <w:rPr>
          <w:b/>
          <w:noProof/>
        </w:rPr>
        <w:fldChar w:fldCharType="end"/>
      </w:r>
      <w:r w:rsidR="00A36E67" w:rsidRPr="008B3AD6">
        <w:t xml:space="preserve"> shows the quantification of parameter influence on the level of intracellular </w:t>
      </w:r>
      <w:r w:rsidR="00A36E67" w:rsidRPr="008B3AD6">
        <w:rPr>
          <w:i/>
        </w:rPr>
        <w:t>L. donovani</w:t>
      </w:r>
      <w:r w:rsidR="00A36E67" w:rsidRPr="008B3AD6">
        <w:t>, the key population in the establishment of a hepatic VL infection, over the infection time course. Partial rank correlation coefficients (PRCC)</w:t>
      </w:r>
      <w:r w:rsidR="000F7448" w:rsidRPr="008B3AD6">
        <w:t>, a measure of parameter influence, were derived</w:t>
      </w:r>
      <w:r w:rsidR="00A36E67" w:rsidRPr="008B3AD6">
        <w:t xml:space="preserve"> for all model </w:t>
      </w:r>
      <w:r w:rsidR="000F7448" w:rsidRPr="008B3AD6">
        <w:t xml:space="preserve">parameters </w:t>
      </w:r>
      <w:r w:rsidR="00A36E67" w:rsidRPr="008B3AD6">
        <w:t xml:space="preserve">at daily time points from 1 day post-infection to 42 days post-infection from 500 </w:t>
      </w:r>
      <w:r w:rsidR="000F7448" w:rsidRPr="008B3AD6">
        <w:t>parameter sets generated using latin hypercube (LHC) sampling. This analysis indicated that different groups of parameters were influential in early stages of infection (1 - 14 days post-infection) and late stages (15 - 42 days post-infection), for example the average PRCC indicated the rate of infection (</w:t>
      </w:r>
      <w:r w:rsidR="000F7448" w:rsidRPr="008B3AD6">
        <w:rPr>
          <w:i/>
        </w:rPr>
        <w:t>bm</w:t>
      </w:r>
      <w:r w:rsidR="000F7448" w:rsidRPr="008B3AD6">
        <w:t>) was ~7-fold more influential</w:t>
      </w:r>
      <w:r w:rsidR="00237515">
        <w:t xml:space="preserve"> at the earlier stage of infection</w:t>
      </w:r>
      <w:r w:rsidR="000F7448" w:rsidRPr="008B3AD6">
        <w:t xml:space="preserve"> compared to</w:t>
      </w:r>
      <w:r w:rsidR="00237515">
        <w:t xml:space="preserve"> the</w:t>
      </w:r>
      <w:r w:rsidR="000F7448" w:rsidRPr="008B3AD6">
        <w:t xml:space="preserve"> late stage.</w:t>
      </w:r>
    </w:p>
    <w:p w14:paraId="2170C6F2" w14:textId="3D1B3229" w:rsidR="000F7448" w:rsidRPr="008B3AD6" w:rsidRDefault="00C65641" w:rsidP="00811814">
      <w:r>
        <w:rPr>
          <w:noProof/>
        </w:rPr>
        <w:lastRenderedPageBreak/>
        <mc:AlternateContent>
          <mc:Choice Requires="wps">
            <w:drawing>
              <wp:anchor distT="0" distB="0" distL="114300" distR="114300" simplePos="0" relativeHeight="251859968" behindDoc="0" locked="0" layoutInCell="1" allowOverlap="1" wp14:anchorId="308FA607" wp14:editId="07620284">
                <wp:simplePos x="0" y="0"/>
                <wp:positionH relativeFrom="column">
                  <wp:posOffset>-5080</wp:posOffset>
                </wp:positionH>
                <wp:positionV relativeFrom="paragraph">
                  <wp:posOffset>2798445</wp:posOffset>
                </wp:positionV>
                <wp:extent cx="5575935" cy="2256790"/>
                <wp:effectExtent l="0" t="0" r="0" b="3810"/>
                <wp:wrapTopAndBottom/>
                <wp:docPr id="108" name="Text Box 108"/>
                <wp:cNvGraphicFramePr/>
                <a:graphic xmlns:a="http://schemas.openxmlformats.org/drawingml/2006/main">
                  <a:graphicData uri="http://schemas.microsoft.com/office/word/2010/wordprocessingShape">
                    <wps:wsp>
                      <wps:cNvSpPr txBox="1"/>
                      <wps:spPr>
                        <a:xfrm>
                          <a:off x="0" y="0"/>
                          <a:ext cx="5575935" cy="2256790"/>
                        </a:xfrm>
                        <a:prstGeom prst="rect">
                          <a:avLst/>
                        </a:prstGeom>
                        <a:solidFill>
                          <a:prstClr val="white"/>
                        </a:solidFill>
                        <a:ln>
                          <a:noFill/>
                        </a:ln>
                      </wps:spPr>
                      <wps:txbx>
                        <w:txbxContent>
                          <w:p w14:paraId="5AEF65D0" w14:textId="46063226" w:rsidR="00F61130" w:rsidRPr="00A36E67" w:rsidRDefault="00F61130" w:rsidP="00B23FF8">
                            <w:pPr>
                              <w:pStyle w:val="Caption"/>
                              <w:spacing w:line="360" w:lineRule="auto"/>
                              <w:jc w:val="both"/>
                              <w:rPr>
                                <w:color w:val="auto"/>
                                <w:sz w:val="20"/>
                                <w:szCs w:val="20"/>
                              </w:rPr>
                            </w:pPr>
                            <w:bookmarkStart w:id="600" w:name="_Ref522716221"/>
                            <w:bookmarkStart w:id="601" w:name="_Toc525227242"/>
                            <w:bookmarkStart w:id="602" w:name="_Toc536814181"/>
                            <w:r w:rsidRPr="005E355D">
                              <w:rPr>
                                <w:b/>
                                <w:sz w:val="20"/>
                                <w:szCs w:val="20"/>
                              </w:rPr>
                              <w:t xml:space="preserve">Figure </w:t>
                            </w:r>
                            <w:r>
                              <w:rPr>
                                <w:b/>
                                <w:sz w:val="20"/>
                                <w:szCs w:val="20"/>
                              </w:rPr>
                              <w:fldChar w:fldCharType="begin"/>
                            </w:r>
                            <w:r>
                              <w:rPr>
                                <w:b/>
                                <w:sz w:val="20"/>
                                <w:szCs w:val="20"/>
                              </w:rPr>
                              <w:instrText xml:space="preserve"> STYLEREF 1 \s </w:instrText>
                            </w:r>
                            <w:r>
                              <w:rPr>
                                <w:b/>
                                <w:sz w:val="20"/>
                                <w:szCs w:val="20"/>
                              </w:rPr>
                              <w:fldChar w:fldCharType="separate"/>
                            </w:r>
                            <w:r>
                              <w:rPr>
                                <w:b/>
                                <w:noProof/>
                                <w:sz w:val="20"/>
                                <w:szCs w:val="20"/>
                              </w:rPr>
                              <w:t>5</w:t>
                            </w:r>
                            <w:r>
                              <w:rPr>
                                <w:b/>
                                <w:sz w:val="20"/>
                                <w:szCs w:val="20"/>
                              </w:rPr>
                              <w:fldChar w:fldCharType="end"/>
                            </w:r>
                            <w:r>
                              <w:rPr>
                                <w:b/>
                                <w:sz w:val="20"/>
                                <w:szCs w:val="20"/>
                              </w:rPr>
                              <w:t>.</w:t>
                            </w:r>
                            <w:r>
                              <w:rPr>
                                <w:b/>
                                <w:sz w:val="20"/>
                                <w:szCs w:val="20"/>
                              </w:rPr>
                              <w:fldChar w:fldCharType="begin"/>
                            </w:r>
                            <w:r>
                              <w:rPr>
                                <w:b/>
                                <w:sz w:val="20"/>
                                <w:szCs w:val="20"/>
                              </w:rPr>
                              <w:instrText xml:space="preserve"> SEQ Figure \* ARABIC \s 1 </w:instrText>
                            </w:r>
                            <w:r>
                              <w:rPr>
                                <w:b/>
                                <w:sz w:val="20"/>
                                <w:szCs w:val="20"/>
                              </w:rPr>
                              <w:fldChar w:fldCharType="separate"/>
                            </w:r>
                            <w:r>
                              <w:rPr>
                                <w:b/>
                                <w:noProof/>
                                <w:sz w:val="20"/>
                                <w:szCs w:val="20"/>
                              </w:rPr>
                              <w:t>7</w:t>
                            </w:r>
                            <w:r>
                              <w:rPr>
                                <w:b/>
                                <w:sz w:val="20"/>
                                <w:szCs w:val="20"/>
                              </w:rPr>
                              <w:fldChar w:fldCharType="end"/>
                            </w:r>
                            <w:bookmarkEnd w:id="600"/>
                            <w:r w:rsidRPr="005E355D">
                              <w:rPr>
                                <w:b/>
                                <w:sz w:val="20"/>
                                <w:szCs w:val="20"/>
                              </w:rPr>
                              <w:t xml:space="preserve"> - Global sensitivity analysis of parameter influence on Intracellular </w:t>
                            </w:r>
                            <w:r w:rsidRPr="005E355D">
                              <w:rPr>
                                <w:b/>
                                <w:i/>
                                <w:sz w:val="20"/>
                                <w:szCs w:val="20"/>
                              </w:rPr>
                              <w:t>L. donovani</w:t>
                            </w:r>
                            <w:r w:rsidRPr="005E355D">
                              <w:rPr>
                                <w:b/>
                                <w:sz w:val="20"/>
                                <w:szCs w:val="20"/>
                              </w:rPr>
                              <w:t xml:space="preserve"> levels. </w:t>
                            </w:r>
                            <w:r>
                              <w:rPr>
                                <w:sz w:val="20"/>
                                <w:szCs w:val="20"/>
                              </w:rPr>
                              <w:t xml:space="preserve">500 parameter sets were generated using latin hyper cube (LHC) sampling over parameter prior ranges (see </w:t>
                            </w:r>
                            <w:r>
                              <w:rPr>
                                <w:sz w:val="20"/>
                                <w:szCs w:val="20"/>
                              </w:rPr>
                              <w:fldChar w:fldCharType="begin"/>
                            </w:r>
                            <w:r>
                              <w:rPr>
                                <w:sz w:val="20"/>
                                <w:szCs w:val="20"/>
                              </w:rPr>
                              <w:instrText xml:space="preserve"> REF _Ref522637474  \* MERGEFORMAT </w:instrText>
                            </w:r>
                            <w:r>
                              <w:rPr>
                                <w:sz w:val="20"/>
                                <w:szCs w:val="20"/>
                              </w:rPr>
                              <w:fldChar w:fldCharType="separate"/>
                            </w:r>
                            <w:r w:rsidRPr="00CC1327">
                              <w:rPr>
                                <w:b/>
                                <w:sz w:val="20"/>
                                <w:szCs w:val="20"/>
                              </w:rPr>
                              <w:t xml:space="preserve">Table </w:t>
                            </w:r>
                            <w:r>
                              <w:rPr>
                                <w:b/>
                                <w:noProof/>
                                <w:sz w:val="20"/>
                                <w:szCs w:val="20"/>
                              </w:rPr>
                              <w:t>5</w:t>
                            </w:r>
                            <w:r>
                              <w:rPr>
                                <w:b/>
                                <w:sz w:val="20"/>
                                <w:szCs w:val="20"/>
                              </w:rPr>
                              <w:t>.</w:t>
                            </w:r>
                            <w:r>
                              <w:rPr>
                                <w:b/>
                                <w:noProof/>
                                <w:sz w:val="20"/>
                                <w:szCs w:val="20"/>
                              </w:rPr>
                              <w:t>1</w:t>
                            </w:r>
                            <w:r>
                              <w:rPr>
                                <w:sz w:val="20"/>
                                <w:szCs w:val="20"/>
                              </w:rPr>
                              <w:fldChar w:fldCharType="end"/>
                            </w:r>
                            <w:r>
                              <w:rPr>
                                <w:sz w:val="20"/>
                                <w:szCs w:val="20"/>
                              </w:rPr>
                              <w:t xml:space="preserve"> and </w:t>
                            </w:r>
                            <w:r>
                              <w:rPr>
                                <w:sz w:val="20"/>
                                <w:szCs w:val="20"/>
                              </w:rPr>
                              <w:fldChar w:fldCharType="begin"/>
                            </w:r>
                            <w:r>
                              <w:rPr>
                                <w:sz w:val="20"/>
                                <w:szCs w:val="20"/>
                              </w:rPr>
                              <w:instrText xml:space="preserve"> REF _Ref522646935  \* MERGEFORMAT </w:instrText>
                            </w:r>
                            <w:r>
                              <w:rPr>
                                <w:sz w:val="20"/>
                                <w:szCs w:val="20"/>
                              </w:rPr>
                              <w:fldChar w:fldCharType="separate"/>
                            </w:r>
                            <w:r w:rsidRPr="00162201">
                              <w:rPr>
                                <w:b/>
                                <w:sz w:val="20"/>
                                <w:szCs w:val="20"/>
                              </w:rPr>
                              <w:t xml:space="preserve">Table </w:t>
                            </w:r>
                            <w:r>
                              <w:rPr>
                                <w:b/>
                                <w:noProof/>
                                <w:sz w:val="20"/>
                                <w:szCs w:val="20"/>
                              </w:rPr>
                              <w:t>5</w:t>
                            </w:r>
                            <w:r w:rsidRPr="00162201">
                              <w:rPr>
                                <w:b/>
                                <w:sz w:val="20"/>
                                <w:szCs w:val="20"/>
                              </w:rPr>
                              <w:t>.</w:t>
                            </w:r>
                            <w:r>
                              <w:rPr>
                                <w:b/>
                                <w:noProof/>
                                <w:sz w:val="20"/>
                                <w:szCs w:val="20"/>
                              </w:rPr>
                              <w:t>2</w:t>
                            </w:r>
                            <w:r>
                              <w:rPr>
                                <w:sz w:val="20"/>
                                <w:szCs w:val="20"/>
                              </w:rPr>
                              <w:fldChar w:fldCharType="end"/>
                            </w:r>
                            <w:r>
                              <w:rPr>
                                <w:sz w:val="20"/>
                                <w:szCs w:val="20"/>
                              </w:rPr>
                              <w:t>) and simulated. The influence of the parameters, shown in the legend, were quantified using a Partial Rank Correlation Coefficient (PRCC), whereby a positive value reflects a proportional relationship (</w:t>
                            </w:r>
                            <w:r>
                              <w:rPr>
                                <w:sz w:val="20"/>
                                <w:szCs w:val="20"/>
                              </w:rPr>
                              <w:sym w:font="Symbol" w:char="F020"/>
                            </w:r>
                            <w:r>
                              <w:rPr>
                                <w:sz w:val="20"/>
                                <w:szCs w:val="20"/>
                              </w:rPr>
                              <w:sym w:font="Symbol" w:char="F0AD"/>
                            </w:r>
                            <w:r>
                              <w:rPr>
                                <w:sz w:val="20"/>
                                <w:szCs w:val="20"/>
                              </w:rPr>
                              <w:t xml:space="preserve"> Parameter value = </w:t>
                            </w:r>
                            <w:r>
                              <w:rPr>
                                <w:sz w:val="20"/>
                                <w:szCs w:val="20"/>
                              </w:rPr>
                              <w:sym w:font="Symbol" w:char="F0AD"/>
                            </w:r>
                            <w:r>
                              <w:rPr>
                                <w:sz w:val="20"/>
                                <w:szCs w:val="20"/>
                              </w:rPr>
                              <w:t xml:space="preserve"> </w:t>
                            </w:r>
                            <w:r>
                              <w:rPr>
                                <w:i/>
                                <w:sz w:val="20"/>
                                <w:szCs w:val="20"/>
                              </w:rPr>
                              <w:t>L. donovani</w:t>
                            </w:r>
                            <w:r>
                              <w:rPr>
                                <w:sz w:val="20"/>
                                <w:szCs w:val="20"/>
                              </w:rPr>
                              <w:t xml:space="preserve"> number) and a negative value reflects an inverse proportional relationship (</w:t>
                            </w:r>
                            <w:r>
                              <w:rPr>
                                <w:sz w:val="20"/>
                                <w:szCs w:val="20"/>
                              </w:rPr>
                              <w:sym w:font="Symbol" w:char="F0AF"/>
                            </w:r>
                            <w:r>
                              <w:rPr>
                                <w:sz w:val="20"/>
                                <w:szCs w:val="20"/>
                              </w:rPr>
                              <w:t xml:space="preserve"> Parameter value = </w:t>
                            </w:r>
                            <w:r>
                              <w:rPr>
                                <w:sz w:val="20"/>
                                <w:szCs w:val="20"/>
                              </w:rPr>
                              <w:sym w:font="Symbol" w:char="F0AD"/>
                            </w:r>
                            <w:r>
                              <w:rPr>
                                <w:sz w:val="20"/>
                                <w:szCs w:val="20"/>
                              </w:rPr>
                              <w:t xml:space="preserve"> </w:t>
                            </w:r>
                            <w:r>
                              <w:rPr>
                                <w:i/>
                                <w:sz w:val="20"/>
                                <w:szCs w:val="20"/>
                              </w:rPr>
                              <w:t>L. donovani</w:t>
                            </w:r>
                            <w:r>
                              <w:rPr>
                                <w:sz w:val="20"/>
                                <w:szCs w:val="20"/>
                              </w:rPr>
                              <w:t>). The higher the value the stronger the relationship.</w:t>
                            </w:r>
                            <w:bookmarkEnd w:id="601"/>
                            <w:r>
                              <w:rPr>
                                <w:sz w:val="20"/>
                                <w:szCs w:val="20"/>
                              </w:rPr>
                              <w:t xml:space="preserve"> </w:t>
                            </w:r>
                            <w:r w:rsidRPr="00C65641">
                              <w:rPr>
                                <w:sz w:val="20"/>
                                <w:szCs w:val="20"/>
                              </w:rPr>
                              <w:t>Parameters analysed are: (dt) T cell exit rate, (lt) T cell supply rate, (dm) myeloid cell exit rate, (lm) myeoid cell supply rate, (at) maximal T cell growth rate, (am) maximal myeloid cell growth rate, (ap), L. donovani growth rate, (eg) L. donovani egress rate, (a) IC</w:t>
                            </w:r>
                            <w:r w:rsidRPr="00B23FF8">
                              <w:rPr>
                                <w:sz w:val="20"/>
                                <w:szCs w:val="20"/>
                                <w:vertAlign w:val="subscript"/>
                              </w:rPr>
                              <w:t>50</w:t>
                            </w:r>
                            <w:r w:rsidRPr="00C65641">
                              <w:rPr>
                                <w:sz w:val="20"/>
                                <w:szCs w:val="20"/>
                              </w:rPr>
                              <w:t xml:space="preserve"> of anti-leishmanial compounds, (tau) time delay in anti-leishmanial compound production, (bm) rate of infection and (c) number of internalised parasites per infection.</w:t>
                            </w:r>
                            <w:bookmarkEnd w:id="602"/>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08FA607" id="Text Box 108" o:spid="_x0000_s1178" type="#_x0000_t202" style="position:absolute;margin-left:-.4pt;margin-top:220.35pt;width:439.05pt;height:177.7pt;z-index:2518599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f8ilvNgIAAG4EAAAOAAAAZHJzL2Uyb0RvYy54bWysVFFv2yAQfp+0/4B4X5xkSrtacaosVaZJ&#13;&#10;UVspmfpMMMRIwDEgsbNfvwPH6dbtadoLPu6Og+/77jy/74wmJ+GDAlvRyWhMibAcamUPFf22W3/4&#13;&#10;REmIzNZMgxUVPYtA7xfv381bV4opNKBr4QkWsaFsXUWbGF1ZFIE3wrAwAicsBiV4wyJu/aGoPWux&#13;&#10;utHFdDy+KVrwtfPARQjofeiDdJHrSyl4fJIyiEh0RfFtMa8+r/u0Fos5Kw+euUbxyzPYP7zCMGXx&#13;&#10;0mupBxYZOXr1RymjuIcAMo44mAKkVFxkDIhmMn6DZtswJzIWJCe4K03h/5Xlj6dnT1SN2o1RKssM&#13;&#10;irQTXSSfoSPJhwy1LpSYuHWYGjsMYPbgD+hMwDvpTfoiJIJx5Pp85TeV4+iczW5ndx9nlHCMTaez&#13;&#10;m9u7rEDxetz5EL8IMCQZFfUoYOaVnTYh4lMwdUhJtwXQql4rrdMmBVbakxNDsdtGRZEeiSd+y9I2&#13;&#10;5VpIp/pw8hQJY48lWbHbdz0rs+mAdA/1GQnw0DdRcHyt8MYNC/GZeewaxIyTEJ9wkRraisLFoqQB&#13;&#10;/+Nv/pSPYmKUkha7sKLh+5F5QYn+alHm1LKD4QdjPxj2aFaAWCc4Y45nEw/4qAdTejAvOCDLdAuG&#13;&#10;mOV4V0XjYK5iPws4YFwslzkJG9OxuLFbx1Ppgdld98K8u+gSUdJHGPqTlW/k6XN7npfHCFJl7RKz&#13;&#10;PYsXwrGps0CXAUxT8+s+Z73+JhY/AQAA//8DAFBLAwQUAAYACAAAACEAifgtfOQAAAAOAQAADwAA&#13;&#10;AGRycy9kb3ducmV2LnhtbEyPwU7DMBBE70j8g7VIXBB1WqqkpHEqaOAGh5aq5228JBHxOoqdJv17&#13;&#10;3BNcRlqNduZNtplMK87Uu8aygvksAkFcWt1wpeDw9f64AuE8ssbWMim4kINNfnuTYartyDs6730l&#13;&#10;Qgi7FBXU3neplK6syaCb2Y44eN+2N+jD2VdS9ziGcNPKRRTF0mDDoaHGjrY1lT/7wSiIi34Yd7x9&#13;&#10;KA5vH/jZVYvj6+Wo1P3dVKyDvKxBeJr83wdcNwR+yAPYyQ6snWgVXOm9guUySkAEf5UkTyBOCpLn&#13;&#10;eA4yz+T/GfkvAAAA//8DAFBLAQItABQABgAIAAAAIQC2gziS/gAAAOEBAAATAAAAAAAAAAAAAAAA&#13;&#10;AAAAAABbQ29udGVudF9UeXBlc10ueG1sUEsBAi0AFAAGAAgAAAAhADj9If/WAAAAlAEAAAsAAAAA&#13;&#10;AAAAAAAAAAAALwEAAF9yZWxzLy5yZWxzUEsBAi0AFAAGAAgAAAAhAN/yKW82AgAAbgQAAA4AAAAA&#13;&#10;AAAAAAAAAAAALgIAAGRycy9lMm9Eb2MueG1sUEsBAi0AFAAGAAgAAAAhAIn4LXzkAAAADgEAAA8A&#13;&#10;AAAAAAAAAAAAAAAAkAQAAGRycy9kb3ducmV2LnhtbFBLBQYAAAAABAAEAPMAAAChBQAAAAA=&#13;&#10;" stroked="f">
                <v:textbox inset="0,0,0,0">
                  <w:txbxContent>
                    <w:p w14:paraId="5AEF65D0" w14:textId="46063226" w:rsidR="00F61130" w:rsidRPr="00A36E67" w:rsidRDefault="00F61130" w:rsidP="00B23FF8">
                      <w:pPr>
                        <w:pStyle w:val="Caption"/>
                        <w:spacing w:line="360" w:lineRule="auto"/>
                        <w:jc w:val="both"/>
                        <w:rPr>
                          <w:color w:val="auto"/>
                          <w:sz w:val="20"/>
                          <w:szCs w:val="20"/>
                        </w:rPr>
                      </w:pPr>
                      <w:bookmarkStart w:id="603" w:name="_Ref522716221"/>
                      <w:bookmarkStart w:id="604" w:name="_Toc525227242"/>
                      <w:bookmarkStart w:id="605" w:name="_Toc536814181"/>
                      <w:r w:rsidRPr="005E355D">
                        <w:rPr>
                          <w:b/>
                          <w:sz w:val="20"/>
                          <w:szCs w:val="20"/>
                        </w:rPr>
                        <w:t xml:space="preserve">Figure </w:t>
                      </w:r>
                      <w:r>
                        <w:rPr>
                          <w:b/>
                          <w:sz w:val="20"/>
                          <w:szCs w:val="20"/>
                        </w:rPr>
                        <w:fldChar w:fldCharType="begin"/>
                      </w:r>
                      <w:r>
                        <w:rPr>
                          <w:b/>
                          <w:sz w:val="20"/>
                          <w:szCs w:val="20"/>
                        </w:rPr>
                        <w:instrText xml:space="preserve"> STYLEREF 1 \s </w:instrText>
                      </w:r>
                      <w:r>
                        <w:rPr>
                          <w:b/>
                          <w:sz w:val="20"/>
                          <w:szCs w:val="20"/>
                        </w:rPr>
                        <w:fldChar w:fldCharType="separate"/>
                      </w:r>
                      <w:r>
                        <w:rPr>
                          <w:b/>
                          <w:noProof/>
                          <w:sz w:val="20"/>
                          <w:szCs w:val="20"/>
                        </w:rPr>
                        <w:t>5</w:t>
                      </w:r>
                      <w:r>
                        <w:rPr>
                          <w:b/>
                          <w:sz w:val="20"/>
                          <w:szCs w:val="20"/>
                        </w:rPr>
                        <w:fldChar w:fldCharType="end"/>
                      </w:r>
                      <w:r>
                        <w:rPr>
                          <w:b/>
                          <w:sz w:val="20"/>
                          <w:szCs w:val="20"/>
                        </w:rPr>
                        <w:t>.</w:t>
                      </w:r>
                      <w:r>
                        <w:rPr>
                          <w:b/>
                          <w:sz w:val="20"/>
                          <w:szCs w:val="20"/>
                        </w:rPr>
                        <w:fldChar w:fldCharType="begin"/>
                      </w:r>
                      <w:r>
                        <w:rPr>
                          <w:b/>
                          <w:sz w:val="20"/>
                          <w:szCs w:val="20"/>
                        </w:rPr>
                        <w:instrText xml:space="preserve"> SEQ Figure \* ARABIC \s 1 </w:instrText>
                      </w:r>
                      <w:r>
                        <w:rPr>
                          <w:b/>
                          <w:sz w:val="20"/>
                          <w:szCs w:val="20"/>
                        </w:rPr>
                        <w:fldChar w:fldCharType="separate"/>
                      </w:r>
                      <w:r>
                        <w:rPr>
                          <w:b/>
                          <w:noProof/>
                          <w:sz w:val="20"/>
                          <w:szCs w:val="20"/>
                        </w:rPr>
                        <w:t>7</w:t>
                      </w:r>
                      <w:r>
                        <w:rPr>
                          <w:b/>
                          <w:sz w:val="20"/>
                          <w:szCs w:val="20"/>
                        </w:rPr>
                        <w:fldChar w:fldCharType="end"/>
                      </w:r>
                      <w:bookmarkEnd w:id="603"/>
                      <w:r w:rsidRPr="005E355D">
                        <w:rPr>
                          <w:b/>
                          <w:sz w:val="20"/>
                          <w:szCs w:val="20"/>
                        </w:rPr>
                        <w:t xml:space="preserve"> - Global sensitivity analysis of parameter influence on Intracellular </w:t>
                      </w:r>
                      <w:r w:rsidRPr="005E355D">
                        <w:rPr>
                          <w:b/>
                          <w:i/>
                          <w:sz w:val="20"/>
                          <w:szCs w:val="20"/>
                        </w:rPr>
                        <w:t>L. donovani</w:t>
                      </w:r>
                      <w:r w:rsidRPr="005E355D">
                        <w:rPr>
                          <w:b/>
                          <w:sz w:val="20"/>
                          <w:szCs w:val="20"/>
                        </w:rPr>
                        <w:t xml:space="preserve"> levels. </w:t>
                      </w:r>
                      <w:r>
                        <w:rPr>
                          <w:sz w:val="20"/>
                          <w:szCs w:val="20"/>
                        </w:rPr>
                        <w:t xml:space="preserve">500 parameter sets were generated using latin hyper cube (LHC) sampling over parameter prior ranges (see </w:t>
                      </w:r>
                      <w:r>
                        <w:rPr>
                          <w:sz w:val="20"/>
                          <w:szCs w:val="20"/>
                        </w:rPr>
                        <w:fldChar w:fldCharType="begin"/>
                      </w:r>
                      <w:r>
                        <w:rPr>
                          <w:sz w:val="20"/>
                          <w:szCs w:val="20"/>
                        </w:rPr>
                        <w:instrText xml:space="preserve"> REF _Ref522637474  \* MERGEFORMAT </w:instrText>
                      </w:r>
                      <w:r>
                        <w:rPr>
                          <w:sz w:val="20"/>
                          <w:szCs w:val="20"/>
                        </w:rPr>
                        <w:fldChar w:fldCharType="separate"/>
                      </w:r>
                      <w:r w:rsidRPr="00CC1327">
                        <w:rPr>
                          <w:b/>
                          <w:sz w:val="20"/>
                          <w:szCs w:val="20"/>
                        </w:rPr>
                        <w:t xml:space="preserve">Table </w:t>
                      </w:r>
                      <w:r>
                        <w:rPr>
                          <w:b/>
                          <w:noProof/>
                          <w:sz w:val="20"/>
                          <w:szCs w:val="20"/>
                        </w:rPr>
                        <w:t>5</w:t>
                      </w:r>
                      <w:r>
                        <w:rPr>
                          <w:b/>
                          <w:sz w:val="20"/>
                          <w:szCs w:val="20"/>
                        </w:rPr>
                        <w:t>.</w:t>
                      </w:r>
                      <w:r>
                        <w:rPr>
                          <w:b/>
                          <w:noProof/>
                          <w:sz w:val="20"/>
                          <w:szCs w:val="20"/>
                        </w:rPr>
                        <w:t>1</w:t>
                      </w:r>
                      <w:r>
                        <w:rPr>
                          <w:sz w:val="20"/>
                          <w:szCs w:val="20"/>
                        </w:rPr>
                        <w:fldChar w:fldCharType="end"/>
                      </w:r>
                      <w:r>
                        <w:rPr>
                          <w:sz w:val="20"/>
                          <w:szCs w:val="20"/>
                        </w:rPr>
                        <w:t xml:space="preserve"> and </w:t>
                      </w:r>
                      <w:r>
                        <w:rPr>
                          <w:sz w:val="20"/>
                          <w:szCs w:val="20"/>
                        </w:rPr>
                        <w:fldChar w:fldCharType="begin"/>
                      </w:r>
                      <w:r>
                        <w:rPr>
                          <w:sz w:val="20"/>
                          <w:szCs w:val="20"/>
                        </w:rPr>
                        <w:instrText xml:space="preserve"> REF _Ref522646935  \* MERGEFORMAT </w:instrText>
                      </w:r>
                      <w:r>
                        <w:rPr>
                          <w:sz w:val="20"/>
                          <w:szCs w:val="20"/>
                        </w:rPr>
                        <w:fldChar w:fldCharType="separate"/>
                      </w:r>
                      <w:r w:rsidRPr="00162201">
                        <w:rPr>
                          <w:b/>
                          <w:sz w:val="20"/>
                          <w:szCs w:val="20"/>
                        </w:rPr>
                        <w:t xml:space="preserve">Table </w:t>
                      </w:r>
                      <w:r>
                        <w:rPr>
                          <w:b/>
                          <w:noProof/>
                          <w:sz w:val="20"/>
                          <w:szCs w:val="20"/>
                        </w:rPr>
                        <w:t>5</w:t>
                      </w:r>
                      <w:r w:rsidRPr="00162201">
                        <w:rPr>
                          <w:b/>
                          <w:sz w:val="20"/>
                          <w:szCs w:val="20"/>
                        </w:rPr>
                        <w:t>.</w:t>
                      </w:r>
                      <w:r>
                        <w:rPr>
                          <w:b/>
                          <w:noProof/>
                          <w:sz w:val="20"/>
                          <w:szCs w:val="20"/>
                        </w:rPr>
                        <w:t>2</w:t>
                      </w:r>
                      <w:r>
                        <w:rPr>
                          <w:sz w:val="20"/>
                          <w:szCs w:val="20"/>
                        </w:rPr>
                        <w:fldChar w:fldCharType="end"/>
                      </w:r>
                      <w:r>
                        <w:rPr>
                          <w:sz w:val="20"/>
                          <w:szCs w:val="20"/>
                        </w:rPr>
                        <w:t>) and simulated. The influence of the parameters, shown in the legend, were quantified using a Partial Rank Correlation Coefficient (PRCC), whereby a positive value reflects a proportional relationship (</w:t>
                      </w:r>
                      <w:r>
                        <w:rPr>
                          <w:sz w:val="20"/>
                          <w:szCs w:val="20"/>
                        </w:rPr>
                        <w:sym w:font="Symbol" w:char="F020"/>
                      </w:r>
                      <w:r>
                        <w:rPr>
                          <w:sz w:val="20"/>
                          <w:szCs w:val="20"/>
                        </w:rPr>
                        <w:sym w:font="Symbol" w:char="F0AD"/>
                      </w:r>
                      <w:r>
                        <w:rPr>
                          <w:sz w:val="20"/>
                          <w:szCs w:val="20"/>
                        </w:rPr>
                        <w:t xml:space="preserve"> Parameter value = </w:t>
                      </w:r>
                      <w:r>
                        <w:rPr>
                          <w:sz w:val="20"/>
                          <w:szCs w:val="20"/>
                        </w:rPr>
                        <w:sym w:font="Symbol" w:char="F0AD"/>
                      </w:r>
                      <w:r>
                        <w:rPr>
                          <w:sz w:val="20"/>
                          <w:szCs w:val="20"/>
                        </w:rPr>
                        <w:t xml:space="preserve"> </w:t>
                      </w:r>
                      <w:r>
                        <w:rPr>
                          <w:i/>
                          <w:sz w:val="20"/>
                          <w:szCs w:val="20"/>
                        </w:rPr>
                        <w:t>L. donovani</w:t>
                      </w:r>
                      <w:r>
                        <w:rPr>
                          <w:sz w:val="20"/>
                          <w:szCs w:val="20"/>
                        </w:rPr>
                        <w:t xml:space="preserve"> number) and a negative value reflects an inverse proportional relationship (</w:t>
                      </w:r>
                      <w:r>
                        <w:rPr>
                          <w:sz w:val="20"/>
                          <w:szCs w:val="20"/>
                        </w:rPr>
                        <w:sym w:font="Symbol" w:char="F0AF"/>
                      </w:r>
                      <w:r>
                        <w:rPr>
                          <w:sz w:val="20"/>
                          <w:szCs w:val="20"/>
                        </w:rPr>
                        <w:t xml:space="preserve"> Parameter value = </w:t>
                      </w:r>
                      <w:r>
                        <w:rPr>
                          <w:sz w:val="20"/>
                          <w:szCs w:val="20"/>
                        </w:rPr>
                        <w:sym w:font="Symbol" w:char="F0AD"/>
                      </w:r>
                      <w:r>
                        <w:rPr>
                          <w:sz w:val="20"/>
                          <w:szCs w:val="20"/>
                        </w:rPr>
                        <w:t xml:space="preserve"> </w:t>
                      </w:r>
                      <w:r>
                        <w:rPr>
                          <w:i/>
                          <w:sz w:val="20"/>
                          <w:szCs w:val="20"/>
                        </w:rPr>
                        <w:t>L. donovani</w:t>
                      </w:r>
                      <w:r>
                        <w:rPr>
                          <w:sz w:val="20"/>
                          <w:szCs w:val="20"/>
                        </w:rPr>
                        <w:t>). The higher the value the stronger the relationship.</w:t>
                      </w:r>
                      <w:bookmarkEnd w:id="604"/>
                      <w:r>
                        <w:rPr>
                          <w:sz w:val="20"/>
                          <w:szCs w:val="20"/>
                        </w:rPr>
                        <w:t xml:space="preserve"> </w:t>
                      </w:r>
                      <w:r w:rsidRPr="00C65641">
                        <w:rPr>
                          <w:sz w:val="20"/>
                          <w:szCs w:val="20"/>
                        </w:rPr>
                        <w:t>Parameters analysed are: (dt) T cell exit rate, (lt) T cell supply rate, (dm) myeloid cell exit rate, (lm) myeoid cell supply rate, (at) maximal T cell growth rate, (am) maximal myeloid cell growth rate, (ap), L. donovani growth rate, (eg) L. donovani egress rate, (a) IC</w:t>
                      </w:r>
                      <w:r w:rsidRPr="00B23FF8">
                        <w:rPr>
                          <w:sz w:val="20"/>
                          <w:szCs w:val="20"/>
                          <w:vertAlign w:val="subscript"/>
                        </w:rPr>
                        <w:t>50</w:t>
                      </w:r>
                      <w:r w:rsidRPr="00C65641">
                        <w:rPr>
                          <w:sz w:val="20"/>
                          <w:szCs w:val="20"/>
                        </w:rPr>
                        <w:t xml:space="preserve"> of anti-leishmanial compounds, (tau) time delay in anti-leishmanial compound production, (bm) rate of infection and (c) number of internalised parasites per infection.</w:t>
                      </w:r>
                      <w:bookmarkEnd w:id="605"/>
                    </w:p>
                  </w:txbxContent>
                </v:textbox>
                <w10:wrap type="topAndBottom"/>
              </v:shape>
            </w:pict>
          </mc:Fallback>
        </mc:AlternateContent>
      </w:r>
      <w:r w:rsidR="00803C0E">
        <w:rPr>
          <w:noProof/>
        </w:rPr>
        <w:drawing>
          <wp:anchor distT="0" distB="0" distL="114300" distR="114300" simplePos="0" relativeHeight="251858944" behindDoc="0" locked="0" layoutInCell="1" allowOverlap="1" wp14:anchorId="579F3C25" wp14:editId="560739D9">
            <wp:simplePos x="0" y="0"/>
            <wp:positionH relativeFrom="column">
              <wp:posOffset>-5275</wp:posOffset>
            </wp:positionH>
            <wp:positionV relativeFrom="paragraph">
              <wp:posOffset>537</wp:posOffset>
            </wp:positionV>
            <wp:extent cx="5575935" cy="2743200"/>
            <wp:effectExtent l="0" t="0" r="0" b="0"/>
            <wp:wrapTopAndBottom/>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Picture 104"/>
                    <pic:cNvPicPr>
                      <a:picLocks noChangeAspect="1"/>
                    </pic:cNvPicPr>
                  </pic:nvPicPr>
                  <pic:blipFill>
                    <a:blip r:embed="rId88">
                      <a:extLst>
                        <a:ext uri="{28A0092B-C50C-407E-A947-70E740481C1C}">
                          <a14:useLocalDpi xmlns:a14="http://schemas.microsoft.com/office/drawing/2010/main" val="0"/>
                        </a:ext>
                      </a:extLst>
                    </a:blip>
                    <a:stretch>
                      <a:fillRect/>
                    </a:stretch>
                  </pic:blipFill>
                  <pic:spPr>
                    <a:xfrm>
                      <a:off x="0" y="0"/>
                      <a:ext cx="5575935" cy="2743200"/>
                    </a:xfrm>
                    <a:prstGeom prst="rect">
                      <a:avLst/>
                    </a:prstGeom>
                  </pic:spPr>
                </pic:pic>
              </a:graphicData>
            </a:graphic>
          </wp:anchor>
        </w:drawing>
      </w:r>
    </w:p>
    <w:p w14:paraId="3A65119C" w14:textId="48B0C5D3" w:rsidR="00CA09C5" w:rsidRPr="008B3AD6" w:rsidRDefault="000F0C8D" w:rsidP="00CD4CB1">
      <w:pPr>
        <w:spacing w:line="360" w:lineRule="auto"/>
        <w:jc w:val="both"/>
      </w:pPr>
      <w:r w:rsidRPr="008B3AD6">
        <w:t>Further to</w:t>
      </w:r>
      <w:r w:rsidR="00CA09C5" w:rsidRPr="008B3AD6">
        <w:t xml:space="preserve"> calibrating the</w:t>
      </w:r>
      <w:r w:rsidR="00237515">
        <w:t xml:space="preserve"> simulation</w:t>
      </w:r>
      <w:r w:rsidR="00CA09C5" w:rsidRPr="008B3AD6">
        <w:t xml:space="preserve"> model and analysing parameter influence,</w:t>
      </w:r>
      <w:r w:rsidR="0089424F">
        <w:t xml:space="preserve"> we next sought to validate the current simulation </w:t>
      </w:r>
      <w:r w:rsidR="00CA09C5" w:rsidRPr="008B3AD6">
        <w:t xml:space="preserve">model by comparison against an external data set, as performed for the previous model in </w:t>
      </w:r>
      <w:r w:rsidR="0074700A">
        <w:rPr>
          <w:b/>
        </w:rPr>
        <w:fldChar w:fldCharType="begin"/>
      </w:r>
      <w:r w:rsidR="0074700A">
        <w:rPr>
          <w:b/>
        </w:rPr>
        <w:instrText xml:space="preserve"> REF _Ref518742176  \* MERGEFORMAT </w:instrText>
      </w:r>
      <w:r w:rsidR="0074700A">
        <w:rPr>
          <w:b/>
        </w:rPr>
        <w:fldChar w:fldCharType="separate"/>
      </w:r>
      <w:r w:rsidR="00921CAF" w:rsidRPr="00921CAF">
        <w:rPr>
          <w:b/>
        </w:rPr>
        <w:t xml:space="preserve">Figure </w:t>
      </w:r>
      <w:r w:rsidR="00921CAF" w:rsidRPr="00921CAF">
        <w:rPr>
          <w:b/>
          <w:noProof/>
        </w:rPr>
        <w:t>4.30</w:t>
      </w:r>
      <w:r w:rsidR="0074700A">
        <w:rPr>
          <w:b/>
          <w:noProof/>
        </w:rPr>
        <w:fldChar w:fldCharType="end"/>
      </w:r>
      <w:r w:rsidR="00CA09C5" w:rsidRPr="008B3AD6">
        <w:t xml:space="preserve">. </w:t>
      </w:r>
      <w:r w:rsidR="00406DF8">
        <w:t>Published d</w:t>
      </w:r>
      <w:r w:rsidR="00CA09C5" w:rsidRPr="008B3AD6">
        <w:t xml:space="preserve">ata </w:t>
      </w:r>
      <w:r w:rsidR="00407D15">
        <w:t>were</w:t>
      </w:r>
      <w:r w:rsidR="00407D15" w:rsidRPr="008B3AD6">
        <w:t xml:space="preserve"> </w:t>
      </w:r>
      <w:r w:rsidR="00CA09C5" w:rsidRPr="008B3AD6">
        <w:t xml:space="preserve">derived for the growth of </w:t>
      </w:r>
      <w:r w:rsidR="00CA09C5" w:rsidRPr="008B3AD6">
        <w:rPr>
          <w:i/>
        </w:rPr>
        <w:t>L. donovani</w:t>
      </w:r>
      <w:r w:rsidR="00CA09C5" w:rsidRPr="008B3AD6">
        <w:t xml:space="preserve"> amastigotes within  infected macrophages </w:t>
      </w:r>
      <w:r w:rsidR="00CA09C5" w:rsidRPr="008B3AD6">
        <w:fldChar w:fldCharType="begin"/>
      </w:r>
      <w:r w:rsidR="007A6EED">
        <w:instrText xml:space="preserve"> ADDIN ZOTERO_ITEM CSL_CITATION {"citationID":"EfDJvLdQ","properties":{"formattedCitation":"(Mart\\uc0\\u237{}n-Montes et al. 2017)","plainCitation":"(Martín-Montes et al. 2017)","noteIndex":0},"citationItems":[{"id":2742,"uris":["http://zotero.org/users/2628971/items/4FBMZRCI"],"uri":["http://zotero.org/users/2628971/items/4FBMZRCI"],"itemData":{"id":2742,"type":"article-journal","title":"Synthesis and in vitro leishmanicidal activity of novel [1,2,3]triazolo[1,5-a]pyridine salts","container-title":"RSC Advances","page":"15715-15726","volume":"7","issue":"26","source":"Crossref","DOI":"10.1039/C7RA01070B","ISSN":"2046-2069","language":"en","author":[{"family":"Martín-Montes","given":"Álvaro"},{"family":"Ballesteros-Garrido","given":"Rafael"},{"family":"Martín-Escolano","given":"Rubén"},{"family":"Marín","given":"Clotilde"},{"family":"Guitiérrez-Sánchez","given":"Ramón"},{"family":"Abarca","given":"Belén"},{"family":"Ballesteros","given":"Rafael"},{"family":"Sanchez-Moreno","given":"Manuel"}],"issued":{"date-parts":[["2017"]]}}}],"schema":"https://github.com/citation-style-language/schema/raw/master/csl-citation.json"} </w:instrText>
      </w:r>
      <w:r w:rsidR="00CA09C5" w:rsidRPr="008B3AD6">
        <w:fldChar w:fldCharType="separate"/>
      </w:r>
      <w:r w:rsidR="007A6EED" w:rsidRPr="007A6EED">
        <w:rPr>
          <w:lang w:val="en-US"/>
        </w:rPr>
        <w:t>(Martín-Montes et al. 2017)</w:t>
      </w:r>
      <w:r w:rsidR="00CA09C5" w:rsidRPr="008B3AD6">
        <w:fldChar w:fldCharType="end"/>
      </w:r>
      <w:r w:rsidR="00CA09C5" w:rsidRPr="008B3AD6">
        <w:t xml:space="preserve"> and the model initialised to reflect the </w:t>
      </w:r>
      <w:r w:rsidR="00CA09C5" w:rsidRPr="008B3AD6">
        <w:rPr>
          <w:i/>
        </w:rPr>
        <w:t xml:space="preserve">in vitro </w:t>
      </w:r>
      <w:r w:rsidR="00CA09C5" w:rsidRPr="008B3AD6">
        <w:t xml:space="preserve">system. For this the initial values for T </w:t>
      </w:r>
      <w:r w:rsidR="00CD4CB1">
        <w:t>cells,</w:t>
      </w:r>
      <w:r w:rsidR="00CA09C5" w:rsidRPr="008B3AD6">
        <w:t xml:space="preserve"> infected myeloid cells and intracellular </w:t>
      </w:r>
      <w:r w:rsidR="00CA09C5" w:rsidRPr="008B3AD6">
        <w:rPr>
          <w:i/>
        </w:rPr>
        <w:t>L. donovani</w:t>
      </w:r>
      <w:r w:rsidR="00CA09C5" w:rsidRPr="008B3AD6">
        <w:t xml:space="preserve"> </w:t>
      </w:r>
      <w:r w:rsidR="00CD4CB1">
        <w:t xml:space="preserve">were set to zero </w:t>
      </w:r>
      <w:r w:rsidR="00CA09C5" w:rsidRPr="008B3AD6">
        <w:t xml:space="preserve">and the parameter for external supply of susceptible myeloid cells was </w:t>
      </w:r>
      <w:r w:rsidR="00CD4CB1">
        <w:t xml:space="preserve">also </w:t>
      </w:r>
      <w:r w:rsidR="00CA09C5" w:rsidRPr="008B3AD6">
        <w:t xml:space="preserve">set to </w:t>
      </w:r>
      <w:r w:rsidR="00CD4CB1">
        <w:t>zero</w:t>
      </w:r>
      <w:r w:rsidR="00CA09C5" w:rsidRPr="008B3AD6">
        <w:t xml:space="preserve">. Initial values for susceptible myeloid cells and extracellular </w:t>
      </w:r>
      <w:r w:rsidR="00CA09C5" w:rsidRPr="008B3AD6">
        <w:rPr>
          <w:i/>
        </w:rPr>
        <w:t>L. donovani</w:t>
      </w:r>
      <w:r w:rsidR="00CA09C5" w:rsidRPr="008B3AD6">
        <w:t xml:space="preserve"> were taken from the</w:t>
      </w:r>
      <w:r w:rsidR="00031241">
        <w:t xml:space="preserve"> aforementioned </w:t>
      </w:r>
      <w:r w:rsidR="00031241">
        <w:rPr>
          <w:i/>
        </w:rPr>
        <w:t>in vitro</w:t>
      </w:r>
      <w:r w:rsidR="00CA09C5" w:rsidRPr="008B3AD6">
        <w:t xml:space="preserve"> study, implemented and the model ran using the </w:t>
      </w:r>
      <w:r w:rsidR="00031241">
        <w:t xml:space="preserve">parameter values giving the </w:t>
      </w:r>
      <w:r w:rsidR="00031241" w:rsidRPr="008B3AD6">
        <w:t>best</w:t>
      </w:r>
      <w:r w:rsidR="00031241">
        <w:t xml:space="preserve"> fitting output as determined through the previous calibrations</w:t>
      </w:r>
      <w:r w:rsidR="00031241" w:rsidRPr="008B3AD6">
        <w:t xml:space="preserve"> </w:t>
      </w:r>
      <w:r w:rsidR="00CA09C5" w:rsidRPr="008B3AD6">
        <w:t>(</w:t>
      </w:r>
      <w:r w:rsidR="004C1FDD" w:rsidRPr="008B3AD6">
        <w:rPr>
          <w:b/>
        </w:rPr>
        <w:fldChar w:fldCharType="begin"/>
      </w:r>
      <w:r w:rsidR="004C1FDD" w:rsidRPr="008B3AD6">
        <w:rPr>
          <w:b/>
        </w:rPr>
        <w:instrText xml:space="preserve"> REF _Ref522637474  \* MERGEFORMAT </w:instrText>
      </w:r>
      <w:r w:rsidR="004C1FDD" w:rsidRPr="008B3AD6">
        <w:rPr>
          <w:b/>
        </w:rPr>
        <w:fldChar w:fldCharType="separate"/>
      </w:r>
      <w:r w:rsidR="00921CAF" w:rsidRPr="00921CAF">
        <w:rPr>
          <w:b/>
        </w:rPr>
        <w:t xml:space="preserve">Table </w:t>
      </w:r>
      <w:r w:rsidR="00921CAF" w:rsidRPr="00921CAF">
        <w:rPr>
          <w:b/>
          <w:noProof/>
        </w:rPr>
        <w:t>5.1</w:t>
      </w:r>
      <w:r w:rsidR="004C1FDD" w:rsidRPr="008B3AD6">
        <w:rPr>
          <w:b/>
          <w:noProof/>
        </w:rPr>
        <w:fldChar w:fldCharType="end"/>
      </w:r>
      <w:r w:rsidR="00CA09C5" w:rsidRPr="008B3AD6">
        <w:t xml:space="preserve"> and </w:t>
      </w:r>
      <w:r w:rsidR="004C1FDD" w:rsidRPr="008B3AD6">
        <w:rPr>
          <w:b/>
        </w:rPr>
        <w:fldChar w:fldCharType="begin"/>
      </w:r>
      <w:r w:rsidR="004C1FDD" w:rsidRPr="008B3AD6">
        <w:rPr>
          <w:b/>
        </w:rPr>
        <w:instrText xml:space="preserve"> REF _Ref522646935  \* MERGEFORMAT </w:instrText>
      </w:r>
      <w:r w:rsidR="004C1FDD" w:rsidRPr="008B3AD6">
        <w:rPr>
          <w:b/>
        </w:rPr>
        <w:fldChar w:fldCharType="separate"/>
      </w:r>
      <w:r w:rsidR="00921CAF" w:rsidRPr="00921CAF">
        <w:rPr>
          <w:b/>
        </w:rPr>
        <w:t xml:space="preserve">Table </w:t>
      </w:r>
      <w:r w:rsidR="00921CAF" w:rsidRPr="00921CAF">
        <w:rPr>
          <w:b/>
          <w:noProof/>
        </w:rPr>
        <w:t>5.2</w:t>
      </w:r>
      <w:r w:rsidR="004C1FDD" w:rsidRPr="008B3AD6">
        <w:rPr>
          <w:b/>
          <w:noProof/>
        </w:rPr>
        <w:fldChar w:fldCharType="end"/>
      </w:r>
      <w:r w:rsidR="00CA09C5" w:rsidRPr="008B3AD6">
        <w:t>)</w:t>
      </w:r>
      <w:r w:rsidR="009F7059" w:rsidRPr="008B3AD6">
        <w:t xml:space="preserve">. </w:t>
      </w:r>
      <w:r w:rsidR="0074700A">
        <w:rPr>
          <w:b/>
        </w:rPr>
        <w:fldChar w:fldCharType="begin"/>
      </w:r>
      <w:r w:rsidR="0074700A">
        <w:rPr>
          <w:b/>
        </w:rPr>
        <w:instrText xml:space="preserve"> REF _Ref522722269  \* MERGEFORMAT </w:instrText>
      </w:r>
      <w:r w:rsidR="0074700A">
        <w:rPr>
          <w:b/>
        </w:rPr>
        <w:fldChar w:fldCharType="separate"/>
      </w:r>
      <w:r w:rsidR="00921CAF" w:rsidRPr="00921CAF">
        <w:rPr>
          <w:b/>
        </w:rPr>
        <w:t xml:space="preserve">Figure </w:t>
      </w:r>
      <w:r w:rsidR="00921CAF" w:rsidRPr="00921CAF">
        <w:rPr>
          <w:b/>
          <w:noProof/>
        </w:rPr>
        <w:t>5.8</w:t>
      </w:r>
      <w:r w:rsidR="0074700A">
        <w:rPr>
          <w:b/>
          <w:noProof/>
        </w:rPr>
        <w:fldChar w:fldCharType="end"/>
      </w:r>
      <w:r w:rsidR="009F7059" w:rsidRPr="008B3AD6">
        <w:t xml:space="preserve"> shows the comparison between the model output and the </w:t>
      </w:r>
      <w:r w:rsidR="009F7059" w:rsidRPr="008B3AD6">
        <w:rPr>
          <w:i/>
        </w:rPr>
        <w:t>in vitro</w:t>
      </w:r>
      <w:r w:rsidR="009F7059" w:rsidRPr="008B3AD6">
        <w:t xml:space="preserve"> dataset. </w:t>
      </w:r>
      <w:r w:rsidR="000A287C" w:rsidRPr="008B3AD6">
        <w:t xml:space="preserve">Comparison of these data using a Chi Square test showed a statistically </w:t>
      </w:r>
      <w:r w:rsidR="00B300CA" w:rsidRPr="008B3AD6">
        <w:t xml:space="preserve">significant difference between the two, showing the proposed model was unable to recapitulate the results of the </w:t>
      </w:r>
      <w:r w:rsidR="00B300CA" w:rsidRPr="008B3AD6">
        <w:rPr>
          <w:i/>
        </w:rPr>
        <w:t>in vitro</w:t>
      </w:r>
      <w:r w:rsidR="00FC23A0">
        <w:rPr>
          <w:i/>
        </w:rPr>
        <w:t xml:space="preserve"> </w:t>
      </w:r>
      <w:r w:rsidR="00FC23A0">
        <w:t>system</w:t>
      </w:r>
      <w:r w:rsidR="00B300CA" w:rsidRPr="008B3AD6">
        <w:t xml:space="preserve">. However, the </w:t>
      </w:r>
      <w:r w:rsidR="00133255">
        <w:t xml:space="preserve">inherent </w:t>
      </w:r>
      <w:r w:rsidR="00B300CA" w:rsidRPr="008B3AD6">
        <w:t xml:space="preserve">differences between the </w:t>
      </w:r>
      <w:r w:rsidR="0082063A" w:rsidRPr="008B3AD6">
        <w:rPr>
          <w:i/>
        </w:rPr>
        <w:t>in vitro</w:t>
      </w:r>
      <w:r w:rsidR="0082063A" w:rsidRPr="008B3AD6">
        <w:t xml:space="preserve"> system and the </w:t>
      </w:r>
      <w:r w:rsidR="0082063A" w:rsidRPr="008B3AD6">
        <w:rPr>
          <w:i/>
        </w:rPr>
        <w:t xml:space="preserve">in </w:t>
      </w:r>
      <w:r w:rsidR="0082063A" w:rsidRPr="008B3AD6">
        <w:rPr>
          <w:i/>
        </w:rPr>
        <w:lastRenderedPageBreak/>
        <w:t>vivo</w:t>
      </w:r>
      <w:r w:rsidR="0082063A" w:rsidRPr="008B3AD6">
        <w:t xml:space="preserve"> basis of the mathematical model</w:t>
      </w:r>
      <w:r w:rsidR="00B300CA" w:rsidRPr="008B3AD6">
        <w:t xml:space="preserve"> </w:t>
      </w:r>
      <w:r w:rsidR="0082063A" w:rsidRPr="008B3AD6">
        <w:t>likely explain this deviation and so further investigation of the</w:t>
      </w:r>
      <w:r w:rsidR="00133255">
        <w:t>se</w:t>
      </w:r>
      <w:r w:rsidR="0082063A" w:rsidRPr="008B3AD6">
        <w:t xml:space="preserve"> differences should be carried out, to this end the model was further developed on the understanding further validation would be required for full confidence in model output</w:t>
      </w:r>
      <w:r w:rsidR="00B300CA" w:rsidRPr="008B3AD6">
        <w:t xml:space="preserve">. </w:t>
      </w:r>
      <w:r w:rsidR="000A287C" w:rsidRPr="008B3AD6">
        <w:t xml:space="preserve"> </w:t>
      </w:r>
    </w:p>
    <w:p w14:paraId="701A2772" w14:textId="366845F0" w:rsidR="00CA09C5" w:rsidRPr="008B3AD6" w:rsidRDefault="00CA09C5" w:rsidP="00CA09C5">
      <w:pPr>
        <w:spacing w:line="360" w:lineRule="auto"/>
      </w:pPr>
    </w:p>
    <w:p w14:paraId="594FD609" w14:textId="4A563605" w:rsidR="00CA09C5" w:rsidRPr="008B3AD6" w:rsidRDefault="00803C0E" w:rsidP="00CA09C5">
      <w:pPr>
        <w:spacing w:line="360" w:lineRule="auto"/>
      </w:pPr>
      <w:r>
        <w:rPr>
          <w:noProof/>
        </w:rPr>
        <w:drawing>
          <wp:anchor distT="0" distB="0" distL="114300" distR="114300" simplePos="0" relativeHeight="251865088" behindDoc="0" locked="0" layoutInCell="1" allowOverlap="1" wp14:anchorId="5B0F300C" wp14:editId="6E432700">
            <wp:simplePos x="0" y="0"/>
            <wp:positionH relativeFrom="column">
              <wp:posOffset>578485</wp:posOffset>
            </wp:positionH>
            <wp:positionV relativeFrom="paragraph">
              <wp:posOffset>0</wp:posOffset>
            </wp:positionV>
            <wp:extent cx="4432935" cy="3289612"/>
            <wp:effectExtent l="0" t="0" r="0" b="0"/>
            <wp:wrapTopAndBottom/>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Picture 118"/>
                    <pic:cNvPicPr>
                      <a:picLocks noChangeAspect="1"/>
                    </pic:cNvPicPr>
                  </pic:nvPicPr>
                  <pic:blipFill>
                    <a:blip r:embed="rId89">
                      <a:extLst>
                        <a:ext uri="{28A0092B-C50C-407E-A947-70E740481C1C}">
                          <a14:useLocalDpi xmlns:a14="http://schemas.microsoft.com/office/drawing/2010/main" val="0"/>
                        </a:ext>
                      </a:extLst>
                    </a:blip>
                    <a:stretch>
                      <a:fillRect/>
                    </a:stretch>
                  </pic:blipFill>
                  <pic:spPr>
                    <a:xfrm>
                      <a:off x="0" y="0"/>
                      <a:ext cx="4432935" cy="3289612"/>
                    </a:xfrm>
                    <a:prstGeom prst="rect">
                      <a:avLst/>
                    </a:prstGeom>
                  </pic:spPr>
                </pic:pic>
              </a:graphicData>
            </a:graphic>
          </wp:anchor>
        </w:drawing>
      </w:r>
      <w:r>
        <w:rPr>
          <w:noProof/>
        </w:rPr>
        <mc:AlternateContent>
          <mc:Choice Requires="wps">
            <w:drawing>
              <wp:anchor distT="0" distB="0" distL="114300" distR="114300" simplePos="0" relativeHeight="251866112" behindDoc="0" locked="0" layoutInCell="1" allowOverlap="1" wp14:anchorId="68634AD6" wp14:editId="213C1DCB">
                <wp:simplePos x="0" y="0"/>
                <wp:positionH relativeFrom="column">
                  <wp:posOffset>-160020</wp:posOffset>
                </wp:positionH>
                <wp:positionV relativeFrom="paragraph">
                  <wp:posOffset>3343910</wp:posOffset>
                </wp:positionV>
                <wp:extent cx="5907405" cy="874309"/>
                <wp:effectExtent l="0" t="0" r="0" b="2540"/>
                <wp:wrapTopAndBottom/>
                <wp:docPr id="119" name="Text Box 119"/>
                <wp:cNvGraphicFramePr/>
                <a:graphic xmlns:a="http://schemas.openxmlformats.org/drawingml/2006/main">
                  <a:graphicData uri="http://schemas.microsoft.com/office/word/2010/wordprocessingShape">
                    <wps:wsp>
                      <wps:cNvSpPr txBox="1"/>
                      <wps:spPr>
                        <a:xfrm>
                          <a:off x="0" y="0"/>
                          <a:ext cx="5907405" cy="874309"/>
                        </a:xfrm>
                        <a:prstGeom prst="rect">
                          <a:avLst/>
                        </a:prstGeom>
                        <a:solidFill>
                          <a:prstClr val="white"/>
                        </a:solidFill>
                        <a:ln>
                          <a:noFill/>
                        </a:ln>
                      </wps:spPr>
                      <wps:txbx>
                        <w:txbxContent>
                          <w:p w14:paraId="07ABC137" w14:textId="7BB9F1BC" w:rsidR="00F61130" w:rsidRPr="00CA09C5" w:rsidRDefault="00F61130" w:rsidP="00B23FF8">
                            <w:pPr>
                              <w:pStyle w:val="Caption"/>
                              <w:spacing w:line="360" w:lineRule="auto"/>
                              <w:jc w:val="both"/>
                              <w:rPr>
                                <w:sz w:val="20"/>
                                <w:szCs w:val="20"/>
                              </w:rPr>
                            </w:pPr>
                            <w:bookmarkStart w:id="606" w:name="_Ref522722269"/>
                            <w:bookmarkStart w:id="607" w:name="_Toc525227243"/>
                            <w:bookmarkStart w:id="608" w:name="_Toc536814182"/>
                            <w:r w:rsidRPr="00CA09C5">
                              <w:rPr>
                                <w:b/>
                                <w:sz w:val="20"/>
                                <w:szCs w:val="20"/>
                              </w:rPr>
                              <w:t xml:space="preserve">Figure </w:t>
                            </w:r>
                            <w:r>
                              <w:rPr>
                                <w:b/>
                                <w:sz w:val="20"/>
                                <w:szCs w:val="20"/>
                              </w:rPr>
                              <w:fldChar w:fldCharType="begin"/>
                            </w:r>
                            <w:r>
                              <w:rPr>
                                <w:b/>
                                <w:sz w:val="20"/>
                                <w:szCs w:val="20"/>
                              </w:rPr>
                              <w:instrText xml:space="preserve"> STYLEREF 1 \s </w:instrText>
                            </w:r>
                            <w:r>
                              <w:rPr>
                                <w:b/>
                                <w:sz w:val="20"/>
                                <w:szCs w:val="20"/>
                              </w:rPr>
                              <w:fldChar w:fldCharType="separate"/>
                            </w:r>
                            <w:r>
                              <w:rPr>
                                <w:b/>
                                <w:noProof/>
                                <w:sz w:val="20"/>
                                <w:szCs w:val="20"/>
                              </w:rPr>
                              <w:t>5</w:t>
                            </w:r>
                            <w:r>
                              <w:rPr>
                                <w:b/>
                                <w:sz w:val="20"/>
                                <w:szCs w:val="20"/>
                              </w:rPr>
                              <w:fldChar w:fldCharType="end"/>
                            </w:r>
                            <w:r>
                              <w:rPr>
                                <w:b/>
                                <w:sz w:val="20"/>
                                <w:szCs w:val="20"/>
                              </w:rPr>
                              <w:t>.</w:t>
                            </w:r>
                            <w:r>
                              <w:rPr>
                                <w:b/>
                                <w:sz w:val="20"/>
                                <w:szCs w:val="20"/>
                              </w:rPr>
                              <w:fldChar w:fldCharType="begin"/>
                            </w:r>
                            <w:r>
                              <w:rPr>
                                <w:b/>
                                <w:sz w:val="20"/>
                                <w:szCs w:val="20"/>
                              </w:rPr>
                              <w:instrText xml:space="preserve"> SEQ Figure \* ARABIC \s 1 </w:instrText>
                            </w:r>
                            <w:r>
                              <w:rPr>
                                <w:b/>
                                <w:sz w:val="20"/>
                                <w:szCs w:val="20"/>
                              </w:rPr>
                              <w:fldChar w:fldCharType="separate"/>
                            </w:r>
                            <w:r>
                              <w:rPr>
                                <w:b/>
                                <w:noProof/>
                                <w:sz w:val="20"/>
                                <w:szCs w:val="20"/>
                              </w:rPr>
                              <w:t>8</w:t>
                            </w:r>
                            <w:r>
                              <w:rPr>
                                <w:b/>
                                <w:sz w:val="20"/>
                                <w:szCs w:val="20"/>
                              </w:rPr>
                              <w:fldChar w:fldCharType="end"/>
                            </w:r>
                            <w:bookmarkEnd w:id="606"/>
                            <w:r w:rsidRPr="00CA09C5">
                              <w:rPr>
                                <w:b/>
                                <w:sz w:val="20"/>
                                <w:szCs w:val="20"/>
                              </w:rPr>
                              <w:t xml:space="preserve"> - Statistical validation of new model output.</w:t>
                            </w:r>
                            <w:r w:rsidRPr="00CA09C5">
                              <w:rPr>
                                <w:sz w:val="20"/>
                                <w:szCs w:val="20"/>
                              </w:rPr>
                              <w:t xml:space="preserve"> The number of </w:t>
                            </w:r>
                            <w:r>
                              <w:rPr>
                                <w:sz w:val="20"/>
                                <w:szCs w:val="20"/>
                              </w:rPr>
                              <w:t xml:space="preserve">amastigotes </w:t>
                            </w:r>
                            <w:r w:rsidRPr="00CA09C5">
                              <w:rPr>
                                <w:sz w:val="20"/>
                                <w:szCs w:val="20"/>
                              </w:rPr>
                              <w:t xml:space="preserve">per infected myeloid cell was </w:t>
                            </w:r>
                            <w:r>
                              <w:rPr>
                                <w:sz w:val="20"/>
                                <w:szCs w:val="20"/>
                              </w:rPr>
                              <w:t xml:space="preserve">derived from the output of the best fitting parameters </w:t>
                            </w:r>
                            <w:r w:rsidRPr="00CA09C5">
                              <w:rPr>
                                <w:sz w:val="20"/>
                                <w:szCs w:val="20"/>
                              </w:rPr>
                              <w:t xml:space="preserve">was compared to an </w:t>
                            </w:r>
                            <w:r w:rsidRPr="00CA09C5">
                              <w:rPr>
                                <w:i/>
                                <w:sz w:val="20"/>
                                <w:szCs w:val="20"/>
                              </w:rPr>
                              <w:t>in vitro</w:t>
                            </w:r>
                            <w:r w:rsidRPr="00CA09C5">
                              <w:rPr>
                                <w:sz w:val="20"/>
                                <w:szCs w:val="20"/>
                              </w:rPr>
                              <w:t xml:space="preserve"> amastigote per infected host cell growth derived from </w:t>
                            </w:r>
                            <w:r w:rsidRPr="00CA09C5">
                              <w:rPr>
                                <w:sz w:val="20"/>
                                <w:szCs w:val="20"/>
                              </w:rPr>
                              <w:fldChar w:fldCharType="begin"/>
                            </w:r>
                            <w:r w:rsidRPr="00CA09C5">
                              <w:rPr>
                                <w:sz w:val="20"/>
                                <w:szCs w:val="20"/>
                              </w:rPr>
                              <w:instrText xml:space="preserve"> ADDIN ZOTERO_ITEM CSL_CITATION {"citationID":"yqGlMumD","properties":{"formattedCitation":"(Mart\\uc0\\u237{}n-Montes et al. 2017)","plainCitation":"(Martín-Montes et al. 2017)","noteIndex":0},"citationItems":[{"id":2808,"uris":["http://zotero.org/users/2628971/items/4FBMZRCI"],"uri":["http://zotero.org/users/2628971/items/4FBMZRCI"],"itemData":{"id":2808,"type":"article-journal","title":"Synthesis and in vitro leishmanicidal activity of novel [1,2,3]triazolo[1,5-a]pyridine salts","container-title":"RSC Advances","page":"15715-15726","volume":"7","issue":"26","source":"Crossref","DOI":"10.1039/C7RA01070B","ISSN":"2046-2069","language":"en","author":[{"family":"Martín-Montes","given":"Álvaro"},{"family":"Ballesteros-Garrido","given":"Rafael"},{"family":"Martín-Escolano","given":"Rubén"},{"family":"Marín","given":"Clotilde"},{"family":"Guitiérrez-Sánchez","given":"Ramón"},{"family":"Abarca","given":"Belén"},{"family":"Ballesteros","given":"Rafael"},{"family":"Sanchez-Moreno","given":"Manuel"}],"issued":{"date-parts":[["2017"]]}}}],"schema":"https://github.com/citation-style-language/schema/raw/master/csl-citation.json"} </w:instrText>
                            </w:r>
                            <w:r w:rsidRPr="00CA09C5">
                              <w:rPr>
                                <w:sz w:val="20"/>
                                <w:szCs w:val="20"/>
                              </w:rPr>
                              <w:fldChar w:fldCharType="separate"/>
                            </w:r>
                            <w:r w:rsidRPr="00CA09C5">
                              <w:rPr>
                                <w:color w:val="000000"/>
                                <w:sz w:val="20"/>
                                <w:szCs w:val="20"/>
                              </w:rPr>
                              <w:t>(Martín-Montes et al. 2017)</w:t>
                            </w:r>
                            <w:r w:rsidRPr="00CA09C5">
                              <w:rPr>
                                <w:sz w:val="20"/>
                                <w:szCs w:val="20"/>
                              </w:rPr>
                              <w:fldChar w:fldCharType="end"/>
                            </w:r>
                            <w:r>
                              <w:rPr>
                                <w:sz w:val="20"/>
                                <w:szCs w:val="20"/>
                              </w:rPr>
                              <w:t>. The two datasets were compared using a Chi Square test which showed a significant difference between the two data sets (p = 0.01).</w:t>
                            </w:r>
                            <w:bookmarkEnd w:id="607"/>
                            <w:bookmarkEnd w:id="608"/>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68634AD6" id="Text Box 119" o:spid="_x0000_s1179" type="#_x0000_t202" style="position:absolute;margin-left:-12.6pt;margin-top:263.3pt;width:465.15pt;height:68.85pt;z-index:2518661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tk3WNgIAAG0EAAAOAAAAZHJzL2Uyb0RvYy54bWysVFFv2yAQfp+0/4B4X+y0zdpGcaosVaZJ&#13;&#10;UVspmfpMMMRIwDEgsbNfvwPHbdftadoLPu6Og+/77jy764wmR+GDAlvR8aikRFgOtbL7in7frj7d&#13;&#10;UBIiszXTYEVFTyLQu/nHD7PWTcUFNKBr4QkWsWHauoo2MbppUQTeCMPCCJywGJTgDYu49fui9qzF&#13;&#10;6kYXF2X5uWjB184DFyGg974P0nmuL6Xg8VHKICLRFcW3xbz6vO7SWsxnbLr3zDWKn5/B/uEVhimL&#13;&#10;l76UumeRkYNXf5QyinsIIOOIgylASsVFxoBoxuU7NJuGOZGxIDnBvdAU/l9Z/nB88kTVqN34lhLL&#13;&#10;DIq0FV0kX6AjyYcMtS5MMXHjMDV2GMDswR/QmYB30pv0RUgE48j16YXfVI6jc3JbXl+VE0o4xm6u&#13;&#10;ry7LXL54Pe18iF8FGJKMinrUL9PKjusQ8SWYOqSkywJoVa+U1mmTAkvtyZGh1m2jokhvxBO/ZWmb&#13;&#10;ci2kU304eYoEsYeSrNjtup6UyeUAdAf1CfF76HsoOL5SeOOahfjEPDYNQsZBiI+4SA1tReFsUdKA&#13;&#10;//k3f8pHLTFKSYtNWNHw48C8oER/s6hy6tjB8IOxGwx7MEtArGMcMceziQd81IMpPZhnnI9FugVD&#13;&#10;zHK8q6JxMJexHwWcLy4Wi5yEfelYXNuN46n0wOy2e2benXWJqOgDDO3Jpu/k6XN7nheHCFJl7RKz&#13;&#10;PYtnwrGns0Dn+UtD83afs17/EvNfAAAA//8DAFBLAwQUAAYACAAAACEAf7wsueQAAAAQAQAADwAA&#13;&#10;AGRycy9kb3ducmV2LnhtbExPy07DMBC8I/EP1iJxQa3TQCxI41TQwA0OLVXPbmySiHgd2U6T/j3L&#13;&#10;CS4jrWZ2HsVmtj07Gx86hxJWywSYwdrpDhsJh8+3xSOwEBVq1Ts0Ei4mwKa8vipUrt2EO3Pex4aR&#13;&#10;CYZcSWhjHHLOQ90aq8LSDQaJ+3Leqkinb7j2aiJz2/M0SQS3qkNKaNVgtq2pv/ejlSAqP0473N5V&#13;&#10;h9d39TE06fHlcpTy9mau1gTPa2DRzPHvA343UH8oqdjJjagD6yUs0iwlqYQsFQIYKZ6SbAXsRBni&#13;&#10;4R54WfD/Q8ofAAAA//8DAFBLAQItABQABgAIAAAAIQC2gziS/gAAAOEBAAATAAAAAAAAAAAAAAAA&#13;&#10;AAAAAABbQ29udGVudF9UeXBlc10ueG1sUEsBAi0AFAAGAAgAAAAhADj9If/WAAAAlAEAAAsAAAAA&#13;&#10;AAAAAAAAAAAALwEAAF9yZWxzLy5yZWxzUEsBAi0AFAAGAAgAAAAhAH+2TdY2AgAAbQQAAA4AAAAA&#13;&#10;AAAAAAAAAAAALgIAAGRycy9lMm9Eb2MueG1sUEsBAi0AFAAGAAgAAAAhAH+8LLnkAAAAEAEAAA8A&#13;&#10;AAAAAAAAAAAAAAAAkAQAAGRycy9kb3ducmV2LnhtbFBLBQYAAAAABAAEAPMAAAChBQAAAAA=&#13;&#10;" stroked="f">
                <v:textbox inset="0,0,0,0">
                  <w:txbxContent>
                    <w:p w14:paraId="07ABC137" w14:textId="7BB9F1BC" w:rsidR="00F61130" w:rsidRPr="00CA09C5" w:rsidRDefault="00F61130" w:rsidP="00B23FF8">
                      <w:pPr>
                        <w:pStyle w:val="Caption"/>
                        <w:spacing w:line="360" w:lineRule="auto"/>
                        <w:jc w:val="both"/>
                        <w:rPr>
                          <w:sz w:val="20"/>
                          <w:szCs w:val="20"/>
                        </w:rPr>
                      </w:pPr>
                      <w:bookmarkStart w:id="609" w:name="_Ref522722269"/>
                      <w:bookmarkStart w:id="610" w:name="_Toc525227243"/>
                      <w:bookmarkStart w:id="611" w:name="_Toc536814182"/>
                      <w:r w:rsidRPr="00CA09C5">
                        <w:rPr>
                          <w:b/>
                          <w:sz w:val="20"/>
                          <w:szCs w:val="20"/>
                        </w:rPr>
                        <w:t xml:space="preserve">Figure </w:t>
                      </w:r>
                      <w:r>
                        <w:rPr>
                          <w:b/>
                          <w:sz w:val="20"/>
                          <w:szCs w:val="20"/>
                        </w:rPr>
                        <w:fldChar w:fldCharType="begin"/>
                      </w:r>
                      <w:r>
                        <w:rPr>
                          <w:b/>
                          <w:sz w:val="20"/>
                          <w:szCs w:val="20"/>
                        </w:rPr>
                        <w:instrText xml:space="preserve"> STYLEREF 1 \s </w:instrText>
                      </w:r>
                      <w:r>
                        <w:rPr>
                          <w:b/>
                          <w:sz w:val="20"/>
                          <w:szCs w:val="20"/>
                        </w:rPr>
                        <w:fldChar w:fldCharType="separate"/>
                      </w:r>
                      <w:r>
                        <w:rPr>
                          <w:b/>
                          <w:noProof/>
                          <w:sz w:val="20"/>
                          <w:szCs w:val="20"/>
                        </w:rPr>
                        <w:t>5</w:t>
                      </w:r>
                      <w:r>
                        <w:rPr>
                          <w:b/>
                          <w:sz w:val="20"/>
                          <w:szCs w:val="20"/>
                        </w:rPr>
                        <w:fldChar w:fldCharType="end"/>
                      </w:r>
                      <w:r>
                        <w:rPr>
                          <w:b/>
                          <w:sz w:val="20"/>
                          <w:szCs w:val="20"/>
                        </w:rPr>
                        <w:t>.</w:t>
                      </w:r>
                      <w:r>
                        <w:rPr>
                          <w:b/>
                          <w:sz w:val="20"/>
                          <w:szCs w:val="20"/>
                        </w:rPr>
                        <w:fldChar w:fldCharType="begin"/>
                      </w:r>
                      <w:r>
                        <w:rPr>
                          <w:b/>
                          <w:sz w:val="20"/>
                          <w:szCs w:val="20"/>
                        </w:rPr>
                        <w:instrText xml:space="preserve"> SEQ Figure \* ARABIC \s 1 </w:instrText>
                      </w:r>
                      <w:r>
                        <w:rPr>
                          <w:b/>
                          <w:sz w:val="20"/>
                          <w:szCs w:val="20"/>
                        </w:rPr>
                        <w:fldChar w:fldCharType="separate"/>
                      </w:r>
                      <w:r>
                        <w:rPr>
                          <w:b/>
                          <w:noProof/>
                          <w:sz w:val="20"/>
                          <w:szCs w:val="20"/>
                        </w:rPr>
                        <w:t>8</w:t>
                      </w:r>
                      <w:r>
                        <w:rPr>
                          <w:b/>
                          <w:sz w:val="20"/>
                          <w:szCs w:val="20"/>
                        </w:rPr>
                        <w:fldChar w:fldCharType="end"/>
                      </w:r>
                      <w:bookmarkEnd w:id="609"/>
                      <w:r w:rsidRPr="00CA09C5">
                        <w:rPr>
                          <w:b/>
                          <w:sz w:val="20"/>
                          <w:szCs w:val="20"/>
                        </w:rPr>
                        <w:t xml:space="preserve"> - Statistical validation of new model output.</w:t>
                      </w:r>
                      <w:r w:rsidRPr="00CA09C5">
                        <w:rPr>
                          <w:sz w:val="20"/>
                          <w:szCs w:val="20"/>
                        </w:rPr>
                        <w:t xml:space="preserve"> The number of </w:t>
                      </w:r>
                      <w:r>
                        <w:rPr>
                          <w:sz w:val="20"/>
                          <w:szCs w:val="20"/>
                        </w:rPr>
                        <w:t xml:space="preserve">amastigotes </w:t>
                      </w:r>
                      <w:r w:rsidRPr="00CA09C5">
                        <w:rPr>
                          <w:sz w:val="20"/>
                          <w:szCs w:val="20"/>
                        </w:rPr>
                        <w:t xml:space="preserve">per infected myeloid cell was </w:t>
                      </w:r>
                      <w:r>
                        <w:rPr>
                          <w:sz w:val="20"/>
                          <w:szCs w:val="20"/>
                        </w:rPr>
                        <w:t xml:space="preserve">derived from the output of the best fitting parameters </w:t>
                      </w:r>
                      <w:r w:rsidRPr="00CA09C5">
                        <w:rPr>
                          <w:sz w:val="20"/>
                          <w:szCs w:val="20"/>
                        </w:rPr>
                        <w:t xml:space="preserve">was compared to an </w:t>
                      </w:r>
                      <w:r w:rsidRPr="00CA09C5">
                        <w:rPr>
                          <w:i/>
                          <w:sz w:val="20"/>
                          <w:szCs w:val="20"/>
                        </w:rPr>
                        <w:t>in vitro</w:t>
                      </w:r>
                      <w:r w:rsidRPr="00CA09C5">
                        <w:rPr>
                          <w:sz w:val="20"/>
                          <w:szCs w:val="20"/>
                        </w:rPr>
                        <w:t xml:space="preserve"> amastigote per infected host cell growth derived from </w:t>
                      </w:r>
                      <w:r w:rsidRPr="00CA09C5">
                        <w:rPr>
                          <w:sz w:val="20"/>
                          <w:szCs w:val="20"/>
                        </w:rPr>
                        <w:fldChar w:fldCharType="begin"/>
                      </w:r>
                      <w:r w:rsidRPr="00CA09C5">
                        <w:rPr>
                          <w:sz w:val="20"/>
                          <w:szCs w:val="20"/>
                        </w:rPr>
                        <w:instrText xml:space="preserve"> ADDIN ZOTERO_ITEM CSL_CITATION {"citationID":"yqGlMumD","properties":{"formattedCitation":"(Mart\\uc0\\u237{}n-Montes et al. 2017)","plainCitation":"(Martín-Montes et al. 2017)","noteIndex":0},"citationItems":[{"id":2808,"uris":["http://zotero.org/users/2628971/items/4FBMZRCI"],"uri":["http://zotero.org/users/2628971/items/4FBMZRCI"],"itemData":{"id":2808,"type":"article-journal","title":"Synthesis and in vitro leishmanicidal activity of novel [1,2,3]triazolo[1,5-a]pyridine salts","container-title":"RSC Advances","page":"15715-15726","volume":"7","issue":"26","source":"Crossref","DOI":"10.1039/C7RA01070B","ISSN":"2046-2069","language":"en","author":[{"family":"Martín-Montes","given":"Álvaro"},{"family":"Ballesteros-Garrido","given":"Rafael"},{"family":"Martín-Escolano","given":"Rubén"},{"family":"Marín","given":"Clotilde"},{"family":"Guitiérrez-Sánchez","given":"Ramón"},{"family":"Abarca","given":"Belén"},{"family":"Ballesteros","given":"Rafael"},{"family":"Sanchez-Moreno","given":"Manuel"}],"issued":{"date-parts":[["2017"]]}}}],"schema":"https://github.com/citation-style-language/schema/raw/master/csl-citation.json"} </w:instrText>
                      </w:r>
                      <w:r w:rsidRPr="00CA09C5">
                        <w:rPr>
                          <w:sz w:val="20"/>
                          <w:szCs w:val="20"/>
                        </w:rPr>
                        <w:fldChar w:fldCharType="separate"/>
                      </w:r>
                      <w:r w:rsidRPr="00CA09C5">
                        <w:rPr>
                          <w:color w:val="000000"/>
                          <w:sz w:val="20"/>
                          <w:szCs w:val="20"/>
                        </w:rPr>
                        <w:t>(Martín-Montes et al. 2017)</w:t>
                      </w:r>
                      <w:r w:rsidRPr="00CA09C5">
                        <w:rPr>
                          <w:sz w:val="20"/>
                          <w:szCs w:val="20"/>
                        </w:rPr>
                        <w:fldChar w:fldCharType="end"/>
                      </w:r>
                      <w:r>
                        <w:rPr>
                          <w:sz w:val="20"/>
                          <w:szCs w:val="20"/>
                        </w:rPr>
                        <w:t>. The two datasets were compared using a Chi Square test which showed a significant difference between the two data sets (p = 0.01).</w:t>
                      </w:r>
                      <w:bookmarkEnd w:id="610"/>
                      <w:bookmarkEnd w:id="611"/>
                    </w:p>
                  </w:txbxContent>
                </v:textbox>
                <w10:wrap type="topAndBottom"/>
              </v:shape>
            </w:pict>
          </mc:Fallback>
        </mc:AlternateContent>
      </w:r>
    </w:p>
    <w:p w14:paraId="720F9F74" w14:textId="190F9CD5" w:rsidR="0059142F" w:rsidRPr="008B3AD6" w:rsidRDefault="0059142F" w:rsidP="0082063A">
      <w:pPr>
        <w:spacing w:line="240" w:lineRule="auto"/>
      </w:pPr>
    </w:p>
    <w:p w14:paraId="123133E1" w14:textId="1BA97C90" w:rsidR="0098676E" w:rsidRPr="008B3AD6" w:rsidRDefault="000003BB" w:rsidP="00EF60C1">
      <w:pPr>
        <w:pStyle w:val="Heading3"/>
      </w:pPr>
      <w:bookmarkStart w:id="612" w:name="_Ref525222153"/>
      <w:bookmarkStart w:id="613" w:name="_Toc3716117"/>
      <w:r w:rsidRPr="008B3AD6">
        <w:t xml:space="preserve">Developing </w:t>
      </w:r>
      <w:r w:rsidR="00811814" w:rsidRPr="008B3AD6">
        <w:t xml:space="preserve">a mathematical </w:t>
      </w:r>
      <w:r w:rsidRPr="008B3AD6">
        <w:t xml:space="preserve">model describing both the immune </w:t>
      </w:r>
      <w:r w:rsidR="00811814" w:rsidRPr="008B3AD6">
        <w:t xml:space="preserve">response to </w:t>
      </w:r>
      <w:r w:rsidR="00811814" w:rsidRPr="008B3AD6">
        <w:rPr>
          <w:i/>
        </w:rPr>
        <w:t>L. donovani</w:t>
      </w:r>
      <w:r w:rsidR="00811814" w:rsidRPr="008B3AD6">
        <w:t xml:space="preserve"> infection</w:t>
      </w:r>
      <w:r w:rsidRPr="008B3AD6">
        <w:t xml:space="preserve"> and </w:t>
      </w:r>
      <w:r w:rsidR="00811814" w:rsidRPr="008B3AD6">
        <w:t xml:space="preserve">the pharmacokinetics/dynamics of </w:t>
      </w:r>
      <w:r w:rsidRPr="008B3AD6">
        <w:t>Amphotericin B</w:t>
      </w:r>
      <w:bookmarkEnd w:id="612"/>
      <w:bookmarkEnd w:id="613"/>
    </w:p>
    <w:p w14:paraId="7A52AC4A" w14:textId="7B4DFB80" w:rsidR="00B5010D" w:rsidRDefault="00027110" w:rsidP="00B23FF8">
      <w:pPr>
        <w:spacing w:line="360" w:lineRule="auto"/>
        <w:jc w:val="both"/>
      </w:pPr>
      <w:r w:rsidRPr="008B3AD6">
        <w:t xml:space="preserve">The finalised model shown in </w:t>
      </w:r>
      <w:r w:rsidR="0074700A">
        <w:rPr>
          <w:b/>
        </w:rPr>
        <w:fldChar w:fldCharType="begin"/>
      </w:r>
      <w:r w:rsidR="0074700A">
        <w:rPr>
          <w:b/>
        </w:rPr>
        <w:instrText xml:space="preserve"> REF _Ref522633684  \* MERGEFORMAT </w:instrText>
      </w:r>
      <w:r w:rsidR="0074700A">
        <w:rPr>
          <w:b/>
        </w:rPr>
        <w:fldChar w:fldCharType="separate"/>
      </w:r>
      <w:r w:rsidR="00921CAF" w:rsidRPr="00921CAF">
        <w:rPr>
          <w:b/>
        </w:rPr>
        <w:t xml:space="preserve">Figure </w:t>
      </w:r>
      <w:r w:rsidR="00921CAF" w:rsidRPr="00921CAF">
        <w:rPr>
          <w:b/>
          <w:noProof/>
        </w:rPr>
        <w:t>5.2</w:t>
      </w:r>
      <w:r w:rsidR="0074700A">
        <w:rPr>
          <w:b/>
          <w:noProof/>
        </w:rPr>
        <w:fldChar w:fldCharType="end"/>
      </w:r>
      <w:r w:rsidRPr="008B3AD6">
        <w:t xml:space="preserve"> </w:t>
      </w:r>
      <w:r w:rsidR="00591983" w:rsidRPr="008B3AD6">
        <w:t>simulates</w:t>
      </w:r>
      <w:r w:rsidRPr="008B3AD6">
        <w:t xml:space="preserve"> two leukocyte populations, T cells and total myeloid cells</w:t>
      </w:r>
      <w:r w:rsidR="00591983" w:rsidRPr="008B3AD6">
        <w:t>,</w:t>
      </w:r>
      <w:r w:rsidRPr="008B3AD6">
        <w:t xml:space="preserve"> whilst the pharmacokinetic data shown in </w:t>
      </w:r>
      <w:r w:rsidR="0074700A">
        <w:rPr>
          <w:b/>
        </w:rPr>
        <w:fldChar w:fldCharType="begin"/>
      </w:r>
      <w:r w:rsidR="0074700A">
        <w:rPr>
          <w:b/>
        </w:rPr>
        <w:instrText xml:space="preserve"> REF _Ref518932772  \* MERGEFORMAT </w:instrText>
      </w:r>
      <w:r w:rsidR="0074700A">
        <w:rPr>
          <w:b/>
        </w:rPr>
        <w:fldChar w:fldCharType="separate"/>
      </w:r>
      <w:r w:rsidR="00921CAF" w:rsidRPr="00921CAF">
        <w:rPr>
          <w:b/>
        </w:rPr>
        <w:t xml:space="preserve">Figure </w:t>
      </w:r>
      <w:r w:rsidR="00921CAF" w:rsidRPr="00921CAF">
        <w:rPr>
          <w:b/>
          <w:noProof/>
        </w:rPr>
        <w:t>3.13</w:t>
      </w:r>
      <w:r w:rsidR="0074700A">
        <w:rPr>
          <w:b/>
          <w:noProof/>
        </w:rPr>
        <w:fldChar w:fldCharType="end"/>
      </w:r>
      <w:r w:rsidRPr="008B3AD6">
        <w:t xml:space="preserve"> </w:t>
      </w:r>
      <w:r w:rsidR="00591983" w:rsidRPr="008B3AD6">
        <w:t xml:space="preserve">analysed </w:t>
      </w:r>
      <w:r w:rsidR="00031241">
        <w:t>lymphoid cells, neutrophils, monocytes and KCs &amp; DCs</w:t>
      </w:r>
      <w:r w:rsidRPr="008B3AD6">
        <w:t>. To align the datasets the</w:t>
      </w:r>
      <w:r w:rsidR="00591983" w:rsidRPr="008B3AD6">
        <w:t xml:space="preserve"> accumulation of </w:t>
      </w:r>
      <w:r w:rsidR="00A32111">
        <w:t>AmB</w:t>
      </w:r>
      <w:r w:rsidR="00591983" w:rsidRPr="008B3AD6">
        <w:t xml:space="preserve"> across post-treatment time points was derive</w:t>
      </w:r>
      <w:r w:rsidR="00031241">
        <w:t>d</w:t>
      </w:r>
      <w:r w:rsidR="00591983" w:rsidRPr="008B3AD6">
        <w:t xml:space="preserve"> for</w:t>
      </w:r>
      <w:r w:rsidRPr="008B3AD6">
        <w:t xml:space="preserve"> T cells and myeloid cells</w:t>
      </w:r>
      <w:r w:rsidR="008D6C77" w:rsidRPr="008B3AD6">
        <w:t>. N</w:t>
      </w:r>
      <w:r w:rsidRPr="008B3AD6">
        <w:t>eutrophil, monocy</w:t>
      </w:r>
      <w:r w:rsidR="00C52BC5" w:rsidRPr="008B3AD6">
        <w:t xml:space="preserve">te and Kupffer &amp; dendritic cell </w:t>
      </w:r>
      <w:r w:rsidR="00A32111">
        <w:t>AmB</w:t>
      </w:r>
      <w:r w:rsidRPr="008B3AD6">
        <w:t xml:space="preserve"> </w:t>
      </w:r>
      <w:r w:rsidR="008D6C77" w:rsidRPr="008B3AD6">
        <w:t xml:space="preserve">accumulation at each time point were summed with the SEM calculated as described in Section </w:t>
      </w:r>
      <w:r w:rsidR="008B3AD6" w:rsidRPr="008B3AD6">
        <w:fldChar w:fldCharType="begin"/>
      </w:r>
      <w:r w:rsidR="008B3AD6" w:rsidRPr="008B3AD6">
        <w:instrText xml:space="preserve"> REF _Ref522734803 \n </w:instrText>
      </w:r>
      <w:r w:rsidR="008B3AD6">
        <w:instrText xml:space="preserve"> \* MERGEFORMAT </w:instrText>
      </w:r>
      <w:r w:rsidR="008B3AD6" w:rsidRPr="008B3AD6">
        <w:fldChar w:fldCharType="separate"/>
      </w:r>
      <w:r w:rsidR="00921CAF">
        <w:t>2.14</w:t>
      </w:r>
      <w:r w:rsidR="008B3AD6" w:rsidRPr="008B3AD6">
        <w:fldChar w:fldCharType="end"/>
      </w:r>
      <w:r w:rsidR="00031241">
        <w:t>. T c</w:t>
      </w:r>
      <w:r w:rsidRPr="008B3AD6">
        <w:t>ell</w:t>
      </w:r>
      <w:r w:rsidR="00031241">
        <w:t>s</w:t>
      </w:r>
      <w:r w:rsidRPr="008B3AD6">
        <w:t xml:space="preserve"> numbers were derived by further gating of the lympho</w:t>
      </w:r>
      <w:r w:rsidR="003D0296" w:rsidRPr="008B3AD6">
        <w:t>id population and the population average</w:t>
      </w:r>
      <w:r w:rsidRPr="008B3AD6">
        <w:t xml:space="preserve"> </w:t>
      </w:r>
      <w:r w:rsidR="003D0296" w:rsidRPr="008B3AD6">
        <w:t xml:space="preserve">multiplied </w:t>
      </w:r>
      <w:r w:rsidRPr="008B3AD6">
        <w:t xml:space="preserve">with </w:t>
      </w:r>
      <w:r w:rsidR="008D6C77" w:rsidRPr="008B3AD6">
        <w:t xml:space="preserve">the average </w:t>
      </w:r>
      <w:r w:rsidR="00A32111">
        <w:t>AmB</w:t>
      </w:r>
      <w:r w:rsidR="008D6C77" w:rsidRPr="008B3AD6">
        <w:t xml:space="preserve"> accumulation for the </w:t>
      </w:r>
      <w:r w:rsidR="003D0296" w:rsidRPr="008B3AD6">
        <w:t>lymphoid cells</w:t>
      </w:r>
      <w:r w:rsidR="008D6C77" w:rsidRPr="008B3AD6">
        <w:t xml:space="preserve"> at each time point.</w:t>
      </w:r>
      <w:r w:rsidR="003D0296" w:rsidRPr="008B3AD6">
        <w:t xml:space="preserve"> </w:t>
      </w:r>
      <w:r w:rsidR="0074700A">
        <w:rPr>
          <w:b/>
        </w:rPr>
        <w:fldChar w:fldCharType="begin"/>
      </w:r>
      <w:r w:rsidR="0074700A">
        <w:rPr>
          <w:b/>
        </w:rPr>
        <w:instrText xml:space="preserve"> REF _Ref522784400  \* MERGEFORMAT </w:instrText>
      </w:r>
      <w:r w:rsidR="0074700A">
        <w:rPr>
          <w:b/>
        </w:rPr>
        <w:fldChar w:fldCharType="separate"/>
      </w:r>
      <w:r w:rsidR="00921CAF" w:rsidRPr="00921CAF">
        <w:rPr>
          <w:b/>
        </w:rPr>
        <w:t xml:space="preserve">Figure </w:t>
      </w:r>
      <w:r w:rsidR="00921CAF" w:rsidRPr="00921CAF">
        <w:rPr>
          <w:b/>
          <w:noProof/>
        </w:rPr>
        <w:t>5.9</w:t>
      </w:r>
      <w:r w:rsidR="0074700A">
        <w:rPr>
          <w:b/>
          <w:noProof/>
        </w:rPr>
        <w:fldChar w:fldCharType="end"/>
      </w:r>
      <w:r w:rsidR="00C52BC5" w:rsidRPr="008B3AD6">
        <w:t xml:space="preserve"> shows the newly derived </w:t>
      </w:r>
      <w:r w:rsidR="00A32111">
        <w:t>AmB</w:t>
      </w:r>
      <w:r w:rsidR="00C52BC5" w:rsidRPr="008B3AD6">
        <w:t xml:space="preserve"> accumulation plots f</w:t>
      </w:r>
      <w:r w:rsidR="00907220" w:rsidRPr="008B3AD6">
        <w:t>or T cells and myeloid cells. These data along with total liver accumulation (</w:t>
      </w:r>
      <w:r w:rsidR="00907220" w:rsidRPr="008B3AD6">
        <w:rPr>
          <w:b/>
        </w:rPr>
        <w:fldChar w:fldCharType="begin"/>
      </w:r>
      <w:r w:rsidR="00907220" w:rsidRPr="008B3AD6">
        <w:rPr>
          <w:b/>
        </w:rPr>
        <w:instrText xml:space="preserve"> REF _Ref518932550  \* MERGEFORMAT </w:instrText>
      </w:r>
      <w:r w:rsidR="00907220" w:rsidRPr="008B3AD6">
        <w:rPr>
          <w:b/>
        </w:rPr>
        <w:fldChar w:fldCharType="separate"/>
      </w:r>
      <w:r w:rsidR="00921CAF" w:rsidRPr="00921CAF">
        <w:rPr>
          <w:b/>
        </w:rPr>
        <w:t xml:space="preserve">Figure </w:t>
      </w:r>
      <w:r w:rsidR="00921CAF" w:rsidRPr="00921CAF">
        <w:rPr>
          <w:b/>
          <w:noProof/>
        </w:rPr>
        <w:t>3.12</w:t>
      </w:r>
      <w:r w:rsidR="00907220" w:rsidRPr="008B3AD6">
        <w:rPr>
          <w:b/>
        </w:rPr>
        <w:fldChar w:fldCharType="end"/>
      </w:r>
      <w:r w:rsidR="00907220" w:rsidRPr="008B3AD6">
        <w:rPr>
          <w:b/>
        </w:rPr>
        <w:t>A</w:t>
      </w:r>
      <w:r w:rsidR="00907220" w:rsidRPr="008B3AD6">
        <w:t xml:space="preserve">) and the changes in parasite </w:t>
      </w:r>
      <w:r w:rsidR="00907220" w:rsidRPr="008B3AD6">
        <w:lastRenderedPageBreak/>
        <w:t>burden post-treatment (</w:t>
      </w:r>
      <w:r w:rsidR="00907220" w:rsidRPr="008B3AD6">
        <w:rPr>
          <w:b/>
        </w:rPr>
        <w:fldChar w:fldCharType="begin"/>
      </w:r>
      <w:r w:rsidR="00907220" w:rsidRPr="008B3AD6">
        <w:rPr>
          <w:b/>
        </w:rPr>
        <w:instrText xml:space="preserve"> REF _Ref518932550  \* MERGEFORMAT </w:instrText>
      </w:r>
      <w:r w:rsidR="00907220" w:rsidRPr="008B3AD6">
        <w:rPr>
          <w:b/>
        </w:rPr>
        <w:fldChar w:fldCharType="separate"/>
      </w:r>
      <w:r w:rsidR="00921CAF" w:rsidRPr="00921CAF">
        <w:rPr>
          <w:b/>
        </w:rPr>
        <w:t xml:space="preserve">Figure </w:t>
      </w:r>
      <w:r w:rsidR="00921CAF" w:rsidRPr="00921CAF">
        <w:rPr>
          <w:b/>
          <w:noProof/>
        </w:rPr>
        <w:t>3.12</w:t>
      </w:r>
      <w:r w:rsidR="00907220" w:rsidRPr="008B3AD6">
        <w:rPr>
          <w:b/>
        </w:rPr>
        <w:fldChar w:fldCharType="end"/>
      </w:r>
      <w:r w:rsidR="00907220" w:rsidRPr="008B3AD6">
        <w:rPr>
          <w:b/>
        </w:rPr>
        <w:t>B</w:t>
      </w:r>
      <w:r w:rsidR="00907220" w:rsidRPr="008B3AD6">
        <w:t xml:space="preserve">) serve as the observable phenomena needed for the </w:t>
      </w:r>
      <w:r w:rsidR="00D540E9">
        <w:rPr>
          <w:noProof/>
        </w:rPr>
        <mc:AlternateContent>
          <mc:Choice Requires="wps">
            <w:drawing>
              <wp:anchor distT="0" distB="0" distL="114300" distR="114300" simplePos="0" relativeHeight="251877376" behindDoc="0" locked="0" layoutInCell="1" allowOverlap="1" wp14:anchorId="1CB7F424" wp14:editId="1A4FB2B7">
                <wp:simplePos x="0" y="0"/>
                <wp:positionH relativeFrom="margin">
                  <wp:align>center</wp:align>
                </wp:positionH>
                <wp:positionV relativeFrom="paragraph">
                  <wp:posOffset>4055745</wp:posOffset>
                </wp:positionV>
                <wp:extent cx="5791200" cy="1660525"/>
                <wp:effectExtent l="0" t="0" r="0" b="6350"/>
                <wp:wrapTopAndBottom/>
                <wp:docPr id="612" name="Text Box 612"/>
                <wp:cNvGraphicFramePr/>
                <a:graphic xmlns:a="http://schemas.openxmlformats.org/drawingml/2006/main">
                  <a:graphicData uri="http://schemas.microsoft.com/office/word/2010/wordprocessingShape">
                    <wps:wsp>
                      <wps:cNvSpPr txBox="1"/>
                      <wps:spPr>
                        <a:xfrm>
                          <a:off x="0" y="0"/>
                          <a:ext cx="5791200" cy="1660525"/>
                        </a:xfrm>
                        <a:prstGeom prst="rect">
                          <a:avLst/>
                        </a:prstGeom>
                        <a:solidFill>
                          <a:prstClr val="white"/>
                        </a:solidFill>
                        <a:ln>
                          <a:noFill/>
                        </a:ln>
                      </wps:spPr>
                      <wps:txbx>
                        <w:txbxContent>
                          <w:p w14:paraId="558A0CCE" w14:textId="0093BDBB" w:rsidR="00F61130" w:rsidRPr="003D0296" w:rsidRDefault="00F61130" w:rsidP="00B23FF8">
                            <w:pPr>
                              <w:pStyle w:val="Caption"/>
                              <w:spacing w:line="360" w:lineRule="auto"/>
                              <w:jc w:val="both"/>
                              <w:rPr>
                                <w:sz w:val="20"/>
                                <w:szCs w:val="20"/>
                              </w:rPr>
                            </w:pPr>
                            <w:bookmarkStart w:id="614" w:name="_Ref522784400"/>
                            <w:bookmarkStart w:id="615" w:name="_Toc525227244"/>
                            <w:bookmarkStart w:id="616" w:name="_Toc536814183"/>
                            <w:r w:rsidRPr="003D0296">
                              <w:rPr>
                                <w:b/>
                                <w:sz w:val="20"/>
                                <w:szCs w:val="20"/>
                              </w:rPr>
                              <w:t xml:space="preserve">Figure </w:t>
                            </w:r>
                            <w:r>
                              <w:rPr>
                                <w:b/>
                                <w:sz w:val="20"/>
                                <w:szCs w:val="20"/>
                              </w:rPr>
                              <w:fldChar w:fldCharType="begin"/>
                            </w:r>
                            <w:r>
                              <w:rPr>
                                <w:b/>
                                <w:sz w:val="20"/>
                                <w:szCs w:val="20"/>
                              </w:rPr>
                              <w:instrText xml:space="preserve"> STYLEREF 1 \s </w:instrText>
                            </w:r>
                            <w:r>
                              <w:rPr>
                                <w:b/>
                                <w:sz w:val="20"/>
                                <w:szCs w:val="20"/>
                              </w:rPr>
                              <w:fldChar w:fldCharType="separate"/>
                            </w:r>
                            <w:r>
                              <w:rPr>
                                <w:b/>
                                <w:noProof/>
                                <w:sz w:val="20"/>
                                <w:szCs w:val="20"/>
                              </w:rPr>
                              <w:t>5</w:t>
                            </w:r>
                            <w:r>
                              <w:rPr>
                                <w:b/>
                                <w:sz w:val="20"/>
                                <w:szCs w:val="20"/>
                              </w:rPr>
                              <w:fldChar w:fldCharType="end"/>
                            </w:r>
                            <w:r>
                              <w:rPr>
                                <w:b/>
                                <w:sz w:val="20"/>
                                <w:szCs w:val="20"/>
                              </w:rPr>
                              <w:t>.</w:t>
                            </w:r>
                            <w:r>
                              <w:rPr>
                                <w:b/>
                                <w:sz w:val="20"/>
                                <w:szCs w:val="20"/>
                              </w:rPr>
                              <w:fldChar w:fldCharType="begin"/>
                            </w:r>
                            <w:r>
                              <w:rPr>
                                <w:b/>
                                <w:sz w:val="20"/>
                                <w:szCs w:val="20"/>
                              </w:rPr>
                              <w:instrText xml:space="preserve"> SEQ Figure \* ARABIC \s 1 </w:instrText>
                            </w:r>
                            <w:r>
                              <w:rPr>
                                <w:b/>
                                <w:sz w:val="20"/>
                                <w:szCs w:val="20"/>
                              </w:rPr>
                              <w:fldChar w:fldCharType="separate"/>
                            </w:r>
                            <w:r>
                              <w:rPr>
                                <w:b/>
                                <w:noProof/>
                                <w:sz w:val="20"/>
                                <w:szCs w:val="20"/>
                              </w:rPr>
                              <w:t>9</w:t>
                            </w:r>
                            <w:r>
                              <w:rPr>
                                <w:b/>
                                <w:sz w:val="20"/>
                                <w:szCs w:val="20"/>
                              </w:rPr>
                              <w:fldChar w:fldCharType="end"/>
                            </w:r>
                            <w:bookmarkEnd w:id="614"/>
                            <w:r w:rsidRPr="003D0296">
                              <w:rPr>
                                <w:b/>
                                <w:sz w:val="20"/>
                                <w:szCs w:val="20"/>
                              </w:rPr>
                              <w:t xml:space="preserve"> - Pharmacokinetic time course for Amphotericin B accumulation in total myeloid population and T Cells. </w:t>
                            </w:r>
                            <w:r>
                              <w:rPr>
                                <w:sz w:val="20"/>
                                <w:szCs w:val="20"/>
                              </w:rPr>
                              <w:t>Amphotericin B accumulation for myeloid cells was derived through the summation of neutrophil, monocyte and Kupffer &amp; dendritic cell accumulation (</w:t>
                            </w:r>
                            <w:r w:rsidRPr="00CA20BD">
                              <w:rPr>
                                <w:b/>
                                <w:sz w:val="20"/>
                                <w:szCs w:val="20"/>
                              </w:rPr>
                              <w:fldChar w:fldCharType="begin"/>
                            </w:r>
                            <w:r w:rsidRPr="00CA20BD">
                              <w:rPr>
                                <w:b/>
                                <w:sz w:val="20"/>
                                <w:szCs w:val="20"/>
                              </w:rPr>
                              <w:instrText xml:space="preserve"> REF _Ref518932911 </w:instrText>
                            </w:r>
                            <w:r>
                              <w:rPr>
                                <w:b/>
                                <w:sz w:val="20"/>
                                <w:szCs w:val="20"/>
                              </w:rPr>
                              <w:instrText xml:space="preserve"> \* MERGEFORMAT </w:instrText>
                            </w:r>
                            <w:r w:rsidRPr="00CA20BD">
                              <w:rPr>
                                <w:b/>
                                <w:sz w:val="20"/>
                                <w:szCs w:val="20"/>
                              </w:rPr>
                              <w:fldChar w:fldCharType="separate"/>
                            </w:r>
                            <w:r w:rsidRPr="0080587B">
                              <w:rPr>
                                <w:b/>
                                <w:sz w:val="20"/>
                                <w:szCs w:val="20"/>
                              </w:rPr>
                              <w:t xml:space="preserve">Figure </w:t>
                            </w:r>
                            <w:r>
                              <w:rPr>
                                <w:b/>
                                <w:noProof/>
                                <w:sz w:val="20"/>
                                <w:szCs w:val="20"/>
                              </w:rPr>
                              <w:t>3.14</w:t>
                            </w:r>
                            <w:r w:rsidRPr="00CA20BD">
                              <w:rPr>
                                <w:b/>
                                <w:sz w:val="20"/>
                                <w:szCs w:val="20"/>
                              </w:rPr>
                              <w:fldChar w:fldCharType="end"/>
                            </w:r>
                            <w:r w:rsidRPr="00CA20BD">
                              <w:rPr>
                                <w:b/>
                                <w:sz w:val="20"/>
                                <w:szCs w:val="20"/>
                              </w:rPr>
                              <w:t>Aiii - Ciii</w:t>
                            </w:r>
                            <w:r>
                              <w:rPr>
                                <w:sz w:val="20"/>
                                <w:szCs w:val="20"/>
                              </w:rPr>
                              <w:t xml:space="preserve">). T Cell numbers were derived via further gating of </w:t>
                            </w:r>
                            <w:r>
                              <w:rPr>
                                <w:sz w:val="20"/>
                                <w:szCs w:val="20"/>
                              </w:rPr>
                              <w:fldChar w:fldCharType="begin"/>
                            </w:r>
                            <w:r>
                              <w:rPr>
                                <w:sz w:val="20"/>
                                <w:szCs w:val="20"/>
                              </w:rPr>
                              <w:instrText xml:space="preserve"> REF _Ref518932440  \* MERGEFORMAT </w:instrText>
                            </w:r>
                            <w:r>
                              <w:rPr>
                                <w:sz w:val="20"/>
                                <w:szCs w:val="20"/>
                              </w:rPr>
                              <w:fldChar w:fldCharType="separate"/>
                            </w:r>
                            <w:r w:rsidRPr="00881879">
                              <w:rPr>
                                <w:b/>
                                <w:sz w:val="20"/>
                                <w:szCs w:val="20"/>
                              </w:rPr>
                              <w:t xml:space="preserve">Figure </w:t>
                            </w:r>
                            <w:r>
                              <w:rPr>
                                <w:b/>
                                <w:noProof/>
                                <w:sz w:val="20"/>
                                <w:szCs w:val="20"/>
                              </w:rPr>
                              <w:t>3.11</w:t>
                            </w:r>
                            <w:r>
                              <w:rPr>
                                <w:sz w:val="20"/>
                                <w:szCs w:val="20"/>
                              </w:rPr>
                              <w:fldChar w:fldCharType="end"/>
                            </w:r>
                            <w:r>
                              <w:rPr>
                                <w:sz w:val="20"/>
                                <w:szCs w:val="20"/>
                              </w:rPr>
                              <w:t xml:space="preserve"> (n = 6-8 biological replicates). T Cell population averages were combined with lymphoid cell Amphotericin B (</w:t>
                            </w:r>
                            <w:r>
                              <w:rPr>
                                <w:sz w:val="20"/>
                                <w:szCs w:val="20"/>
                              </w:rPr>
                              <w:fldChar w:fldCharType="begin"/>
                            </w:r>
                            <w:r>
                              <w:rPr>
                                <w:sz w:val="20"/>
                                <w:szCs w:val="20"/>
                              </w:rPr>
                              <w:instrText xml:space="preserve"> REF _Ref518932911  \* MERGEFORMAT </w:instrText>
                            </w:r>
                            <w:r>
                              <w:rPr>
                                <w:sz w:val="20"/>
                                <w:szCs w:val="20"/>
                              </w:rPr>
                              <w:fldChar w:fldCharType="separate"/>
                            </w:r>
                            <w:r w:rsidRPr="0080587B">
                              <w:rPr>
                                <w:b/>
                                <w:sz w:val="20"/>
                                <w:szCs w:val="20"/>
                              </w:rPr>
                              <w:t xml:space="preserve">Figure </w:t>
                            </w:r>
                            <w:r>
                              <w:rPr>
                                <w:b/>
                                <w:noProof/>
                                <w:sz w:val="20"/>
                                <w:szCs w:val="20"/>
                              </w:rPr>
                              <w:t>3.14</w:t>
                            </w:r>
                            <w:r>
                              <w:rPr>
                                <w:sz w:val="20"/>
                                <w:szCs w:val="20"/>
                              </w:rPr>
                              <w:fldChar w:fldCharType="end"/>
                            </w:r>
                            <w:r w:rsidRPr="00CA20BD">
                              <w:rPr>
                                <w:b/>
                                <w:sz w:val="20"/>
                                <w:szCs w:val="20"/>
                              </w:rPr>
                              <w:t>Dii</w:t>
                            </w:r>
                            <w:r>
                              <w:rPr>
                                <w:sz w:val="20"/>
                                <w:szCs w:val="20"/>
                              </w:rPr>
                              <w:t xml:space="preserve">) at corresponding time points and the SEM calculated as described in Section </w:t>
                            </w:r>
                            <w:r>
                              <w:rPr>
                                <w:sz w:val="20"/>
                                <w:szCs w:val="20"/>
                              </w:rPr>
                              <w:fldChar w:fldCharType="begin"/>
                            </w:r>
                            <w:r>
                              <w:rPr>
                                <w:sz w:val="20"/>
                                <w:szCs w:val="20"/>
                              </w:rPr>
                              <w:instrText xml:space="preserve"> REF _Ref522785591 \n  \* MERGEFORMAT </w:instrText>
                            </w:r>
                            <w:r>
                              <w:rPr>
                                <w:sz w:val="20"/>
                                <w:szCs w:val="20"/>
                              </w:rPr>
                              <w:fldChar w:fldCharType="separate"/>
                            </w:r>
                            <w:r>
                              <w:rPr>
                                <w:sz w:val="20"/>
                                <w:szCs w:val="20"/>
                              </w:rPr>
                              <w:t>2.14</w:t>
                            </w:r>
                            <w:r>
                              <w:rPr>
                                <w:sz w:val="20"/>
                                <w:szCs w:val="20"/>
                              </w:rPr>
                              <w:fldChar w:fldCharType="end"/>
                            </w:r>
                            <w:r>
                              <w:rPr>
                                <w:sz w:val="20"/>
                                <w:szCs w:val="20"/>
                              </w:rPr>
                              <w:t>.</w:t>
                            </w:r>
                            <w:bookmarkEnd w:id="615"/>
                            <w:bookmarkEnd w:id="616"/>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1CB7F424" id="Text Box 612" o:spid="_x0000_s1180" type="#_x0000_t202" style="position:absolute;left:0;text-align:left;margin-left:0;margin-top:319.35pt;width:456pt;height:130.75pt;z-index:251877376;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9DhzQNQIAAG4EAAAOAAAAZHJzL2Uyb0RvYy54bWysVMGO0zAQvSPxD5bvNE1FC0RNV6WrIqRq&#13;&#10;d6UW7dl1nMaS7TG226R8PWMn6cLCCXFxxjPjZ897M1nedVqRi3BegilpPplSIgyHSppTSb8dtu8+&#13;&#10;UuIDMxVTYERJr8LTu9XbN8vWFmIGDahKOIIgxhetLWkTgi2yzPNGaOYnYIXBYA1Os4Bbd8oqx1pE&#13;&#10;1yqbTaeLrAVXWQdceI/e+z5IVwm/rgUPj3XtRSCqpPi2kFaX1mNcs9WSFSfHbCP58Az2D6/QTBq8&#13;&#10;9AZ1zwIjZyf/gNKSO/BQhwkHnUFdSy5SDVhNPn1Vzb5hVqRakBxvbzT5/wfLHy5PjsiqpIt8Rolh&#13;&#10;GkU6iC6Qz9CR6EOGWusLTNxbTA0dBlDp0e/RGQvvaqfjF0siGEeurzd+IxxH5/zDpxxFo4RjLF8s&#13;&#10;pvPZPOJkL8et8+GLAE2iUVKHAiZe2WXnQ586psTbPChZbaVScRMDG+XIhaHYbSODGMB/y1Im5hqI&#13;&#10;p3rA6MlijX0t0QrdsUus5PP3Y6VHqK5IgIO+ibzlW4k37pgPT8xh12BhOAnhEZdaQVtSGCxKGnA/&#13;&#10;/uaP+SgmRilpsQtL6r+fmROUqK8GZY4tOxpuNI6jYc56A1hrjjNmeTLxgAtqNGsH+hkHZB1vwRAz&#13;&#10;HO8qaRjNTehnAQeMi/U6JWFjWhZ2Zm95hB6ZPXTPzNlBl4CSPsDYn6x4JU+fmwSy63NArpN2kdme&#13;&#10;xYFwbOqk/jCAcWp+3aesl9/E6icAAAD//wMAUEsDBBQABgAIAAAAIQDJ4Tl/5AAAAA0BAAAPAAAA&#13;&#10;ZHJzL2Rvd25yZXYueG1sTI9BT8MwDIXvSPyHyEhc0Jasm8romk7TgAO7THS7cMuarCk0TtWkW/n3&#13;&#10;mBNcLNtPfn5fvh5dyy6mD41HCbOpAGaw8rrBWsLx8DpZAgtRoVatRyPh2wRYF7c3ucq0v+K7uZSx&#13;&#10;ZmSCIVMSbIxdxnmorHEqTH1nkLSz752KNPY11726krlreSJEyp1qkD5Y1ZmtNdVXOTgJ+8XH3j4M&#13;&#10;55fdZjHv347DNv2sSynv78bnFZXNClg0Y/y7gF8Gyg8FBTv5AXVgrQSiiRLS+fIRGMlPs4Q2J2qE&#13;&#10;SIAXOf9PUfwAAAD//wMAUEsBAi0AFAAGAAgAAAAhALaDOJL+AAAA4QEAABMAAAAAAAAAAAAAAAAA&#13;&#10;AAAAAFtDb250ZW50X1R5cGVzXS54bWxQSwECLQAUAAYACAAAACEAOP0h/9YAAACUAQAACwAAAAAA&#13;&#10;AAAAAAAAAAAvAQAAX3JlbHMvLnJlbHNQSwECLQAUAAYACAAAACEA/Q4c0DUCAABuBAAADgAAAAAA&#13;&#10;AAAAAAAAAAAuAgAAZHJzL2Uyb0RvYy54bWxQSwECLQAUAAYACAAAACEAyeE5f+QAAAANAQAADwAA&#13;&#10;AAAAAAAAAAAAAACPBAAAZHJzL2Rvd25yZXYueG1sUEsFBgAAAAAEAAQA8wAAAKAFAAAAAA==&#13;&#10;" stroked="f">
                <v:textbox style="mso-fit-shape-to-text:t" inset="0,0,0,0">
                  <w:txbxContent>
                    <w:p w14:paraId="558A0CCE" w14:textId="0093BDBB" w:rsidR="00F61130" w:rsidRPr="003D0296" w:rsidRDefault="00F61130" w:rsidP="00B23FF8">
                      <w:pPr>
                        <w:pStyle w:val="Caption"/>
                        <w:spacing w:line="360" w:lineRule="auto"/>
                        <w:jc w:val="both"/>
                        <w:rPr>
                          <w:sz w:val="20"/>
                          <w:szCs w:val="20"/>
                        </w:rPr>
                      </w:pPr>
                      <w:bookmarkStart w:id="617" w:name="_Ref522784400"/>
                      <w:bookmarkStart w:id="618" w:name="_Toc525227244"/>
                      <w:bookmarkStart w:id="619" w:name="_Toc536814183"/>
                      <w:r w:rsidRPr="003D0296">
                        <w:rPr>
                          <w:b/>
                          <w:sz w:val="20"/>
                          <w:szCs w:val="20"/>
                        </w:rPr>
                        <w:t xml:space="preserve">Figure </w:t>
                      </w:r>
                      <w:r>
                        <w:rPr>
                          <w:b/>
                          <w:sz w:val="20"/>
                          <w:szCs w:val="20"/>
                        </w:rPr>
                        <w:fldChar w:fldCharType="begin"/>
                      </w:r>
                      <w:r>
                        <w:rPr>
                          <w:b/>
                          <w:sz w:val="20"/>
                          <w:szCs w:val="20"/>
                        </w:rPr>
                        <w:instrText xml:space="preserve"> STYLEREF 1 \s </w:instrText>
                      </w:r>
                      <w:r>
                        <w:rPr>
                          <w:b/>
                          <w:sz w:val="20"/>
                          <w:szCs w:val="20"/>
                        </w:rPr>
                        <w:fldChar w:fldCharType="separate"/>
                      </w:r>
                      <w:r>
                        <w:rPr>
                          <w:b/>
                          <w:noProof/>
                          <w:sz w:val="20"/>
                          <w:szCs w:val="20"/>
                        </w:rPr>
                        <w:t>5</w:t>
                      </w:r>
                      <w:r>
                        <w:rPr>
                          <w:b/>
                          <w:sz w:val="20"/>
                          <w:szCs w:val="20"/>
                        </w:rPr>
                        <w:fldChar w:fldCharType="end"/>
                      </w:r>
                      <w:r>
                        <w:rPr>
                          <w:b/>
                          <w:sz w:val="20"/>
                          <w:szCs w:val="20"/>
                        </w:rPr>
                        <w:t>.</w:t>
                      </w:r>
                      <w:r>
                        <w:rPr>
                          <w:b/>
                          <w:sz w:val="20"/>
                          <w:szCs w:val="20"/>
                        </w:rPr>
                        <w:fldChar w:fldCharType="begin"/>
                      </w:r>
                      <w:r>
                        <w:rPr>
                          <w:b/>
                          <w:sz w:val="20"/>
                          <w:szCs w:val="20"/>
                        </w:rPr>
                        <w:instrText xml:space="preserve"> SEQ Figure \* ARABIC \s 1 </w:instrText>
                      </w:r>
                      <w:r>
                        <w:rPr>
                          <w:b/>
                          <w:sz w:val="20"/>
                          <w:szCs w:val="20"/>
                        </w:rPr>
                        <w:fldChar w:fldCharType="separate"/>
                      </w:r>
                      <w:r>
                        <w:rPr>
                          <w:b/>
                          <w:noProof/>
                          <w:sz w:val="20"/>
                          <w:szCs w:val="20"/>
                        </w:rPr>
                        <w:t>9</w:t>
                      </w:r>
                      <w:r>
                        <w:rPr>
                          <w:b/>
                          <w:sz w:val="20"/>
                          <w:szCs w:val="20"/>
                        </w:rPr>
                        <w:fldChar w:fldCharType="end"/>
                      </w:r>
                      <w:bookmarkEnd w:id="617"/>
                      <w:r w:rsidRPr="003D0296">
                        <w:rPr>
                          <w:b/>
                          <w:sz w:val="20"/>
                          <w:szCs w:val="20"/>
                        </w:rPr>
                        <w:t xml:space="preserve"> - Pharmacokinetic time course for Amphotericin B accumulation in total myeloid population and T Cells. </w:t>
                      </w:r>
                      <w:r>
                        <w:rPr>
                          <w:sz w:val="20"/>
                          <w:szCs w:val="20"/>
                        </w:rPr>
                        <w:t>Amphotericin B accumulation for myeloid cells was derived through the summation of neutrophil, monocyte and Kupffer &amp; dendritic cell accumulation (</w:t>
                      </w:r>
                      <w:r w:rsidRPr="00CA20BD">
                        <w:rPr>
                          <w:b/>
                          <w:sz w:val="20"/>
                          <w:szCs w:val="20"/>
                        </w:rPr>
                        <w:fldChar w:fldCharType="begin"/>
                      </w:r>
                      <w:r w:rsidRPr="00CA20BD">
                        <w:rPr>
                          <w:b/>
                          <w:sz w:val="20"/>
                          <w:szCs w:val="20"/>
                        </w:rPr>
                        <w:instrText xml:space="preserve"> REF _Ref518932911 </w:instrText>
                      </w:r>
                      <w:r>
                        <w:rPr>
                          <w:b/>
                          <w:sz w:val="20"/>
                          <w:szCs w:val="20"/>
                        </w:rPr>
                        <w:instrText xml:space="preserve"> \* MERGEFORMAT </w:instrText>
                      </w:r>
                      <w:r w:rsidRPr="00CA20BD">
                        <w:rPr>
                          <w:b/>
                          <w:sz w:val="20"/>
                          <w:szCs w:val="20"/>
                        </w:rPr>
                        <w:fldChar w:fldCharType="separate"/>
                      </w:r>
                      <w:r w:rsidRPr="0080587B">
                        <w:rPr>
                          <w:b/>
                          <w:sz w:val="20"/>
                          <w:szCs w:val="20"/>
                        </w:rPr>
                        <w:t xml:space="preserve">Figure </w:t>
                      </w:r>
                      <w:r>
                        <w:rPr>
                          <w:b/>
                          <w:noProof/>
                          <w:sz w:val="20"/>
                          <w:szCs w:val="20"/>
                        </w:rPr>
                        <w:t>3.14</w:t>
                      </w:r>
                      <w:r w:rsidRPr="00CA20BD">
                        <w:rPr>
                          <w:b/>
                          <w:sz w:val="20"/>
                          <w:szCs w:val="20"/>
                        </w:rPr>
                        <w:fldChar w:fldCharType="end"/>
                      </w:r>
                      <w:r w:rsidRPr="00CA20BD">
                        <w:rPr>
                          <w:b/>
                          <w:sz w:val="20"/>
                          <w:szCs w:val="20"/>
                        </w:rPr>
                        <w:t>Aiii - Ciii</w:t>
                      </w:r>
                      <w:r>
                        <w:rPr>
                          <w:sz w:val="20"/>
                          <w:szCs w:val="20"/>
                        </w:rPr>
                        <w:t xml:space="preserve">). T Cell numbers were derived via further gating of </w:t>
                      </w:r>
                      <w:r>
                        <w:rPr>
                          <w:sz w:val="20"/>
                          <w:szCs w:val="20"/>
                        </w:rPr>
                        <w:fldChar w:fldCharType="begin"/>
                      </w:r>
                      <w:r>
                        <w:rPr>
                          <w:sz w:val="20"/>
                          <w:szCs w:val="20"/>
                        </w:rPr>
                        <w:instrText xml:space="preserve"> REF _Ref518932440  \* MERGEFORMAT </w:instrText>
                      </w:r>
                      <w:r>
                        <w:rPr>
                          <w:sz w:val="20"/>
                          <w:szCs w:val="20"/>
                        </w:rPr>
                        <w:fldChar w:fldCharType="separate"/>
                      </w:r>
                      <w:r w:rsidRPr="00881879">
                        <w:rPr>
                          <w:b/>
                          <w:sz w:val="20"/>
                          <w:szCs w:val="20"/>
                        </w:rPr>
                        <w:t xml:space="preserve">Figure </w:t>
                      </w:r>
                      <w:r>
                        <w:rPr>
                          <w:b/>
                          <w:noProof/>
                          <w:sz w:val="20"/>
                          <w:szCs w:val="20"/>
                        </w:rPr>
                        <w:t>3.11</w:t>
                      </w:r>
                      <w:r>
                        <w:rPr>
                          <w:sz w:val="20"/>
                          <w:szCs w:val="20"/>
                        </w:rPr>
                        <w:fldChar w:fldCharType="end"/>
                      </w:r>
                      <w:r>
                        <w:rPr>
                          <w:sz w:val="20"/>
                          <w:szCs w:val="20"/>
                        </w:rPr>
                        <w:t xml:space="preserve"> (n = 6-8 biological replicates). T Cell population averages were combined with lymphoid cell Amphotericin B (</w:t>
                      </w:r>
                      <w:r>
                        <w:rPr>
                          <w:sz w:val="20"/>
                          <w:szCs w:val="20"/>
                        </w:rPr>
                        <w:fldChar w:fldCharType="begin"/>
                      </w:r>
                      <w:r>
                        <w:rPr>
                          <w:sz w:val="20"/>
                          <w:szCs w:val="20"/>
                        </w:rPr>
                        <w:instrText xml:space="preserve"> REF _Ref518932911  \* MERGEFORMAT </w:instrText>
                      </w:r>
                      <w:r>
                        <w:rPr>
                          <w:sz w:val="20"/>
                          <w:szCs w:val="20"/>
                        </w:rPr>
                        <w:fldChar w:fldCharType="separate"/>
                      </w:r>
                      <w:r w:rsidRPr="0080587B">
                        <w:rPr>
                          <w:b/>
                          <w:sz w:val="20"/>
                          <w:szCs w:val="20"/>
                        </w:rPr>
                        <w:t xml:space="preserve">Figure </w:t>
                      </w:r>
                      <w:r>
                        <w:rPr>
                          <w:b/>
                          <w:noProof/>
                          <w:sz w:val="20"/>
                          <w:szCs w:val="20"/>
                        </w:rPr>
                        <w:t>3.14</w:t>
                      </w:r>
                      <w:r>
                        <w:rPr>
                          <w:sz w:val="20"/>
                          <w:szCs w:val="20"/>
                        </w:rPr>
                        <w:fldChar w:fldCharType="end"/>
                      </w:r>
                      <w:r w:rsidRPr="00CA20BD">
                        <w:rPr>
                          <w:b/>
                          <w:sz w:val="20"/>
                          <w:szCs w:val="20"/>
                        </w:rPr>
                        <w:t>Dii</w:t>
                      </w:r>
                      <w:r>
                        <w:rPr>
                          <w:sz w:val="20"/>
                          <w:szCs w:val="20"/>
                        </w:rPr>
                        <w:t xml:space="preserve">) at corresponding time points and the SEM calculated as described in Section </w:t>
                      </w:r>
                      <w:r>
                        <w:rPr>
                          <w:sz w:val="20"/>
                          <w:szCs w:val="20"/>
                        </w:rPr>
                        <w:fldChar w:fldCharType="begin"/>
                      </w:r>
                      <w:r>
                        <w:rPr>
                          <w:sz w:val="20"/>
                          <w:szCs w:val="20"/>
                        </w:rPr>
                        <w:instrText xml:space="preserve"> REF _Ref522785591 \n  \* MERGEFORMAT </w:instrText>
                      </w:r>
                      <w:r>
                        <w:rPr>
                          <w:sz w:val="20"/>
                          <w:szCs w:val="20"/>
                        </w:rPr>
                        <w:fldChar w:fldCharType="separate"/>
                      </w:r>
                      <w:r>
                        <w:rPr>
                          <w:sz w:val="20"/>
                          <w:szCs w:val="20"/>
                        </w:rPr>
                        <w:t>2.14</w:t>
                      </w:r>
                      <w:r>
                        <w:rPr>
                          <w:sz w:val="20"/>
                          <w:szCs w:val="20"/>
                        </w:rPr>
                        <w:fldChar w:fldCharType="end"/>
                      </w:r>
                      <w:r>
                        <w:rPr>
                          <w:sz w:val="20"/>
                          <w:szCs w:val="20"/>
                        </w:rPr>
                        <w:t>.</w:t>
                      </w:r>
                      <w:bookmarkEnd w:id="618"/>
                      <w:bookmarkEnd w:id="619"/>
                    </w:p>
                  </w:txbxContent>
                </v:textbox>
                <w10:wrap type="topAndBottom" anchorx="margin"/>
              </v:shape>
            </w:pict>
          </mc:Fallback>
        </mc:AlternateContent>
      </w:r>
      <w:r w:rsidR="00D540E9">
        <w:rPr>
          <w:noProof/>
        </w:rPr>
        <w:drawing>
          <wp:anchor distT="0" distB="0" distL="114300" distR="114300" simplePos="0" relativeHeight="251876352" behindDoc="0" locked="0" layoutInCell="1" allowOverlap="1" wp14:anchorId="533AD3F9" wp14:editId="7E87D245">
            <wp:simplePos x="0" y="0"/>
            <wp:positionH relativeFrom="column">
              <wp:posOffset>402590</wp:posOffset>
            </wp:positionH>
            <wp:positionV relativeFrom="paragraph">
              <wp:posOffset>570027</wp:posOffset>
            </wp:positionV>
            <wp:extent cx="4779645" cy="3431540"/>
            <wp:effectExtent l="0" t="0" r="0" b="0"/>
            <wp:wrapTopAndBottom/>
            <wp:docPr id="611" name="Picture 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1" name="Picture 611"/>
                    <pic:cNvPicPr>
                      <a:picLocks noChangeAspect="1"/>
                    </pic:cNvPicPr>
                  </pic:nvPicPr>
                  <pic:blipFill>
                    <a:blip r:embed="rId90">
                      <a:extLst>
                        <a:ext uri="{28A0092B-C50C-407E-A947-70E740481C1C}">
                          <a14:useLocalDpi xmlns:a14="http://schemas.microsoft.com/office/drawing/2010/main" val="0"/>
                        </a:ext>
                      </a:extLst>
                    </a:blip>
                    <a:stretch>
                      <a:fillRect/>
                    </a:stretch>
                  </pic:blipFill>
                  <pic:spPr>
                    <a:xfrm>
                      <a:off x="0" y="0"/>
                      <a:ext cx="4779645" cy="3431540"/>
                    </a:xfrm>
                    <a:prstGeom prst="rect">
                      <a:avLst/>
                    </a:prstGeom>
                  </pic:spPr>
                </pic:pic>
              </a:graphicData>
            </a:graphic>
          </wp:anchor>
        </w:drawing>
      </w:r>
      <w:r w:rsidR="00907220" w:rsidRPr="008B3AD6">
        <w:t>creation of an expected behaviours diagram, a first step into modelling this system.</w:t>
      </w:r>
    </w:p>
    <w:p w14:paraId="3B5D78D2" w14:textId="639BC18E" w:rsidR="002D6382" w:rsidRPr="008B3AD6" w:rsidRDefault="002D6382" w:rsidP="00031241">
      <w:pPr>
        <w:spacing w:line="360" w:lineRule="auto"/>
        <w:jc w:val="both"/>
      </w:pPr>
      <w:r w:rsidRPr="008B3AD6">
        <w:t xml:space="preserve">To begin the extension of the </w:t>
      </w:r>
      <w:r w:rsidR="00031241">
        <w:t xml:space="preserve">newly defined </w:t>
      </w:r>
      <w:r w:rsidRPr="008B3AD6">
        <w:t xml:space="preserve">model of the immune response, </w:t>
      </w:r>
      <w:r w:rsidR="0074700A">
        <w:rPr>
          <w:b/>
        </w:rPr>
        <w:fldChar w:fldCharType="begin"/>
      </w:r>
      <w:r w:rsidR="0074700A">
        <w:rPr>
          <w:b/>
        </w:rPr>
        <w:instrText xml:space="preserve"> REF _Ref522633684  \* MERGEFORMAT </w:instrText>
      </w:r>
      <w:r w:rsidR="0074700A">
        <w:rPr>
          <w:b/>
        </w:rPr>
        <w:fldChar w:fldCharType="separate"/>
      </w:r>
      <w:r w:rsidR="00921CAF" w:rsidRPr="00921CAF">
        <w:rPr>
          <w:b/>
        </w:rPr>
        <w:t xml:space="preserve">Figure </w:t>
      </w:r>
      <w:r w:rsidR="00921CAF" w:rsidRPr="00921CAF">
        <w:rPr>
          <w:b/>
          <w:noProof/>
        </w:rPr>
        <w:t>5.2</w:t>
      </w:r>
      <w:r w:rsidR="0074700A">
        <w:rPr>
          <w:b/>
          <w:noProof/>
        </w:rPr>
        <w:fldChar w:fldCharType="end"/>
      </w:r>
      <w:r w:rsidRPr="008B3AD6">
        <w:t xml:space="preserve">, to include the pharmacokinetic/pharmacodynamic data derived in </w:t>
      </w:r>
      <w:r w:rsidRPr="008B3AD6">
        <w:rPr>
          <w:b/>
        </w:rPr>
        <w:fldChar w:fldCharType="begin"/>
      </w:r>
      <w:r w:rsidRPr="008B3AD6">
        <w:instrText xml:space="preserve"> REF _Ref518738258 \n </w:instrText>
      </w:r>
      <w:r w:rsidR="00432CAC" w:rsidRPr="008B3AD6">
        <w:instrText xml:space="preserve"> \* MERGEFORMAT </w:instrText>
      </w:r>
      <w:r w:rsidRPr="008B3AD6">
        <w:rPr>
          <w:b/>
        </w:rPr>
        <w:fldChar w:fldCharType="separate"/>
      </w:r>
      <w:r w:rsidR="00921CAF">
        <w:t>Chapter 3</w:t>
      </w:r>
      <w:r w:rsidRPr="008B3AD6">
        <w:rPr>
          <w:b/>
        </w:rPr>
        <w:fldChar w:fldCharType="end"/>
      </w:r>
      <w:r w:rsidRPr="008B3AD6">
        <w:t xml:space="preserve"> </w:t>
      </w:r>
      <w:r w:rsidR="00031241">
        <w:t>a further</w:t>
      </w:r>
      <w:r w:rsidRPr="008B3AD6">
        <w:t xml:space="preserve"> iteration of the CoSMoS process (see Section </w:t>
      </w:r>
      <w:r w:rsidRPr="008B3AD6">
        <w:rPr>
          <w:b/>
        </w:rPr>
        <w:fldChar w:fldCharType="begin"/>
      </w:r>
      <w:r w:rsidRPr="008B3AD6">
        <w:instrText xml:space="preserve"> REF _Ref522725418 \n </w:instrText>
      </w:r>
      <w:r w:rsidR="00432CAC" w:rsidRPr="008B3AD6">
        <w:instrText xml:space="preserve"> \* MERGEFORMAT </w:instrText>
      </w:r>
      <w:r w:rsidRPr="008B3AD6">
        <w:rPr>
          <w:b/>
        </w:rPr>
        <w:fldChar w:fldCharType="separate"/>
      </w:r>
      <w:r w:rsidR="00921CAF">
        <w:t>2.15</w:t>
      </w:r>
      <w:r w:rsidRPr="008B3AD6">
        <w:rPr>
          <w:b/>
        </w:rPr>
        <w:fldChar w:fldCharType="end"/>
      </w:r>
      <w:r w:rsidRPr="008B3AD6">
        <w:t xml:space="preserve">) was implemented. This iteration of the CoSMoS process </w:t>
      </w:r>
      <w:r w:rsidR="00031241">
        <w:t>began</w:t>
      </w:r>
      <w:r w:rsidRPr="008B3AD6">
        <w:t xml:space="preserve"> with an expected behaviours diagram describing the hypotheses that account for the observable phenomena</w:t>
      </w:r>
      <w:r w:rsidR="00031241">
        <w:t xml:space="preserve"> of Amphotericin B primarily within the liver</w:t>
      </w:r>
      <w:r w:rsidRPr="008B3AD6">
        <w:t xml:space="preserve">, as seen in </w:t>
      </w:r>
      <w:r w:rsidR="0074700A">
        <w:rPr>
          <w:b/>
        </w:rPr>
        <w:fldChar w:fldCharType="begin"/>
      </w:r>
      <w:r w:rsidR="0074700A">
        <w:rPr>
          <w:b/>
        </w:rPr>
        <w:instrText xml:space="preserve"> REF _Ref522725649  \* MERGEFORMAT </w:instrText>
      </w:r>
      <w:r w:rsidR="0074700A">
        <w:rPr>
          <w:b/>
        </w:rPr>
        <w:fldChar w:fldCharType="separate"/>
      </w:r>
      <w:r w:rsidR="00921CAF" w:rsidRPr="00921CAF">
        <w:rPr>
          <w:b/>
        </w:rPr>
        <w:t xml:space="preserve">Figure </w:t>
      </w:r>
      <w:r w:rsidR="00921CAF" w:rsidRPr="00921CAF">
        <w:rPr>
          <w:b/>
          <w:noProof/>
        </w:rPr>
        <w:t>5.10</w:t>
      </w:r>
      <w:r w:rsidR="0074700A">
        <w:rPr>
          <w:b/>
          <w:noProof/>
        </w:rPr>
        <w:fldChar w:fldCharType="end"/>
      </w:r>
      <w:r w:rsidRPr="008B3AD6">
        <w:t xml:space="preserve">. The phenomena we described </w:t>
      </w:r>
      <w:r w:rsidR="00432CAC" w:rsidRPr="008B3AD6">
        <w:t>for</w:t>
      </w:r>
      <w:r w:rsidRPr="008B3AD6">
        <w:t xml:space="preserve"> this system, denoted as EB2.x, were the initial accumulation of </w:t>
      </w:r>
      <w:r w:rsidR="00A32111">
        <w:t>AmB</w:t>
      </w:r>
      <w:r w:rsidRPr="008B3AD6">
        <w:t xml:space="preserve"> </w:t>
      </w:r>
      <w:r w:rsidRPr="00031241">
        <w:t>within the liver (</w:t>
      </w:r>
      <w:r w:rsidR="00031241" w:rsidRPr="00031241">
        <w:fldChar w:fldCharType="begin"/>
      </w:r>
      <w:r w:rsidR="00031241" w:rsidRPr="00031241">
        <w:instrText xml:space="preserve"> REF _Ref522725649 </w:instrText>
      </w:r>
      <w:r w:rsidR="00031241">
        <w:instrText xml:space="preserve"> \* MERGEFORMAT </w:instrText>
      </w:r>
      <w:r w:rsidR="00031241" w:rsidRPr="00031241">
        <w:fldChar w:fldCharType="separate"/>
      </w:r>
      <w:r w:rsidR="00921CAF" w:rsidRPr="00921CAF">
        <w:rPr>
          <w:b/>
        </w:rPr>
        <w:t xml:space="preserve">Figure </w:t>
      </w:r>
      <w:r w:rsidR="00921CAF" w:rsidRPr="00921CAF">
        <w:rPr>
          <w:b/>
          <w:noProof/>
        </w:rPr>
        <w:t>5.10</w:t>
      </w:r>
      <w:r w:rsidR="00031241" w:rsidRPr="00031241">
        <w:fldChar w:fldCharType="end"/>
      </w:r>
      <w:r w:rsidR="00031241" w:rsidRPr="00031241">
        <w:t xml:space="preserve"> - </w:t>
      </w:r>
      <w:r w:rsidRPr="00031241">
        <w:rPr>
          <w:b/>
        </w:rPr>
        <w:t>EB2.1</w:t>
      </w:r>
      <w:r w:rsidRPr="00031241">
        <w:t>), the continued</w:t>
      </w:r>
      <w:r w:rsidRPr="008B3AD6">
        <w:t xml:space="preserve"> accumulation of </w:t>
      </w:r>
      <w:r w:rsidR="00A32111">
        <w:t>AmB</w:t>
      </w:r>
      <w:r w:rsidRPr="008B3AD6">
        <w:t xml:space="preserve"> within myeloid cells and a decrease in parasite load (</w:t>
      </w:r>
      <w:r w:rsidRPr="008B3AD6">
        <w:rPr>
          <w:b/>
        </w:rPr>
        <w:t>EB2.2</w:t>
      </w:r>
      <w:r w:rsidRPr="008B3AD6">
        <w:t xml:space="preserve">), peaking myeloid cell associated </w:t>
      </w:r>
      <w:r w:rsidR="00A32111">
        <w:t>AmB</w:t>
      </w:r>
      <w:r w:rsidRPr="008B3AD6">
        <w:t xml:space="preserve"> levels coupled with an unchanging T </w:t>
      </w:r>
      <w:r w:rsidR="00064AB4">
        <w:t>c</w:t>
      </w:r>
      <w:r w:rsidRPr="008B3AD6">
        <w:t>ell drug level (</w:t>
      </w:r>
      <w:r w:rsidRPr="008B3AD6">
        <w:rPr>
          <w:b/>
        </w:rPr>
        <w:t>EB2.3</w:t>
      </w:r>
      <w:r w:rsidRPr="008B3AD6">
        <w:t xml:space="preserve">) and the significant decrease in parasite load at 72hrs as compared to 1hr post-treatment with a decrease in T </w:t>
      </w:r>
      <w:r w:rsidR="00064AB4">
        <w:t>c</w:t>
      </w:r>
      <w:r w:rsidRPr="008B3AD6">
        <w:t>ell and myeloid cell numbers (</w:t>
      </w:r>
      <w:r w:rsidRPr="008B3AD6">
        <w:rPr>
          <w:b/>
        </w:rPr>
        <w:t>EB2.4</w:t>
      </w:r>
      <w:r w:rsidRPr="008B3AD6">
        <w:t>).</w:t>
      </w:r>
    </w:p>
    <w:p w14:paraId="0BF0F18D" w14:textId="77777777" w:rsidR="002D6382" w:rsidRPr="008B3AD6" w:rsidRDefault="002D6382" w:rsidP="00C61958">
      <w:pPr>
        <w:pStyle w:val="Default"/>
        <w:spacing w:line="360" w:lineRule="auto"/>
        <w:jc w:val="both"/>
        <w:rPr>
          <w:color w:val="auto"/>
        </w:rPr>
      </w:pPr>
    </w:p>
    <w:p w14:paraId="4B9968F9" w14:textId="2D3BBC61" w:rsidR="0098676E" w:rsidRPr="008B3AD6" w:rsidRDefault="00031241" w:rsidP="00031241">
      <w:pPr>
        <w:spacing w:line="360" w:lineRule="auto"/>
        <w:jc w:val="both"/>
      </w:pPr>
      <w:r>
        <w:t xml:space="preserve">LAmB, in the form of </w:t>
      </w:r>
      <w:r w:rsidR="002D6382" w:rsidRPr="008B3AD6">
        <w:t>AmBisome</w:t>
      </w:r>
      <w:r>
        <w:t>,</w:t>
      </w:r>
      <w:r w:rsidR="002D6382" w:rsidRPr="008B3AD6">
        <w:t xml:space="preserve"> was introduced into the mouse cohorts via a bolus</w:t>
      </w:r>
      <w:r w:rsidR="00064AB4">
        <w:t xml:space="preserve"> intravenous injection and at 1h </w:t>
      </w:r>
      <w:r w:rsidR="00432CAC" w:rsidRPr="008B3AD6">
        <w:t>post-treatment</w:t>
      </w:r>
      <w:r w:rsidR="009057A6" w:rsidRPr="008B3AD6">
        <w:t xml:space="preserve"> </w:t>
      </w:r>
      <w:r w:rsidR="002D6382" w:rsidRPr="008B3AD6">
        <w:t xml:space="preserve">the accumulation of </w:t>
      </w:r>
      <w:r w:rsidR="00A32111">
        <w:t>AmB</w:t>
      </w:r>
      <w:r w:rsidR="002D6382" w:rsidRPr="008B3AD6">
        <w:t xml:space="preserve"> </w:t>
      </w:r>
      <w:r w:rsidR="00F358DE" w:rsidRPr="008B3AD6">
        <w:t xml:space="preserve">within the liver </w:t>
      </w:r>
      <w:r w:rsidR="002D6382" w:rsidRPr="008B3AD6">
        <w:t xml:space="preserve">was </w:t>
      </w:r>
      <w:r w:rsidR="002D6382" w:rsidRPr="008B3AD6">
        <w:lastRenderedPageBreak/>
        <w:t>seen (</w:t>
      </w:r>
      <w:r w:rsidR="002D6382" w:rsidRPr="008B3AD6">
        <w:rPr>
          <w:b/>
        </w:rPr>
        <w:t>EB2.1</w:t>
      </w:r>
      <w:r w:rsidR="002D6382" w:rsidRPr="008B3AD6">
        <w:t xml:space="preserve">). The presence of </w:t>
      </w:r>
      <w:r w:rsidR="00A32111">
        <w:t>AmB</w:t>
      </w:r>
      <w:r w:rsidR="002D6382" w:rsidRPr="008B3AD6">
        <w:t xml:space="preserve"> within the liver at this initial time point may </w:t>
      </w:r>
      <w:r w:rsidR="00432CAC" w:rsidRPr="008B3AD6">
        <w:t>reflect</w:t>
      </w:r>
      <w:r w:rsidR="002D6382" w:rsidRPr="008B3AD6">
        <w:t xml:space="preserve"> blood borne liposomes</w:t>
      </w:r>
      <w:r w:rsidR="00F358DE" w:rsidRPr="008B3AD6">
        <w:t xml:space="preserve"> in liver vasculature</w:t>
      </w:r>
      <w:r w:rsidR="002D6382" w:rsidRPr="008B3AD6">
        <w:t>, however the noted short half-life of AmBisome within the blood</w:t>
      </w:r>
      <w:r w:rsidR="00CE197B" w:rsidRPr="008B3AD6">
        <w:t xml:space="preserve"> shortly after administration </w:t>
      </w:r>
      <w:r w:rsidR="00CE197B" w:rsidRPr="008B3AD6">
        <w:fldChar w:fldCharType="begin"/>
      </w:r>
      <w:r w:rsidR="007A6EED">
        <w:instrText xml:space="preserve"> ADDIN ZOTERO_ITEM CSL_CITATION {"citationID":"lVqU8Hxp","properties":{"formattedCitation":"(Bekersky et al. 2002; Bing\\uc0\\u246{}l and Bakirel 2018)","plainCitation":"(Bekersky et al. 2002; Bingöl and Bakirel 2018)","noteIndex":0},"citationItems":[{"id":2370,"uris":["http://zotero.org/users/2628971/items/GA3IUC6T"],"uri":["http://zotero.org/users/2628971/items/GA3IUC6T"],"itemData":{"id":2370,"type":"article-journal","title":"Pharmacokinetics, Excretion, and Mass Balance of Liposomal Amphotericin B (AmBisome) and Amphotericin B Deoxycholate in Humans","container-title":"Antimicrobial Agents and Chemotherapy","page":"828-833","volume":"46","issue":"3","source":"PubMed Central","abstract":"The pharmacokinetics, excretion, and mass balance of liposomal amphotericin B (AmBisome) (liposomal AMB) and the conventional formulation, AMB deoxycholate (AMB-DOC), were compared in a phase IV, open-label, parallel study in healthy volunteers. After a single 2-h infusion of 2 mg of liposomal AMB/kg of body weight or 0.6 mg of AMB-DOC/kg, plasma, urine, and feces were collected for 168 h. The concentrations of AMB were determined by liquid chromatography tandem mass spectrometry (plasma, urine, feces) or high-performance liquid chromatography (HPLC) (plasma). Infusion-related side effects similar to those reported in patients, including nausea and back pain, were observed in both groups. Both formulations had triphasic plasma profiles with long terminal half-lives (liposomal AMB, 152 ± 116 h; AMB-DOC, 127 ± 30 h), but plasma concentrations were higher (P &lt; 0.01) after administration of liposomal AMB (maximum concentration of drug in serum [Cmax], 22.9 ± 10 μg/ml) than those of AMB-DOC (Cmax, 1.4 ± 0.2 μg/ml). Liposomal AMB had a central compartment volume close to that of plasma (50 ± 19 ml/kg) and a volume of distribution at steady state (Vss) (774 ± 550 ml/kg) smaller than the Vss of AMB-DOC (1,807 ± 239 ml/kg) (P &lt; 0.01). Total clearances were similar (approximately 10 ml hr−1 kg−1), but renal and fecal clearances of liposomal AMB were 10-fold lower than those of AMB-DOC (P &lt; 0.01). Two-thirds of the AMB-DOC was excreted unchanged in the urine (20.6%) and feces (42.5%) with &gt;90% accounted for in mass balance calculations at 1 week, suggesting that metabolism plays at most a minor role in AMB elimination. In contrast, &lt;10% of the liposomal AMB was excreted unchanged. No metabolites were observed by HPLC or mass spectrometry. In comparison to AMB-DOC, liposomal AMB produced higher plasma exposures and lower volumes of distribution and markedly decreased the excretion of unchanged drug in urine and feces. Thus, liposomal AMB significantly alters the excretion and mass balance of AMB. The ability of liposomes to sequester drugs in circulating liposomes and within deep tissue compartments may account for these differences.","DOI":"10.1128/AAC.46.3.828-833.2002","ISSN":"0066-4804","note":"PMID: 11850268\nPMCID: PMC127462","journalAbbreviation":"Antimicrob Agents Chemother","author":[{"family":"Bekersky","given":"Ihor"},{"family":"Fielding","given":"Robert M."},{"family":"Dressler","given":"Dawna E."},{"family":"Lee","given":"Jean W."},{"family":"Buell","given":"Donald N."},{"family":"Walsh","given":"Thomas J."}],"issued":{"date-parts":[["2002",3]]}}},{"id":3516,"uris":["http://zotero.org/users/2628971/items/8QGEAV6U"],"uri":["http://zotero.org/users/2628971/items/8QGEAV6U"],"itemData":{"id":3516,"type":"article-journal","title":"Comparison of the pharmacokinetic profiles of two different amphotericin B formulations in healthy dogs","container-title":"Journal of Veterinary Pharmacology and Therapeutics","page":"e16-e21","volume":"41","issue":"1","source":"PubMed","abstract":"This study was conducted to compare the pharmacokinetic profiles of conventional (Fungizone® ) and liposomal amphotericin B (AmBisome® ) formulations in order to predict their therapeutic properties, and evaluate their potential differences in veterinary treatment. For this purpose, twelve healthy mixed breed dogs received both drugs at a dose of 0.6 mg/kg by intravenous infusion over a 4-min period in a total volume of 40 ml. Blood samples were collected at 0, 0.5, 1, 1.5, 2, 3, 4, 8, 12, 24, 48, 72 and 96 hr after dosing, and concentrations of drug in plasma were determined by high-performance liquid chromatography (HPLC). Pharmacokinetics was described by a two-compartment model. Although both formulations were administered at the same doses (0.6 mg/kg), the plasma pharmacokinetics of liposomal amphotericin B differed significantly from those of amphotericin B deoxycholate in healthy dogs (p &lt; .05). Liposomal amphotericin B showed markedly higher peak plasma concentrations (approximately ninefold greater) and higher area under the plasma concentration curve values (approximately 14-fold higher) compared to conventional formulation. It is concluded that AmBisome® reached higher plasma concentration and lower distribution volume and had a longer half-life compared to Fungizone® , and therefore, AmBisome® is reported to be an appropriate and effective choice for the treatment of systemic mycotic infections in dogs.","DOI":"10.1111/jvp.12446","ISSN":"1365-2885","note":"PMID: 28815733","journalAbbreviation":"J. Vet. Pharmacol. Ther.","language":"eng","author":[{"family":"Bingöl","given":"B."},{"family":"Bakirel","given":"T."}],"issued":{"date-parts":[["2018",2]]}}}],"schema":"https://github.com/citation-style-language/schema/raw/master/csl-citation.json"} </w:instrText>
      </w:r>
      <w:r w:rsidR="00CE197B" w:rsidRPr="008B3AD6">
        <w:fldChar w:fldCharType="separate"/>
      </w:r>
      <w:r w:rsidR="007A6EED" w:rsidRPr="007A6EED">
        <w:rPr>
          <w:lang w:val="en-US"/>
        </w:rPr>
        <w:t>(Bekersky et al. 2002; Bingöl and Bakirel 2018)</w:t>
      </w:r>
      <w:r w:rsidR="00CE197B" w:rsidRPr="008B3AD6">
        <w:fldChar w:fldCharType="end"/>
      </w:r>
      <w:r w:rsidR="002D6382" w:rsidRPr="008B3AD6">
        <w:t>, suggests rapid entry into the extravascular areas of the liver</w:t>
      </w:r>
      <w:r w:rsidR="00CE197B" w:rsidRPr="008B3AD6">
        <w:t>.</w:t>
      </w:r>
      <w:r w:rsidR="002D6382" w:rsidRPr="008B3AD6">
        <w:t xml:space="preserve"> Liposomes have been shown to extravasate into tissues </w:t>
      </w:r>
      <w:r w:rsidR="00F358DE" w:rsidRPr="008B3AD6">
        <w:fldChar w:fldCharType="begin"/>
      </w:r>
      <w:r w:rsidR="007A6EED">
        <w:instrText xml:space="preserve"> ADDIN ZOTERO_ITEM CSL_CITATION {"citationID":"LFllsv4C","properties":{"formattedCitation":"(Rosenecker et al. 1996; Wu et al. 1997)","plainCitation":"(Rosenecker et al. 1996; Wu et al. 1997)","noteIndex":0},"citationItems":[{"id":3521,"uris":["http://zotero.org/users/2628971/items/YDMNGENB"],"uri":["http://zotero.org/users/2628971/items/YDMNGENB"],"itemData":{"id":3521,"type":"article-journal","title":"Increased liposome extravasation in selected tissues: effect of substance P.","container-title":"Proceedings of the National Academy of Sciences of the United States of America","page":"7236-7241","volume":"93","issue":"14","source":"PubMed Central","abstract":"We have used a pharmacologic mediator to open intercellular connections in selected vessels to allow liposomes to escape from the blood stream and to extravasate into tissues that have appropriate receptors. We have examined the effects of substance P (SP), a peptide known to increase vascular permeability in selected tissues, such as trachea, esophagus, and urinary bladder in rats. We used quantitative fluorescence analysis of tissues to measure two fluorescent markers, one attached to the lipid (rhodamine-phosphatidylethanolamine) and another, doxorubicin (an anti-tumor drug), encapsulated within the aqueous interior. We have also examined the deposition of liposomes microscopically by the use of encapsulated colloidal gold and silver enhancement. Analysis of the biochemical and morphological observations indicate the following: (i) Injection of SP produces a striking increase in both liposome labels, but only in tissues that possess receptors for SP in postcapillary venules; (ii) liposome material in these tissues has extravasated and is found extracellularly near a variety of cells beyond the endothelial layer over the first few hours; (iii) 24 h following injection of liposomes and SP, liposome material is found in these tissues, localized intracellularly in both endothelial cells and macrophages. We propose that appropriate application of tissue-specific mediators can result in liposome extravasation deep within tissues that normally do not take up significant amounts of liposomes from the blood. Such liposomes are able to carry a variety of pharmacological agents that can be released locally within selected target tissues for therapeutic purposes.","ISSN":"0027-8424","note":"PMID: 8692975\nPMCID: PMC38966","shortTitle":"Increased liposome extravasation in selected tissues","journalAbbreviation":"Proc Natl Acad Sci U S A","author":[{"family":"Rosenecker","given":"J"},{"family":"Zhang","given":"W"},{"family":"Hong","given":"K"},{"family":"Lausier","given":"J"},{"family":"Geppetti","given":"P"},{"family":"Yoshihara","given":"S"},{"family":"Papahadjopoulos","given":"D"},{"family":"Nadel","given":"J A"}],"issued":{"date-parts":[["1996",7,9]]}}},{"id":3524,"uris":["http://zotero.org/users/2628971/items/ZAAF6JC9"],"uri":["http://zotero.org/users/2628971/items/ZAAF6JC9"],"itemData":{"id":3524,"type":"article-journal","title":"Simultaneous measurement of liposome extravasation and content release in tumors","container-title":"Microcirculation (New York, N.Y.: 1994)","page":"83-101","volume":"4","issue":"1","source":"PubMed","abstract":"OBJECTIVE: The success of liposome-based drug delivery systems for tumor targeting relies on maximum extravasation of liposomes into tumor interstitium, as well as optimal release of contents from the liposomes once within the tumor Liposome extravasation and content release are two separate processes that can be individually or jointly manipulated so a method is needed to monitor these two processes independently and simultaneously. In this report, we describe a method to measure liposome extravasation and content release in tumor tissues growing in a rat skinfold window chamber preparation.\nMETHODS: Mixtures of liposomes containing either doxorubicin or calcein, both of which are fluorescent, and liposomes surface-labeled with rhodamine were injected intravenously. Fluorescent, light intensities in a tumor region in two fluorescent channels were measured using an image-processing system. Light intensities of plasma from blood samples were also measured using this system. These measurements were used to calculate the amounts of liposomes and released contents in both plasma and tumor interstitium. The calculations were based on the fact that the liposome surface labels and contents emit fluorescent light at different wavelengths and when encapsulated, the contents fluorescence is self-quenched. The model included equations to account for fluorescent light \"cross-contamination\" by the two fluorochromes as well as equations relating the measured fluorescent light intensities to the amounts of liposomes and released contents. This method was applied to three situations in which liposome extravasation and content release were manipulated in different, predictable ways.\nRESULTS AND CONCLUSION: Our results indicate that this method can perform simultaneous independent and quantitative measurements of liposome extravasation and content release. This method can potentially be used to study drug delivery of other carrier systems in vivo.","ISSN":"1073-9688","note":"PMID: 9110286","journalAbbreviation":"Microcirculation","language":"eng","author":[{"family":"Wu","given":"N. Z."},{"family":"Braun","given":"R. D."},{"family":"Gaber","given":"M. H."},{"family":"Lin","given":"G. M."},{"family":"Ong","given":"E. T."},{"family":"Shan","given":"S."},{"family":"Papahadjopoulos","given":"D."},{"family":"Dewhirst","given":"M. W."}],"issued":{"date-parts":[["1997",3]]}}}],"schema":"https://github.com/citation-style-language/schema/raw/master/csl-citation.json"} </w:instrText>
      </w:r>
      <w:r w:rsidR="00F358DE" w:rsidRPr="008B3AD6">
        <w:fldChar w:fldCharType="separate"/>
      </w:r>
      <w:r w:rsidR="007A6EED" w:rsidRPr="007A6EED">
        <w:rPr>
          <w:lang w:val="en-US"/>
        </w:rPr>
        <w:t>(Rosenecker et al. 1996; Wu et al. 1997)</w:t>
      </w:r>
      <w:r w:rsidR="00F358DE" w:rsidRPr="008B3AD6">
        <w:fldChar w:fldCharType="end"/>
      </w:r>
      <w:r w:rsidR="002D6382" w:rsidRPr="008B3AD6">
        <w:t xml:space="preserve"> whereby they can be absorbed by resident cells either through endocytosis and/or phagocytosis </w:t>
      </w:r>
      <w:r w:rsidR="00F358DE" w:rsidRPr="008B3AD6">
        <w:t xml:space="preserve">or membrane fusion </w:t>
      </w:r>
      <w:r w:rsidR="00F358DE" w:rsidRPr="008B3AD6">
        <w:fldChar w:fldCharType="begin"/>
      </w:r>
      <w:r w:rsidR="007A6EED">
        <w:instrText xml:space="preserve"> ADDIN ZOTERO_ITEM CSL_CITATION {"citationID":"YArKyqBg","properties":{"formattedCitation":"(Azanza, S\\uc0\\u225{}dada, and Reis 2015a)","plainCitation":"(Azanza, Sádada, and Reis 2015a)","noteIndex":0},"citationItems":[{"id":2836,"uris":["http://zotero.org/users/2628971/items/EM6X5F9K"],"uri":["http://zotero.org/users/2628971/items/EM6X5F9K"],"itemData":{"id":2836,"type":"article-journal","title":"Liposomal formulations of amphotericin B: differences according to the scientific evidence","container-title":"Revista Espanola De Quimioterapia: Publicacion Oficial De La Sociedad Espanola De Quimioterapia","page":"275-281","volume":"28","issue":"6","source":"PubMed","abstract":"This article presents an overview of the characteristics of liposomes as drug carriers, particularly in relation to liposomal formulations of amphotericin B. General features regarding structure, liposome-cell interactions, stability, encapsulation of active substances and elimination of liposomes are described. Up to the present time extensive efforts to produce similar or bioequivalent products of amphotericin B formulations, in particular in the case of liposomal amphotericin B, have been unsuccessful in spite of having a very similar composition and even an apparently identical manufacturing process. Guidelines for the development of generic liposomal formulations developed by the FDA and EMA are also summarized. Based on the available evidence of the composition of liposomes, any differences in the manufacturing process even if the same lipid composition is used may result in different final products. Therefore, it seems unreasonable to infer that all amphotericin B liposomal formulations are equal in efficacy and safety.","ISSN":"1988-9518","note":"PMID: 26621170","shortTitle":"Liposomal formulations of amphotericin B","journalAbbreviation":"Rev Esp Quimioter","language":"eng","author":[{"family":"Azanza","given":"José Ramón"},{"family":"Sádada","given":"Belén"},{"family":"Reis","given":"Joana"}],"issued":{"date-parts":[["2015",12]]}}}],"schema":"https://github.com/citation-style-language/schema/raw/master/csl-citation.json"} </w:instrText>
      </w:r>
      <w:r w:rsidR="00F358DE" w:rsidRPr="008B3AD6">
        <w:fldChar w:fldCharType="separate"/>
      </w:r>
      <w:r w:rsidR="007A6EED" w:rsidRPr="007A6EED">
        <w:rPr>
          <w:lang w:val="en-US"/>
        </w:rPr>
        <w:t>(Azanza, Sádada, and Reis 2015)</w:t>
      </w:r>
      <w:r w:rsidR="00F358DE" w:rsidRPr="008B3AD6">
        <w:fldChar w:fldCharType="end"/>
      </w:r>
      <w:r w:rsidR="00F358DE" w:rsidRPr="008B3AD6">
        <w:t>.</w:t>
      </w:r>
    </w:p>
    <w:p w14:paraId="2204D396" w14:textId="77777777" w:rsidR="00F358DE" w:rsidRPr="008B3AD6" w:rsidRDefault="00F358DE" w:rsidP="00031241">
      <w:pPr>
        <w:spacing w:line="360" w:lineRule="auto"/>
        <w:jc w:val="both"/>
      </w:pPr>
    </w:p>
    <w:p w14:paraId="259ADA3D" w14:textId="5FDFF15F" w:rsidR="00F358DE" w:rsidRPr="008B3AD6" w:rsidRDefault="00F358DE" w:rsidP="00031241">
      <w:pPr>
        <w:spacing w:line="360" w:lineRule="auto"/>
        <w:jc w:val="both"/>
      </w:pPr>
      <w:r w:rsidRPr="008B3AD6">
        <w:t xml:space="preserve">At 12 hours post-treatment </w:t>
      </w:r>
      <w:r w:rsidR="005971B9" w:rsidRPr="008B3AD6">
        <w:t>(</w:t>
      </w:r>
      <w:r w:rsidR="005971B9" w:rsidRPr="008B3AD6">
        <w:rPr>
          <w:b/>
        </w:rPr>
        <w:t>EB2.2</w:t>
      </w:r>
      <w:r w:rsidR="005971B9" w:rsidRPr="008B3AD6">
        <w:t xml:space="preserve">) </w:t>
      </w:r>
      <w:r w:rsidRPr="008B3AD6">
        <w:t xml:space="preserve">the hepatic </w:t>
      </w:r>
      <w:r w:rsidR="00064AB4">
        <w:t>AmB level</w:t>
      </w:r>
      <w:r w:rsidRPr="008B3AD6">
        <w:t xml:space="preserve"> is not significantly altered from</w:t>
      </w:r>
      <w:r w:rsidR="006B2BB5" w:rsidRPr="008B3AD6">
        <w:t xml:space="preserve"> 1 hour post-treatment. Comparing to the reduced blood levels shown at 4 -</w:t>
      </w:r>
      <w:r w:rsidR="00031241">
        <w:t xml:space="preserve"> </w:t>
      </w:r>
      <w:r w:rsidR="006B2BB5" w:rsidRPr="008B3AD6">
        <w:t xml:space="preserve">24 hours post-treatment by Voak and colleagues </w:t>
      </w:r>
      <w:r w:rsidR="006B2BB5" w:rsidRPr="008B3AD6">
        <w:fldChar w:fldCharType="begin"/>
      </w:r>
      <w:r w:rsidR="007A6EED">
        <w:instrText xml:space="preserve"> ADDIN ZOTERO_ITEM CSL_CITATION {"citationID":"ZxLuVHkd","properties":{"formattedCitation":"(Voak et al. 2017c)","plainCitation":"(Voak et al. 2017c)","noteIndex":0},"citationItems":[{"id":2507,"uris":["http://zotero.org/users/2628971/items/W2SGM4SR"],"uri":["http://zotero.org/users/2628971/items/W2SGM4SR"],"itemData":{"id":2507,"type":"article-journal","title":"Pharmacodynamics and Biodistribution of Single-Dose Liposomal Amphotericin B at Different Stages of Experimental Visceral Leishmaniasis","container-title":"Antimicrobial Agents and Chemotherapy","volume":"61","issue":"9","source":"PubMed","abstract":"Visceral leishmaniasis is a neglected tropical disease that causes significant morbidity and mortality worldwide. Characterization of the pharmacokinetics and pharmacodynamics of antileishmanial drugs in preclinical models is important for drug development and use. Here we investigated the pharmacodynamics and drug distribution of liposomal amphotericin B (AmBisome) inLeishmania donovani-infected BALB/c mice at three different dose levels and two different time points after infection. We additionally compared drug levels in plasma, liver, and spleen in infected and uninfected BALB/c mice over time. At the highest administered dose of 10 mg/kg AmBisome, &gt;90% parasite inhibition was observed within 2 days after drug administration, consistent with drug distribution from blood to tissue within 24 h and a fast rate of kill. Decreased drug potency was observed in the spleen when AmBisome was administered on day 35 after infection, compared to day 14 after infection. Amphotericin B concentrations and total drug amounts per organ were lower in liver and spleen when AmBisome was administered at the advanced stage of infection and compared to those in uninfected BALB/c mice. However, the magnitude of difference was lower when total drug amounts per organ were estimated. Differences were also noted in drug distribution toL. donovani-infected livers and spleens. Taken together, our data suggest that organ enlargement and other pathophysiological factors cause infection- and organ-specific drug distribution and elimination after administration of single-dose AmBisome toL. donovani-infected mice. Plasma drug levels were not reflective of changes in drug levels in tissues.","DOI":"10.1128/AAC.00497-17","ISSN":"1098-6596","note":"PMID: 28630200\nPMCID: PMC5571318","journalAbbreviation":"Antimicrob. Agents Chemother.","language":"eng","author":[{"family":"Voak","given":"Andrew A."},{"family":"Harris","given":"Andy"},{"family":"Qaiser","given":"Zeeshan"},{"family":"Croft","given":"Simon L."},{"family":"Seifert","given":"Karin"}],"issued":{"date-parts":[["2017",9]]}}}],"schema":"https://github.com/citation-style-language/schema/raw/master/csl-citation.json"} </w:instrText>
      </w:r>
      <w:r w:rsidR="006B2BB5" w:rsidRPr="008B3AD6">
        <w:fldChar w:fldCharType="separate"/>
      </w:r>
      <w:r w:rsidR="00921CAF">
        <w:rPr>
          <w:lang w:val="en-US"/>
        </w:rPr>
        <w:t>(Voak et al. 2017</w:t>
      </w:r>
      <w:r w:rsidR="007A6EED" w:rsidRPr="007A6EED">
        <w:rPr>
          <w:lang w:val="en-US"/>
        </w:rPr>
        <w:t>)</w:t>
      </w:r>
      <w:r w:rsidR="006B2BB5" w:rsidRPr="008B3AD6">
        <w:fldChar w:fldCharType="end"/>
      </w:r>
      <w:r w:rsidR="006B2BB5" w:rsidRPr="008B3AD6">
        <w:t xml:space="preserve"> suggests that this is not solely due to influx/efflux from blood but also due to tissue retention.  Myeloid cell accumulation of </w:t>
      </w:r>
      <w:r w:rsidR="00A32111">
        <w:t>AmB</w:t>
      </w:r>
      <w:r w:rsidR="006B2BB5" w:rsidRPr="008B3AD6">
        <w:t xml:space="preserve"> increases alongside a decrease in hepatic parasite burden. It was hypothesised that myeloid cells actively uptake liposomes via active processes </w:t>
      </w:r>
      <w:r w:rsidR="006B2BB5" w:rsidRPr="008B3AD6">
        <w:fldChar w:fldCharType="begin"/>
      </w:r>
      <w:r w:rsidR="007A6EED">
        <w:instrText xml:space="preserve"> ADDIN ZOTERO_ITEM CSL_CITATION {"citationID":"rLiTLT2S","properties":{"formattedCitation":"(Azanza, S\\uc0\\u225{}dada, and Reis 2015a)","plainCitation":"(Azanza, Sádada, and Reis 2015a)","noteIndex":0},"citationItems":[{"id":2836,"uris":["http://zotero.org/users/2628971/items/EM6X5F9K"],"uri":["http://zotero.org/users/2628971/items/EM6X5F9K"],"itemData":{"id":2836,"type":"article-journal","title":"Liposomal formulations of amphotericin B: differences according to the scientific evidence","container-title":"Revista Espanola De Quimioterapia: Publicacion Oficial De La Sociedad Espanola De Quimioterapia","page":"275-281","volume":"28","issue":"6","source":"PubMed","abstract":"This article presents an overview of the characteristics of liposomes as drug carriers, particularly in relation to liposomal formulations of amphotericin B. General features regarding structure, liposome-cell interactions, stability, encapsulation of active substances and elimination of liposomes are described. Up to the present time extensive efforts to produce similar or bioequivalent products of amphotericin B formulations, in particular in the case of liposomal amphotericin B, have been unsuccessful in spite of having a very similar composition and even an apparently identical manufacturing process. Guidelines for the development of generic liposomal formulations developed by the FDA and EMA are also summarized. Based on the available evidence of the composition of liposomes, any differences in the manufacturing process even if the same lipid composition is used may result in different final products. Therefore, it seems unreasonable to infer that all amphotericin B liposomal formulations are equal in efficacy and safety.","ISSN":"1988-9518","note":"PMID: 26621170","shortTitle":"Liposomal formulations of amphotericin B","journalAbbreviation":"Rev Esp Quimioter","language":"eng","author":[{"family":"Azanza","given":"José Ramón"},{"family":"Sádada","given":"Belén"},{"family":"Reis","given":"Joana"}],"issued":{"date-parts":[["2015",12]]}}}],"schema":"https://github.com/citation-style-language/schema/raw/master/csl-citation.json"} </w:instrText>
      </w:r>
      <w:r w:rsidR="006B2BB5" w:rsidRPr="008B3AD6">
        <w:fldChar w:fldCharType="separate"/>
      </w:r>
      <w:r w:rsidR="00921CAF">
        <w:rPr>
          <w:lang w:val="en-US"/>
        </w:rPr>
        <w:t>(Azanza, Sádada, and Reis 2015</w:t>
      </w:r>
      <w:r w:rsidR="007A6EED" w:rsidRPr="007A6EED">
        <w:rPr>
          <w:lang w:val="en-US"/>
        </w:rPr>
        <w:t>)</w:t>
      </w:r>
      <w:r w:rsidR="006B2BB5" w:rsidRPr="008B3AD6">
        <w:fldChar w:fldCharType="end"/>
      </w:r>
      <w:r w:rsidR="006B2BB5" w:rsidRPr="008B3AD6">
        <w:t xml:space="preserve">. Once localised to the intracellular compartment </w:t>
      </w:r>
      <w:r w:rsidR="00A32111">
        <w:t>AmB</w:t>
      </w:r>
      <w:r w:rsidR="006B2BB5" w:rsidRPr="008B3AD6">
        <w:t xml:space="preserve"> selectively binds ergosterol </w:t>
      </w:r>
      <w:r w:rsidR="002308EC" w:rsidRPr="008B3AD6">
        <w:fldChar w:fldCharType="begin"/>
      </w:r>
      <w:r w:rsidR="007A6EED">
        <w:instrText xml:space="preserve"> ADDIN ZOTERO_ITEM CSL_CITATION {"citationID":"8w2j5f07","properties":{"formattedCitation":"(Purkait et al. 2012b; Janout et al. 2015)","plainCitation":"(Purkait et al. 2012b; Janout et al. 2015)","noteIndex":0},"citationItems":[{"id":2844,"uris":["http://zotero.org/users/2628971/items/2ZIQ58Q3"],"uri":["http://zotero.org/users/2628971/items/2ZIQ58Q3"],"itemData":{"id":2844,"type":"article-journal","title":"Mechanism of amphotericin B resistance in clinical isolates of Leishmania donovani","container-title":"Antimicrobial Agents and Chemotherapy","page":"1031-1041","volume":"56","issue":"2","source":"PubMed","abstract":"The clinical value of amphotericin B, the mainstay therapy for visceral leishmaniasis in sodium antimony gluconate-nonresponsive zones of Bihar, India, is now threatened by the emergence of acquired drug resistance, and a comprehensive understanding of the underlying mechanisms is the need of the hour. We have selected an amphotericin B-resistant clinical isolate which demonstrated 8-fold-higher 50% lethal doses (LD(50)) than an amphotericin B-sensitive strain to explore the mechanism of amphotericin B resistance. Fluorimetric analysis demonstrated lower anisotropy in the motion of the diphenylhexatriene fluorescent probe in the resistant strain, which indicated a higher fluidity of the membrane for the resistant strain than for the sensitive strain. The expression patterns of the two transcripts of S-adenosyl-l-methionine:C-24-Δ-sterol methyltransferase and the absence of ergosterol, replaced by cholesta-5,7,24-trien-3β-ol in the membrane of the resistant parasite, indicate a decreased amphotericin B affinity, which is evidenced by decreased amphotericin B uptake. The expression level of MDR1 is found to be higher in the resistant strain, suggesting a higher rate of efflux of amphotericin B. The resistant parasite also possesses an upregulated tryparedoxin cascade and a more-reduced intracellular thiol level, which helps in better scavenging of reactive oxygen species produced by amphotericin B. The resistance to amphotericin B was partially reverted by the thiol metabolic pathway and ABC transporter inhibitors. Thus, it can be concluded that altered membrane composition, ATP-binding cassette transporters, and an upregulated thiol metabolic pathway have a role in conferring amphotericin B resistance in clinical isolates of Leishmania donovani.","DOI":"10.1128/AAC.00030-11","ISSN":"1098-6596","note":"PMID: 22123699\nPMCID: PMC3264217","journalAbbreviation":"Antimicrob. Agents Chemother.","language":"eng","author":[{"family":"Purkait","given":"Bidyut"},{"family":"Kumar","given":"Ashish"},{"family":"Nandi","given":"Nilay"},{"family":"Sardar","given":"Abul Hasan"},{"family":"Das","given":"Sushmita"},{"family":"Kumar","given":"Sudeep"},{"family":"Pandey","given":"Krishna"},{"family":"Ravidas","given":"Vidyananda"},{"family":"Kumar","given":"Manish"},{"family":"De","given":"Tripti"},{"family":"Singh","given":"Dharmendra"},{"family":"Das","given":"Pradeep"}],"issued":{"date-parts":[["2012",2]]}}},{"id":2840,"uris":["http://zotero.org/users/2628971/items/CH9TTRI2"],"uri":["http://zotero.org/users/2628971/items/CH9TTRI2"],"itemData":{"id":2840,"type":"article-journal","title":"Taming Amphotericin B","container-title":"Bioconjugate Chemistry","page":"2021-2024","volume":"26","issue":"10","source":"PubMed","abstract":"A strategy is introduced for enhancing the cellular selectivity of Amphotericin B (AmB) and other classes of membrane-disrupting agents. This strategy involves attaching the agent to a molecular umbrella to minimize the disruptive power of aggregated forms. Based on this approach, AmB has been coupled to a molecular umbrella derived from one spermidine and two cholic acid molecules and found to have antifungal activities approaching that of the native drug. However, in sharp contrast to AmB, the hemolytic activity and the cytotoxcity of this conjugate toward HEK293 T cells have been dramatically reduced.","DOI":"10.1021/acs.bioconjchem.5b00463","ISSN":"1520-4812","note":"PMID: 26340430","journalAbbreviation":"Bioconjug. Chem.","language":"eng","author":[{"family":"Janout","given":"Vaclav"},{"family":"Schell","given":"Wiley A."},{"family":"Thévenin","given":"Damien"},{"family":"Yu","given":"Yuming"},{"family":"Perfect","given":"John R."},{"family":"Regen","given":"Steven L."}],"issued":{"date-parts":[["2015",10,21]]}}}],"schema":"https://github.com/citation-style-language/schema/raw/master/csl-citation.json"} </w:instrText>
      </w:r>
      <w:r w:rsidR="002308EC" w:rsidRPr="008B3AD6">
        <w:fldChar w:fldCharType="separate"/>
      </w:r>
      <w:r w:rsidR="00921CAF">
        <w:rPr>
          <w:lang w:val="en-US"/>
        </w:rPr>
        <w:t>(Purkait et al. 2012</w:t>
      </w:r>
      <w:r w:rsidR="007A6EED" w:rsidRPr="007A6EED">
        <w:rPr>
          <w:lang w:val="en-US"/>
        </w:rPr>
        <w:t>; Janout et al. 2015)</w:t>
      </w:r>
      <w:r w:rsidR="002308EC" w:rsidRPr="008B3AD6">
        <w:fldChar w:fldCharType="end"/>
      </w:r>
      <w:r w:rsidR="006B2BB5" w:rsidRPr="008B3AD6">
        <w:t xml:space="preserve">, a leishmanial surface steroid alcohol. This kills </w:t>
      </w:r>
      <w:r w:rsidR="006B2BB5" w:rsidRPr="008B3AD6">
        <w:rPr>
          <w:i/>
        </w:rPr>
        <w:t xml:space="preserve">L. donovani </w:t>
      </w:r>
      <w:r w:rsidR="006B2BB5" w:rsidRPr="008B3AD6">
        <w:t>by forming membrane pores which lead to release of cytosolic components</w:t>
      </w:r>
      <w:r w:rsidR="002308EC" w:rsidRPr="008B3AD6">
        <w:t xml:space="preserve"> </w:t>
      </w:r>
      <w:r w:rsidR="002308EC" w:rsidRPr="008B3AD6">
        <w:fldChar w:fldCharType="begin"/>
      </w:r>
      <w:r w:rsidR="007A6EED">
        <w:instrText xml:space="preserve"> ADDIN ZOTERO_ITEM CSL_CITATION {"citationID":"sC0Hguuz","properties":{"formattedCitation":"(Saha, Mukherjee, and Bhaduri 1986b; Janout et al. 2015)","plainCitation":"(Saha, Mukherjee, and Bhaduri 1986b; Janout et al. 2015)","noteIndex":0},"citationItems":[{"id":2842,"uris":["http://zotero.org/users/2628971/items/GDUNUZGK"],"uri":["http://zotero.org/users/2628971/items/GDUNUZGK"],"itemData":{"id":2842,"type":"article-journal","title":"Mechanism of action of amphotericin B on Leishmania donovani promastigotes","container-title":"Molecular and Biochemical Parasitology","page":"195-200","volume":"19","issue":"3","source":"PubMed","abstract":"The growth of Leishmania donovani promastigotes in a liquid medium was completely inhibited by amphotericin B at a concentration of 0.3 microgram ml-1 (0.3 microM). Continuous release of small molecules that absorb at 260 nm and 280 nm was observed after contact with the drug. Uptake of [U-14C]glucose was inhibited in cells treated with the drug. An immediate release of isotopic glucose and its metabolites from preloaded cells could be demonstrated after incubation with amphotericin B (0.4 microM). Inhibition of respiration by the drug was a comparatively slower process. All the above effects could be effectively prevented in the presence of either cholesterol or ergosterol. The primary site of action of amphotericin B on L. donovani promastigote cells appears to be membrane sterols that result in a loss of the permeability barrier to small metabolites. An interesting biochemical similarity, thus, emerges between flagellated protozoa and fungi.","ISSN":"0166-6851","note":"PMID: 3736592","journalAbbreviation":"Mol. Biochem. Parasitol.","language":"eng","author":[{"family":"Saha","given":"A. K."},{"family":"Mukherjee","given":"T."},{"family":"Bhaduri","given":"A."}],"issued":{"date-parts":[["1986",6]]}}},{"id":2840,"uris":["http://zotero.org/users/2628971/items/CH9TTRI2"],"uri":["http://zotero.org/users/2628971/items/CH9TTRI2"],"itemData":{"id":2840,"type":"article-journal","title":"Taming Amphotericin B","container-title":"Bioconjugate Chemistry","page":"2021-2024","volume":"26","issue":"10","source":"PubMed","abstract":"A strategy is introduced for enhancing the cellular selectivity of Amphotericin B (AmB) and other classes of membrane-disrupting agents. This strategy involves attaching the agent to a molecular umbrella to minimize the disruptive power of aggregated forms. Based on this approach, AmB has been coupled to a molecular umbrella derived from one spermidine and two cholic acid molecules and found to have antifungal activities approaching that of the native drug. However, in sharp contrast to AmB, the hemolytic activity and the cytotoxcity of this conjugate toward HEK293 T cells have been dramatically reduced.","DOI":"10.1021/acs.bioconjchem.5b00463","ISSN":"1520-4812","note":"PMID: 26340430","journalAbbreviation":"Bioconjug. Chem.","language":"eng","author":[{"family":"Janout","given":"Vaclav"},{"family":"Schell","given":"Wiley A."},{"family":"Thévenin","given":"Damien"},{"family":"Yu","given":"Yuming"},{"family":"Perfect","given":"John R."},{"family":"Regen","given":"Steven L."}],"issued":{"date-parts":[["2015",10,21]]}}}],"schema":"https://github.com/citation-style-language/schema/raw/master/csl-citation.json"} </w:instrText>
      </w:r>
      <w:r w:rsidR="002308EC" w:rsidRPr="008B3AD6">
        <w:fldChar w:fldCharType="separate"/>
      </w:r>
      <w:r w:rsidR="007A6EED" w:rsidRPr="007A6EED">
        <w:rPr>
          <w:lang w:val="en-US"/>
        </w:rPr>
        <w:t>(Sa</w:t>
      </w:r>
      <w:r w:rsidR="00921CAF">
        <w:rPr>
          <w:lang w:val="en-US"/>
        </w:rPr>
        <w:t>ha, Mukherjee, and Bhaduri 1986</w:t>
      </w:r>
      <w:r w:rsidR="007A6EED" w:rsidRPr="007A6EED">
        <w:rPr>
          <w:lang w:val="en-US"/>
        </w:rPr>
        <w:t>; Janout et al. 2015)</w:t>
      </w:r>
      <w:r w:rsidR="002308EC" w:rsidRPr="008B3AD6">
        <w:fldChar w:fldCharType="end"/>
      </w:r>
      <w:r w:rsidR="006B2BB5" w:rsidRPr="008B3AD6">
        <w:t xml:space="preserve">.  </w:t>
      </w:r>
    </w:p>
    <w:p w14:paraId="7DE9A475" w14:textId="77777777" w:rsidR="005971B9" w:rsidRPr="008B3AD6" w:rsidRDefault="005971B9" w:rsidP="00031241">
      <w:pPr>
        <w:spacing w:line="360" w:lineRule="auto"/>
        <w:jc w:val="both"/>
      </w:pPr>
    </w:p>
    <w:p w14:paraId="07570DF3" w14:textId="63E517C2" w:rsidR="005971B9" w:rsidRPr="008B3AD6" w:rsidRDefault="005971B9" w:rsidP="00031241">
      <w:pPr>
        <w:spacing w:line="360" w:lineRule="auto"/>
        <w:jc w:val="both"/>
      </w:pPr>
      <w:r w:rsidRPr="008B3AD6">
        <w:t>24 hours post-treatment (</w:t>
      </w:r>
      <w:r w:rsidRPr="008B3AD6">
        <w:rPr>
          <w:b/>
        </w:rPr>
        <w:t>EB2.3</w:t>
      </w:r>
      <w:r w:rsidRPr="008B3AD6">
        <w:t xml:space="preserve">) the hepatic </w:t>
      </w:r>
      <w:r w:rsidR="00A32111">
        <w:t>AmB</w:t>
      </w:r>
      <w:r w:rsidRPr="008B3AD6">
        <w:t xml:space="preserve"> levels not significantly altered compared to 1- or 12hrs post treatment (</w:t>
      </w:r>
      <w:r w:rsidR="0074700A">
        <w:rPr>
          <w:b/>
        </w:rPr>
        <w:fldChar w:fldCharType="begin"/>
      </w:r>
      <w:r w:rsidR="0074700A">
        <w:rPr>
          <w:b/>
        </w:rPr>
        <w:instrText xml:space="preserve"> REF _Ref518932550  \* MERGEFORMAT </w:instrText>
      </w:r>
      <w:r w:rsidR="0074700A">
        <w:rPr>
          <w:b/>
        </w:rPr>
        <w:fldChar w:fldCharType="separate"/>
      </w:r>
      <w:r w:rsidR="00921CAF" w:rsidRPr="00921CAF">
        <w:rPr>
          <w:b/>
        </w:rPr>
        <w:t xml:space="preserve">Figure </w:t>
      </w:r>
      <w:r w:rsidR="00921CAF" w:rsidRPr="00921CAF">
        <w:rPr>
          <w:b/>
          <w:noProof/>
        </w:rPr>
        <w:t>3.12</w:t>
      </w:r>
      <w:r w:rsidR="0074700A">
        <w:rPr>
          <w:b/>
          <w:noProof/>
        </w:rPr>
        <w:fldChar w:fldCharType="end"/>
      </w:r>
      <w:r w:rsidR="00366989" w:rsidRPr="008B3AD6">
        <w:rPr>
          <w:b/>
        </w:rPr>
        <w:t>A</w:t>
      </w:r>
      <w:r w:rsidRPr="008B3AD6">
        <w:t xml:space="preserve">). Again, comparing to the low blood levels seen by Voak and colleagues </w:t>
      </w:r>
      <w:r w:rsidRPr="008B3AD6">
        <w:fldChar w:fldCharType="begin"/>
      </w:r>
      <w:r w:rsidR="007A6EED">
        <w:instrText xml:space="preserve"> ADDIN ZOTERO_ITEM CSL_CITATION {"citationID":"DRf2jmvS","properties":{"formattedCitation":"(Voak et al. 2017a)","plainCitation":"(Voak et al. 2017a)","noteIndex":0},"citationItems":[{"id":2543,"uris":["http://zotero.org/users/2628971/items/VFJBEFT2"],"uri":["http://zotero.org/users/2628971/items/VFJBEFT2"],"itemData":{"id":2543,"type":"article-journal","title":"Pharmacodynamics and Biodistribution of Single-Dose Liposomal Amphotericin B at Different Stages of Experimental Visceral Leishmaniasis","container-title":"Antimicrobial Agents and Chemotherapy","volume":"61","issue":"9","source":"PubMed Central","abstract":"Visceral leishmaniasis is a neglected tropical disease that causes significant morbidity and mortality worldwide. Characterization of the pharmacokinetics and pharmacodynamics of antileishmanial drugs in preclinical models is important for drug development and use. Here we investigated the pharmacodynamics and drug distribution of liposomal amphotericin B (AmBisome) in Leishmania donovani-infected BALB/c mice at three different dose levels and two different time points after infection. We additionally compared drug levels in plasma, liver, and spleen in infected and uninfected BALB/c mice over time. At the highest administered dose of 10 mg/kg AmBisome, &gt;90% parasite inhibition was observed within 2 days after drug administration, consistent with drug distribution from blood to tissue within 24 h and a fast rate of kill. Decreased drug potency was observed in the spleen when AmBisome was administered on day 35 after infection, compared to day 14 after infection. Amphotericin B concentrations and total drug amounts per organ were lower in liver and spleen when AmBisome was administered at the advanced stage of infection and compared to those in uninfected BALB/c mice. However, the magnitude of difference was lower when total drug amounts per organ were estimated. Differences were also noted in drug distribution to L. donovani-infected livers and spleens. Taken together, our data suggest that organ enlargement and other pathophysiological factors cause infection- and organ-specific drug distribution and elimination after administration of single-dose AmBisome to L. donovani-infected mice. Plasma drug levels were not reflective of changes in drug levels in tissues.","URL":"https://www.ncbi.nlm.nih.gov/pmc/articles/PMC5571318/","DOI":"10.1128/AAC.00497-17","ISSN":"0066-4804","note":"PMID: 28630200\nPMCID: PMC5571318","journalAbbreviation":"Antimicrob Agents Chemother","author":[{"family":"Voak","given":"Andrew A."},{"family":"Harris","given":"Andy"},{"family":"Qaiser","given":"Zeeshan"},{"family":"Croft","given":"Simon L."},{"family":"Seifert","given":"Karin"}],"issued":{"date-parts":[["2017",8,24]]},"accessed":{"date-parts":[["2018",5,11]]}}}],"schema":"https://github.com/citation-style-language/schema/raw/master/csl-citation.json"} </w:instrText>
      </w:r>
      <w:r w:rsidRPr="008B3AD6">
        <w:fldChar w:fldCharType="separate"/>
      </w:r>
      <w:r w:rsidR="007A6EED" w:rsidRPr="007A6EED">
        <w:rPr>
          <w:lang w:val="en-US"/>
        </w:rPr>
        <w:t>(Voak et al. 2017)</w:t>
      </w:r>
      <w:r w:rsidRPr="008B3AD6">
        <w:fldChar w:fldCharType="end"/>
      </w:r>
      <w:r w:rsidRPr="008B3AD6">
        <w:t xml:space="preserve"> we hypothesis that these sustained levels are due to tissue retention. Additionally, the liver has not been shown to metabolise </w:t>
      </w:r>
      <w:r w:rsidR="00A32111">
        <w:t>AmB</w:t>
      </w:r>
      <w:r w:rsidRPr="008B3AD6">
        <w:t xml:space="preserve"> </w:t>
      </w:r>
      <w:r w:rsidRPr="008B3AD6">
        <w:fldChar w:fldCharType="begin"/>
      </w:r>
      <w:r w:rsidR="007A6EED">
        <w:instrText xml:space="preserve"> ADDIN ZOTERO_ITEM CSL_CITATION {"citationID":"rep7wSb2","properties":{"formattedCitation":"(Bekersky et al. 2002)","plainCitation":"(Bekersky et al. 2002)","noteIndex":0},"citationItems":[{"id":2370,"uris":["http://zotero.org/users/2628971/items/GA3IUC6T"],"uri":["http://zotero.org/users/2628971/items/GA3IUC6T"],"itemData":{"id":2370,"type":"article-journal","title":"Pharmacokinetics, Excretion, and Mass Balance of Liposomal Amphotericin B (AmBisome) and Amphotericin B Deoxycholate in Humans","container-title":"Antimicrobial Agents and Chemotherapy","page":"828-833","volume":"46","issue":"3","source":"PubMed Central","abstract":"The pharmacokinetics, excretion, and mass balance of liposomal amphotericin B (AmBisome) (liposomal AMB) and the conventional formulation, AMB deoxycholate (AMB-DOC), were compared in a phase IV, open-label, parallel study in healthy volunteers. After a single 2-h infusion of 2 mg of liposomal AMB/kg of body weight or 0.6 mg of AMB-DOC/kg, plasma, urine, and feces were collected for 168 h. The concentrations of AMB were determined by liquid chromatography tandem mass spectrometry (plasma, urine, feces) or high-performance liquid chromatography (HPLC) (plasma). Infusion-related side effects similar to those reported in patients, including nausea and back pain, were observed in both groups. Both formulations had triphasic plasma profiles with long terminal half-lives (liposomal AMB, 152 ± 116 h; AMB-DOC, 127 ± 30 h), but plasma concentrations were higher (P &lt; 0.01) after administration of liposomal AMB (maximum concentration of drug in serum [Cmax], 22.9 ± 10 μg/ml) than those of AMB-DOC (Cmax, 1.4 ± 0.2 μg/ml). Liposomal AMB had a central compartment volume close to that of plasma (50 ± 19 ml/kg) and a volume of distribution at steady state (Vss) (774 ± 550 ml/kg) smaller than the Vss of AMB-DOC (1,807 ± 239 ml/kg) (P &lt; 0.01). Total clearances were similar (approximately 10 ml hr−1 kg−1), but renal and fecal clearances of liposomal AMB were 10-fold lower than those of AMB-DOC (P &lt; 0.01). Two-thirds of the AMB-DOC was excreted unchanged in the urine (20.6%) and feces (42.5%) with &gt;90% accounted for in mass balance calculations at 1 week, suggesting that metabolism plays at most a minor role in AMB elimination. In contrast, &lt;10% of the liposomal AMB was excreted unchanged. No metabolites were observed by HPLC or mass spectrometry. In comparison to AMB-DOC, liposomal AMB produced higher plasma exposures and lower volumes of distribution and markedly decreased the excretion of unchanged drug in urine and feces. Thus, liposomal AMB significantly alters the excretion and mass balance of AMB. The ability of liposomes to sequester drugs in circulating liposomes and within deep tissue compartments may account for these differences.","DOI":"10.1128/AAC.46.3.828-833.2002","ISSN":"0066-4804","note":"PMID: 11850268\nPMCID: PMC127462","journalAbbreviation":"Antimicrob Agents Chemother","author":[{"family":"Bekersky","given":"Ihor"},{"family":"Fielding","given":"Robert M."},{"family":"Dressler","given":"Dawna E."},{"family":"Lee","given":"Jean W."},{"family":"Buell","given":"Donald N."},{"family":"Walsh","given":"Thomas J."}],"issued":{"date-parts":[["2002",3]]}}}],"schema":"https://github.com/citation-style-language/schema/raw/master/csl-citation.json"} </w:instrText>
      </w:r>
      <w:r w:rsidRPr="008B3AD6">
        <w:fldChar w:fldCharType="separate"/>
      </w:r>
      <w:r w:rsidR="007A6EED" w:rsidRPr="007A6EED">
        <w:rPr>
          <w:lang w:val="en-US"/>
        </w:rPr>
        <w:t>(Bekersky et al. 2002)</w:t>
      </w:r>
      <w:r w:rsidRPr="008B3AD6">
        <w:fldChar w:fldCharType="end"/>
      </w:r>
      <w:r w:rsidRPr="008B3AD6">
        <w:t>. The peak in myeloid cell</w:t>
      </w:r>
      <w:r w:rsidR="00C65641">
        <w:t xml:space="preserve"> AmB accumulation</w:t>
      </w:r>
      <w:r w:rsidRPr="008B3AD6">
        <w:t xml:space="preserve"> may reflect the active uptake of any free drug effluxed by surrounding cells.</w:t>
      </w:r>
    </w:p>
    <w:p w14:paraId="76482E13" w14:textId="4A1C86DD" w:rsidR="005971B9" w:rsidRPr="008B3AD6" w:rsidRDefault="005971B9" w:rsidP="00031241">
      <w:pPr>
        <w:spacing w:line="360" w:lineRule="auto"/>
        <w:jc w:val="both"/>
      </w:pPr>
    </w:p>
    <w:p w14:paraId="1F076078" w14:textId="66AD78E1" w:rsidR="002D67FB" w:rsidRPr="008B3AD6" w:rsidRDefault="00150E57" w:rsidP="00031241">
      <w:pPr>
        <w:spacing w:line="360" w:lineRule="auto"/>
        <w:jc w:val="both"/>
        <w:sectPr w:rsidR="002D67FB" w:rsidRPr="008B3AD6" w:rsidSect="00E44977">
          <w:pgSz w:w="11900" w:h="16840"/>
          <w:pgMar w:top="1134" w:right="851" w:bottom="1134" w:left="2268" w:header="709" w:footer="709" w:gutter="0"/>
          <w:cols w:space="708"/>
          <w:docGrid w:linePitch="360"/>
        </w:sectPr>
      </w:pPr>
      <w:r w:rsidRPr="008B3AD6">
        <w:t>At 72 hours post-treatment (</w:t>
      </w:r>
      <w:r w:rsidRPr="008B3AD6">
        <w:rPr>
          <w:b/>
        </w:rPr>
        <w:t>EB2.4</w:t>
      </w:r>
      <w:r w:rsidRPr="008B3AD6">
        <w:t xml:space="preserve">) the </w:t>
      </w:r>
      <w:r w:rsidRPr="008B3AD6">
        <w:rPr>
          <w:i/>
        </w:rPr>
        <w:t>L. donovani</w:t>
      </w:r>
      <w:r w:rsidRPr="008B3AD6">
        <w:t xml:space="preserve"> burden has significantly dropped compared to untreated controls </w:t>
      </w:r>
      <w:r w:rsidR="00366989" w:rsidRPr="008B3AD6">
        <w:t>(</w:t>
      </w:r>
      <w:r w:rsidR="004C1FDD" w:rsidRPr="008B3AD6">
        <w:rPr>
          <w:b/>
        </w:rPr>
        <w:fldChar w:fldCharType="begin"/>
      </w:r>
      <w:r w:rsidR="004C1FDD" w:rsidRPr="008B3AD6">
        <w:rPr>
          <w:b/>
        </w:rPr>
        <w:instrText xml:space="preserve"> REF _Ref518932550  \* MERGEFORMAT </w:instrText>
      </w:r>
      <w:r w:rsidR="004C1FDD" w:rsidRPr="008B3AD6">
        <w:rPr>
          <w:b/>
        </w:rPr>
        <w:fldChar w:fldCharType="separate"/>
      </w:r>
      <w:r w:rsidR="00921CAF" w:rsidRPr="00921CAF">
        <w:rPr>
          <w:b/>
        </w:rPr>
        <w:t xml:space="preserve">Figure </w:t>
      </w:r>
      <w:r w:rsidR="00921CAF" w:rsidRPr="00921CAF">
        <w:rPr>
          <w:b/>
          <w:noProof/>
        </w:rPr>
        <w:t>3.12</w:t>
      </w:r>
      <w:r w:rsidR="004C1FDD" w:rsidRPr="008B3AD6">
        <w:rPr>
          <w:b/>
          <w:noProof/>
        </w:rPr>
        <w:fldChar w:fldCharType="end"/>
      </w:r>
      <w:r w:rsidR="00366989" w:rsidRPr="008B3AD6">
        <w:rPr>
          <w:b/>
        </w:rPr>
        <w:t>B</w:t>
      </w:r>
      <w:r w:rsidR="00366989" w:rsidRPr="008B3AD6">
        <w:t>)</w:t>
      </w:r>
      <w:r w:rsidRPr="008B3AD6">
        <w:t xml:space="preserve">. The hepatic </w:t>
      </w:r>
      <w:r w:rsidR="00A32111">
        <w:t>AmB</w:t>
      </w:r>
      <w:r w:rsidRPr="008B3AD6">
        <w:t xml:space="preserve"> levels remain unchanged</w:t>
      </w:r>
      <w:r w:rsidR="00366989" w:rsidRPr="008B3AD6">
        <w:t xml:space="preserve"> (</w:t>
      </w:r>
      <w:r w:rsidR="004C1FDD" w:rsidRPr="008B3AD6">
        <w:rPr>
          <w:b/>
        </w:rPr>
        <w:fldChar w:fldCharType="begin"/>
      </w:r>
      <w:r w:rsidR="004C1FDD" w:rsidRPr="008B3AD6">
        <w:rPr>
          <w:b/>
        </w:rPr>
        <w:instrText xml:space="preserve"> REF _Ref518932550  \* MERGEFORMAT </w:instrText>
      </w:r>
      <w:r w:rsidR="004C1FDD" w:rsidRPr="008B3AD6">
        <w:rPr>
          <w:b/>
        </w:rPr>
        <w:fldChar w:fldCharType="separate"/>
      </w:r>
      <w:r w:rsidR="00921CAF" w:rsidRPr="00921CAF">
        <w:rPr>
          <w:b/>
        </w:rPr>
        <w:t xml:space="preserve">Figure </w:t>
      </w:r>
      <w:r w:rsidR="00921CAF" w:rsidRPr="00921CAF">
        <w:rPr>
          <w:b/>
          <w:noProof/>
        </w:rPr>
        <w:t>3.12</w:t>
      </w:r>
      <w:r w:rsidR="004C1FDD" w:rsidRPr="008B3AD6">
        <w:rPr>
          <w:b/>
          <w:noProof/>
        </w:rPr>
        <w:fldChar w:fldCharType="end"/>
      </w:r>
      <w:r w:rsidR="00366989" w:rsidRPr="008B3AD6">
        <w:rPr>
          <w:b/>
        </w:rPr>
        <w:t>A)</w:t>
      </w:r>
      <w:r w:rsidRPr="008B3AD6">
        <w:t>, but the myeloid levels begin to decrease</w:t>
      </w:r>
      <w:r w:rsidR="00366989" w:rsidRPr="008B3AD6">
        <w:t xml:space="preserve"> (</w:t>
      </w:r>
      <w:r w:rsidR="0074700A">
        <w:rPr>
          <w:b/>
        </w:rPr>
        <w:fldChar w:fldCharType="begin"/>
      </w:r>
      <w:r w:rsidR="0074700A">
        <w:rPr>
          <w:b/>
        </w:rPr>
        <w:instrText xml:space="preserve"> REF _Ref522784400  \* MERGEFORMAT </w:instrText>
      </w:r>
      <w:r w:rsidR="0074700A">
        <w:rPr>
          <w:b/>
        </w:rPr>
        <w:fldChar w:fldCharType="separate"/>
      </w:r>
      <w:r w:rsidR="00921CAF" w:rsidRPr="00921CAF">
        <w:rPr>
          <w:b/>
        </w:rPr>
        <w:t xml:space="preserve">Figure </w:t>
      </w:r>
      <w:r w:rsidR="00921CAF" w:rsidRPr="00921CAF">
        <w:rPr>
          <w:b/>
          <w:noProof/>
        </w:rPr>
        <w:t>5.9</w:t>
      </w:r>
      <w:r w:rsidR="0074700A">
        <w:rPr>
          <w:b/>
          <w:noProof/>
        </w:rPr>
        <w:fldChar w:fldCharType="end"/>
      </w:r>
      <w:r w:rsidR="00366989" w:rsidRPr="008B3AD6">
        <w:t>)</w:t>
      </w:r>
      <w:r w:rsidRPr="008B3AD6">
        <w:t xml:space="preserve">. Additionally, T </w:t>
      </w:r>
      <w:r w:rsidR="00064AB4">
        <w:t>cells</w:t>
      </w:r>
      <w:r w:rsidRPr="008B3AD6">
        <w:t xml:space="preserve"> levels begin to drop. Thus, it was hypothesised that the reduction in the parasite burden leads to a reduction in available antigen. The absence of antigen terminates the immune response </w:t>
      </w:r>
      <w:r w:rsidRPr="008B3AD6">
        <w:fldChar w:fldCharType="begin"/>
      </w:r>
      <w:r w:rsidR="007A6EED">
        <w:instrText xml:space="preserve"> ADDIN ZOTERO_ITEM CSL_CITATION {"citationID":"QId2vBbZ","properties":{"formattedCitation":"(Marrack, Scott-Browne, and MacLeod 2010)","plainCitation":"(Marrack, Scott-Browne, and MacLeod 2010)","noteIndex":0},"citationItems":[{"id":2851,"uris":["http://zotero.org/users/2628971/items/D9TBSHBS"],"uri":["http://zotero.org/users/2628971/items/D9TBSHBS"],"itemData":{"id":2851,"type":"article-journal","title":"Terminating the Immune Response","container-title":"Immunological reviews","page":"5-10","volume":"236","source":"PubMed Central","DOI":"10.1111/j.1600-065X.2010.00928.x","ISSN":"0105-2896","note":"PMID: 20636804\nPMCID: PMC3131152","journalAbbreviation":"Immunol Rev","author":[{"family":"Marrack","given":"Philippa"},{"family":"Scott-Browne","given":"James"},{"family":"MacLeod","given":"Megan K. L."}],"issued":{"date-parts":[["2010",7]]}}}],"schema":"https://github.com/citation-style-language/schema/raw/master/csl-citation.json"} </w:instrText>
      </w:r>
      <w:r w:rsidRPr="008B3AD6">
        <w:fldChar w:fldCharType="separate"/>
      </w:r>
      <w:r w:rsidR="007A6EED" w:rsidRPr="007A6EED">
        <w:rPr>
          <w:lang w:val="en-US"/>
        </w:rPr>
        <w:t>(Marrack, Scott-Browne, and MacLeod 2010)</w:t>
      </w:r>
      <w:r w:rsidRPr="008B3AD6">
        <w:fldChar w:fldCharType="end"/>
      </w:r>
      <w:r w:rsidRPr="008B3AD6">
        <w:t>, such as reduction of antigen induced proliferation, accounting for the T cell population decrease.</w:t>
      </w:r>
      <w:r w:rsidR="002D67FB" w:rsidRPr="008B3AD6">
        <w:t xml:space="preserve"> </w:t>
      </w:r>
    </w:p>
    <w:p w14:paraId="1EE97C04" w14:textId="1EF81099" w:rsidR="0098676E" w:rsidRPr="008B3AD6" w:rsidRDefault="00B5010D">
      <w:pPr>
        <w:spacing w:line="240" w:lineRule="auto"/>
        <w:sectPr w:rsidR="0098676E" w:rsidRPr="008B3AD6" w:rsidSect="0098676E">
          <w:pgSz w:w="16840" w:h="11900" w:orient="landscape"/>
          <w:pgMar w:top="851" w:right="1134" w:bottom="2268" w:left="1134" w:header="709" w:footer="709" w:gutter="0"/>
          <w:cols w:space="708"/>
          <w:docGrid w:linePitch="360"/>
        </w:sectPr>
      </w:pPr>
      <w:r>
        <w:rPr>
          <w:noProof/>
        </w:rPr>
        <w:lastRenderedPageBreak/>
        <mc:AlternateContent>
          <mc:Choice Requires="wps">
            <w:drawing>
              <wp:anchor distT="0" distB="0" distL="114300" distR="114300" simplePos="0" relativeHeight="251880448" behindDoc="0" locked="0" layoutInCell="1" allowOverlap="1" wp14:anchorId="58A5D01A" wp14:editId="3B9A9F52">
                <wp:simplePos x="0" y="0"/>
                <wp:positionH relativeFrom="column">
                  <wp:posOffset>-3175</wp:posOffset>
                </wp:positionH>
                <wp:positionV relativeFrom="paragraph">
                  <wp:posOffset>5436438</wp:posOffset>
                </wp:positionV>
                <wp:extent cx="9253220" cy="565150"/>
                <wp:effectExtent l="0" t="0" r="5080" b="3175"/>
                <wp:wrapNone/>
                <wp:docPr id="552" name="Text Box 552"/>
                <wp:cNvGraphicFramePr/>
                <a:graphic xmlns:a="http://schemas.openxmlformats.org/drawingml/2006/main">
                  <a:graphicData uri="http://schemas.microsoft.com/office/word/2010/wordprocessingShape">
                    <wps:wsp>
                      <wps:cNvSpPr txBox="1"/>
                      <wps:spPr>
                        <a:xfrm>
                          <a:off x="0" y="0"/>
                          <a:ext cx="9253220" cy="565150"/>
                        </a:xfrm>
                        <a:prstGeom prst="rect">
                          <a:avLst/>
                        </a:prstGeom>
                        <a:solidFill>
                          <a:prstClr val="white"/>
                        </a:solidFill>
                        <a:ln>
                          <a:noFill/>
                        </a:ln>
                      </wps:spPr>
                      <wps:txbx>
                        <w:txbxContent>
                          <w:p w14:paraId="3A1D4311" w14:textId="3E12FD97" w:rsidR="00F61130" w:rsidRPr="00415379" w:rsidRDefault="00F61130" w:rsidP="00415379">
                            <w:pPr>
                              <w:pStyle w:val="Caption"/>
                              <w:spacing w:line="360" w:lineRule="auto"/>
                              <w:jc w:val="both"/>
                              <w:rPr>
                                <w:sz w:val="20"/>
                                <w:szCs w:val="20"/>
                              </w:rPr>
                            </w:pPr>
                            <w:bookmarkStart w:id="620" w:name="_Ref522725649"/>
                            <w:bookmarkStart w:id="621" w:name="_Toc525227245"/>
                            <w:bookmarkStart w:id="622" w:name="_Toc536814184"/>
                            <w:r w:rsidRPr="00415379">
                              <w:rPr>
                                <w:b/>
                                <w:sz w:val="20"/>
                                <w:szCs w:val="20"/>
                              </w:rPr>
                              <w:t xml:space="preserve">Figure </w:t>
                            </w:r>
                            <w:r>
                              <w:rPr>
                                <w:b/>
                                <w:sz w:val="20"/>
                                <w:szCs w:val="20"/>
                              </w:rPr>
                              <w:fldChar w:fldCharType="begin"/>
                            </w:r>
                            <w:r>
                              <w:rPr>
                                <w:b/>
                                <w:sz w:val="20"/>
                                <w:szCs w:val="20"/>
                              </w:rPr>
                              <w:instrText xml:space="preserve"> STYLEREF 1 \s </w:instrText>
                            </w:r>
                            <w:r>
                              <w:rPr>
                                <w:b/>
                                <w:sz w:val="20"/>
                                <w:szCs w:val="20"/>
                              </w:rPr>
                              <w:fldChar w:fldCharType="separate"/>
                            </w:r>
                            <w:r>
                              <w:rPr>
                                <w:b/>
                                <w:noProof/>
                                <w:sz w:val="20"/>
                                <w:szCs w:val="20"/>
                              </w:rPr>
                              <w:t>5</w:t>
                            </w:r>
                            <w:r>
                              <w:rPr>
                                <w:b/>
                                <w:sz w:val="20"/>
                                <w:szCs w:val="20"/>
                              </w:rPr>
                              <w:fldChar w:fldCharType="end"/>
                            </w:r>
                            <w:r>
                              <w:rPr>
                                <w:b/>
                                <w:sz w:val="20"/>
                                <w:szCs w:val="20"/>
                              </w:rPr>
                              <w:t>.</w:t>
                            </w:r>
                            <w:r>
                              <w:rPr>
                                <w:b/>
                                <w:sz w:val="20"/>
                                <w:szCs w:val="20"/>
                              </w:rPr>
                              <w:fldChar w:fldCharType="begin"/>
                            </w:r>
                            <w:r>
                              <w:rPr>
                                <w:b/>
                                <w:sz w:val="20"/>
                                <w:szCs w:val="20"/>
                              </w:rPr>
                              <w:instrText xml:space="preserve"> SEQ Figure \* ARABIC \s 1 </w:instrText>
                            </w:r>
                            <w:r>
                              <w:rPr>
                                <w:b/>
                                <w:sz w:val="20"/>
                                <w:szCs w:val="20"/>
                              </w:rPr>
                              <w:fldChar w:fldCharType="separate"/>
                            </w:r>
                            <w:r>
                              <w:rPr>
                                <w:b/>
                                <w:noProof/>
                                <w:sz w:val="20"/>
                                <w:szCs w:val="20"/>
                              </w:rPr>
                              <w:t>10</w:t>
                            </w:r>
                            <w:r>
                              <w:rPr>
                                <w:b/>
                                <w:sz w:val="20"/>
                                <w:szCs w:val="20"/>
                              </w:rPr>
                              <w:fldChar w:fldCharType="end"/>
                            </w:r>
                            <w:bookmarkEnd w:id="620"/>
                            <w:r w:rsidRPr="00415379">
                              <w:rPr>
                                <w:b/>
                                <w:sz w:val="20"/>
                                <w:szCs w:val="20"/>
                              </w:rPr>
                              <w:t xml:space="preserve"> - Expected behaviours diagram for the activities of Amphotericin B in the liver during EVL.</w:t>
                            </w:r>
                            <w:r w:rsidRPr="00415379">
                              <w:rPr>
                                <w:sz w:val="20"/>
                                <w:szCs w:val="20"/>
                              </w:rPr>
                              <w:t xml:space="preserve"> Observable phenomena within the liver and other sites are noted and linked to the time scale of their appearance. Additionally, these phenomena are linked to hypothesis that explain the expected behaviours that give rise to their emergence. A simplified diagrammatic representation of the system is used to link hypotheses to specific populations and processes within the system. Evidence for these hypotheses is also provided.</w:t>
                            </w:r>
                            <w:bookmarkEnd w:id="621"/>
                            <w:bookmarkEnd w:id="622"/>
                            <w:r w:rsidRPr="00415379">
                              <w:rPr>
                                <w:sz w:val="20"/>
                                <w:szCs w:val="20"/>
                              </w:rP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8A5D01A" id="Text Box 552" o:spid="_x0000_s1181" type="#_x0000_t202" style="position:absolute;margin-left:-.25pt;margin-top:428.05pt;width:728.6pt;height:44.5pt;z-index:2518804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s18KhNgIAAG0EAAAOAAAAZHJzL2Uyb0RvYy54bWysVMFu2zAMvQ/YPwi6L04yuNiMOEWWIsOA&#13;&#10;oC2QDD0rshwLkEWNUmJ3Xz9KjtOu22nYRaZIitJ7j/Titm8NOyv0GmzJZ5MpZ8pKqLQ9lvz7fvPh&#13;&#10;E2c+CFsJA1aV/Fl5frt8/27RuULNoQFTKWRUxPqicyVvQnBFlnnZqFb4CThlKVgDtiLQFo9ZhaKj&#13;&#10;6q3J5tPpTdYBVg5BKu/JezcE+TLVr2slw0NdexWYKTm9LaQV03qIa7ZciOKIwjVaXp4h/uEVrdCW&#13;&#10;Lr2WuhNBsBPqP0q1WiJ4qMNEQptBXWupEgZCM5u+QbNrhFMJC5Hj3ZUm///KyvvzIzJdlTzP55xZ&#13;&#10;0ZJIe9UH9gV6Fn3EUOd8QYk7R6mhpwApPfo9OSPwvsY2fgkSozhx/XzlN5aT5Pw8zz/O5xSSFMtv&#13;&#10;8lmeBMheTjv04auClkWj5Ej6JVrFeesDvYRSx5R4mQejq402Jm5iYG2QnQVp3TU6qPhGOvFblrEx&#13;&#10;10I8NYSjJ4sQByjRCv2hT6TM8nwEeoDqmfAjDD3kndxounErfHgUSE1DuGgQwgMttYGu5HCxOGsA&#13;&#10;f/7NH/NJS4py1lETltz/OAlUnJlvllSOHTsaOBqH0bCndg2EdUYj5mQy6QAGM5o1QvtE87GKt1BI&#13;&#10;WEl3lTyM5joMo0DzJdVqlZKoL50IW7tzMpYemd33TwLdRZdAit7D2J6ieCPPkJsEcqtTIK6TdpHZ&#13;&#10;gcUL4dTTSaDL/MWheb1PWS9/ieUvAAAA//8DAFBLAwQUAAYACAAAACEAZL4uDOUAAAAPAQAADwAA&#13;&#10;AGRycy9kb3ducmV2LnhtbExPPU/DMBDdkfgP1iGxoNYJJKGkuVRVgaEsFaELm5u4cSA+R7bThn+P&#13;&#10;O8Fy0tP7uPeK1aR7dpLWdYYQ4nkETFJtmo5ahP3H62wBzHlBjegNSYQf6WBVXl8VIm/Mmd7lqfIt&#13;&#10;CyHkcoGgvB9yzl2tpBZubgZJgTsaq4UP0La8seIcwnXP76Mo41p0FD4oMciNkvV3NWqEXfK5U3fj&#13;&#10;8eVtnTzY7X7cZF9thXh7Mz0vw1kvgXk5+T8HXDaE/lCGYgczUuNYjzBLgxBhkWYxsAufpNkjsAPC&#13;&#10;U5LGwMuC/99R/gIAAP//AwBQSwECLQAUAAYACAAAACEAtoM4kv4AAADhAQAAEwAAAAAAAAAAAAAA&#13;&#10;AAAAAAAAW0NvbnRlbnRfVHlwZXNdLnhtbFBLAQItABQABgAIAAAAIQA4/SH/1gAAAJQBAAALAAAA&#13;&#10;AAAAAAAAAAAAAC8BAABfcmVscy8ucmVsc1BLAQItABQABgAIAAAAIQBs18KhNgIAAG0EAAAOAAAA&#13;&#10;AAAAAAAAAAAAAC4CAABkcnMvZTJvRG9jLnhtbFBLAQItABQABgAIAAAAIQBkvi4M5QAAAA8BAAAP&#13;&#10;AAAAAAAAAAAAAAAAAJAEAABkcnMvZG93bnJldi54bWxQSwUGAAAAAAQABADzAAAAogUAAAAA&#13;&#10;" stroked="f">
                <v:textbox style="mso-fit-shape-to-text:t" inset="0,0,0,0">
                  <w:txbxContent>
                    <w:p w14:paraId="3A1D4311" w14:textId="3E12FD97" w:rsidR="00F61130" w:rsidRPr="00415379" w:rsidRDefault="00F61130" w:rsidP="00415379">
                      <w:pPr>
                        <w:pStyle w:val="Caption"/>
                        <w:spacing w:line="360" w:lineRule="auto"/>
                        <w:jc w:val="both"/>
                        <w:rPr>
                          <w:sz w:val="20"/>
                          <w:szCs w:val="20"/>
                        </w:rPr>
                      </w:pPr>
                      <w:bookmarkStart w:id="623" w:name="_Ref522725649"/>
                      <w:bookmarkStart w:id="624" w:name="_Toc525227245"/>
                      <w:bookmarkStart w:id="625" w:name="_Toc536814184"/>
                      <w:r w:rsidRPr="00415379">
                        <w:rPr>
                          <w:b/>
                          <w:sz w:val="20"/>
                          <w:szCs w:val="20"/>
                        </w:rPr>
                        <w:t xml:space="preserve">Figure </w:t>
                      </w:r>
                      <w:r>
                        <w:rPr>
                          <w:b/>
                          <w:sz w:val="20"/>
                          <w:szCs w:val="20"/>
                        </w:rPr>
                        <w:fldChar w:fldCharType="begin"/>
                      </w:r>
                      <w:r>
                        <w:rPr>
                          <w:b/>
                          <w:sz w:val="20"/>
                          <w:szCs w:val="20"/>
                        </w:rPr>
                        <w:instrText xml:space="preserve"> STYLEREF 1 \s </w:instrText>
                      </w:r>
                      <w:r>
                        <w:rPr>
                          <w:b/>
                          <w:sz w:val="20"/>
                          <w:szCs w:val="20"/>
                        </w:rPr>
                        <w:fldChar w:fldCharType="separate"/>
                      </w:r>
                      <w:r>
                        <w:rPr>
                          <w:b/>
                          <w:noProof/>
                          <w:sz w:val="20"/>
                          <w:szCs w:val="20"/>
                        </w:rPr>
                        <w:t>5</w:t>
                      </w:r>
                      <w:r>
                        <w:rPr>
                          <w:b/>
                          <w:sz w:val="20"/>
                          <w:szCs w:val="20"/>
                        </w:rPr>
                        <w:fldChar w:fldCharType="end"/>
                      </w:r>
                      <w:r>
                        <w:rPr>
                          <w:b/>
                          <w:sz w:val="20"/>
                          <w:szCs w:val="20"/>
                        </w:rPr>
                        <w:t>.</w:t>
                      </w:r>
                      <w:r>
                        <w:rPr>
                          <w:b/>
                          <w:sz w:val="20"/>
                          <w:szCs w:val="20"/>
                        </w:rPr>
                        <w:fldChar w:fldCharType="begin"/>
                      </w:r>
                      <w:r>
                        <w:rPr>
                          <w:b/>
                          <w:sz w:val="20"/>
                          <w:szCs w:val="20"/>
                        </w:rPr>
                        <w:instrText xml:space="preserve"> SEQ Figure \* ARABIC \s 1 </w:instrText>
                      </w:r>
                      <w:r>
                        <w:rPr>
                          <w:b/>
                          <w:sz w:val="20"/>
                          <w:szCs w:val="20"/>
                        </w:rPr>
                        <w:fldChar w:fldCharType="separate"/>
                      </w:r>
                      <w:r>
                        <w:rPr>
                          <w:b/>
                          <w:noProof/>
                          <w:sz w:val="20"/>
                          <w:szCs w:val="20"/>
                        </w:rPr>
                        <w:t>10</w:t>
                      </w:r>
                      <w:r>
                        <w:rPr>
                          <w:b/>
                          <w:sz w:val="20"/>
                          <w:szCs w:val="20"/>
                        </w:rPr>
                        <w:fldChar w:fldCharType="end"/>
                      </w:r>
                      <w:bookmarkEnd w:id="623"/>
                      <w:r w:rsidRPr="00415379">
                        <w:rPr>
                          <w:b/>
                          <w:sz w:val="20"/>
                          <w:szCs w:val="20"/>
                        </w:rPr>
                        <w:t xml:space="preserve"> - Expected behaviours diagram for the activities of Amphotericin B in the liver during EVL.</w:t>
                      </w:r>
                      <w:r w:rsidRPr="00415379">
                        <w:rPr>
                          <w:sz w:val="20"/>
                          <w:szCs w:val="20"/>
                        </w:rPr>
                        <w:t xml:space="preserve"> Observable phenomena within the liver and other sites are noted and linked to the time scale of their appearance. Additionally, these phenomena are linked to hypothesis that explain the expected behaviours that give rise to their emergence. A simplified diagrammatic representation of the system is used to link hypotheses to specific populations and processes within the system. Evidence for these hypotheses is also provided.</w:t>
                      </w:r>
                      <w:bookmarkEnd w:id="624"/>
                      <w:bookmarkEnd w:id="625"/>
                      <w:r w:rsidRPr="00415379">
                        <w:rPr>
                          <w:sz w:val="20"/>
                          <w:szCs w:val="20"/>
                        </w:rPr>
                        <w:t xml:space="preserve">  </w:t>
                      </w:r>
                    </w:p>
                  </w:txbxContent>
                </v:textbox>
              </v:shape>
            </w:pict>
          </mc:Fallback>
        </mc:AlternateContent>
      </w:r>
      <w:r>
        <w:rPr>
          <w:noProof/>
        </w:rPr>
        <w:drawing>
          <wp:anchor distT="0" distB="0" distL="114300" distR="114300" simplePos="0" relativeHeight="251881472" behindDoc="0" locked="0" layoutInCell="1" allowOverlap="1" wp14:anchorId="2DA18BA9" wp14:editId="35DEE92D">
            <wp:simplePos x="0" y="0"/>
            <wp:positionH relativeFrom="column">
              <wp:posOffset>-2638</wp:posOffset>
            </wp:positionH>
            <wp:positionV relativeFrom="paragraph">
              <wp:posOffset>537</wp:posOffset>
            </wp:positionV>
            <wp:extent cx="9253220" cy="5368290"/>
            <wp:effectExtent l="0" t="0" r="5080" b="0"/>
            <wp:wrapTopAndBottom/>
            <wp:docPr id="610" name="Picture 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0" name="Picture 610"/>
                    <pic:cNvPicPr>
                      <a:picLocks noChangeAspect="1"/>
                    </pic:cNvPicPr>
                  </pic:nvPicPr>
                  <pic:blipFill>
                    <a:blip r:embed="rId91">
                      <a:extLst>
                        <a:ext uri="{28A0092B-C50C-407E-A947-70E740481C1C}">
                          <a14:useLocalDpi xmlns:a14="http://schemas.microsoft.com/office/drawing/2010/main" val="0"/>
                        </a:ext>
                      </a:extLst>
                    </a:blip>
                    <a:stretch>
                      <a:fillRect/>
                    </a:stretch>
                  </pic:blipFill>
                  <pic:spPr>
                    <a:xfrm>
                      <a:off x="0" y="0"/>
                      <a:ext cx="9253220" cy="5368290"/>
                    </a:xfrm>
                    <a:prstGeom prst="rect">
                      <a:avLst/>
                    </a:prstGeom>
                  </pic:spPr>
                </pic:pic>
              </a:graphicData>
            </a:graphic>
          </wp:anchor>
        </w:drawing>
      </w:r>
    </w:p>
    <w:p w14:paraId="56AB977E" w14:textId="61F9659C" w:rsidR="008300AD" w:rsidRPr="008B3AD6" w:rsidRDefault="00696081" w:rsidP="00696081">
      <w:pPr>
        <w:spacing w:line="360" w:lineRule="auto"/>
        <w:jc w:val="both"/>
      </w:pPr>
      <w:r>
        <w:rPr>
          <w:noProof/>
        </w:rPr>
        <w:lastRenderedPageBreak/>
        <w:drawing>
          <wp:anchor distT="0" distB="0" distL="114300" distR="114300" simplePos="0" relativeHeight="251886592" behindDoc="0" locked="0" layoutInCell="1" allowOverlap="1" wp14:anchorId="7B64B242" wp14:editId="43A43BC3">
            <wp:simplePos x="0" y="0"/>
            <wp:positionH relativeFrom="column">
              <wp:posOffset>-248285</wp:posOffset>
            </wp:positionH>
            <wp:positionV relativeFrom="paragraph">
              <wp:posOffset>3954000</wp:posOffset>
            </wp:positionV>
            <wp:extent cx="6070600" cy="5007610"/>
            <wp:effectExtent l="0" t="0" r="0" b="0"/>
            <wp:wrapTopAndBottom/>
            <wp:docPr id="614" name="Picture 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 name="Picture 614"/>
                    <pic:cNvPicPr>
                      <a:picLocks noChangeAspect="1"/>
                    </pic:cNvPicPr>
                  </pic:nvPicPr>
                  <pic:blipFill rotWithShape="1">
                    <a:blip r:embed="rId92">
                      <a:extLst>
                        <a:ext uri="{28A0092B-C50C-407E-A947-70E740481C1C}">
                          <a14:useLocalDpi xmlns:a14="http://schemas.microsoft.com/office/drawing/2010/main" val="0"/>
                        </a:ext>
                      </a:extLst>
                    </a:blip>
                    <a:srcRect l="11617" t="3525" r="7754" b="2620"/>
                    <a:stretch/>
                  </pic:blipFill>
                  <pic:spPr bwMode="auto">
                    <a:xfrm>
                      <a:off x="0" y="0"/>
                      <a:ext cx="6070600" cy="500761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Pr>
          <w:noProof/>
        </w:rPr>
        <mc:AlternateContent>
          <mc:Choice Requires="wps">
            <w:drawing>
              <wp:anchor distT="0" distB="0" distL="114300" distR="114300" simplePos="0" relativeHeight="251887616" behindDoc="0" locked="0" layoutInCell="1" allowOverlap="1" wp14:anchorId="122B8240" wp14:editId="0E958E92">
                <wp:simplePos x="0" y="0"/>
                <wp:positionH relativeFrom="column">
                  <wp:posOffset>-144145</wp:posOffset>
                </wp:positionH>
                <wp:positionV relativeFrom="paragraph">
                  <wp:posOffset>8977140</wp:posOffset>
                </wp:positionV>
                <wp:extent cx="5895975" cy="439420"/>
                <wp:effectExtent l="0" t="0" r="0" b="5080"/>
                <wp:wrapNone/>
                <wp:docPr id="615" name="Text Box 615"/>
                <wp:cNvGraphicFramePr/>
                <a:graphic xmlns:a="http://schemas.openxmlformats.org/drawingml/2006/main">
                  <a:graphicData uri="http://schemas.microsoft.com/office/word/2010/wordprocessingShape">
                    <wps:wsp>
                      <wps:cNvSpPr txBox="1"/>
                      <wps:spPr>
                        <a:xfrm>
                          <a:off x="0" y="0"/>
                          <a:ext cx="5895975" cy="439420"/>
                        </a:xfrm>
                        <a:prstGeom prst="rect">
                          <a:avLst/>
                        </a:prstGeom>
                        <a:solidFill>
                          <a:prstClr val="white"/>
                        </a:solidFill>
                        <a:ln>
                          <a:noFill/>
                        </a:ln>
                      </wps:spPr>
                      <wps:txbx>
                        <w:txbxContent>
                          <w:p w14:paraId="67645ADA" w14:textId="72D954D7" w:rsidR="00F61130" w:rsidRPr="008300AD" w:rsidRDefault="00F61130" w:rsidP="00403ABE">
                            <w:pPr>
                              <w:pStyle w:val="Caption"/>
                              <w:spacing w:line="360" w:lineRule="auto"/>
                              <w:rPr>
                                <w:sz w:val="20"/>
                                <w:szCs w:val="20"/>
                              </w:rPr>
                            </w:pPr>
                            <w:bookmarkStart w:id="626" w:name="_Ref522793179"/>
                            <w:bookmarkStart w:id="627" w:name="_Toc525227246"/>
                            <w:bookmarkStart w:id="628" w:name="_Toc536814185"/>
                            <w:r w:rsidRPr="008300AD">
                              <w:rPr>
                                <w:b/>
                                <w:sz w:val="20"/>
                                <w:szCs w:val="20"/>
                              </w:rPr>
                              <w:t xml:space="preserve">Figure </w:t>
                            </w:r>
                            <w:r>
                              <w:rPr>
                                <w:b/>
                                <w:sz w:val="20"/>
                                <w:szCs w:val="20"/>
                              </w:rPr>
                              <w:fldChar w:fldCharType="begin"/>
                            </w:r>
                            <w:r>
                              <w:rPr>
                                <w:b/>
                                <w:sz w:val="20"/>
                                <w:szCs w:val="20"/>
                              </w:rPr>
                              <w:instrText xml:space="preserve"> STYLEREF 1 \s </w:instrText>
                            </w:r>
                            <w:r>
                              <w:rPr>
                                <w:b/>
                                <w:sz w:val="20"/>
                                <w:szCs w:val="20"/>
                              </w:rPr>
                              <w:fldChar w:fldCharType="separate"/>
                            </w:r>
                            <w:r>
                              <w:rPr>
                                <w:b/>
                                <w:noProof/>
                                <w:sz w:val="20"/>
                                <w:szCs w:val="20"/>
                              </w:rPr>
                              <w:t>5</w:t>
                            </w:r>
                            <w:r>
                              <w:rPr>
                                <w:b/>
                                <w:sz w:val="20"/>
                                <w:szCs w:val="20"/>
                              </w:rPr>
                              <w:fldChar w:fldCharType="end"/>
                            </w:r>
                            <w:r>
                              <w:rPr>
                                <w:b/>
                                <w:sz w:val="20"/>
                                <w:szCs w:val="20"/>
                              </w:rPr>
                              <w:t>.</w:t>
                            </w:r>
                            <w:r>
                              <w:rPr>
                                <w:b/>
                                <w:sz w:val="20"/>
                                <w:szCs w:val="20"/>
                              </w:rPr>
                              <w:fldChar w:fldCharType="begin"/>
                            </w:r>
                            <w:r>
                              <w:rPr>
                                <w:b/>
                                <w:sz w:val="20"/>
                                <w:szCs w:val="20"/>
                              </w:rPr>
                              <w:instrText xml:space="preserve"> SEQ Figure \* ARABIC \s 1 </w:instrText>
                            </w:r>
                            <w:r>
                              <w:rPr>
                                <w:b/>
                                <w:sz w:val="20"/>
                                <w:szCs w:val="20"/>
                              </w:rPr>
                              <w:fldChar w:fldCharType="separate"/>
                            </w:r>
                            <w:r>
                              <w:rPr>
                                <w:b/>
                                <w:noProof/>
                                <w:sz w:val="20"/>
                                <w:szCs w:val="20"/>
                              </w:rPr>
                              <w:t>11</w:t>
                            </w:r>
                            <w:r>
                              <w:rPr>
                                <w:b/>
                                <w:sz w:val="20"/>
                                <w:szCs w:val="20"/>
                              </w:rPr>
                              <w:fldChar w:fldCharType="end"/>
                            </w:r>
                            <w:bookmarkEnd w:id="626"/>
                            <w:r w:rsidRPr="008300AD">
                              <w:rPr>
                                <w:b/>
                                <w:sz w:val="20"/>
                                <w:szCs w:val="20"/>
                              </w:rPr>
                              <w:t xml:space="preserve"> – Domain model activity diagram for Amphotericin B. </w:t>
                            </w:r>
                            <w:r>
                              <w:rPr>
                                <w:sz w:val="20"/>
                                <w:szCs w:val="20"/>
                              </w:rPr>
                              <w:t>UML-like diagram describing the activities of Amphotericin B after administration into a system in a liposomal formulation.</w:t>
                            </w:r>
                            <w:bookmarkEnd w:id="627"/>
                            <w:bookmarkEnd w:id="628"/>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22B8240" id="Text Box 615" o:spid="_x0000_s1182" type="#_x0000_t202" style="position:absolute;left:0;text-align:left;margin-left:-11.35pt;margin-top:706.85pt;width:464.25pt;height:34.6pt;z-index:2518876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dRDpNNwIAAG0EAAAOAAAAZHJzL2Uyb0RvYy54bWysVMFuGjEQvVfqP1i+lwUaaEAsESWiqhQl&#13;&#10;kaDK2Xht1pLtcW3DLv36jr0sadOeql7M7Mx4xu+9GRZ3rdHkJHxQYEs6GgwpEZZDpeyhpN92mw+3&#13;&#10;lITIbMU0WFHSswj0bvn+3aJxczGGGnQlPMEiNswbV9I6RjcvisBrYVgYgBMWgxK8YRE//aGoPGuw&#13;&#10;utHFeDicFg34ynngIgT03ndBusz1pRQ8PkkZRCS6pPi2mE+fz306i+WCzQ+euVrxyzPYP7zCMGWx&#13;&#10;6bXUPYuMHL36o5RR3EMAGQccTAFSKi4yBkQzGr5Bs62ZExkLkhPclabw/8ryx9OzJ6oq6XQ0ocQy&#13;&#10;gyLtRBvJZ2hJ8iFDjQtzTNw6TI0tBlDp3h/QmYC30pv0i5AIxpHr85XfVI6jc3I7m8w+YRuOsZuP&#13;&#10;s5txFqB4ve18iF8EGJKMknrUL9PKTg8h4kswtU9JzQJoVW2U1ukjBdbakxNDrZtaRZHeiDd+y9I2&#13;&#10;5VpIt7pw8hQJYgclWbHdt5mU0WTaA91DdUb8HroZCo5vFHZ8YCE+M49Dg5BxEeITHlJDU1K4WJTU&#13;&#10;4H/8zZ/yUUuMUtLgEJY0fD8yLyjRXy2qnCa2N3xv7HvDHs0aEOsIV8zxbOIFH3VvSg/mBfdjlbpg&#13;&#10;iFmOvUoae3Mdu1XA/eJitcpJOJeOxQe7dTyV7pndtS/Mu4suERV9hH482fyNPF1ux/PqGEGqrF1i&#13;&#10;tmPxQjjOdBbosn9paX79zlmv/xLLnwAAAP//AwBQSwMEFAAGAAgAAAAhAE5YVErlAAAAEgEAAA8A&#13;&#10;AABkcnMvZG93bnJldi54bWxMT8FOwzAMvSPxD5GRuKAtXYCxdU0nWNkNDhvTzlkT2orGqZJ07f4e&#13;&#10;7wQXy/Z7fn4vW4+2ZWfjQ+NQwmyaADNYOt1gJeHwtZ0sgIWoUKvWoZFwMQHW+e1NplLtBtyZ8z5W&#13;&#10;jEQwpEpCHWOXch7K2lgVpq4zSNi381ZFGn3FtVcDiduWiySZc6sapA+16symNuXPvrcS5oXvhx1u&#13;&#10;HorD+4f67CpxfLscpby/G4sVldcVsGjG+HcB1wzkH3IydnI96sBaCRMhXohKwNPskTqiLJNninS6&#13;&#10;rhZiCTzP+P8o+S8AAAD//wMAUEsBAi0AFAAGAAgAAAAhALaDOJL+AAAA4QEAABMAAAAAAAAAAAAA&#13;&#10;AAAAAAAAAFtDb250ZW50X1R5cGVzXS54bWxQSwECLQAUAAYACAAAACEAOP0h/9YAAACUAQAACwAA&#13;&#10;AAAAAAAAAAAAAAAvAQAAX3JlbHMvLnJlbHNQSwECLQAUAAYACAAAACEAHUQ6TTcCAABtBAAADgAA&#13;&#10;AAAAAAAAAAAAAAAuAgAAZHJzL2Uyb0RvYy54bWxQSwECLQAUAAYACAAAACEATlhUSuUAAAASAQAA&#13;&#10;DwAAAAAAAAAAAAAAAACRBAAAZHJzL2Rvd25yZXYueG1sUEsFBgAAAAAEAAQA8wAAAKMFAAAAAA==&#13;&#10;" stroked="f">
                <v:textbox inset="0,0,0,0">
                  <w:txbxContent>
                    <w:p w14:paraId="67645ADA" w14:textId="72D954D7" w:rsidR="00F61130" w:rsidRPr="008300AD" w:rsidRDefault="00F61130" w:rsidP="00403ABE">
                      <w:pPr>
                        <w:pStyle w:val="Caption"/>
                        <w:spacing w:line="360" w:lineRule="auto"/>
                        <w:rPr>
                          <w:sz w:val="20"/>
                          <w:szCs w:val="20"/>
                        </w:rPr>
                      </w:pPr>
                      <w:bookmarkStart w:id="629" w:name="_Ref522793179"/>
                      <w:bookmarkStart w:id="630" w:name="_Toc525227246"/>
                      <w:bookmarkStart w:id="631" w:name="_Toc536814185"/>
                      <w:r w:rsidRPr="008300AD">
                        <w:rPr>
                          <w:b/>
                          <w:sz w:val="20"/>
                          <w:szCs w:val="20"/>
                        </w:rPr>
                        <w:t xml:space="preserve">Figure </w:t>
                      </w:r>
                      <w:r>
                        <w:rPr>
                          <w:b/>
                          <w:sz w:val="20"/>
                          <w:szCs w:val="20"/>
                        </w:rPr>
                        <w:fldChar w:fldCharType="begin"/>
                      </w:r>
                      <w:r>
                        <w:rPr>
                          <w:b/>
                          <w:sz w:val="20"/>
                          <w:szCs w:val="20"/>
                        </w:rPr>
                        <w:instrText xml:space="preserve"> STYLEREF 1 \s </w:instrText>
                      </w:r>
                      <w:r>
                        <w:rPr>
                          <w:b/>
                          <w:sz w:val="20"/>
                          <w:szCs w:val="20"/>
                        </w:rPr>
                        <w:fldChar w:fldCharType="separate"/>
                      </w:r>
                      <w:r>
                        <w:rPr>
                          <w:b/>
                          <w:noProof/>
                          <w:sz w:val="20"/>
                          <w:szCs w:val="20"/>
                        </w:rPr>
                        <w:t>5</w:t>
                      </w:r>
                      <w:r>
                        <w:rPr>
                          <w:b/>
                          <w:sz w:val="20"/>
                          <w:szCs w:val="20"/>
                        </w:rPr>
                        <w:fldChar w:fldCharType="end"/>
                      </w:r>
                      <w:r>
                        <w:rPr>
                          <w:b/>
                          <w:sz w:val="20"/>
                          <w:szCs w:val="20"/>
                        </w:rPr>
                        <w:t>.</w:t>
                      </w:r>
                      <w:r>
                        <w:rPr>
                          <w:b/>
                          <w:sz w:val="20"/>
                          <w:szCs w:val="20"/>
                        </w:rPr>
                        <w:fldChar w:fldCharType="begin"/>
                      </w:r>
                      <w:r>
                        <w:rPr>
                          <w:b/>
                          <w:sz w:val="20"/>
                          <w:szCs w:val="20"/>
                        </w:rPr>
                        <w:instrText xml:space="preserve"> SEQ Figure \* ARABIC \s 1 </w:instrText>
                      </w:r>
                      <w:r>
                        <w:rPr>
                          <w:b/>
                          <w:sz w:val="20"/>
                          <w:szCs w:val="20"/>
                        </w:rPr>
                        <w:fldChar w:fldCharType="separate"/>
                      </w:r>
                      <w:r>
                        <w:rPr>
                          <w:b/>
                          <w:noProof/>
                          <w:sz w:val="20"/>
                          <w:szCs w:val="20"/>
                        </w:rPr>
                        <w:t>11</w:t>
                      </w:r>
                      <w:r>
                        <w:rPr>
                          <w:b/>
                          <w:sz w:val="20"/>
                          <w:szCs w:val="20"/>
                        </w:rPr>
                        <w:fldChar w:fldCharType="end"/>
                      </w:r>
                      <w:bookmarkEnd w:id="629"/>
                      <w:r w:rsidRPr="008300AD">
                        <w:rPr>
                          <w:b/>
                          <w:sz w:val="20"/>
                          <w:szCs w:val="20"/>
                        </w:rPr>
                        <w:t xml:space="preserve"> – Domain model activity diagram for Amphotericin B. </w:t>
                      </w:r>
                      <w:r>
                        <w:rPr>
                          <w:sz w:val="20"/>
                          <w:szCs w:val="20"/>
                        </w:rPr>
                        <w:t>UML-like diagram describing the activities of Amphotericin B after administration into a system in a liposomal formulation.</w:t>
                      </w:r>
                      <w:bookmarkEnd w:id="630"/>
                      <w:bookmarkEnd w:id="631"/>
                    </w:p>
                  </w:txbxContent>
                </v:textbox>
              </v:shape>
            </w:pict>
          </mc:Fallback>
        </mc:AlternateContent>
      </w:r>
      <w:r w:rsidR="007F597F" w:rsidRPr="008B3AD6">
        <w:t>Following the creation of the expected beh</w:t>
      </w:r>
      <w:r w:rsidR="008300AD" w:rsidRPr="008B3AD6">
        <w:t xml:space="preserve">aviours diagram, a domain model describing the activities </w:t>
      </w:r>
      <w:r w:rsidR="00A32111">
        <w:t>AmB</w:t>
      </w:r>
      <w:r w:rsidR="008300AD" w:rsidRPr="008B3AD6">
        <w:t xml:space="preserve"> is involved in and the states that </w:t>
      </w:r>
      <w:r w:rsidR="00A32111">
        <w:t>AmB</w:t>
      </w:r>
      <w:r w:rsidR="008300AD" w:rsidRPr="008B3AD6">
        <w:t xml:space="preserve"> may exist in was created. </w:t>
      </w:r>
      <w:r w:rsidR="004C1FDD" w:rsidRPr="008B3AD6">
        <w:rPr>
          <w:b/>
        </w:rPr>
        <w:fldChar w:fldCharType="begin"/>
      </w:r>
      <w:r w:rsidR="004C1FDD" w:rsidRPr="008B3AD6">
        <w:rPr>
          <w:b/>
        </w:rPr>
        <w:instrText xml:space="preserve"> REF _Ref522793179  \* MERGEFORMAT </w:instrText>
      </w:r>
      <w:r w:rsidR="004C1FDD" w:rsidRPr="008B3AD6">
        <w:rPr>
          <w:b/>
        </w:rPr>
        <w:fldChar w:fldCharType="separate"/>
      </w:r>
      <w:r w:rsidR="00921CAF" w:rsidRPr="00921CAF">
        <w:rPr>
          <w:b/>
        </w:rPr>
        <w:t xml:space="preserve">Figure </w:t>
      </w:r>
      <w:r w:rsidR="00921CAF" w:rsidRPr="00921CAF">
        <w:rPr>
          <w:b/>
          <w:noProof/>
        </w:rPr>
        <w:t>5.11</w:t>
      </w:r>
      <w:r w:rsidR="004C1FDD" w:rsidRPr="008B3AD6">
        <w:rPr>
          <w:b/>
          <w:noProof/>
        </w:rPr>
        <w:fldChar w:fldCharType="end"/>
      </w:r>
      <w:r w:rsidR="00D33737" w:rsidRPr="008B3AD6">
        <w:t xml:space="preserve"> shows the domain activities of </w:t>
      </w:r>
      <w:r w:rsidR="00A32111">
        <w:t>AmB</w:t>
      </w:r>
      <w:r w:rsidR="001C5303" w:rsidRPr="008B3AD6">
        <w:t xml:space="preserve"> with state changes shown in </w:t>
      </w:r>
      <w:r w:rsidR="0074700A">
        <w:rPr>
          <w:b/>
        </w:rPr>
        <w:fldChar w:fldCharType="begin"/>
      </w:r>
      <w:r w:rsidR="0074700A">
        <w:rPr>
          <w:b/>
        </w:rPr>
        <w:instrText xml:space="preserve"> REF _Ref522801233  \* MERGEFORMAT </w:instrText>
      </w:r>
      <w:r w:rsidR="0074700A">
        <w:rPr>
          <w:b/>
        </w:rPr>
        <w:fldChar w:fldCharType="separate"/>
      </w:r>
      <w:r w:rsidR="00921CAF" w:rsidRPr="00921CAF">
        <w:rPr>
          <w:b/>
        </w:rPr>
        <w:t xml:space="preserve">Figure </w:t>
      </w:r>
      <w:r w:rsidR="00921CAF" w:rsidRPr="00921CAF">
        <w:rPr>
          <w:b/>
          <w:noProof/>
        </w:rPr>
        <w:t>5.12</w:t>
      </w:r>
      <w:r w:rsidR="0074700A">
        <w:rPr>
          <w:b/>
          <w:noProof/>
        </w:rPr>
        <w:fldChar w:fldCharType="end"/>
      </w:r>
      <w:r w:rsidR="00D33737" w:rsidRPr="008B3AD6">
        <w:t xml:space="preserve">. </w:t>
      </w:r>
      <w:r w:rsidR="004A56A2" w:rsidRPr="008B3AD6">
        <w:t xml:space="preserve">To initialise the system an injection enters </w:t>
      </w:r>
      <w:r w:rsidR="00A32111">
        <w:t>LAmB</w:t>
      </w:r>
      <w:r w:rsidR="004A56A2" w:rsidRPr="008B3AD6">
        <w:t xml:space="preserve"> into the blood supply (</w:t>
      </w:r>
      <w:r w:rsidR="00415379" w:rsidRPr="008B3AD6">
        <w:rPr>
          <w:b/>
        </w:rPr>
        <w:fldChar w:fldCharType="begin"/>
      </w:r>
      <w:r w:rsidR="00415379" w:rsidRPr="008B3AD6">
        <w:rPr>
          <w:b/>
        </w:rPr>
        <w:instrText xml:space="preserve"> REF _Ref522793179  \* MERGEFORMAT </w:instrText>
      </w:r>
      <w:r w:rsidR="00415379" w:rsidRPr="008B3AD6">
        <w:rPr>
          <w:b/>
        </w:rPr>
        <w:fldChar w:fldCharType="separate"/>
      </w:r>
      <w:r w:rsidR="00921CAF" w:rsidRPr="00921CAF">
        <w:rPr>
          <w:b/>
        </w:rPr>
        <w:t xml:space="preserve">Figure </w:t>
      </w:r>
      <w:r w:rsidR="00921CAF" w:rsidRPr="00921CAF">
        <w:rPr>
          <w:b/>
          <w:noProof/>
        </w:rPr>
        <w:t>5.11</w:t>
      </w:r>
      <w:r w:rsidR="00415379" w:rsidRPr="008B3AD6">
        <w:rPr>
          <w:b/>
          <w:noProof/>
        </w:rPr>
        <w:fldChar w:fldCharType="end"/>
      </w:r>
      <w:r w:rsidR="00415379">
        <w:rPr>
          <w:b/>
          <w:noProof/>
        </w:rPr>
        <w:t xml:space="preserve"> - </w:t>
      </w:r>
      <w:r w:rsidR="004A56A2" w:rsidRPr="008B3AD6">
        <w:rPr>
          <w:b/>
        </w:rPr>
        <w:t>AMB1</w:t>
      </w:r>
      <w:r w:rsidR="001C5303" w:rsidRPr="008B3AD6">
        <w:t>) where it exists in a liposomal state. T</w:t>
      </w:r>
      <w:r w:rsidR="004842D8" w:rsidRPr="008B3AD6">
        <w:t>hese liposomes may enter the liver (</w:t>
      </w:r>
      <w:r w:rsidR="004842D8" w:rsidRPr="008B3AD6">
        <w:rPr>
          <w:b/>
        </w:rPr>
        <w:t>AMB4</w:t>
      </w:r>
      <w:r w:rsidR="004842D8" w:rsidRPr="008B3AD6">
        <w:t>)</w:t>
      </w:r>
      <w:r w:rsidR="00E40685" w:rsidRPr="008B3AD6">
        <w:t xml:space="preserve"> </w:t>
      </w:r>
      <w:r w:rsidR="00E40685" w:rsidRPr="008B3AD6">
        <w:fldChar w:fldCharType="begin"/>
      </w:r>
      <w:r w:rsidR="007A6EED">
        <w:instrText xml:space="preserve"> ADDIN ZOTERO_ITEM CSL_CITATION {"citationID":"zFIesiUc","properties":{"formattedCitation":"(Rosenecker et al. 1996)","plainCitation":"(Rosenecker et al. 1996)","noteIndex":0},"citationItems":[{"id":3521,"uris":["http://zotero.org/users/2628971/items/YDMNGENB"],"uri":["http://zotero.org/users/2628971/items/YDMNGENB"],"itemData":{"id":3521,"type":"article-journal","title":"Increased liposome extravasation in selected tissues: effect of substance P.","container-title":"Proceedings of the National Academy of Sciences of the United States of America","page":"7236-7241","volume":"93","issue":"14","source":"PubMed Central","abstract":"We have used a pharmacologic mediator to open intercellular connections in selected vessels to allow liposomes to escape from the blood stream and to extravasate into tissues that have appropriate receptors. We have examined the effects of substance P (SP), a peptide known to increase vascular permeability in selected tissues, such as trachea, esophagus, and urinary bladder in rats. We used quantitative fluorescence analysis of tissues to measure two fluorescent markers, one attached to the lipid (rhodamine-phosphatidylethanolamine) and another, doxorubicin (an anti-tumor drug), encapsulated within the aqueous interior. We have also examined the deposition of liposomes microscopically by the use of encapsulated colloidal gold and silver enhancement. Analysis of the biochemical and morphological observations indicate the following: (i) Injection of SP produces a striking increase in both liposome labels, but only in tissues that possess receptors for SP in postcapillary venules; (ii) liposome material in these tissues has extravasated and is found extracellularly near a variety of cells beyond the endothelial layer over the first few hours; (iii) 24 h following injection of liposomes and SP, liposome material is found in these tissues, localized intracellularly in both endothelial cells and macrophages. We propose that appropriate application of tissue-specific mediators can result in liposome extravasation deep within tissues that normally do not take up significant amounts of liposomes from the blood. Such liposomes are able to carry a variety of pharmacological agents that can be released locally within selected target tissues for therapeutic purposes.","ISSN":"0027-8424","note":"PMID: 8692975\nPMCID: PMC38966","shortTitle":"Increased liposome extravasation in selected tissues","journalAbbreviation":"Proc Natl Acad Sci U S A","author":[{"family":"Rosenecker","given":"J"},{"family":"Zhang","given":"W"},{"family":"Hong","given":"K"},{"family":"Lausier","given":"J"},{"family":"Geppetti","given":"P"},{"family":"Yoshihara","given":"S"},{"family":"Papahadjopoulos","given":"D"},{"family":"Nadel","given":"J A"}],"issued":{"date-parts":[["1996",7,9]]}}}],"schema":"https://github.com/citation-style-language/schema/raw/master/csl-citation.json"} </w:instrText>
      </w:r>
      <w:r w:rsidR="00E40685" w:rsidRPr="008B3AD6">
        <w:fldChar w:fldCharType="separate"/>
      </w:r>
      <w:r w:rsidR="007A6EED" w:rsidRPr="007A6EED">
        <w:rPr>
          <w:lang w:val="en-US"/>
        </w:rPr>
        <w:t>(Rosenecker et al. 1996)</w:t>
      </w:r>
      <w:r w:rsidR="00E40685" w:rsidRPr="008B3AD6">
        <w:fldChar w:fldCharType="end"/>
      </w:r>
      <w:r w:rsidR="004842D8" w:rsidRPr="008B3AD6">
        <w:t xml:space="preserve"> where they can be endocytosed or phagocytosed by local cells (</w:t>
      </w:r>
      <w:r w:rsidR="004842D8" w:rsidRPr="008B3AD6">
        <w:rPr>
          <w:b/>
        </w:rPr>
        <w:t>AMB7</w:t>
      </w:r>
      <w:r w:rsidR="00A55795" w:rsidRPr="008B3AD6">
        <w:t xml:space="preserve">) </w:t>
      </w:r>
      <w:r w:rsidR="00A55795" w:rsidRPr="008B3AD6">
        <w:fldChar w:fldCharType="begin"/>
      </w:r>
      <w:r w:rsidR="007A6EED">
        <w:instrText xml:space="preserve"> ADDIN ZOTERO_ITEM CSL_CITATION {"citationID":"LMElsR29","properties":{"formattedCitation":"(Azanza, S\\uc0\\u225{}dada, and Reis 2015b)","plainCitation":"(Azanza, Sádada, and Reis 2015b)","noteIndex":0},"citationItems":[{"id":2838,"uris":["http://zotero.org/users/2628971/items/AEBDXGVD"],"uri":["http://zotero.org/users/2628971/items/AEBDXGVD"],"itemData":{"id":2838,"type":"article-journal","title":"Liposomal formulations of amphotericin B: differences according to the scientific evidence","container-title":"Revista Espanola De Quimioterapia: Publicacion Oficial De La Sociedad Espanola De Quimioterapia","page":"275-281","volume":"28","issue":"6","source":"PubMed","abstract":"This article presents an overview of the characteristics of liposomes as drug carriers, particularly in relation to liposomal formulations of amphotericin B. General features regarding structure, liposome-cell interactions, stability, encapsulation of active substances and elimination of liposomes are described. Up to the present time extensive efforts to produce similar or bioequivalent products of amphotericin B formulations, in particular in the case of liposomal amphotericin B, have been unsuccessful in spite of having a very similar composition and even an apparently identical manufacturing process. Guidelines for the development of generic liposomal formulations developed by the FDA and EMA are also summarized. Based on the available evidence of the composition of liposomes, any differences in the manufacturing process even if the same lipid composition is used may result in different final products. Therefore, it seems unreasonable to infer that all amphotericin B liposomal formulations are equal in efficacy and safety.","ISSN":"1988-9518","note":"PMID: 26621170","shortTitle":"Liposomal formulations of amphotericin B","journalAbbreviation":"Rev Esp Quimioter","language":"eng","author":[{"family":"Azanza","given":"José Ramón"},{"family":"Sádada","given":"Belén"},{"family":"Reis","given":"Joana"}],"issued":{"date-parts":[["2015",12]]}}}],"schema":"https://github.com/citation-style-language/schema/raw/master/csl-citation.json"} </w:instrText>
      </w:r>
      <w:r w:rsidR="00A55795" w:rsidRPr="008B3AD6">
        <w:fldChar w:fldCharType="separate"/>
      </w:r>
      <w:r w:rsidR="007A6EED" w:rsidRPr="007A6EED">
        <w:rPr>
          <w:lang w:val="en-US"/>
        </w:rPr>
        <w:t>(Azanza, Sádada, and Reis 2015)</w:t>
      </w:r>
      <w:r w:rsidR="00A55795" w:rsidRPr="008B3AD6">
        <w:fldChar w:fldCharType="end"/>
      </w:r>
      <w:r w:rsidR="001C5303" w:rsidRPr="008B3AD6">
        <w:t>, switching to an intracellular state</w:t>
      </w:r>
      <w:r w:rsidR="004842D8" w:rsidRPr="008B3AD6">
        <w:t xml:space="preserve">. </w:t>
      </w:r>
      <w:r w:rsidR="00BE7C57" w:rsidRPr="008B3AD6">
        <w:t xml:space="preserve">Liposomes can be disrupted or broken down releasing their </w:t>
      </w:r>
      <w:r w:rsidR="00A32111">
        <w:t>AmB</w:t>
      </w:r>
      <w:r w:rsidR="00BE7C57" w:rsidRPr="008B3AD6">
        <w:t xml:space="preserve"> (</w:t>
      </w:r>
      <w:r w:rsidR="00BE7C57" w:rsidRPr="008B3AD6">
        <w:rPr>
          <w:b/>
        </w:rPr>
        <w:t>AMB2</w:t>
      </w:r>
      <w:r w:rsidR="00BE7C57" w:rsidRPr="008B3AD6">
        <w:t xml:space="preserve">, </w:t>
      </w:r>
      <w:r w:rsidR="00BE7C57" w:rsidRPr="008B3AD6">
        <w:rPr>
          <w:b/>
        </w:rPr>
        <w:t>AMB5</w:t>
      </w:r>
      <w:r w:rsidR="00BE7C57" w:rsidRPr="008B3AD6">
        <w:t>)</w:t>
      </w:r>
      <w:r w:rsidR="001C5303" w:rsidRPr="008B3AD6">
        <w:t xml:space="preserve"> becoming monomers</w:t>
      </w:r>
      <w:r w:rsidR="00BE7C57" w:rsidRPr="008B3AD6">
        <w:t xml:space="preserve">, free monomers may bind one another to form </w:t>
      </w:r>
      <w:r w:rsidR="00A32111">
        <w:t>AmB</w:t>
      </w:r>
      <w:r w:rsidR="00BE7C57" w:rsidRPr="008B3AD6">
        <w:t xml:space="preserve"> aggregates (</w:t>
      </w:r>
      <w:r w:rsidR="00BE7C57" w:rsidRPr="008B3AD6">
        <w:rPr>
          <w:b/>
        </w:rPr>
        <w:t>AM3</w:t>
      </w:r>
      <w:r w:rsidR="00BE7C57" w:rsidRPr="008B3AD6">
        <w:t xml:space="preserve">, </w:t>
      </w:r>
      <w:r w:rsidR="00BE7C57" w:rsidRPr="008B3AD6">
        <w:rPr>
          <w:b/>
        </w:rPr>
        <w:t>AMB6</w:t>
      </w:r>
      <w:r w:rsidR="00BE7C57" w:rsidRPr="008B3AD6">
        <w:t>)</w:t>
      </w:r>
      <w:r w:rsidR="00EB2C91" w:rsidRPr="008B3AD6">
        <w:t xml:space="preserve"> </w:t>
      </w:r>
      <w:r w:rsidR="00A55795" w:rsidRPr="008B3AD6">
        <w:fldChar w:fldCharType="begin"/>
      </w:r>
      <w:r w:rsidR="007A6EED">
        <w:instrText xml:space="preserve"> ADDIN ZOTERO_ITEM CSL_CITATION {"citationID":"UWuPK7rj","properties":{"formattedCitation":"(Janout et al. 2015)","plainCitation":"(Janout et al. 2015)","noteIndex":0},"citationItems":[{"id":2840,"uris":["http://zotero.org/users/2628971/items/CH9TTRI2"],"uri":["http://zotero.org/users/2628971/items/CH9TTRI2"],"itemData":{"id":2840,"type":"article-journal","title":"Taming Amphotericin B","container-title":"Bioconjugate Chemistry","page":"2021-2024","volume":"26","issue":"10","source":"PubMed","abstract":"A strategy is introduced for enhancing the cellular selectivity of Amphotericin B (AmB) and other classes of membrane-disrupting agents. This strategy involves attaching the agent to a molecular umbrella to minimize the disruptive power of aggregated forms. Based on this approach, AmB has been coupled to a molecular umbrella derived from one spermidine and two cholic acid molecules and found to have antifungal activities approaching that of the native drug. However, in sharp contrast to AmB, the hemolytic activity and the cytotoxcity of this conjugate toward HEK293 T cells have been dramatically reduced.","DOI":"10.1021/acs.bioconjchem.5b00463","ISSN":"1520-4812","note":"PMID: 26340430","journalAbbreviation":"Bioconjug. Chem.","language":"eng","author":[{"family":"Janout","given":"Vaclav"},{"family":"Schell","given":"Wiley A."},{"family":"Thévenin","given":"Damien"},{"family":"Yu","given":"Yuming"},{"family":"Perfect","given":"John R."},{"family":"Regen","given":"Steven L."}],"issued":{"date-parts":[["2015",10,21]]}}}],"schema":"https://github.com/citation-style-language/schema/raw/master/csl-citation.json"} </w:instrText>
      </w:r>
      <w:r w:rsidR="00A55795" w:rsidRPr="008B3AD6">
        <w:fldChar w:fldCharType="separate"/>
      </w:r>
      <w:r w:rsidR="007A6EED" w:rsidRPr="007A6EED">
        <w:rPr>
          <w:lang w:val="en-US"/>
        </w:rPr>
        <w:t>(Janout et al. 2015)</w:t>
      </w:r>
      <w:r w:rsidR="00A55795" w:rsidRPr="008B3AD6">
        <w:fldChar w:fldCharType="end"/>
      </w:r>
      <w:r w:rsidR="001C5303" w:rsidRPr="008B3AD6">
        <w:t>, which induces a state change to multimeric</w:t>
      </w:r>
      <w:r w:rsidR="00BE7C57" w:rsidRPr="008B3AD6">
        <w:t xml:space="preserve">. </w:t>
      </w:r>
      <w:r w:rsidR="00A32111">
        <w:t>AmB</w:t>
      </w:r>
      <w:r w:rsidR="00403ABE" w:rsidRPr="008B3AD6">
        <w:t xml:space="preserve"> monomers within the liver may bind cellular members (</w:t>
      </w:r>
      <w:r w:rsidR="00403ABE" w:rsidRPr="008B3AD6">
        <w:rPr>
          <w:b/>
        </w:rPr>
        <w:t>AMB8</w:t>
      </w:r>
      <w:r w:rsidR="00403ABE" w:rsidRPr="008B3AD6">
        <w:t xml:space="preserve">) </w:t>
      </w:r>
      <w:r w:rsidR="00A55795" w:rsidRPr="008B3AD6">
        <w:fldChar w:fldCharType="begin"/>
      </w:r>
      <w:r w:rsidR="007A6EED">
        <w:instrText xml:space="preserve"> ADDIN ZOTERO_ITEM CSL_CITATION {"citationID":"G0BN2YsS","properties":{"formattedCitation":"(Janout et al. 2015; Baginski, Czub, and Sternal 2006; Czub and Baginski 2006)","plainCitation":"(Janout et al. 2015; Baginski, Czub, and Sternal 2006; Czub and Baginski 2006)","noteIndex":0},"citationItems":[{"id":2840,"uris":["http://zotero.org/users/2628971/items/CH9TTRI2"],"uri":["http://zotero.org/users/2628971/items/CH9TTRI2"],"itemData":{"id":2840,"type":"article-journal","title":"Taming Amphotericin B","container-title":"Bioconjugate Chemistry","page":"2021-2024","volume":"26","issue":"10","source":"PubMed","abstract":"A strategy is introduced for enhancing the cellular selectivity of Amphotericin B (AmB) and other classes of membrane-disrupting agents. This strategy involves attaching the agent to a molecular umbrella to minimize the disruptive power of aggregated forms. Based on this approach, AmB has been coupled to a molecular umbrella derived from one spermidine and two cholic acid molecules and found to have antifungal activities approaching that of the native drug. However, in sharp contrast to AmB, the hemolytic activity and the cytotoxcity of this conjugate toward HEK293 T cells have been dramatically reduced.","DOI":"10.1021/acs.bioconjchem.5b00463","ISSN":"1520-4812","note":"PMID: 26340430","journalAbbreviation":"Bioconjug. Chem.","language":"eng","author":[{"family":"Janout","given":"Vaclav"},{"family":"Schell","given":"Wiley A."},{"family":"Thévenin","given":"Damien"},{"family":"Yu","given":"Yuming"},{"family":"Perfect","given":"John R."},{"family":"Regen","given":"Steven L."}],"issued":{"date-parts":[["2015",10,21]]}}},{"id":2527,"uris":["http://zotero.org/users/2628971/items/BFTNB3FG"],"uri":["http://zotero.org/users/2628971/items/BFTNB3FG"],"itemData":{"id":2527,"type":"article-journal","title":"Interaction of amphotericin B and its selected derivatives with membranes: molecular modeling studies","container-title":"Chemical Record (New York, N.Y.)","page":"320-332","volume":"6","issue":"6","source":"PubMed","abstract":"Amphotericin B (AmB) is a well-known antifungal antibiotic that has been used in the clinic for about five decades. Despite its chemotherapeutic importance, AmB is quite toxic and many efforts have been made to improve its pharmacological properties, e.g., by chemical modifications. The lipid membrane is a molecular target for AmB, however, due to heterogeneity of its components, the molecular mechanism of AmB action is still unclear. The lack of this knowledge hinders rational designing of new and less toxic AmB derivatives. Our review is a critical presentation of the current understanding of AmB molecular mechanism of action at the membrane level. Except the experimental approach, the extensive overview of molecular modeling studies, performed mostly in our lab, is presented. The results of interactions between AmB or some of its derivatives and lipid model membranes are discussed. In our studies, different biomembrane models and different associate states of the antibiotic were included. Presented molecular modeling approach is especially valuable with regard to a new paradigm of the structure of lipid membrane containing liquid-ordered domains. Hopefully, all these complementary experimental/computational approaches are going to reach the point at which a new hypothesis about molecular mechanism of AmB activity and selectivity will be put forward.","DOI":"10.1002/tcr.20096","ISSN":"1527-8999","note":"PMID: 17304519","shortTitle":"Interaction of amphotericin B and its selected derivatives with membranes","journalAbbreviation":"Chem Rec","language":"eng","author":[{"family":"Baginski","given":"Maciej"},{"family":"Czub","given":"Jacek"},{"family":"Sternal","given":"Kamil"}],"issued":{"date-parts":[["2006"]]}}},{"id":3542,"uris":["http://zotero.org/users/2628971/items/4VTMV97Y"],"uri":["http://zotero.org/users/2628971/items/4VTMV97Y"],"itemData":{"id":3542,"type":"article-journal","title":"Modulation of Amphotericin B Membrane Interaction by Cholesterol and ErgosterolA Molecular Dynamics Study","container-title":"The Journal of Physical Chemistry B","page":"16743-16753","volume":"110","issue":"33","source":"ACS Publications","abstract":"Amphotericin B (AmB) is a well-known polyene macrolide antibiotic used to treat systemic fungal infections. According to a well-documented hypothesis, molecules of AmB form ionic membrane channels that are responsible for chemotherapeutic action. These channels disturb the barrier function of the cell membrane which, in consequence, leads to cell death. The presence of sterols in the cell membrane is necessary for full manifestation of the antibiotic's ionophoric activity, at least in vivo. Ergosterol-containing fungal membranes are targeted more efficiently by AmB than mammalian membranes containing cholesterol. However, a similar level of disturbance of fungal and mammalian membranes is responsible for serious toxicity of the antibiotic. Due to the importance of AmB and lack of better antifungal alternatives, the search for new less toxic derivatives of this antibiotic still continues. Therefore, studies of the AmB−membrane interaction are very important. The present work constitutes a continuation of a broad program of study on AmB mode of action in our group. In particular, molecular dynamics simulations of AmB monomers inside the bilayers of three different compositions (pure dimiristoylphosphatidylcholine (DMPC) and DMPC bilayer containing </w:instrText>
      </w:r>
      <w:r w:rsidR="007A6EED">
        <w:rPr>
          <w:rFonts w:ascii="Cambria Math" w:hAnsi="Cambria Math" w:cs="Cambria Math"/>
        </w:rPr>
        <w:instrText>∼</w:instrText>
      </w:r>
      <w:r w:rsidR="007A6EED">
        <w:instrText xml:space="preserve">25 mol % of cholesterol or ergosterol) were carried out. In general, analysis of generated trajectories resulted in identifying many significant differences in the behavior of AmB monomers depending on the membrane environment. In particular, it was established that the antibiotic increases the internal order of DMPC bilayer containing 25 mol % of cholesterol, while it has no effect on the order of the bilayer with the same amount of ergosterol. Performed calculations also revealed that relatively rigid and elongated AmB molecules exhibit higher affinity toward the sterol-containing lo phases and, therefore, may be cumulated in ordered membrane domains (e.g., lipid rafts). Since the partition coefficient between the ld and lo phase appears to be greater in the case of the ergosterol- compared to cholesterol-containing membrane, this effect can be also discussed as the possible origin of AmB-selective toxicity and indirect sterol involvement in expression of AmB activity.","DOI":"10.1021/jp061916g","ISSN":"1520-6106","journalAbbreviation":"J. Phys. Chem. B","author":[{"family":"Czub","given":"Jacek"},{"family":"Baginski","given":"Maciej"}],"issued":{"date-parts":[["2006",8,1]]}}}],"schema":"https://github.com/citation-style-language/schema/raw/master/csl-citation.json"} </w:instrText>
      </w:r>
      <w:r w:rsidR="00A55795" w:rsidRPr="008B3AD6">
        <w:fldChar w:fldCharType="separate"/>
      </w:r>
      <w:r w:rsidR="007A6EED" w:rsidRPr="007A6EED">
        <w:rPr>
          <w:lang w:val="en-US"/>
        </w:rPr>
        <w:t>(Janout et al. 2015; Baginski, Czub, and Sternal 2006; Czub and Baginski 2006)</w:t>
      </w:r>
      <w:r w:rsidR="00A55795" w:rsidRPr="008B3AD6">
        <w:fldChar w:fldCharType="end"/>
      </w:r>
      <w:r w:rsidR="00EB2C91" w:rsidRPr="008B3AD6">
        <w:t xml:space="preserve"> </w:t>
      </w:r>
      <w:r w:rsidR="00403ABE" w:rsidRPr="008B3AD6">
        <w:t xml:space="preserve">alongside intracellular </w:t>
      </w:r>
      <w:r w:rsidR="00A32111">
        <w:t>AmB</w:t>
      </w:r>
      <w:r w:rsidR="00403ABE" w:rsidRPr="008B3AD6">
        <w:t xml:space="preserve"> released by disruption of intracellular liposomes. If this </w:t>
      </w:r>
      <w:r w:rsidR="00A32111">
        <w:t>AmB</w:t>
      </w:r>
      <w:r w:rsidR="00403ABE" w:rsidRPr="008B3AD6">
        <w:t xml:space="preserve"> has bound an infected myeloid (</w:t>
      </w:r>
      <w:r w:rsidR="00403ABE" w:rsidRPr="008B3AD6">
        <w:rPr>
          <w:b/>
        </w:rPr>
        <w:t>LD8</w:t>
      </w:r>
      <w:r w:rsidR="00403ABE" w:rsidRPr="008B3AD6">
        <w:t xml:space="preserve">) or </w:t>
      </w:r>
      <w:r w:rsidR="00415379">
        <w:t xml:space="preserve">KC </w:t>
      </w:r>
      <w:r w:rsidR="00403ABE" w:rsidRPr="008B3AD6">
        <w:t>(</w:t>
      </w:r>
      <w:r w:rsidR="00403ABE" w:rsidRPr="008B3AD6">
        <w:rPr>
          <w:b/>
        </w:rPr>
        <w:t>LD4</w:t>
      </w:r>
      <w:r w:rsidR="00403ABE" w:rsidRPr="008B3AD6">
        <w:t xml:space="preserve">) the </w:t>
      </w:r>
      <w:r w:rsidR="00A32111">
        <w:t>AmB</w:t>
      </w:r>
      <w:r w:rsidR="00403ABE" w:rsidRPr="008B3AD6">
        <w:t xml:space="preserve"> will preferentially bind the membrane of </w:t>
      </w:r>
      <w:r w:rsidR="00403ABE" w:rsidRPr="008B3AD6">
        <w:rPr>
          <w:i/>
        </w:rPr>
        <w:t xml:space="preserve">L. donovani </w:t>
      </w:r>
      <w:r w:rsidR="00403ABE" w:rsidRPr="008B3AD6">
        <w:t>(</w:t>
      </w:r>
      <w:r w:rsidR="00403ABE" w:rsidRPr="008B3AD6">
        <w:rPr>
          <w:b/>
        </w:rPr>
        <w:t>AMB8</w:t>
      </w:r>
      <w:r w:rsidR="00403ABE" w:rsidRPr="008B3AD6">
        <w:t>)</w:t>
      </w:r>
      <w:r w:rsidR="004E4F20" w:rsidRPr="008B3AD6">
        <w:t xml:space="preserve"> </w:t>
      </w:r>
      <w:r w:rsidR="004E4F20" w:rsidRPr="008B3AD6">
        <w:fldChar w:fldCharType="begin"/>
      </w:r>
      <w:r w:rsidR="007A6EED">
        <w:instrText xml:space="preserve"> ADDIN ZOTERO_ITEM CSL_CITATION {"citationID":"aLdrk4GZ","properties":{"formattedCitation":"(Saha, Mukherjee, and Bhaduri 1986b; Paila, Saha, and Chattopadhyay 2010)","plainCitation":"(Saha, Mukherjee, and Bhaduri 1986b; Paila, Saha, and Chattopadhyay 2010)","noteIndex":0},"citationItems":[{"id":2842,"uris":["http://zotero.org/users/2628971/items/GDUNUZGK"],"uri":["http://zotero.org/users/2628971/items/GDUNUZGK"],"itemData":{"id":2842,"type":"article-journal","title":"Mechanism of action of amphotericin B on Leishmania donovani promastigotes","container-title":"Molecular and Biochemical Parasitology","page":"195-200","volume":"19","issue":"3","source":"PubMed","abstract":"The growth of Leishmania donovani promastigotes in a liquid medium was completely inhibited by amphotericin B at a concentration of 0.3 microgram ml-1 (0.3 microM). Continuous release of small molecules that absorb at 260 nm and 280 nm was observed after contact with the drug. Uptake of [U-14C]glucose was inhibited in cells treated with the drug. An immediate release of isotopic glucose and its metabolites from preloaded cells could be demonstrated after incubation with amphotericin B (0.4 microM). Inhibition of respiration by the drug was a comparatively slower process. All the above effects could be effectively prevented in the presence of either cholesterol or ergosterol. The primary site of action of amphotericin B on L. donovani promastigote cells appears to be membrane sterols that result in a loss of the permeability barrier to small metabolites. An interesting biochemical similarity, thus, emerges between flagellated protozoa and fungi.","ISSN":"0166-6851","note":"PMID: 3736592","journalAbbreviation":"Mol. Biochem. Parasitol.","language":"eng","author":[{"family":"Saha","given":"A. K."},{"family":"Mukherjee","given":"T."},{"family":"Bhaduri","given":"A."}],"issued":{"date-parts":[["1986",6]]}}},{"id":3089,"uris":["http://zotero.org/users/2628971/items/TAXW9HYM"],"uri":["http://zotero.org/users/2628971/items/TAXW9HYM"],"itemData":{"id":3089,"type":"article-journal","title":"Amphotericin B inhibits entry of Leishmania donovani into primary macrophages","container-title":"Biochemical and Biophysical Research Communications","page":"429-433","volume":"399","issue":"3","source":"PubMed","abstract":"Visceral leishmaniasis is a vector-borne disease caused by an obligate intra-macrophage protozoan parasite Leishmania donovani. The molecular mechanisms involved in internalization of Leishmania are still poorly understood. Amphotericin B and its formulations are considered as the best existing drugs against visceral leishmaniasis and are being increasingly used. The reason for its antileishmanial activity is believed to be its ability to bind ergosterol found in parasite membranes. In case of in vivo amphotericin B treatment, both host macrophages and parasites are exposed to amphotericin B. The effect of amphotericin B treatment could therefore be due to a combination of its interaction with both sterols i.e., ergosterol of Leishmania and cholesterol of host macrophages. We report here that cholesterol complexation by amphotericin B markedly inhibits binding of L. donovani promastigotes to macrophages. These results represent one of the first reports on the effect of amphotericin B on the binding of Leishmania parasites to host macrophages. Importantly, these results offer the possibility of reevaluating the mechanism behind the effectiveness of current therapeutic strategies that employ sterol-complexing agents such as amphotericin B to treat leishmaniasis.","DOI":"10.1016/j.bbrc.2010.07.099","ISSN":"1090-2104","note":"PMID: 20678487","journalAbbreviation":"Biochem. Biophys. Res. Commun.","language":"eng","author":[{"family":"Paila","given":"Yamuna Devi"},{"family":"Saha","given":"Bhaskar"},{"family":"Chattopadhyay","given":"Amitabha"}],"issued":{"date-parts":[["2010",8,27]]}}}],"schema":"https://github.com/citation-style-language/schema/raw/master/csl-citation.json"} </w:instrText>
      </w:r>
      <w:r w:rsidR="004E4F20" w:rsidRPr="008B3AD6">
        <w:fldChar w:fldCharType="separate"/>
      </w:r>
      <w:r w:rsidR="007A6EED" w:rsidRPr="007A6EED">
        <w:rPr>
          <w:lang w:val="en-US"/>
        </w:rPr>
        <w:t>(Saha, Mukherjee, and Bhaduri 1986; Paila, Saha, and Chattopadhyay 2010)</w:t>
      </w:r>
      <w:r w:rsidR="004E4F20" w:rsidRPr="008B3AD6">
        <w:fldChar w:fldCharType="end"/>
      </w:r>
      <w:r w:rsidR="00403ABE" w:rsidRPr="008B3AD6">
        <w:t xml:space="preserve"> causing the death of parasite. Processing of </w:t>
      </w:r>
      <w:r w:rsidR="00415379">
        <w:t xml:space="preserve">these dead parasite’s </w:t>
      </w:r>
      <w:r w:rsidR="00403ABE" w:rsidRPr="008B3AD6">
        <w:t xml:space="preserve">releases </w:t>
      </w:r>
      <w:r w:rsidR="00A32111">
        <w:t>AmB</w:t>
      </w:r>
      <w:r w:rsidR="00403ABE" w:rsidRPr="008B3AD6">
        <w:t xml:space="preserve"> back to the cellular membrane.</w:t>
      </w:r>
    </w:p>
    <w:p w14:paraId="7B92A0E2" w14:textId="53FDA7EA" w:rsidR="0069653A" w:rsidRPr="008B3AD6" w:rsidRDefault="00696081" w:rsidP="00403ABE">
      <w:pPr>
        <w:spacing w:line="360" w:lineRule="auto"/>
        <w:jc w:val="both"/>
      </w:pPr>
      <w:r>
        <w:rPr>
          <w:noProof/>
        </w:rPr>
        <w:lastRenderedPageBreak/>
        <mc:AlternateContent>
          <mc:Choice Requires="wps">
            <w:drawing>
              <wp:anchor distT="0" distB="0" distL="114300" distR="114300" simplePos="0" relativeHeight="251893760" behindDoc="0" locked="0" layoutInCell="1" allowOverlap="1" wp14:anchorId="411B6B95" wp14:editId="1A8B2BA4">
                <wp:simplePos x="0" y="0"/>
                <wp:positionH relativeFrom="column">
                  <wp:posOffset>-5080</wp:posOffset>
                </wp:positionH>
                <wp:positionV relativeFrom="paragraph">
                  <wp:posOffset>2676998</wp:posOffset>
                </wp:positionV>
                <wp:extent cx="5575935" cy="432435"/>
                <wp:effectExtent l="0" t="0" r="0" b="0"/>
                <wp:wrapTopAndBottom/>
                <wp:docPr id="618" name="Text Box 618"/>
                <wp:cNvGraphicFramePr/>
                <a:graphic xmlns:a="http://schemas.openxmlformats.org/drawingml/2006/main">
                  <a:graphicData uri="http://schemas.microsoft.com/office/word/2010/wordprocessingShape">
                    <wps:wsp>
                      <wps:cNvSpPr txBox="1"/>
                      <wps:spPr>
                        <a:xfrm>
                          <a:off x="0" y="0"/>
                          <a:ext cx="5575935" cy="432435"/>
                        </a:xfrm>
                        <a:prstGeom prst="rect">
                          <a:avLst/>
                        </a:prstGeom>
                        <a:solidFill>
                          <a:prstClr val="white"/>
                        </a:solidFill>
                        <a:ln>
                          <a:noFill/>
                        </a:ln>
                      </wps:spPr>
                      <wps:txbx>
                        <w:txbxContent>
                          <w:p w14:paraId="06AE2653" w14:textId="4006BDB2" w:rsidR="00F61130" w:rsidRPr="0069653A" w:rsidRDefault="00F61130" w:rsidP="0069653A">
                            <w:pPr>
                              <w:pStyle w:val="Caption"/>
                              <w:spacing w:line="360" w:lineRule="auto"/>
                              <w:rPr>
                                <w:sz w:val="20"/>
                                <w:szCs w:val="20"/>
                              </w:rPr>
                            </w:pPr>
                            <w:bookmarkStart w:id="632" w:name="_Ref522801233"/>
                            <w:bookmarkStart w:id="633" w:name="_Toc525227247"/>
                            <w:bookmarkStart w:id="634" w:name="_Toc536814186"/>
                            <w:r w:rsidRPr="0069653A">
                              <w:rPr>
                                <w:b/>
                                <w:sz w:val="20"/>
                                <w:szCs w:val="20"/>
                              </w:rPr>
                              <w:t xml:space="preserve">Figure </w:t>
                            </w:r>
                            <w:r>
                              <w:rPr>
                                <w:b/>
                                <w:sz w:val="20"/>
                                <w:szCs w:val="20"/>
                              </w:rPr>
                              <w:fldChar w:fldCharType="begin"/>
                            </w:r>
                            <w:r>
                              <w:rPr>
                                <w:b/>
                                <w:sz w:val="20"/>
                                <w:szCs w:val="20"/>
                              </w:rPr>
                              <w:instrText xml:space="preserve"> STYLEREF 1 \s </w:instrText>
                            </w:r>
                            <w:r>
                              <w:rPr>
                                <w:b/>
                                <w:sz w:val="20"/>
                                <w:szCs w:val="20"/>
                              </w:rPr>
                              <w:fldChar w:fldCharType="separate"/>
                            </w:r>
                            <w:r>
                              <w:rPr>
                                <w:b/>
                                <w:noProof/>
                                <w:sz w:val="20"/>
                                <w:szCs w:val="20"/>
                              </w:rPr>
                              <w:t>5</w:t>
                            </w:r>
                            <w:r>
                              <w:rPr>
                                <w:b/>
                                <w:sz w:val="20"/>
                                <w:szCs w:val="20"/>
                              </w:rPr>
                              <w:fldChar w:fldCharType="end"/>
                            </w:r>
                            <w:r>
                              <w:rPr>
                                <w:b/>
                                <w:sz w:val="20"/>
                                <w:szCs w:val="20"/>
                              </w:rPr>
                              <w:t>.</w:t>
                            </w:r>
                            <w:r>
                              <w:rPr>
                                <w:b/>
                                <w:sz w:val="20"/>
                                <w:szCs w:val="20"/>
                              </w:rPr>
                              <w:fldChar w:fldCharType="begin"/>
                            </w:r>
                            <w:r>
                              <w:rPr>
                                <w:b/>
                                <w:sz w:val="20"/>
                                <w:szCs w:val="20"/>
                              </w:rPr>
                              <w:instrText xml:space="preserve"> SEQ Figure \* ARABIC \s 1 </w:instrText>
                            </w:r>
                            <w:r>
                              <w:rPr>
                                <w:b/>
                                <w:sz w:val="20"/>
                                <w:szCs w:val="20"/>
                              </w:rPr>
                              <w:fldChar w:fldCharType="separate"/>
                            </w:r>
                            <w:r>
                              <w:rPr>
                                <w:b/>
                                <w:noProof/>
                                <w:sz w:val="20"/>
                                <w:szCs w:val="20"/>
                              </w:rPr>
                              <w:t>12</w:t>
                            </w:r>
                            <w:r>
                              <w:rPr>
                                <w:b/>
                                <w:sz w:val="20"/>
                                <w:szCs w:val="20"/>
                              </w:rPr>
                              <w:fldChar w:fldCharType="end"/>
                            </w:r>
                            <w:bookmarkEnd w:id="632"/>
                            <w:r w:rsidRPr="0069653A">
                              <w:rPr>
                                <w:b/>
                                <w:sz w:val="20"/>
                                <w:szCs w:val="20"/>
                              </w:rPr>
                              <w:t xml:space="preserve"> </w:t>
                            </w:r>
                            <w:r>
                              <w:rPr>
                                <w:b/>
                                <w:sz w:val="20"/>
                                <w:szCs w:val="20"/>
                              </w:rPr>
                              <w:t>–</w:t>
                            </w:r>
                            <w:r w:rsidRPr="0069653A">
                              <w:rPr>
                                <w:b/>
                                <w:sz w:val="20"/>
                                <w:szCs w:val="20"/>
                              </w:rPr>
                              <w:t xml:space="preserve"> </w:t>
                            </w:r>
                            <w:r>
                              <w:rPr>
                                <w:b/>
                                <w:sz w:val="20"/>
                                <w:szCs w:val="20"/>
                              </w:rPr>
                              <w:t>Domain state diagram of Amphotericin B</w:t>
                            </w:r>
                            <w:r w:rsidRPr="0069653A">
                              <w:rPr>
                                <w:b/>
                                <w:sz w:val="20"/>
                                <w:szCs w:val="20"/>
                              </w:rPr>
                              <w:t>.</w:t>
                            </w:r>
                            <w:r>
                              <w:rPr>
                                <w:b/>
                                <w:sz w:val="20"/>
                                <w:szCs w:val="20"/>
                              </w:rPr>
                              <w:t xml:space="preserve"> </w:t>
                            </w:r>
                            <w:r>
                              <w:rPr>
                                <w:sz w:val="20"/>
                                <w:szCs w:val="20"/>
                              </w:rPr>
                              <w:t>UML-like diagram reflecting the state changes Amphotericin B undergoes when entered into a system. Bold text reflects processes leading to state changes.</w:t>
                            </w:r>
                            <w:bookmarkEnd w:id="633"/>
                            <w:bookmarkEnd w:id="634"/>
                            <w:r>
                              <w:rPr>
                                <w:sz w:val="20"/>
                                <w:szCs w:val="20"/>
                              </w:rP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411B6B95" id="Text Box 618" o:spid="_x0000_s1183" type="#_x0000_t202" style="position:absolute;left:0;text-align:left;margin-left:-.4pt;margin-top:210.8pt;width:439.05pt;height:34.05pt;z-index:2518937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4jMNJNAIAAG0EAAAOAAAAZHJzL2Uyb0RvYy54bWysVFFv2yAQfp+0/4B4X5ykTbtZcaosVaZJ&#13;&#10;VVspmfpMMMRIwDEgsbNfvwPH6dbtadoLPu6Og+/77jy/64wmR+GDAlvRyWhMibAcamX3Ff22XX/4&#13;&#10;SEmIzNZMgxUVPYlA7xbv381bV4opNKBr4QkWsaFsXUWbGF1ZFIE3wrAwAicsBiV4wyJu/b6oPWux&#13;&#10;utHFdDy+KVrwtfPARQjove+DdJHrSyl4fJIyiEh0RfFtMa8+r7u0Fos5K/eeuUbx8zPYP7zCMGXx&#13;&#10;0kupexYZOXj1RymjuIcAMo44mAKkVFxkDIhmMn6DZtMwJzIWJCe4C03h/5Xlj8dnT1Rd0ZsJSmWZ&#13;&#10;QZG2oovkM3Qk+ZCh1oUSEzcOU2OHAVR68Ad0JuCd9CZ9ERLBOHJ9uvCbynF0zma3s09XM0o4xq6v&#13;&#10;ptdoY/ni9bTzIX4RYEgyKupRv0wrOz6E2KcOKemyAFrVa6V12qTASntyZKh126gozsV/y9I25VpI&#13;&#10;p/qCyVMkiD2UZMVu12VSJrPbAegO6hPi99D3UHB8rfDGBxbiM/PYNAgZByE+4SI1tBWFs0VJA/7H&#13;&#10;3/wpH7XEKCUtNmFFw/cD84IS/dWiyqljB8MPxm4w7MGsALFOcMQczyYe8FEPpvRgXnA+lukWDDHL&#13;&#10;8a6KxsFcxX4UcL64WC5zEvalY/HBbhxPpQdmt90L8+6sS0RFH2FoT1a+kafP7XleHiJIlbVLzPYs&#13;&#10;ngnHns7qn+cvDc2v+5z1+pdY/AQAAP//AwBQSwMEFAAGAAgAAAAhAC9480rjAAAADgEAAA8AAABk&#13;&#10;cnMvZG93bnJldi54bWxMj8FOwzAQRO9I/IO1SFwQdRpQEtI4FTRwK4eWqmc3XpKIeB3ZTpP+Pe4J&#13;&#10;Livtjmb2TbGedc/OaF1nSMByEQFDqo3qqBFw+Pp4zIA5L0nJ3hAKuKCDdXl7U8hcmYl2eN77hoUQ&#13;&#10;crkU0Ho/5Jy7ukUt3cIMSEH7NlZLH1bbcGXlFMJ1z+MoSriWHYUPrRxw02L9sx+1gKSy47SjzUN1&#13;&#10;eN/Kz6GJj2+XoxD3d3O1CuN1Bczj7P8ccO0Q+KEMYCczknKsF3Cl9wKe42UCLOhZmj4BO4VL9pIC&#13;&#10;Lwv+v0b5CwAA//8DAFBLAQItABQABgAIAAAAIQC2gziS/gAAAOEBAAATAAAAAAAAAAAAAAAAAAAA&#13;&#10;AABbQ29udGVudF9UeXBlc10ueG1sUEsBAi0AFAAGAAgAAAAhADj9If/WAAAAlAEAAAsAAAAAAAAA&#13;&#10;AAAAAAAALwEAAF9yZWxzLy5yZWxzUEsBAi0AFAAGAAgAAAAhALiMw0k0AgAAbQQAAA4AAAAAAAAA&#13;&#10;AAAAAAAALgIAAGRycy9lMm9Eb2MueG1sUEsBAi0AFAAGAAgAAAAhAC9480rjAAAADgEAAA8AAAAA&#13;&#10;AAAAAAAAAAAAjgQAAGRycy9kb3ducmV2LnhtbFBLBQYAAAAABAAEAPMAAACeBQAAAAA=&#13;&#10;" stroked="f">
                <v:textbox inset="0,0,0,0">
                  <w:txbxContent>
                    <w:p w14:paraId="06AE2653" w14:textId="4006BDB2" w:rsidR="00F61130" w:rsidRPr="0069653A" w:rsidRDefault="00F61130" w:rsidP="0069653A">
                      <w:pPr>
                        <w:pStyle w:val="Caption"/>
                        <w:spacing w:line="360" w:lineRule="auto"/>
                        <w:rPr>
                          <w:sz w:val="20"/>
                          <w:szCs w:val="20"/>
                        </w:rPr>
                      </w:pPr>
                      <w:bookmarkStart w:id="635" w:name="_Ref522801233"/>
                      <w:bookmarkStart w:id="636" w:name="_Toc525227247"/>
                      <w:bookmarkStart w:id="637" w:name="_Toc536814186"/>
                      <w:r w:rsidRPr="0069653A">
                        <w:rPr>
                          <w:b/>
                          <w:sz w:val="20"/>
                          <w:szCs w:val="20"/>
                        </w:rPr>
                        <w:t xml:space="preserve">Figure </w:t>
                      </w:r>
                      <w:r>
                        <w:rPr>
                          <w:b/>
                          <w:sz w:val="20"/>
                          <w:szCs w:val="20"/>
                        </w:rPr>
                        <w:fldChar w:fldCharType="begin"/>
                      </w:r>
                      <w:r>
                        <w:rPr>
                          <w:b/>
                          <w:sz w:val="20"/>
                          <w:szCs w:val="20"/>
                        </w:rPr>
                        <w:instrText xml:space="preserve"> STYLEREF 1 \s </w:instrText>
                      </w:r>
                      <w:r>
                        <w:rPr>
                          <w:b/>
                          <w:sz w:val="20"/>
                          <w:szCs w:val="20"/>
                        </w:rPr>
                        <w:fldChar w:fldCharType="separate"/>
                      </w:r>
                      <w:r>
                        <w:rPr>
                          <w:b/>
                          <w:noProof/>
                          <w:sz w:val="20"/>
                          <w:szCs w:val="20"/>
                        </w:rPr>
                        <w:t>5</w:t>
                      </w:r>
                      <w:r>
                        <w:rPr>
                          <w:b/>
                          <w:sz w:val="20"/>
                          <w:szCs w:val="20"/>
                        </w:rPr>
                        <w:fldChar w:fldCharType="end"/>
                      </w:r>
                      <w:r>
                        <w:rPr>
                          <w:b/>
                          <w:sz w:val="20"/>
                          <w:szCs w:val="20"/>
                        </w:rPr>
                        <w:t>.</w:t>
                      </w:r>
                      <w:r>
                        <w:rPr>
                          <w:b/>
                          <w:sz w:val="20"/>
                          <w:szCs w:val="20"/>
                        </w:rPr>
                        <w:fldChar w:fldCharType="begin"/>
                      </w:r>
                      <w:r>
                        <w:rPr>
                          <w:b/>
                          <w:sz w:val="20"/>
                          <w:szCs w:val="20"/>
                        </w:rPr>
                        <w:instrText xml:space="preserve"> SEQ Figure \* ARABIC \s 1 </w:instrText>
                      </w:r>
                      <w:r>
                        <w:rPr>
                          <w:b/>
                          <w:sz w:val="20"/>
                          <w:szCs w:val="20"/>
                        </w:rPr>
                        <w:fldChar w:fldCharType="separate"/>
                      </w:r>
                      <w:r>
                        <w:rPr>
                          <w:b/>
                          <w:noProof/>
                          <w:sz w:val="20"/>
                          <w:szCs w:val="20"/>
                        </w:rPr>
                        <w:t>12</w:t>
                      </w:r>
                      <w:r>
                        <w:rPr>
                          <w:b/>
                          <w:sz w:val="20"/>
                          <w:szCs w:val="20"/>
                        </w:rPr>
                        <w:fldChar w:fldCharType="end"/>
                      </w:r>
                      <w:bookmarkEnd w:id="635"/>
                      <w:r w:rsidRPr="0069653A">
                        <w:rPr>
                          <w:b/>
                          <w:sz w:val="20"/>
                          <w:szCs w:val="20"/>
                        </w:rPr>
                        <w:t xml:space="preserve"> </w:t>
                      </w:r>
                      <w:r>
                        <w:rPr>
                          <w:b/>
                          <w:sz w:val="20"/>
                          <w:szCs w:val="20"/>
                        </w:rPr>
                        <w:t>–</w:t>
                      </w:r>
                      <w:r w:rsidRPr="0069653A">
                        <w:rPr>
                          <w:b/>
                          <w:sz w:val="20"/>
                          <w:szCs w:val="20"/>
                        </w:rPr>
                        <w:t xml:space="preserve"> </w:t>
                      </w:r>
                      <w:r>
                        <w:rPr>
                          <w:b/>
                          <w:sz w:val="20"/>
                          <w:szCs w:val="20"/>
                        </w:rPr>
                        <w:t>Domain state diagram of Amphotericin B</w:t>
                      </w:r>
                      <w:r w:rsidRPr="0069653A">
                        <w:rPr>
                          <w:b/>
                          <w:sz w:val="20"/>
                          <w:szCs w:val="20"/>
                        </w:rPr>
                        <w:t>.</w:t>
                      </w:r>
                      <w:r>
                        <w:rPr>
                          <w:b/>
                          <w:sz w:val="20"/>
                          <w:szCs w:val="20"/>
                        </w:rPr>
                        <w:t xml:space="preserve"> </w:t>
                      </w:r>
                      <w:r>
                        <w:rPr>
                          <w:sz w:val="20"/>
                          <w:szCs w:val="20"/>
                        </w:rPr>
                        <w:t>UML-like diagram reflecting the state changes Amphotericin B undergoes when entered into a system. Bold text reflects processes leading to state changes.</w:t>
                      </w:r>
                      <w:bookmarkEnd w:id="636"/>
                      <w:bookmarkEnd w:id="637"/>
                      <w:r>
                        <w:rPr>
                          <w:sz w:val="20"/>
                          <w:szCs w:val="20"/>
                        </w:rPr>
                        <w:t xml:space="preserve"> </w:t>
                      </w:r>
                    </w:p>
                  </w:txbxContent>
                </v:textbox>
                <w10:wrap type="topAndBottom"/>
              </v:shape>
            </w:pict>
          </mc:Fallback>
        </mc:AlternateContent>
      </w:r>
      <w:r>
        <w:rPr>
          <w:noProof/>
        </w:rPr>
        <w:drawing>
          <wp:anchor distT="0" distB="0" distL="114300" distR="114300" simplePos="0" relativeHeight="251892736" behindDoc="0" locked="0" layoutInCell="1" allowOverlap="1" wp14:anchorId="7B6442B0" wp14:editId="6815F9AF">
            <wp:simplePos x="0" y="0"/>
            <wp:positionH relativeFrom="column">
              <wp:posOffset>175718</wp:posOffset>
            </wp:positionH>
            <wp:positionV relativeFrom="paragraph">
              <wp:posOffset>503</wp:posOffset>
            </wp:positionV>
            <wp:extent cx="4986655" cy="2724785"/>
            <wp:effectExtent l="0" t="0" r="4445" b="5715"/>
            <wp:wrapTopAndBottom/>
            <wp:docPr id="617" name="Picture 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7" name="Picture 617"/>
                    <pic:cNvPicPr>
                      <a:picLocks noChangeAspect="1"/>
                    </pic:cNvPicPr>
                  </pic:nvPicPr>
                  <pic:blipFill rotWithShape="1">
                    <a:blip r:embed="rId93">
                      <a:extLst>
                        <a:ext uri="{28A0092B-C50C-407E-A947-70E740481C1C}">
                          <a14:useLocalDpi xmlns:a14="http://schemas.microsoft.com/office/drawing/2010/main" val="0"/>
                        </a:ext>
                      </a:extLst>
                    </a:blip>
                    <a:srcRect t="2913"/>
                    <a:stretch/>
                  </pic:blipFill>
                  <pic:spPr bwMode="auto">
                    <a:xfrm>
                      <a:off x="0" y="0"/>
                      <a:ext cx="4986655" cy="272478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73515E6" w14:textId="7B16BAE9" w:rsidR="00415379" w:rsidRDefault="00DD1E3F" w:rsidP="00415379">
      <w:pPr>
        <w:spacing w:line="360" w:lineRule="auto"/>
        <w:jc w:val="both"/>
      </w:pPr>
      <w:r w:rsidRPr="008B3AD6">
        <w:t xml:space="preserve">The </w:t>
      </w:r>
      <w:r w:rsidR="00280C30" w:rsidRPr="008B3AD6">
        <w:t xml:space="preserve">introduction of </w:t>
      </w:r>
      <w:r w:rsidR="00A32111">
        <w:t>AmB</w:t>
      </w:r>
      <w:r w:rsidR="00280C30" w:rsidRPr="008B3AD6">
        <w:t xml:space="preserve"> alters the possible behaviours of </w:t>
      </w:r>
      <w:r w:rsidR="00280C30" w:rsidRPr="008B3AD6">
        <w:rPr>
          <w:i/>
        </w:rPr>
        <w:t>L. donovani</w:t>
      </w:r>
      <w:r w:rsidR="00280C30" w:rsidRPr="008B3AD6">
        <w:t xml:space="preserve"> by mediating its removal from the system. To this end the </w:t>
      </w:r>
      <w:r w:rsidR="00CB2BF7" w:rsidRPr="008B3AD6">
        <w:t xml:space="preserve">original domain activities of </w:t>
      </w:r>
      <w:r w:rsidR="00CB2BF7" w:rsidRPr="008B3AD6">
        <w:rPr>
          <w:i/>
        </w:rPr>
        <w:t>L. donovani</w:t>
      </w:r>
      <w:r w:rsidR="00CB2BF7" w:rsidRPr="008B3AD6">
        <w:t xml:space="preserve"> described in </w:t>
      </w:r>
      <w:r w:rsidR="004C1FDD" w:rsidRPr="008B3AD6">
        <w:rPr>
          <w:b/>
        </w:rPr>
        <w:fldChar w:fldCharType="begin"/>
      </w:r>
      <w:r w:rsidR="004C1FDD" w:rsidRPr="008B3AD6">
        <w:rPr>
          <w:b/>
        </w:rPr>
        <w:instrText xml:space="preserve"> REF _Ref518570184  \* MERGEFORMAT </w:instrText>
      </w:r>
      <w:r w:rsidR="004C1FDD" w:rsidRPr="008B3AD6">
        <w:rPr>
          <w:b/>
        </w:rPr>
        <w:fldChar w:fldCharType="separate"/>
      </w:r>
      <w:r w:rsidR="00921CAF" w:rsidRPr="00921CAF">
        <w:rPr>
          <w:b/>
        </w:rPr>
        <w:t xml:space="preserve">Figure </w:t>
      </w:r>
      <w:r w:rsidR="00921CAF" w:rsidRPr="00921CAF">
        <w:rPr>
          <w:b/>
          <w:noProof/>
        </w:rPr>
        <w:t>4.7</w:t>
      </w:r>
      <w:r w:rsidR="004C1FDD" w:rsidRPr="008B3AD6">
        <w:rPr>
          <w:b/>
          <w:noProof/>
        </w:rPr>
        <w:fldChar w:fldCharType="end"/>
      </w:r>
      <w:r w:rsidR="006A23B1" w:rsidRPr="008B3AD6">
        <w:t xml:space="preserve"> were updated to include the leishmanicidal activities of </w:t>
      </w:r>
      <w:r w:rsidR="00A32111">
        <w:t>AmB</w:t>
      </w:r>
      <w:r w:rsidR="006A23B1" w:rsidRPr="008B3AD6">
        <w:t xml:space="preserve">, shown in </w:t>
      </w:r>
      <w:r w:rsidR="0074700A">
        <w:rPr>
          <w:b/>
        </w:rPr>
        <w:fldChar w:fldCharType="begin"/>
      </w:r>
      <w:r w:rsidR="0074700A">
        <w:rPr>
          <w:b/>
        </w:rPr>
        <w:instrText xml:space="preserve"> REF _Ref522803171  \* MERGEFORMAT </w:instrText>
      </w:r>
      <w:r w:rsidR="0074700A">
        <w:rPr>
          <w:b/>
        </w:rPr>
        <w:fldChar w:fldCharType="separate"/>
      </w:r>
      <w:r w:rsidR="00921CAF" w:rsidRPr="00921CAF">
        <w:rPr>
          <w:b/>
        </w:rPr>
        <w:t xml:space="preserve">Figure </w:t>
      </w:r>
      <w:r w:rsidR="00921CAF" w:rsidRPr="00921CAF">
        <w:rPr>
          <w:b/>
          <w:noProof/>
        </w:rPr>
        <w:t>5.14</w:t>
      </w:r>
      <w:r w:rsidR="0074700A">
        <w:rPr>
          <w:b/>
          <w:noProof/>
        </w:rPr>
        <w:fldChar w:fldCharType="end"/>
      </w:r>
      <w:r w:rsidR="006A23B1" w:rsidRPr="008B3AD6">
        <w:t>.</w:t>
      </w:r>
      <w:r w:rsidR="00B0403A" w:rsidRPr="008B3AD6">
        <w:t xml:space="preserve"> </w:t>
      </w:r>
      <w:r w:rsidR="00A32111">
        <w:t>AmB</w:t>
      </w:r>
      <w:r w:rsidR="00B0403A" w:rsidRPr="008B3AD6">
        <w:t xml:space="preserve"> can be associated with infected myeloid (</w:t>
      </w:r>
      <w:r w:rsidR="00B0403A" w:rsidRPr="008B3AD6">
        <w:rPr>
          <w:b/>
        </w:rPr>
        <w:t>LD8</w:t>
      </w:r>
      <w:r w:rsidR="00B0403A" w:rsidRPr="008B3AD6">
        <w:t>) or Kupffer cells (</w:t>
      </w:r>
      <w:r w:rsidR="00B0403A" w:rsidRPr="008B3AD6">
        <w:rPr>
          <w:b/>
        </w:rPr>
        <w:t>LD4</w:t>
      </w:r>
      <w:r w:rsidR="00B0403A" w:rsidRPr="008B3AD6">
        <w:t xml:space="preserve">) and if the levels are sufficient, denoted by a decision node, the parasite can be killed. </w:t>
      </w:r>
      <w:r w:rsidR="006715A5" w:rsidRPr="008B3AD6">
        <w:t>The completion of the domain model allows for the subsequent development of the platform model of this system.</w:t>
      </w:r>
      <w:r w:rsidR="00415379">
        <w:t xml:space="preserve"> </w:t>
      </w:r>
      <w:r w:rsidR="006715A5" w:rsidRPr="008B3AD6">
        <w:fldChar w:fldCharType="begin"/>
      </w:r>
      <w:r w:rsidR="006715A5" w:rsidRPr="008B3AD6">
        <w:instrText xml:space="preserve"> REF _Ref522814474 </w:instrText>
      </w:r>
      <w:r w:rsidR="00451B86" w:rsidRPr="008B3AD6">
        <w:instrText xml:space="preserve"> \* MERGEFORMAT </w:instrText>
      </w:r>
      <w:r w:rsidR="006715A5" w:rsidRPr="008B3AD6">
        <w:fldChar w:fldCharType="separate"/>
      </w:r>
      <w:r w:rsidR="00921CAF" w:rsidRPr="00921CAF">
        <w:rPr>
          <w:b/>
        </w:rPr>
        <w:t xml:space="preserve">Figure </w:t>
      </w:r>
      <w:r w:rsidR="00921CAF" w:rsidRPr="00921CAF">
        <w:rPr>
          <w:b/>
          <w:noProof/>
        </w:rPr>
        <w:t>5.15</w:t>
      </w:r>
      <w:r w:rsidR="006715A5" w:rsidRPr="008B3AD6">
        <w:fldChar w:fldCharType="end"/>
      </w:r>
      <w:r w:rsidR="006715A5" w:rsidRPr="008B3AD6">
        <w:t xml:space="preserve"> shows the platform model for the sy</w:t>
      </w:r>
      <w:r w:rsidR="00451B86" w:rsidRPr="008B3AD6">
        <w:t xml:space="preserve">stem, an amalgamation of </w:t>
      </w:r>
      <w:r w:rsidR="0074700A">
        <w:rPr>
          <w:b/>
        </w:rPr>
        <w:fldChar w:fldCharType="begin"/>
      </w:r>
      <w:r w:rsidR="0074700A">
        <w:rPr>
          <w:b/>
        </w:rPr>
        <w:instrText xml:space="preserve"> REF _Ref518634034  \* MERGEFORMAT </w:instrText>
      </w:r>
      <w:r w:rsidR="0074700A">
        <w:rPr>
          <w:b/>
        </w:rPr>
        <w:fldChar w:fldCharType="separate"/>
      </w:r>
      <w:r w:rsidR="00921CAF" w:rsidRPr="00921CAF">
        <w:rPr>
          <w:b/>
        </w:rPr>
        <w:t xml:space="preserve">Figure </w:t>
      </w:r>
      <w:r w:rsidR="00921CAF" w:rsidRPr="00921CAF">
        <w:rPr>
          <w:b/>
          <w:noProof/>
        </w:rPr>
        <w:t>4.17</w:t>
      </w:r>
      <w:r w:rsidR="0074700A">
        <w:rPr>
          <w:b/>
          <w:noProof/>
        </w:rPr>
        <w:fldChar w:fldCharType="end"/>
      </w:r>
      <w:r w:rsidR="00451B86" w:rsidRPr="008B3AD6">
        <w:t xml:space="preserve">, </w:t>
      </w:r>
      <w:r w:rsidR="0074700A">
        <w:rPr>
          <w:b/>
        </w:rPr>
        <w:fldChar w:fldCharType="begin"/>
      </w:r>
      <w:r w:rsidR="0074700A">
        <w:rPr>
          <w:b/>
        </w:rPr>
        <w:instrText xml:space="preserve"> REF _Ref518634477  \* MERGEFORMAT </w:instrText>
      </w:r>
      <w:r w:rsidR="0074700A">
        <w:rPr>
          <w:b/>
        </w:rPr>
        <w:fldChar w:fldCharType="separate"/>
      </w:r>
      <w:r w:rsidR="00921CAF" w:rsidRPr="00921CAF">
        <w:rPr>
          <w:b/>
        </w:rPr>
        <w:t xml:space="preserve">Figure </w:t>
      </w:r>
      <w:r w:rsidR="00921CAF" w:rsidRPr="00921CAF">
        <w:rPr>
          <w:b/>
          <w:noProof/>
        </w:rPr>
        <w:t>4.19</w:t>
      </w:r>
      <w:r w:rsidR="0074700A">
        <w:rPr>
          <w:b/>
          <w:noProof/>
        </w:rPr>
        <w:fldChar w:fldCharType="end"/>
      </w:r>
      <w:r w:rsidR="00451B86" w:rsidRPr="008B3AD6">
        <w:t xml:space="preserve"> and </w:t>
      </w:r>
      <w:r w:rsidR="0074700A">
        <w:rPr>
          <w:b/>
        </w:rPr>
        <w:fldChar w:fldCharType="begin"/>
      </w:r>
      <w:r w:rsidR="0074700A">
        <w:rPr>
          <w:b/>
        </w:rPr>
        <w:instrText xml:space="preserve"> REF _Ref518635726  \* MERGEFORMAT </w:instrText>
      </w:r>
      <w:r w:rsidR="0074700A">
        <w:rPr>
          <w:b/>
        </w:rPr>
        <w:fldChar w:fldCharType="separate"/>
      </w:r>
      <w:r w:rsidR="00921CAF" w:rsidRPr="00921CAF">
        <w:rPr>
          <w:b/>
        </w:rPr>
        <w:t xml:space="preserve">Figure </w:t>
      </w:r>
      <w:r w:rsidR="00921CAF" w:rsidRPr="00921CAF">
        <w:rPr>
          <w:b/>
          <w:noProof/>
        </w:rPr>
        <w:t>4.21</w:t>
      </w:r>
      <w:r w:rsidR="0074700A">
        <w:rPr>
          <w:b/>
          <w:noProof/>
        </w:rPr>
        <w:fldChar w:fldCharType="end"/>
      </w:r>
      <w:r w:rsidR="00451B86" w:rsidRPr="008B3AD6">
        <w:t>, with the inclusion of</w:t>
      </w:r>
      <w:r w:rsidR="006715A5" w:rsidRPr="008B3AD6">
        <w:t xml:space="preserve"> </w:t>
      </w:r>
      <w:r w:rsidR="00A32111">
        <w:t>AmB</w:t>
      </w:r>
      <w:r w:rsidR="00451B86" w:rsidRPr="008B3AD6">
        <w:t>.</w:t>
      </w:r>
      <w:r w:rsidR="006715A5" w:rsidRPr="008B3AD6">
        <w:t xml:space="preserve"> </w:t>
      </w:r>
      <w:r w:rsidR="00451B86" w:rsidRPr="008B3AD6">
        <w:t xml:space="preserve">Little evidence is available on the abundance of liposomal, monomeric or multimeric </w:t>
      </w:r>
      <w:r w:rsidR="00A32111">
        <w:t>AmB</w:t>
      </w:r>
      <w:r w:rsidR="00451B86" w:rsidRPr="008B3AD6">
        <w:t xml:space="preserve"> after injection into a biological system, typically pharmacokinetic data tracks the absolute amount which reflects a summation of the different states. The inclusion of </w:t>
      </w:r>
      <w:r w:rsidR="008E3654" w:rsidRPr="008B3AD6">
        <w:t xml:space="preserve">the three </w:t>
      </w:r>
      <w:r w:rsidR="00451B86" w:rsidRPr="008B3AD6">
        <w:t>different states would present a highly multi-dimensional parameter search</w:t>
      </w:r>
      <w:r w:rsidR="008E3654" w:rsidRPr="008B3AD6">
        <w:t xml:space="preserve"> space. T</w:t>
      </w:r>
      <w:r w:rsidR="00451B86" w:rsidRPr="008B3AD6">
        <w:t>he</w:t>
      </w:r>
      <w:r w:rsidR="00415379">
        <w:t xml:space="preserve"> data used for </w:t>
      </w:r>
      <w:r w:rsidR="008E3654" w:rsidRPr="008B3AD6">
        <w:t xml:space="preserve">calibration </w:t>
      </w:r>
      <w:r w:rsidR="00415379" w:rsidRPr="008B3AD6">
        <w:t xml:space="preserve">would not </w:t>
      </w:r>
      <w:r w:rsidR="00415379" w:rsidRPr="00696081">
        <w:t xml:space="preserve">provide enough confidence in the resulting parameters generated to allow for implementation of all three states. To this end liposomal, monomeric and multimeric AmB is represented as existing in a singular state which can be </w:t>
      </w:r>
      <w:r w:rsidR="003479DF">
        <w:t>cell-associated</w:t>
      </w:r>
      <w:r w:rsidR="00415379" w:rsidRPr="00696081">
        <w:t xml:space="preserve"> or </w:t>
      </w:r>
      <w:r w:rsidR="003479DF">
        <w:t>non-cellular</w:t>
      </w:r>
      <w:r w:rsidR="00415379" w:rsidRPr="00696081">
        <w:t xml:space="preserve">, shown in </w:t>
      </w:r>
      <w:r w:rsidR="00696081" w:rsidRPr="00696081">
        <w:rPr>
          <w:b/>
        </w:rPr>
        <w:fldChar w:fldCharType="begin"/>
      </w:r>
      <w:r w:rsidR="00696081" w:rsidRPr="00696081">
        <w:instrText xml:space="preserve"> REF _Ref525208209 </w:instrText>
      </w:r>
      <w:r w:rsidR="00696081">
        <w:instrText xml:space="preserve"> \* MERGEFORMAT </w:instrText>
      </w:r>
      <w:r w:rsidR="00696081" w:rsidRPr="00696081">
        <w:rPr>
          <w:b/>
        </w:rPr>
        <w:fldChar w:fldCharType="separate"/>
      </w:r>
      <w:r w:rsidR="00530A00" w:rsidRPr="00B23FF8">
        <w:rPr>
          <w:b/>
        </w:rPr>
        <w:t xml:space="preserve">Figure </w:t>
      </w:r>
      <w:r w:rsidR="00530A00" w:rsidRPr="00B23FF8">
        <w:rPr>
          <w:b/>
          <w:noProof/>
        </w:rPr>
        <w:t>5.13</w:t>
      </w:r>
      <w:r w:rsidR="00696081" w:rsidRPr="00696081">
        <w:rPr>
          <w:b/>
        </w:rPr>
        <w:fldChar w:fldCharType="end"/>
      </w:r>
      <w:r w:rsidR="00415379" w:rsidRPr="00696081">
        <w:t>.</w:t>
      </w:r>
    </w:p>
    <w:p w14:paraId="736756FF" w14:textId="77777777" w:rsidR="000B4201" w:rsidRDefault="000B4201" w:rsidP="00415379">
      <w:pPr>
        <w:spacing w:line="360" w:lineRule="auto"/>
        <w:jc w:val="both"/>
      </w:pPr>
    </w:p>
    <w:p w14:paraId="0337710F" w14:textId="46DAEC47" w:rsidR="00362813" w:rsidRPr="008B3AD6" w:rsidRDefault="000B4201" w:rsidP="00451B86">
      <w:pPr>
        <w:spacing w:line="360" w:lineRule="auto"/>
        <w:jc w:val="both"/>
      </w:pPr>
      <w:r>
        <w:rPr>
          <w:noProof/>
        </w:rPr>
        <w:lastRenderedPageBreak/>
        <w:drawing>
          <wp:anchor distT="0" distB="0" distL="114300" distR="114300" simplePos="0" relativeHeight="251898880" behindDoc="0" locked="0" layoutInCell="1" allowOverlap="1" wp14:anchorId="2236DECB" wp14:editId="2E1896E0">
            <wp:simplePos x="0" y="0"/>
            <wp:positionH relativeFrom="margin">
              <wp:align>center</wp:align>
            </wp:positionH>
            <wp:positionV relativeFrom="margin">
              <wp:posOffset>1087120</wp:posOffset>
            </wp:positionV>
            <wp:extent cx="5989320" cy="7204075"/>
            <wp:effectExtent l="0" t="0" r="5080" b="0"/>
            <wp:wrapSquare wrapText="bothSides"/>
            <wp:docPr id="620" name="Picture 1">
              <a:extLst xmlns:a="http://schemas.openxmlformats.org/drawingml/2006/main">
                <a:ext uri="{FF2B5EF4-FFF2-40B4-BE49-F238E27FC236}">
                  <a16:creationId xmlns:a16="http://schemas.microsoft.com/office/drawing/2014/main" id="{2815CD4B-30EB-004D-8E0A-12C1F6CA282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0" name="Picture 1">
                      <a:extLst>
                        <a:ext uri="{FF2B5EF4-FFF2-40B4-BE49-F238E27FC236}">
                          <a16:creationId xmlns:a16="http://schemas.microsoft.com/office/drawing/2014/main" id="{2815CD4B-30EB-004D-8E0A-12C1F6CA2823}"/>
                        </a:ext>
                      </a:extLst>
                    </pic:cNvPr>
                    <pic:cNvPicPr>
                      <a:picLocks noChangeAspect="1"/>
                    </pic:cNvPicPr>
                  </pic:nvPicPr>
                  <pic:blipFill rotWithShape="1">
                    <a:blip r:embed="rId94">
                      <a:extLst>
                        <a:ext uri="{28A0092B-C50C-407E-A947-70E740481C1C}">
                          <a14:useLocalDpi xmlns:a14="http://schemas.microsoft.com/office/drawing/2010/main" val="0"/>
                        </a:ext>
                      </a:extLst>
                    </a:blip>
                    <a:srcRect l="3981" t="3711" r="4245" b="18334"/>
                    <a:stretch/>
                  </pic:blipFill>
                  <pic:spPr bwMode="auto">
                    <a:xfrm>
                      <a:off x="0" y="0"/>
                      <a:ext cx="5989320" cy="72040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899904" behindDoc="0" locked="0" layoutInCell="1" allowOverlap="1" wp14:anchorId="36C5E759" wp14:editId="0060E339">
                <wp:simplePos x="0" y="0"/>
                <wp:positionH relativeFrom="margin">
                  <wp:align>center</wp:align>
                </wp:positionH>
                <wp:positionV relativeFrom="paragraph">
                  <wp:posOffset>8299940</wp:posOffset>
                </wp:positionV>
                <wp:extent cx="5852160" cy="661035"/>
                <wp:effectExtent l="0" t="0" r="2540" b="0"/>
                <wp:wrapTopAndBottom/>
                <wp:docPr id="621" name="Text Box 621"/>
                <wp:cNvGraphicFramePr/>
                <a:graphic xmlns:a="http://schemas.openxmlformats.org/drawingml/2006/main">
                  <a:graphicData uri="http://schemas.microsoft.com/office/word/2010/wordprocessingShape">
                    <wps:wsp>
                      <wps:cNvSpPr txBox="1"/>
                      <wps:spPr>
                        <a:xfrm>
                          <a:off x="0" y="0"/>
                          <a:ext cx="5852160" cy="661035"/>
                        </a:xfrm>
                        <a:prstGeom prst="rect">
                          <a:avLst/>
                        </a:prstGeom>
                        <a:solidFill>
                          <a:prstClr val="white"/>
                        </a:solidFill>
                        <a:ln>
                          <a:noFill/>
                        </a:ln>
                      </wps:spPr>
                      <wps:txbx>
                        <w:txbxContent>
                          <w:p w14:paraId="251BD558" w14:textId="54F23DA0" w:rsidR="00F61130" w:rsidRPr="00C6738E" w:rsidRDefault="00F61130" w:rsidP="00B23FF8">
                            <w:pPr>
                              <w:pStyle w:val="Caption"/>
                              <w:spacing w:line="360" w:lineRule="auto"/>
                              <w:jc w:val="both"/>
                              <w:rPr>
                                <w:sz w:val="20"/>
                                <w:szCs w:val="20"/>
                              </w:rPr>
                            </w:pPr>
                            <w:bookmarkStart w:id="638" w:name="_Ref522803171"/>
                            <w:bookmarkStart w:id="639" w:name="_Toc525227249"/>
                            <w:bookmarkStart w:id="640" w:name="_Toc536814187"/>
                            <w:r w:rsidRPr="00C6738E">
                              <w:rPr>
                                <w:b/>
                                <w:sz w:val="20"/>
                                <w:szCs w:val="20"/>
                              </w:rPr>
                              <w:t xml:space="preserve">Figure </w:t>
                            </w:r>
                            <w:r>
                              <w:rPr>
                                <w:b/>
                                <w:sz w:val="20"/>
                                <w:szCs w:val="20"/>
                              </w:rPr>
                              <w:fldChar w:fldCharType="begin"/>
                            </w:r>
                            <w:r>
                              <w:rPr>
                                <w:b/>
                                <w:sz w:val="20"/>
                                <w:szCs w:val="20"/>
                              </w:rPr>
                              <w:instrText xml:space="preserve"> STYLEREF 1 \s </w:instrText>
                            </w:r>
                            <w:r>
                              <w:rPr>
                                <w:b/>
                                <w:sz w:val="20"/>
                                <w:szCs w:val="20"/>
                              </w:rPr>
                              <w:fldChar w:fldCharType="separate"/>
                            </w:r>
                            <w:r>
                              <w:rPr>
                                <w:b/>
                                <w:noProof/>
                                <w:sz w:val="20"/>
                                <w:szCs w:val="20"/>
                              </w:rPr>
                              <w:t>5</w:t>
                            </w:r>
                            <w:r>
                              <w:rPr>
                                <w:b/>
                                <w:sz w:val="20"/>
                                <w:szCs w:val="20"/>
                              </w:rPr>
                              <w:fldChar w:fldCharType="end"/>
                            </w:r>
                            <w:r>
                              <w:rPr>
                                <w:b/>
                                <w:sz w:val="20"/>
                                <w:szCs w:val="20"/>
                              </w:rPr>
                              <w:t>.</w:t>
                            </w:r>
                            <w:r>
                              <w:rPr>
                                <w:b/>
                                <w:sz w:val="20"/>
                                <w:szCs w:val="20"/>
                              </w:rPr>
                              <w:fldChar w:fldCharType="begin"/>
                            </w:r>
                            <w:r>
                              <w:rPr>
                                <w:b/>
                                <w:sz w:val="20"/>
                                <w:szCs w:val="20"/>
                              </w:rPr>
                              <w:instrText xml:space="preserve"> SEQ Figure \* ARABIC \s 1 </w:instrText>
                            </w:r>
                            <w:r>
                              <w:rPr>
                                <w:b/>
                                <w:sz w:val="20"/>
                                <w:szCs w:val="20"/>
                              </w:rPr>
                              <w:fldChar w:fldCharType="separate"/>
                            </w:r>
                            <w:r>
                              <w:rPr>
                                <w:b/>
                                <w:noProof/>
                                <w:sz w:val="20"/>
                                <w:szCs w:val="20"/>
                              </w:rPr>
                              <w:t>13</w:t>
                            </w:r>
                            <w:r>
                              <w:rPr>
                                <w:b/>
                                <w:sz w:val="20"/>
                                <w:szCs w:val="20"/>
                              </w:rPr>
                              <w:fldChar w:fldCharType="end"/>
                            </w:r>
                            <w:bookmarkEnd w:id="638"/>
                            <w:r w:rsidRPr="00C6738E">
                              <w:rPr>
                                <w:b/>
                                <w:sz w:val="20"/>
                                <w:szCs w:val="20"/>
                              </w:rPr>
                              <w:t xml:space="preserve"> - Updated domain model of </w:t>
                            </w:r>
                            <w:r w:rsidRPr="00C6738E">
                              <w:rPr>
                                <w:b/>
                                <w:i/>
                                <w:sz w:val="20"/>
                                <w:szCs w:val="20"/>
                              </w:rPr>
                              <w:t>L. donovani</w:t>
                            </w:r>
                            <w:r w:rsidRPr="00C6738E">
                              <w:rPr>
                                <w:b/>
                                <w:sz w:val="20"/>
                                <w:szCs w:val="20"/>
                              </w:rPr>
                              <w:t xml:space="preserve"> activities. </w:t>
                            </w:r>
                            <w:r>
                              <w:rPr>
                                <w:sz w:val="20"/>
                                <w:szCs w:val="20"/>
                              </w:rPr>
                              <w:t xml:space="preserve">Introduction of Amphotericin B into the system alters the possible behaviours of </w:t>
                            </w:r>
                            <w:r>
                              <w:rPr>
                                <w:i/>
                                <w:sz w:val="20"/>
                                <w:szCs w:val="20"/>
                              </w:rPr>
                              <w:t>L. donovani</w:t>
                            </w:r>
                            <w:r>
                              <w:rPr>
                                <w:sz w:val="20"/>
                                <w:szCs w:val="20"/>
                              </w:rPr>
                              <w:t xml:space="preserve"> by removing it from the system. The original </w:t>
                            </w:r>
                            <w:r>
                              <w:rPr>
                                <w:i/>
                                <w:sz w:val="20"/>
                                <w:szCs w:val="20"/>
                              </w:rPr>
                              <w:t xml:space="preserve">L. donovani </w:t>
                            </w:r>
                            <w:r>
                              <w:rPr>
                                <w:sz w:val="20"/>
                                <w:szCs w:val="20"/>
                              </w:rPr>
                              <w:t>domain activity diagram (</w:t>
                            </w:r>
                            <w:r>
                              <w:rPr>
                                <w:sz w:val="20"/>
                                <w:szCs w:val="20"/>
                              </w:rPr>
                              <w:fldChar w:fldCharType="begin"/>
                            </w:r>
                            <w:r>
                              <w:rPr>
                                <w:sz w:val="20"/>
                                <w:szCs w:val="20"/>
                              </w:rPr>
                              <w:instrText xml:space="preserve"> REF _Ref518570184  \* MERGEFORMAT </w:instrText>
                            </w:r>
                            <w:r>
                              <w:rPr>
                                <w:sz w:val="20"/>
                                <w:szCs w:val="20"/>
                              </w:rPr>
                              <w:fldChar w:fldCharType="separate"/>
                            </w:r>
                            <w:r w:rsidRPr="00432561">
                              <w:rPr>
                                <w:b/>
                                <w:sz w:val="20"/>
                                <w:szCs w:val="20"/>
                              </w:rPr>
                              <w:t xml:space="preserve">Figure </w:t>
                            </w:r>
                            <w:r>
                              <w:rPr>
                                <w:b/>
                                <w:noProof/>
                                <w:sz w:val="20"/>
                                <w:szCs w:val="20"/>
                              </w:rPr>
                              <w:t>4</w:t>
                            </w:r>
                            <w:r>
                              <w:rPr>
                                <w:b/>
                                <w:sz w:val="20"/>
                                <w:szCs w:val="20"/>
                              </w:rPr>
                              <w:t>.</w:t>
                            </w:r>
                            <w:r>
                              <w:rPr>
                                <w:b/>
                                <w:noProof/>
                                <w:sz w:val="20"/>
                                <w:szCs w:val="20"/>
                              </w:rPr>
                              <w:t>9</w:t>
                            </w:r>
                            <w:r>
                              <w:rPr>
                                <w:sz w:val="20"/>
                                <w:szCs w:val="20"/>
                              </w:rPr>
                              <w:fldChar w:fldCharType="end"/>
                            </w:r>
                            <w:r>
                              <w:rPr>
                                <w:sz w:val="20"/>
                                <w:szCs w:val="20"/>
                              </w:rPr>
                              <w:t>) was adapted to include the new Amphotericin B induced activities (shown in red).</w:t>
                            </w:r>
                            <w:bookmarkEnd w:id="639"/>
                            <w:bookmarkEnd w:id="640"/>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6C5E759" id="Text Box 621" o:spid="_x0000_s1184" type="#_x0000_t202" style="position:absolute;left:0;text-align:left;margin-left:0;margin-top:653.55pt;width:460.8pt;height:52.05pt;z-index:251899904;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P3S9AMwIAAG0EAAAOAAAAZHJzL2Uyb0RvYy54bWysVMGO2yAQvVfqPyDujeNUiSIrzirNKlWl&#13;&#10;aHelzWrPBOMYCRgKJHb69R2wnW23PVW94GFmGHjvzXh112lFLsJ5Caak+WRKiTAcKmlOJX057D4t&#13;&#10;KfGBmYopMKKkV+Hp3frjh1VrCzGDBlQlHMEixhetLWkTgi2yzPNGaOYnYIXBYA1Os4Bbd8oqx1qs&#13;&#10;rlU2m04XWQuusg648B69932QrlP9uhY8PNa1F4GokuLbQlpdWo9xzdYrVpwcs43kwzPYP7xCM2nw&#13;&#10;0lupexYYOTv5RyktuQMPdZhw0BnUteQiYUA0+fQdmueGWZGwIDne3mjy/68sf7g8OSKrki5mOSWG&#13;&#10;aRTpILpAvkBHog8Zaq0vMPHZYmroMIBKj36Pzgi8q52OX4REMI5cX2/8xnIcnfPlfJYvMMQxtljk&#13;&#10;08/zWCZ7O22dD18FaBKNkjrUL9HKLnsf+tQxJV7mQclqJ5WKmxjYKkcuDLVuGxnEUPy3LGViroF4&#13;&#10;qi8YPVmE2EOJVuiOXSIlny9HoEeorojfQd9D3vKdxBv3zIcn5rBpEBcOQnjEpVbQlhQGi5IG3I+/&#13;&#10;+WM+aolRSlpswpL672fmBCXqm0GVY8eOhhuN42iYs94CYkXd8DXJxAMuqNGsHehXnI9NvAVDzHC8&#13;&#10;q6RhNLehHwWcLy42m5SEfWlZ2Jtny2PpkdlD98qcHXQJqOgDjO3Jinfy9Lk9z5tzgFom7SKzPYsD&#13;&#10;4djTSf1h/uLQ/LpPWW9/ifVPAAAA//8DAFBLAwQUAAYACAAAACEAiHNy1+MAAAAPAQAADwAAAGRy&#13;&#10;cy9kb3ducmV2LnhtbEyPwU7DMBBE70j8g7VIXBB1HFBo0zgVNHCDQ0vVsxubJCJeR7bTpH/PcoLL&#13;&#10;SjujnZ1XbGbbs7PxoXMoQSwSYAZrpztsJBw+3+6XwEJUqFXv0Ei4mACb8vqqULl2E+7MeR8bRiEY&#13;&#10;ciWhjXHIOQ91a6wKCzcYJO/Leasirb7h2quJwm3P0yTJuFUd0odWDWbbmvp7P1oJWeXHaYfbu+rw&#13;&#10;+q4+hiY9vlyOUt7ezNWaxvMaWDRz/LuAXwbqDyUVO7kRdWC9BKKJpD4kTwIY+atUZMBOJD0KkQIv&#13;&#10;C/6fo/wBAAD//wMAUEsBAi0AFAAGAAgAAAAhALaDOJL+AAAA4QEAABMAAAAAAAAAAAAAAAAAAAAA&#13;&#10;AFtDb250ZW50X1R5cGVzXS54bWxQSwECLQAUAAYACAAAACEAOP0h/9YAAACUAQAACwAAAAAAAAAA&#13;&#10;AAAAAAAvAQAAX3JlbHMvLnJlbHNQSwECLQAUAAYACAAAACEAD90vQDMCAABtBAAADgAAAAAAAAAA&#13;&#10;AAAAAAAuAgAAZHJzL2Uyb0RvYy54bWxQSwECLQAUAAYACAAAACEAiHNy1+MAAAAPAQAADwAAAAAA&#13;&#10;AAAAAAAAAACNBAAAZHJzL2Rvd25yZXYueG1sUEsFBgAAAAAEAAQA8wAAAJ0FAAAAAA==&#13;&#10;" stroked="f">
                <v:textbox inset="0,0,0,0">
                  <w:txbxContent>
                    <w:p w14:paraId="251BD558" w14:textId="54F23DA0" w:rsidR="00F61130" w:rsidRPr="00C6738E" w:rsidRDefault="00F61130" w:rsidP="00B23FF8">
                      <w:pPr>
                        <w:pStyle w:val="Caption"/>
                        <w:spacing w:line="360" w:lineRule="auto"/>
                        <w:jc w:val="both"/>
                        <w:rPr>
                          <w:sz w:val="20"/>
                          <w:szCs w:val="20"/>
                        </w:rPr>
                      </w:pPr>
                      <w:bookmarkStart w:id="641" w:name="_Ref522803171"/>
                      <w:bookmarkStart w:id="642" w:name="_Toc525227249"/>
                      <w:bookmarkStart w:id="643" w:name="_Toc536814187"/>
                      <w:r w:rsidRPr="00C6738E">
                        <w:rPr>
                          <w:b/>
                          <w:sz w:val="20"/>
                          <w:szCs w:val="20"/>
                        </w:rPr>
                        <w:t xml:space="preserve">Figure </w:t>
                      </w:r>
                      <w:r>
                        <w:rPr>
                          <w:b/>
                          <w:sz w:val="20"/>
                          <w:szCs w:val="20"/>
                        </w:rPr>
                        <w:fldChar w:fldCharType="begin"/>
                      </w:r>
                      <w:r>
                        <w:rPr>
                          <w:b/>
                          <w:sz w:val="20"/>
                          <w:szCs w:val="20"/>
                        </w:rPr>
                        <w:instrText xml:space="preserve"> STYLEREF 1 \s </w:instrText>
                      </w:r>
                      <w:r>
                        <w:rPr>
                          <w:b/>
                          <w:sz w:val="20"/>
                          <w:szCs w:val="20"/>
                        </w:rPr>
                        <w:fldChar w:fldCharType="separate"/>
                      </w:r>
                      <w:r>
                        <w:rPr>
                          <w:b/>
                          <w:noProof/>
                          <w:sz w:val="20"/>
                          <w:szCs w:val="20"/>
                        </w:rPr>
                        <w:t>5</w:t>
                      </w:r>
                      <w:r>
                        <w:rPr>
                          <w:b/>
                          <w:sz w:val="20"/>
                          <w:szCs w:val="20"/>
                        </w:rPr>
                        <w:fldChar w:fldCharType="end"/>
                      </w:r>
                      <w:r>
                        <w:rPr>
                          <w:b/>
                          <w:sz w:val="20"/>
                          <w:szCs w:val="20"/>
                        </w:rPr>
                        <w:t>.</w:t>
                      </w:r>
                      <w:r>
                        <w:rPr>
                          <w:b/>
                          <w:sz w:val="20"/>
                          <w:szCs w:val="20"/>
                        </w:rPr>
                        <w:fldChar w:fldCharType="begin"/>
                      </w:r>
                      <w:r>
                        <w:rPr>
                          <w:b/>
                          <w:sz w:val="20"/>
                          <w:szCs w:val="20"/>
                        </w:rPr>
                        <w:instrText xml:space="preserve"> SEQ Figure \* ARABIC \s 1 </w:instrText>
                      </w:r>
                      <w:r>
                        <w:rPr>
                          <w:b/>
                          <w:sz w:val="20"/>
                          <w:szCs w:val="20"/>
                        </w:rPr>
                        <w:fldChar w:fldCharType="separate"/>
                      </w:r>
                      <w:r>
                        <w:rPr>
                          <w:b/>
                          <w:noProof/>
                          <w:sz w:val="20"/>
                          <w:szCs w:val="20"/>
                        </w:rPr>
                        <w:t>13</w:t>
                      </w:r>
                      <w:r>
                        <w:rPr>
                          <w:b/>
                          <w:sz w:val="20"/>
                          <w:szCs w:val="20"/>
                        </w:rPr>
                        <w:fldChar w:fldCharType="end"/>
                      </w:r>
                      <w:bookmarkEnd w:id="641"/>
                      <w:r w:rsidRPr="00C6738E">
                        <w:rPr>
                          <w:b/>
                          <w:sz w:val="20"/>
                          <w:szCs w:val="20"/>
                        </w:rPr>
                        <w:t xml:space="preserve"> - Updated domain model of </w:t>
                      </w:r>
                      <w:r w:rsidRPr="00C6738E">
                        <w:rPr>
                          <w:b/>
                          <w:i/>
                          <w:sz w:val="20"/>
                          <w:szCs w:val="20"/>
                        </w:rPr>
                        <w:t>L. donovani</w:t>
                      </w:r>
                      <w:r w:rsidRPr="00C6738E">
                        <w:rPr>
                          <w:b/>
                          <w:sz w:val="20"/>
                          <w:szCs w:val="20"/>
                        </w:rPr>
                        <w:t xml:space="preserve"> activities. </w:t>
                      </w:r>
                      <w:r>
                        <w:rPr>
                          <w:sz w:val="20"/>
                          <w:szCs w:val="20"/>
                        </w:rPr>
                        <w:t xml:space="preserve">Introduction of Amphotericin B into the system alters the possible behaviours of </w:t>
                      </w:r>
                      <w:r>
                        <w:rPr>
                          <w:i/>
                          <w:sz w:val="20"/>
                          <w:szCs w:val="20"/>
                        </w:rPr>
                        <w:t>L. donovani</w:t>
                      </w:r>
                      <w:r>
                        <w:rPr>
                          <w:sz w:val="20"/>
                          <w:szCs w:val="20"/>
                        </w:rPr>
                        <w:t xml:space="preserve"> by removing it from the system. The original </w:t>
                      </w:r>
                      <w:r>
                        <w:rPr>
                          <w:i/>
                          <w:sz w:val="20"/>
                          <w:szCs w:val="20"/>
                        </w:rPr>
                        <w:t xml:space="preserve">L. donovani </w:t>
                      </w:r>
                      <w:r>
                        <w:rPr>
                          <w:sz w:val="20"/>
                          <w:szCs w:val="20"/>
                        </w:rPr>
                        <w:t>domain activity diagram (</w:t>
                      </w:r>
                      <w:r>
                        <w:rPr>
                          <w:sz w:val="20"/>
                          <w:szCs w:val="20"/>
                        </w:rPr>
                        <w:fldChar w:fldCharType="begin"/>
                      </w:r>
                      <w:r>
                        <w:rPr>
                          <w:sz w:val="20"/>
                          <w:szCs w:val="20"/>
                        </w:rPr>
                        <w:instrText xml:space="preserve"> REF _Ref518570184  \* MERGEFORMAT </w:instrText>
                      </w:r>
                      <w:r>
                        <w:rPr>
                          <w:sz w:val="20"/>
                          <w:szCs w:val="20"/>
                        </w:rPr>
                        <w:fldChar w:fldCharType="separate"/>
                      </w:r>
                      <w:r w:rsidRPr="00432561">
                        <w:rPr>
                          <w:b/>
                          <w:sz w:val="20"/>
                          <w:szCs w:val="20"/>
                        </w:rPr>
                        <w:t xml:space="preserve">Figure </w:t>
                      </w:r>
                      <w:r>
                        <w:rPr>
                          <w:b/>
                          <w:noProof/>
                          <w:sz w:val="20"/>
                          <w:szCs w:val="20"/>
                        </w:rPr>
                        <w:t>4</w:t>
                      </w:r>
                      <w:r>
                        <w:rPr>
                          <w:b/>
                          <w:sz w:val="20"/>
                          <w:szCs w:val="20"/>
                        </w:rPr>
                        <w:t>.</w:t>
                      </w:r>
                      <w:r>
                        <w:rPr>
                          <w:b/>
                          <w:noProof/>
                          <w:sz w:val="20"/>
                          <w:szCs w:val="20"/>
                        </w:rPr>
                        <w:t>9</w:t>
                      </w:r>
                      <w:r>
                        <w:rPr>
                          <w:sz w:val="20"/>
                          <w:szCs w:val="20"/>
                        </w:rPr>
                        <w:fldChar w:fldCharType="end"/>
                      </w:r>
                      <w:r>
                        <w:rPr>
                          <w:sz w:val="20"/>
                          <w:szCs w:val="20"/>
                        </w:rPr>
                        <w:t>) was adapted to include the new Amphotericin B induced activities (shown in red).</w:t>
                      </w:r>
                      <w:bookmarkEnd w:id="642"/>
                      <w:bookmarkEnd w:id="643"/>
                    </w:p>
                  </w:txbxContent>
                </v:textbox>
                <w10:wrap type="topAndBottom" anchorx="margin"/>
              </v:shape>
            </w:pict>
          </mc:Fallback>
        </mc:AlternateContent>
      </w:r>
      <w:r w:rsidR="00362813" w:rsidRPr="008B3AD6">
        <w:t xml:space="preserve">Within the platform model </w:t>
      </w:r>
      <w:r w:rsidR="00A32111">
        <w:t>AmB</w:t>
      </w:r>
      <w:r w:rsidR="003479DF">
        <w:t xml:space="preserve"> associates</w:t>
      </w:r>
      <w:r w:rsidR="00362813" w:rsidRPr="008B3AD6">
        <w:t xml:space="preserve"> to cells through internalisation, such as phagocytosis, or via membrane fusion. These cells can release intracellular drug</w:t>
      </w:r>
      <w:r w:rsidR="003479DF">
        <w:t xml:space="preserve"> through membrane transporters </w:t>
      </w:r>
      <w:r w:rsidR="00FF7492">
        <w:fldChar w:fldCharType="begin"/>
      </w:r>
      <w:r w:rsidR="001E0E9E">
        <w:instrText xml:space="preserve"> ADDIN ZOTERO_ITEM CSL_CITATION {"citationID":"Z39QQ2gn","properties":{"formattedCitation":"(Glavinas et al. 2004)","plainCitation":"(Glavinas et al. 2004)","noteIndex":0},"citationItems":[{"id":3807,"uris":["http://zotero.org/users/2628971/items/WEQWRQRC"],"uri":["http://zotero.org/users/2628971/items/WEQWRQRC"],"itemData":{"id":3807,"type":"article-journal","title":"The Role of ABC Transporters in Drug Resistance, Metabolism and Toxicity","container-title":"Current Drug Delivery","page":"27-42","volume":"1","issue":"1","source":"Crossref","DOI":"10.2174/1567201043480036","ISSN":"15672018","language":"en","author":[{"family":"Glavinas","given":"Hristos"},{"family":"Krajcsi","given":"Peter"},{"family":"Cserepes","given":"Judit"},{"family":"Sarkadi","given":"Balazs"}],"issued":{"date-parts":[["2004",1,1]]}}}],"schema":"https://github.com/citation-style-language/schema/raw/master/csl-citation.json"} </w:instrText>
      </w:r>
      <w:r w:rsidR="00FF7492">
        <w:fldChar w:fldCharType="separate"/>
      </w:r>
      <w:r w:rsidR="001E0E9E" w:rsidRPr="001E0E9E">
        <w:rPr>
          <w:lang w:val="en-US"/>
        </w:rPr>
        <w:t>(Glavinas et al. 2004)</w:t>
      </w:r>
      <w:r w:rsidR="00FF7492">
        <w:fldChar w:fldCharType="end"/>
      </w:r>
      <w:r w:rsidR="00362813" w:rsidRPr="008B3AD6">
        <w:t xml:space="preserve">. </w:t>
      </w:r>
      <w:r w:rsidR="00137883" w:rsidRPr="008B3AD6">
        <w:t xml:space="preserve">One of the simplest representations of the influx and efflux processes is the representation of an </w:t>
      </w:r>
      <w:r w:rsidR="003479DF">
        <w:t>i</w:t>
      </w:r>
      <w:r w:rsidR="00137883" w:rsidRPr="008B3AD6">
        <w:t xml:space="preserve">n rate and </w:t>
      </w:r>
      <w:r w:rsidR="003479DF">
        <w:t>o</w:t>
      </w:r>
      <w:r w:rsidR="00137883" w:rsidRPr="008B3AD6">
        <w:t xml:space="preserve">ut rate for drug, shown in </w:t>
      </w:r>
      <w:r w:rsidR="0074700A">
        <w:rPr>
          <w:b/>
        </w:rPr>
        <w:lastRenderedPageBreak/>
        <w:fldChar w:fldCharType="begin"/>
      </w:r>
      <w:r w:rsidR="0074700A">
        <w:rPr>
          <w:b/>
        </w:rPr>
        <w:instrText xml:space="preserve"> REF _Ref522814474  \* MERGEFORMAT </w:instrText>
      </w:r>
      <w:r w:rsidR="0074700A">
        <w:rPr>
          <w:b/>
        </w:rPr>
        <w:fldChar w:fldCharType="separate"/>
      </w:r>
      <w:r w:rsidRPr="00B23FF8">
        <w:rPr>
          <w:b/>
        </w:rPr>
        <w:t xml:space="preserve">Figure </w:t>
      </w:r>
      <w:r w:rsidRPr="00B23FF8">
        <w:rPr>
          <w:b/>
          <w:noProof/>
        </w:rPr>
        <w:t>5.15</w:t>
      </w:r>
      <w:r w:rsidR="0074700A">
        <w:rPr>
          <w:b/>
          <w:noProof/>
        </w:rPr>
        <w:fldChar w:fldCharType="end"/>
      </w:r>
      <w:r w:rsidR="00137883" w:rsidRPr="008B3AD6">
        <w:t xml:space="preserve"> as </w:t>
      </w:r>
      <w:r w:rsidR="00137883" w:rsidRPr="008B3AD6">
        <w:rPr>
          <w:i/>
        </w:rPr>
        <w:t>p(X in)</w:t>
      </w:r>
      <w:r w:rsidR="00137883" w:rsidRPr="008B3AD6">
        <w:t xml:space="preserve"> and </w:t>
      </w:r>
      <w:r w:rsidR="00137883" w:rsidRPr="008B3AD6">
        <w:rPr>
          <w:i/>
        </w:rPr>
        <w:t>p(X out)</w:t>
      </w:r>
      <w:r w:rsidR="00137883" w:rsidRPr="008B3AD6">
        <w:t xml:space="preserve"> respectively. These processes integrate the hepatic </w:t>
      </w:r>
      <w:r w:rsidR="007C1B10">
        <w:rPr>
          <w:noProof/>
        </w:rPr>
        <w:drawing>
          <wp:anchor distT="0" distB="0" distL="114300" distR="114300" simplePos="0" relativeHeight="252163072" behindDoc="0" locked="0" layoutInCell="1" allowOverlap="1" wp14:anchorId="325F5150" wp14:editId="1FF9BF00">
            <wp:simplePos x="0" y="0"/>
            <wp:positionH relativeFrom="column">
              <wp:posOffset>1996502</wp:posOffset>
            </wp:positionH>
            <wp:positionV relativeFrom="paragraph">
              <wp:posOffset>3382010</wp:posOffset>
            </wp:positionV>
            <wp:extent cx="144461" cy="158115"/>
            <wp:effectExtent l="5715" t="0" r="1270" b="1270"/>
            <wp:wrapNone/>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Picture 128"/>
                    <pic:cNvPicPr>
                      <a:picLocks noChangeAspect="1"/>
                    </pic:cNvPicPr>
                  </pic:nvPicPr>
                  <pic:blipFill rotWithShape="1">
                    <a:blip r:embed="rId95">
                      <a:extLst>
                        <a:ext uri="{28A0092B-C50C-407E-A947-70E740481C1C}">
                          <a14:useLocalDpi xmlns:a14="http://schemas.microsoft.com/office/drawing/2010/main" val="0"/>
                        </a:ext>
                      </a:extLst>
                    </a:blip>
                    <a:srcRect l="46496" t="53329" r="51058" b="44779"/>
                    <a:stretch/>
                  </pic:blipFill>
                  <pic:spPr bwMode="auto">
                    <a:xfrm rot="5400000">
                      <a:off x="0" y="0"/>
                      <a:ext cx="144461" cy="15811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30A00">
        <w:rPr>
          <w:noProof/>
        </w:rPr>
        <mc:AlternateContent>
          <mc:Choice Requires="wps">
            <w:drawing>
              <wp:anchor distT="0" distB="0" distL="114300" distR="114300" simplePos="0" relativeHeight="251907072" behindDoc="0" locked="0" layoutInCell="1" allowOverlap="1" wp14:anchorId="24B4A9AB" wp14:editId="4B212CCE">
                <wp:simplePos x="0" y="0"/>
                <wp:positionH relativeFrom="column">
                  <wp:posOffset>-190500</wp:posOffset>
                </wp:positionH>
                <wp:positionV relativeFrom="paragraph">
                  <wp:posOffset>5854065</wp:posOffset>
                </wp:positionV>
                <wp:extent cx="5949950" cy="879475"/>
                <wp:effectExtent l="0" t="0" r="6350" b="0"/>
                <wp:wrapTopAndBottom/>
                <wp:docPr id="551" name="Text Box 551"/>
                <wp:cNvGraphicFramePr/>
                <a:graphic xmlns:a="http://schemas.openxmlformats.org/drawingml/2006/main">
                  <a:graphicData uri="http://schemas.microsoft.com/office/word/2010/wordprocessingShape">
                    <wps:wsp>
                      <wps:cNvSpPr txBox="1"/>
                      <wps:spPr>
                        <a:xfrm>
                          <a:off x="0" y="0"/>
                          <a:ext cx="5949950" cy="879475"/>
                        </a:xfrm>
                        <a:prstGeom prst="rect">
                          <a:avLst/>
                        </a:prstGeom>
                        <a:solidFill>
                          <a:prstClr val="white"/>
                        </a:solidFill>
                        <a:ln>
                          <a:noFill/>
                        </a:ln>
                      </wps:spPr>
                      <wps:txbx>
                        <w:txbxContent>
                          <w:p w14:paraId="786B38DB" w14:textId="2CBA5296" w:rsidR="00F61130" w:rsidRPr="00CE28E2" w:rsidRDefault="00F61130" w:rsidP="00985B84">
                            <w:pPr>
                              <w:pStyle w:val="Caption"/>
                              <w:spacing w:line="360" w:lineRule="auto"/>
                              <w:rPr>
                                <w:noProof/>
                                <w:sz w:val="20"/>
                                <w:szCs w:val="20"/>
                              </w:rPr>
                            </w:pPr>
                            <w:bookmarkStart w:id="644" w:name="_Ref522814474"/>
                            <w:bookmarkStart w:id="645" w:name="_Toc525227250"/>
                            <w:bookmarkStart w:id="646" w:name="_Toc536814188"/>
                            <w:r w:rsidRPr="00985B84">
                              <w:rPr>
                                <w:b/>
                                <w:sz w:val="20"/>
                                <w:szCs w:val="20"/>
                              </w:rPr>
                              <w:t xml:space="preserve">Figure </w:t>
                            </w:r>
                            <w:r>
                              <w:rPr>
                                <w:b/>
                                <w:sz w:val="20"/>
                                <w:szCs w:val="20"/>
                              </w:rPr>
                              <w:fldChar w:fldCharType="begin"/>
                            </w:r>
                            <w:r>
                              <w:rPr>
                                <w:b/>
                                <w:sz w:val="20"/>
                                <w:szCs w:val="20"/>
                              </w:rPr>
                              <w:instrText xml:space="preserve"> STYLEREF 1 \s </w:instrText>
                            </w:r>
                            <w:r>
                              <w:rPr>
                                <w:b/>
                                <w:sz w:val="20"/>
                                <w:szCs w:val="20"/>
                              </w:rPr>
                              <w:fldChar w:fldCharType="separate"/>
                            </w:r>
                            <w:r>
                              <w:rPr>
                                <w:b/>
                                <w:noProof/>
                                <w:sz w:val="20"/>
                                <w:szCs w:val="20"/>
                              </w:rPr>
                              <w:t>5</w:t>
                            </w:r>
                            <w:r>
                              <w:rPr>
                                <w:b/>
                                <w:sz w:val="20"/>
                                <w:szCs w:val="20"/>
                              </w:rPr>
                              <w:fldChar w:fldCharType="end"/>
                            </w:r>
                            <w:r>
                              <w:rPr>
                                <w:b/>
                                <w:sz w:val="20"/>
                                <w:szCs w:val="20"/>
                              </w:rPr>
                              <w:t>.</w:t>
                            </w:r>
                            <w:r>
                              <w:rPr>
                                <w:b/>
                                <w:sz w:val="20"/>
                                <w:szCs w:val="20"/>
                              </w:rPr>
                              <w:fldChar w:fldCharType="begin"/>
                            </w:r>
                            <w:r>
                              <w:rPr>
                                <w:b/>
                                <w:sz w:val="20"/>
                                <w:szCs w:val="20"/>
                              </w:rPr>
                              <w:instrText xml:space="preserve"> SEQ Figure \* ARABIC \s 1 </w:instrText>
                            </w:r>
                            <w:r>
                              <w:rPr>
                                <w:b/>
                                <w:sz w:val="20"/>
                                <w:szCs w:val="20"/>
                              </w:rPr>
                              <w:fldChar w:fldCharType="separate"/>
                            </w:r>
                            <w:r>
                              <w:rPr>
                                <w:b/>
                                <w:noProof/>
                                <w:sz w:val="20"/>
                                <w:szCs w:val="20"/>
                              </w:rPr>
                              <w:t>14</w:t>
                            </w:r>
                            <w:r>
                              <w:rPr>
                                <w:b/>
                                <w:sz w:val="20"/>
                                <w:szCs w:val="20"/>
                              </w:rPr>
                              <w:fldChar w:fldCharType="end"/>
                            </w:r>
                            <w:bookmarkEnd w:id="644"/>
                            <w:r w:rsidRPr="00985B84">
                              <w:rPr>
                                <w:b/>
                                <w:sz w:val="20"/>
                                <w:szCs w:val="20"/>
                              </w:rPr>
                              <w:t xml:space="preserve"> - Platform model</w:t>
                            </w:r>
                            <w:r>
                              <w:rPr>
                                <w:b/>
                                <w:sz w:val="20"/>
                                <w:szCs w:val="20"/>
                              </w:rPr>
                              <w:t xml:space="preserve"> activity diagram</w:t>
                            </w:r>
                            <w:r w:rsidRPr="00985B84">
                              <w:rPr>
                                <w:b/>
                                <w:sz w:val="20"/>
                                <w:szCs w:val="20"/>
                              </w:rPr>
                              <w:t xml:space="preserve"> </w:t>
                            </w:r>
                            <w:r>
                              <w:rPr>
                                <w:b/>
                                <w:sz w:val="20"/>
                                <w:szCs w:val="20"/>
                              </w:rPr>
                              <w:t>for</w:t>
                            </w:r>
                            <w:r w:rsidRPr="00985B84">
                              <w:rPr>
                                <w:b/>
                                <w:sz w:val="20"/>
                                <w:szCs w:val="20"/>
                              </w:rPr>
                              <w:t xml:space="preserve"> all model entities including Amphotericin B. </w:t>
                            </w:r>
                            <w:r>
                              <w:rPr>
                                <w:sz w:val="20"/>
                                <w:szCs w:val="20"/>
                              </w:rPr>
                              <w:t xml:space="preserve">UML diagram representing the platform activities of all model entities (T cells, myeloid cells and </w:t>
                            </w:r>
                            <w:r>
                              <w:rPr>
                                <w:i/>
                                <w:sz w:val="20"/>
                                <w:szCs w:val="20"/>
                              </w:rPr>
                              <w:t>L. donovani</w:t>
                            </w:r>
                            <w:r>
                              <w:rPr>
                                <w:sz w:val="20"/>
                                <w:szCs w:val="20"/>
                              </w:rPr>
                              <w:t>) with the addition of Amphotericin B. New activities are denoted in red. New or updated parameters associated with these processes are shown in blue.</w:t>
                            </w:r>
                            <w:bookmarkEnd w:id="645"/>
                            <w:bookmarkEnd w:id="646"/>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4B4A9AB" id="Text Box 551" o:spid="_x0000_s1185" type="#_x0000_t202" style="position:absolute;left:0;text-align:left;margin-left:-15pt;margin-top:460.95pt;width:468.5pt;height:69.25pt;z-index:2519070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08mUZNAIAAG0EAAAOAAAAZHJzL2Uyb0RvYy54bWysVFFv2yAQfp+0/4B4X5xU9dpYcaosVaZJ&#13;&#10;UVspmfpMMMRImGNAYme/fge2267b07QXfNwdB9/33Xlx1zWanIXzCkxJZ5MpJcJwqJQ5lvT7fvPp&#13;&#10;lhIfmKmYBiNKehGe3i0/fli0thBXUIOuhCNYxPiitSWtQ7BFlnlei4b5CVhhMCjBNSzg1h2zyrEW&#13;&#10;qzc6u5pOP2ctuMo64MJ79N73QbpM9aUUPDxK6UUguqT4tpBWl9ZDXLPlghVHx2yt+PAM9g+vaJgy&#13;&#10;eOlLqXsWGDk59UepRnEHHmSYcGgykFJxkTAgmtn0HZpdzaxIWJAcb19o8v+vLH84PzmiqpLm+YwS&#13;&#10;wxoUaS+6QL5AR6IPGWqtLzBxZzE1dBhApUe/R2cE3knXxC9CIhhHri8v/MZyHJ35/Ho+zzHEMXZ7&#13;&#10;M7++yWOZ7PW0dT58FdCQaJTUoX6JVnbe+tCnjinxMg9aVRulddzEwFo7cmaodVurIIbiv2VpE3MN&#13;&#10;xFN9wejJIsQeSrRCd+gSKbN8PgI9QHVB/A76HvKWbxTeuGU+PDGHTYO4cBDCIy5SQ1tSGCxKanA/&#13;&#10;/+aP+aglRilpsQlL6n+cmBOU6G8GVY4dOxpuNA6jYU7NGhAr6oavSSYecEGPpnTQPON8rOItGGKG&#13;&#10;410lDaO5Dv0o4HxxsVqlJOxLy8LW7CyPpUdm990zc3bQJaCiDzC2JyveydPn9jyvTgGkStpFZnsW&#13;&#10;B8Kxp5P6w/zFoXm7T1mvf4nlLwAAAP//AwBQSwMEFAAGAAgAAAAhAAepOFvlAAAAEQEAAA8AAABk&#13;&#10;cnMvZG93bnJldi54bWxMj0FPwzAMhe9I/IfISFzQlqygQrumE6xwg8PGtHPWhLaicaokXbt/jznB&#13;&#10;xZLt5+f3FZvZ9uxsfOgcSlgtBTCDtdMdNhIOn2+LJ2AhKtSqd2gkXEyATXl9Vahcuwl35ryPDSMT&#13;&#10;DLmS0MY45JyHujVWhaUbDNLuy3mrIrW+4dqricxtzxMhUm5Vh/ShVYPZtqb+3o9WQlr5cdrh9q46&#13;&#10;vL6rj6FJji+Xo5S3N3O1pvK8BhbNHP8u4JeB8kNJwU5uRB1YL2FxLwgoSsiSVQaMFJl4pMmJpCIV&#13;&#10;D8DLgv8nKX8AAAD//wMAUEsBAi0AFAAGAAgAAAAhALaDOJL+AAAA4QEAABMAAAAAAAAAAAAAAAAA&#13;&#10;AAAAAFtDb250ZW50X1R5cGVzXS54bWxQSwECLQAUAAYACAAAACEAOP0h/9YAAACUAQAACwAAAAAA&#13;&#10;AAAAAAAAAAAvAQAAX3JlbHMvLnJlbHNQSwECLQAUAAYACAAAACEA9PJlGTQCAABtBAAADgAAAAAA&#13;&#10;AAAAAAAAAAAuAgAAZHJzL2Uyb0RvYy54bWxQSwECLQAUAAYACAAAACEAB6k4W+UAAAARAQAADwAA&#13;&#10;AAAAAAAAAAAAAACOBAAAZHJzL2Rvd25yZXYueG1sUEsFBgAAAAAEAAQA8wAAAKAFAAAAAA==&#13;&#10;" stroked="f">
                <v:textbox inset="0,0,0,0">
                  <w:txbxContent>
                    <w:p w14:paraId="786B38DB" w14:textId="2CBA5296" w:rsidR="00F61130" w:rsidRPr="00CE28E2" w:rsidRDefault="00F61130" w:rsidP="00985B84">
                      <w:pPr>
                        <w:pStyle w:val="Caption"/>
                        <w:spacing w:line="360" w:lineRule="auto"/>
                        <w:rPr>
                          <w:noProof/>
                          <w:sz w:val="20"/>
                          <w:szCs w:val="20"/>
                        </w:rPr>
                      </w:pPr>
                      <w:bookmarkStart w:id="647" w:name="_Ref522814474"/>
                      <w:bookmarkStart w:id="648" w:name="_Toc525227250"/>
                      <w:bookmarkStart w:id="649" w:name="_Toc536814188"/>
                      <w:r w:rsidRPr="00985B84">
                        <w:rPr>
                          <w:b/>
                          <w:sz w:val="20"/>
                          <w:szCs w:val="20"/>
                        </w:rPr>
                        <w:t xml:space="preserve">Figure </w:t>
                      </w:r>
                      <w:r>
                        <w:rPr>
                          <w:b/>
                          <w:sz w:val="20"/>
                          <w:szCs w:val="20"/>
                        </w:rPr>
                        <w:fldChar w:fldCharType="begin"/>
                      </w:r>
                      <w:r>
                        <w:rPr>
                          <w:b/>
                          <w:sz w:val="20"/>
                          <w:szCs w:val="20"/>
                        </w:rPr>
                        <w:instrText xml:space="preserve"> STYLEREF 1 \s </w:instrText>
                      </w:r>
                      <w:r>
                        <w:rPr>
                          <w:b/>
                          <w:sz w:val="20"/>
                          <w:szCs w:val="20"/>
                        </w:rPr>
                        <w:fldChar w:fldCharType="separate"/>
                      </w:r>
                      <w:r>
                        <w:rPr>
                          <w:b/>
                          <w:noProof/>
                          <w:sz w:val="20"/>
                          <w:szCs w:val="20"/>
                        </w:rPr>
                        <w:t>5</w:t>
                      </w:r>
                      <w:r>
                        <w:rPr>
                          <w:b/>
                          <w:sz w:val="20"/>
                          <w:szCs w:val="20"/>
                        </w:rPr>
                        <w:fldChar w:fldCharType="end"/>
                      </w:r>
                      <w:r>
                        <w:rPr>
                          <w:b/>
                          <w:sz w:val="20"/>
                          <w:szCs w:val="20"/>
                        </w:rPr>
                        <w:t>.</w:t>
                      </w:r>
                      <w:r>
                        <w:rPr>
                          <w:b/>
                          <w:sz w:val="20"/>
                          <w:szCs w:val="20"/>
                        </w:rPr>
                        <w:fldChar w:fldCharType="begin"/>
                      </w:r>
                      <w:r>
                        <w:rPr>
                          <w:b/>
                          <w:sz w:val="20"/>
                          <w:szCs w:val="20"/>
                        </w:rPr>
                        <w:instrText xml:space="preserve"> SEQ Figure \* ARABIC \s 1 </w:instrText>
                      </w:r>
                      <w:r>
                        <w:rPr>
                          <w:b/>
                          <w:sz w:val="20"/>
                          <w:szCs w:val="20"/>
                        </w:rPr>
                        <w:fldChar w:fldCharType="separate"/>
                      </w:r>
                      <w:r>
                        <w:rPr>
                          <w:b/>
                          <w:noProof/>
                          <w:sz w:val="20"/>
                          <w:szCs w:val="20"/>
                        </w:rPr>
                        <w:t>14</w:t>
                      </w:r>
                      <w:r>
                        <w:rPr>
                          <w:b/>
                          <w:sz w:val="20"/>
                          <w:szCs w:val="20"/>
                        </w:rPr>
                        <w:fldChar w:fldCharType="end"/>
                      </w:r>
                      <w:bookmarkEnd w:id="647"/>
                      <w:r w:rsidRPr="00985B84">
                        <w:rPr>
                          <w:b/>
                          <w:sz w:val="20"/>
                          <w:szCs w:val="20"/>
                        </w:rPr>
                        <w:t xml:space="preserve"> - Platform model</w:t>
                      </w:r>
                      <w:r>
                        <w:rPr>
                          <w:b/>
                          <w:sz w:val="20"/>
                          <w:szCs w:val="20"/>
                        </w:rPr>
                        <w:t xml:space="preserve"> activity diagram</w:t>
                      </w:r>
                      <w:r w:rsidRPr="00985B84">
                        <w:rPr>
                          <w:b/>
                          <w:sz w:val="20"/>
                          <w:szCs w:val="20"/>
                        </w:rPr>
                        <w:t xml:space="preserve"> </w:t>
                      </w:r>
                      <w:r>
                        <w:rPr>
                          <w:b/>
                          <w:sz w:val="20"/>
                          <w:szCs w:val="20"/>
                        </w:rPr>
                        <w:t>for</w:t>
                      </w:r>
                      <w:r w:rsidRPr="00985B84">
                        <w:rPr>
                          <w:b/>
                          <w:sz w:val="20"/>
                          <w:szCs w:val="20"/>
                        </w:rPr>
                        <w:t xml:space="preserve"> all model entities including Amphotericin B. </w:t>
                      </w:r>
                      <w:r>
                        <w:rPr>
                          <w:sz w:val="20"/>
                          <w:szCs w:val="20"/>
                        </w:rPr>
                        <w:t xml:space="preserve">UML diagram representing the platform activities of all model entities (T cells, myeloid cells and </w:t>
                      </w:r>
                      <w:r>
                        <w:rPr>
                          <w:i/>
                          <w:sz w:val="20"/>
                          <w:szCs w:val="20"/>
                        </w:rPr>
                        <w:t>L. donovani</w:t>
                      </w:r>
                      <w:r>
                        <w:rPr>
                          <w:sz w:val="20"/>
                          <w:szCs w:val="20"/>
                        </w:rPr>
                        <w:t>) with the addition of Amphotericin B. New activities are denoted in red. New or updated parameters associated with these processes are shown in blue.</w:t>
                      </w:r>
                      <w:bookmarkEnd w:id="648"/>
                      <w:bookmarkEnd w:id="649"/>
                    </w:p>
                  </w:txbxContent>
                </v:textbox>
                <w10:wrap type="topAndBottom"/>
              </v:shape>
            </w:pict>
          </mc:Fallback>
        </mc:AlternateContent>
      </w:r>
      <w:r w:rsidR="00530A00">
        <w:rPr>
          <w:noProof/>
        </w:rPr>
        <w:drawing>
          <wp:anchor distT="0" distB="0" distL="114300" distR="114300" simplePos="0" relativeHeight="251906048" behindDoc="0" locked="0" layoutInCell="1" allowOverlap="1" wp14:anchorId="1939746F" wp14:editId="52C0BFD7">
            <wp:simplePos x="0" y="0"/>
            <wp:positionH relativeFrom="column">
              <wp:posOffset>-72390</wp:posOffset>
            </wp:positionH>
            <wp:positionV relativeFrom="paragraph">
              <wp:posOffset>494030</wp:posOffset>
            </wp:positionV>
            <wp:extent cx="5617845" cy="5346700"/>
            <wp:effectExtent l="0" t="0" r="0" b="0"/>
            <wp:wrapTopAndBottom/>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Picture 128"/>
                    <pic:cNvPicPr>
                      <a:picLocks noChangeAspect="1"/>
                    </pic:cNvPicPr>
                  </pic:nvPicPr>
                  <pic:blipFill rotWithShape="1">
                    <a:blip r:embed="rId95">
                      <a:extLst>
                        <a:ext uri="{28A0092B-C50C-407E-A947-70E740481C1C}">
                          <a14:useLocalDpi xmlns:a14="http://schemas.microsoft.com/office/drawing/2010/main" val="0"/>
                        </a:ext>
                      </a:extLst>
                    </a:blip>
                    <a:srcRect l="2699" t="13925" r="2424" b="22301"/>
                    <a:stretch/>
                  </pic:blipFill>
                  <pic:spPr bwMode="auto">
                    <a:xfrm>
                      <a:off x="0" y="0"/>
                      <a:ext cx="5617845" cy="5346700"/>
                    </a:xfrm>
                    <a:prstGeom prst="rect">
                      <a:avLst/>
                    </a:prstGeom>
                    <a:ln>
                      <a:noFill/>
                    </a:ln>
                    <a:extLst>
                      <a:ext uri="{53640926-AAD7-44D8-BBD7-CCE9431645EC}">
                        <a14:shadowObscured xmlns:a14="http://schemas.microsoft.com/office/drawing/2010/main"/>
                      </a:ext>
                    </a:extLst>
                  </pic:spPr>
                </pic:pic>
              </a:graphicData>
            </a:graphic>
          </wp:anchor>
        </w:drawing>
      </w:r>
      <w:r w:rsidR="00137883" w:rsidRPr="008B3AD6">
        <w:t xml:space="preserve">concentrations of </w:t>
      </w:r>
      <w:r w:rsidR="00A32111">
        <w:t>AmB</w:t>
      </w:r>
      <w:r w:rsidR="00137883" w:rsidRPr="008B3AD6">
        <w:t xml:space="preserve"> with cellular entities thus forming the platform representation. </w:t>
      </w:r>
    </w:p>
    <w:p w14:paraId="5785C8E8" w14:textId="25D60714" w:rsidR="006715A5" w:rsidRPr="008B3AD6" w:rsidRDefault="006715A5" w:rsidP="00280C30">
      <w:pPr>
        <w:spacing w:line="360" w:lineRule="auto"/>
        <w:jc w:val="both"/>
      </w:pPr>
    </w:p>
    <w:p w14:paraId="6C8033DD" w14:textId="189E69FF" w:rsidR="00D50249" w:rsidRPr="008B3AD6" w:rsidRDefault="00F7425F" w:rsidP="00F41A2A">
      <w:pPr>
        <w:spacing w:line="360" w:lineRule="auto"/>
        <w:jc w:val="both"/>
        <w:sectPr w:rsidR="00D50249" w:rsidRPr="008B3AD6" w:rsidSect="00E44977">
          <w:pgSz w:w="11900" w:h="16840"/>
          <w:pgMar w:top="1134" w:right="851" w:bottom="1134" w:left="2268" w:header="709" w:footer="709" w:gutter="0"/>
          <w:cols w:space="708"/>
          <w:docGrid w:linePitch="360"/>
        </w:sectPr>
      </w:pPr>
      <w:r>
        <w:rPr>
          <w:noProof/>
        </w:rPr>
        <mc:AlternateContent>
          <mc:Choice Requires="wps">
            <w:drawing>
              <wp:anchor distT="0" distB="0" distL="114300" distR="114300" simplePos="0" relativeHeight="252161024" behindDoc="0" locked="0" layoutInCell="1" allowOverlap="1" wp14:anchorId="7F4411B7" wp14:editId="5587D493">
                <wp:simplePos x="0" y="0"/>
                <wp:positionH relativeFrom="column">
                  <wp:posOffset>3427095</wp:posOffset>
                </wp:positionH>
                <wp:positionV relativeFrom="paragraph">
                  <wp:posOffset>396875</wp:posOffset>
                </wp:positionV>
                <wp:extent cx="2187575" cy="1856740"/>
                <wp:effectExtent l="0" t="0" r="0" b="0"/>
                <wp:wrapTopAndBottom/>
                <wp:docPr id="20" name="Text Box 20"/>
                <wp:cNvGraphicFramePr/>
                <a:graphic xmlns:a="http://schemas.openxmlformats.org/drawingml/2006/main">
                  <a:graphicData uri="http://schemas.microsoft.com/office/word/2010/wordprocessingShape">
                    <wps:wsp>
                      <wps:cNvSpPr txBox="1"/>
                      <wps:spPr>
                        <a:xfrm>
                          <a:off x="0" y="0"/>
                          <a:ext cx="2187575" cy="1856740"/>
                        </a:xfrm>
                        <a:prstGeom prst="rect">
                          <a:avLst/>
                        </a:prstGeom>
                        <a:solidFill>
                          <a:prstClr val="white"/>
                        </a:solidFill>
                        <a:ln>
                          <a:noFill/>
                        </a:ln>
                      </wps:spPr>
                      <wps:txbx>
                        <w:txbxContent>
                          <w:p w14:paraId="78B55254" w14:textId="56F2DFEC" w:rsidR="00F61130" w:rsidRPr="00696081" w:rsidRDefault="00F61130" w:rsidP="000B4201">
                            <w:pPr>
                              <w:pStyle w:val="Caption"/>
                              <w:spacing w:line="360" w:lineRule="auto"/>
                              <w:jc w:val="both"/>
                              <w:rPr>
                                <w:sz w:val="20"/>
                                <w:szCs w:val="20"/>
                              </w:rPr>
                            </w:pPr>
                            <w:bookmarkStart w:id="650" w:name="_Toc536814189"/>
                            <w:r w:rsidRPr="00696081">
                              <w:rPr>
                                <w:b/>
                                <w:sz w:val="20"/>
                                <w:szCs w:val="20"/>
                              </w:rPr>
                              <w:t xml:space="preserve">Figure </w:t>
                            </w:r>
                            <w:r>
                              <w:rPr>
                                <w:b/>
                                <w:sz w:val="20"/>
                                <w:szCs w:val="20"/>
                              </w:rPr>
                              <w:fldChar w:fldCharType="begin"/>
                            </w:r>
                            <w:r>
                              <w:rPr>
                                <w:b/>
                                <w:sz w:val="20"/>
                                <w:szCs w:val="20"/>
                              </w:rPr>
                              <w:instrText xml:space="preserve"> STYLEREF 1 \s </w:instrText>
                            </w:r>
                            <w:r>
                              <w:rPr>
                                <w:b/>
                                <w:sz w:val="20"/>
                                <w:szCs w:val="20"/>
                              </w:rPr>
                              <w:fldChar w:fldCharType="separate"/>
                            </w:r>
                            <w:r>
                              <w:rPr>
                                <w:b/>
                                <w:noProof/>
                                <w:sz w:val="20"/>
                                <w:szCs w:val="20"/>
                              </w:rPr>
                              <w:t>5</w:t>
                            </w:r>
                            <w:r>
                              <w:rPr>
                                <w:b/>
                                <w:sz w:val="20"/>
                                <w:szCs w:val="20"/>
                              </w:rPr>
                              <w:fldChar w:fldCharType="end"/>
                            </w:r>
                            <w:r>
                              <w:rPr>
                                <w:b/>
                                <w:sz w:val="20"/>
                                <w:szCs w:val="20"/>
                              </w:rPr>
                              <w:t>.</w:t>
                            </w:r>
                            <w:r>
                              <w:rPr>
                                <w:b/>
                                <w:sz w:val="20"/>
                                <w:szCs w:val="20"/>
                              </w:rPr>
                              <w:fldChar w:fldCharType="begin"/>
                            </w:r>
                            <w:r>
                              <w:rPr>
                                <w:b/>
                                <w:sz w:val="20"/>
                                <w:szCs w:val="20"/>
                              </w:rPr>
                              <w:instrText xml:space="preserve"> SEQ Figure \* ARABIC \s 1 </w:instrText>
                            </w:r>
                            <w:r>
                              <w:rPr>
                                <w:b/>
                                <w:sz w:val="20"/>
                                <w:szCs w:val="20"/>
                              </w:rPr>
                              <w:fldChar w:fldCharType="separate"/>
                            </w:r>
                            <w:r>
                              <w:rPr>
                                <w:b/>
                                <w:noProof/>
                                <w:sz w:val="20"/>
                                <w:szCs w:val="20"/>
                              </w:rPr>
                              <w:t>15</w:t>
                            </w:r>
                            <w:r>
                              <w:rPr>
                                <w:b/>
                                <w:sz w:val="20"/>
                                <w:szCs w:val="20"/>
                              </w:rPr>
                              <w:fldChar w:fldCharType="end"/>
                            </w:r>
                            <w:r w:rsidRPr="00696081">
                              <w:rPr>
                                <w:b/>
                                <w:sz w:val="20"/>
                                <w:szCs w:val="20"/>
                              </w:rPr>
                              <w:t xml:space="preserve"> -</w:t>
                            </w:r>
                            <w:r w:rsidRPr="00696081">
                              <w:rPr>
                                <w:sz w:val="20"/>
                                <w:szCs w:val="20"/>
                              </w:rPr>
                              <w:t xml:space="preserve"> </w:t>
                            </w:r>
                            <w:r>
                              <w:rPr>
                                <w:b/>
                                <w:sz w:val="20"/>
                                <w:szCs w:val="20"/>
                              </w:rPr>
                              <w:t>Platform state diagram of Amphotericin B.</w:t>
                            </w:r>
                            <w:r w:rsidRPr="00696081">
                              <w:rPr>
                                <w:sz w:val="20"/>
                                <w:szCs w:val="20"/>
                              </w:rPr>
                              <w:t xml:space="preserve"> UML-like diagram reflecting the platform model state changes that Amphotericin B may undergo when entered into a system. Bold text reflects processes leading to state changes</w:t>
                            </w:r>
                            <w:bookmarkEnd w:id="650"/>
                            <w:r>
                              <w:rPr>
                                <w:sz w:val="20"/>
                                <w:szCs w:val="20"/>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4411B7" id="Text Box 20" o:spid="_x0000_s1186" type="#_x0000_t202" style="position:absolute;left:0;text-align:left;margin-left:269.85pt;margin-top:31.25pt;width:172.25pt;height:146.2pt;z-index:252161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ExefSNQIAAGwEAAAOAAAAZHJzL2Uyb0RvYy54bWysVE2P2jAQvVfqf7B8LyGowCoirCgrqkpo&#13;&#10;dyWo9mwcm1hyPK5tSOiv79gh7HbbU9WLM54Zz8d7M1ncd40mZ+G8AlPSfDSmRBgOlTLHkn7fbz7d&#13;&#10;UeIDMxXTYERJL8LT++XHD4vWFmICNehKOIJBjC9aW9I6BFtkmee1aJgfgRUGjRJcwwJe3TGrHGsx&#13;&#10;eqOzyXg8y1pwlXXAhfeofeiNdJniSyl4eJLSi0B0SbG2kE6XzkM8s+WCFUfHbK34tQz2D1U0TBlM&#13;&#10;egv1wAIjJ6f+CNUo7sCDDCMOTQZSKi5SD9hNPn7Xza5mVqReEBxvbzD5/xeWP56fHVFVSScIj2EN&#13;&#10;crQXXSBfoCOoQnxa6wt021l0DB3qkedB71EZ2+6ka+IXGyJox1CXG7oxGkflJL+bT+dTSjja8rvp&#13;&#10;bP45xc9en1vnw1cBDYlCSR3Sl1Bl560PWAq6Di4xmwetqo3SOl6iYa0dOTOkuq1VELFIfPGblzbR&#13;&#10;10B81ZujJos99r1EKXSHLmGSz24IHKC6IAAO+hHylm8UZtwyH56Zw5nBnnEPwhMeUkNbUrhKlNTg&#13;&#10;fv5NH/2RSrRS0uIMltT/ODEnKNHfDJIcB3YQ3CAcBsGcmjVgrzlumOVJxAcu6EGUDpoXXI9VzIIm&#13;&#10;ZjjmKmkYxHXoNwHXi4vVKjnhWFoWtmZneQw9ILvvXpizV14CUvoIw3Sy4h09vW+P8+oUQKrEXUS2&#13;&#10;R/EKOI50Iui6fnFn3t6T1+tPYvkLAAD//wMAUEsDBBQABgAIAAAAIQD0mvoO5QAAAA8BAAAPAAAA&#13;&#10;ZHJzL2Rvd25yZXYueG1sTI/BTsMwEETvSPyDtUhcEHVIm5KmcSpo6A0OLVXPbmySiHgd2U6T/j3L&#13;&#10;CS4rrXbm7Uy+mUzHLtr51qKAp1kETGNlVYu1gOPn7jEF5oNEJTuLWsBVe9gUtze5zJQdca8vh1Az&#13;&#10;gqDPpIAmhD7j3FeNNtLPbK+Rbl/WGRlodTVXTo4ENx2Po2jJjWyRPjSy19tGV9+HwQhYlm4Y97h9&#13;&#10;KI9v7/Kjr+PT6/UkxP3dVK5pvKyBBT2FPwf8dqD8UFCwsx1QedYJSOarZ5ISMU6AkSBNFzGws4B5&#13;&#10;slgBL3L+v0fxAwAA//8DAFBLAQItABQABgAIAAAAIQC2gziS/gAAAOEBAAATAAAAAAAAAAAAAAAA&#13;&#10;AAAAAABbQ29udGVudF9UeXBlc10ueG1sUEsBAi0AFAAGAAgAAAAhADj9If/WAAAAlAEAAAsAAAAA&#13;&#10;AAAAAAAAAAAALwEAAF9yZWxzLy5yZWxzUEsBAi0AFAAGAAgAAAAhAITF59I1AgAAbAQAAA4AAAAA&#13;&#10;AAAAAAAAAAAALgIAAGRycy9lMm9Eb2MueG1sUEsBAi0AFAAGAAgAAAAhAPSa+g7lAAAADwEAAA8A&#13;&#10;AAAAAAAAAAAAAAAAjwQAAGRycy9kb3ducmV2LnhtbFBLBQYAAAAABAAEAPMAAAChBQAAAAA=&#13;&#10;" stroked="f">
                <v:textbox inset="0,0,0,0">
                  <w:txbxContent>
                    <w:p w14:paraId="78B55254" w14:textId="56F2DFEC" w:rsidR="00F61130" w:rsidRPr="00696081" w:rsidRDefault="00F61130" w:rsidP="000B4201">
                      <w:pPr>
                        <w:pStyle w:val="Caption"/>
                        <w:spacing w:line="360" w:lineRule="auto"/>
                        <w:jc w:val="both"/>
                        <w:rPr>
                          <w:sz w:val="20"/>
                          <w:szCs w:val="20"/>
                        </w:rPr>
                      </w:pPr>
                      <w:bookmarkStart w:id="651" w:name="_Toc536814189"/>
                      <w:r w:rsidRPr="00696081">
                        <w:rPr>
                          <w:b/>
                          <w:sz w:val="20"/>
                          <w:szCs w:val="20"/>
                        </w:rPr>
                        <w:t xml:space="preserve">Figure </w:t>
                      </w:r>
                      <w:r>
                        <w:rPr>
                          <w:b/>
                          <w:sz w:val="20"/>
                          <w:szCs w:val="20"/>
                        </w:rPr>
                        <w:fldChar w:fldCharType="begin"/>
                      </w:r>
                      <w:r>
                        <w:rPr>
                          <w:b/>
                          <w:sz w:val="20"/>
                          <w:szCs w:val="20"/>
                        </w:rPr>
                        <w:instrText xml:space="preserve"> STYLEREF 1 \s </w:instrText>
                      </w:r>
                      <w:r>
                        <w:rPr>
                          <w:b/>
                          <w:sz w:val="20"/>
                          <w:szCs w:val="20"/>
                        </w:rPr>
                        <w:fldChar w:fldCharType="separate"/>
                      </w:r>
                      <w:r>
                        <w:rPr>
                          <w:b/>
                          <w:noProof/>
                          <w:sz w:val="20"/>
                          <w:szCs w:val="20"/>
                        </w:rPr>
                        <w:t>5</w:t>
                      </w:r>
                      <w:r>
                        <w:rPr>
                          <w:b/>
                          <w:sz w:val="20"/>
                          <w:szCs w:val="20"/>
                        </w:rPr>
                        <w:fldChar w:fldCharType="end"/>
                      </w:r>
                      <w:r>
                        <w:rPr>
                          <w:b/>
                          <w:sz w:val="20"/>
                          <w:szCs w:val="20"/>
                        </w:rPr>
                        <w:t>.</w:t>
                      </w:r>
                      <w:r>
                        <w:rPr>
                          <w:b/>
                          <w:sz w:val="20"/>
                          <w:szCs w:val="20"/>
                        </w:rPr>
                        <w:fldChar w:fldCharType="begin"/>
                      </w:r>
                      <w:r>
                        <w:rPr>
                          <w:b/>
                          <w:sz w:val="20"/>
                          <w:szCs w:val="20"/>
                        </w:rPr>
                        <w:instrText xml:space="preserve"> SEQ Figure \* ARABIC \s 1 </w:instrText>
                      </w:r>
                      <w:r>
                        <w:rPr>
                          <w:b/>
                          <w:sz w:val="20"/>
                          <w:szCs w:val="20"/>
                        </w:rPr>
                        <w:fldChar w:fldCharType="separate"/>
                      </w:r>
                      <w:r>
                        <w:rPr>
                          <w:b/>
                          <w:noProof/>
                          <w:sz w:val="20"/>
                          <w:szCs w:val="20"/>
                        </w:rPr>
                        <w:t>15</w:t>
                      </w:r>
                      <w:r>
                        <w:rPr>
                          <w:b/>
                          <w:sz w:val="20"/>
                          <w:szCs w:val="20"/>
                        </w:rPr>
                        <w:fldChar w:fldCharType="end"/>
                      </w:r>
                      <w:r w:rsidRPr="00696081">
                        <w:rPr>
                          <w:b/>
                          <w:sz w:val="20"/>
                          <w:szCs w:val="20"/>
                        </w:rPr>
                        <w:t xml:space="preserve"> -</w:t>
                      </w:r>
                      <w:r w:rsidRPr="00696081">
                        <w:rPr>
                          <w:sz w:val="20"/>
                          <w:szCs w:val="20"/>
                        </w:rPr>
                        <w:t xml:space="preserve"> </w:t>
                      </w:r>
                      <w:r>
                        <w:rPr>
                          <w:b/>
                          <w:sz w:val="20"/>
                          <w:szCs w:val="20"/>
                        </w:rPr>
                        <w:t>Platform state diagram of Amphotericin B.</w:t>
                      </w:r>
                      <w:r w:rsidRPr="00696081">
                        <w:rPr>
                          <w:sz w:val="20"/>
                          <w:szCs w:val="20"/>
                        </w:rPr>
                        <w:t xml:space="preserve"> UML-like diagram reflecting the platform model state changes that Amphotericin B may undergo when entered into a system. Bold text reflects processes leading to state changes</w:t>
                      </w:r>
                      <w:bookmarkEnd w:id="651"/>
                      <w:r>
                        <w:rPr>
                          <w:sz w:val="20"/>
                          <w:szCs w:val="20"/>
                        </w:rPr>
                        <w:t>.</w:t>
                      </w:r>
                    </w:p>
                  </w:txbxContent>
                </v:textbox>
                <w10:wrap type="topAndBottom"/>
              </v:shape>
            </w:pict>
          </mc:Fallback>
        </mc:AlternateContent>
      </w:r>
      <w:r>
        <w:rPr>
          <w:noProof/>
        </w:rPr>
        <w:drawing>
          <wp:anchor distT="0" distB="0" distL="114300" distR="114300" simplePos="0" relativeHeight="252160000" behindDoc="0" locked="0" layoutInCell="1" allowOverlap="1" wp14:anchorId="43B97801" wp14:editId="4C029684">
            <wp:simplePos x="0" y="0"/>
            <wp:positionH relativeFrom="margin">
              <wp:posOffset>-300795</wp:posOffset>
            </wp:positionH>
            <wp:positionV relativeFrom="paragraph">
              <wp:posOffset>108048</wp:posOffset>
            </wp:positionV>
            <wp:extent cx="3727450" cy="1928495"/>
            <wp:effectExtent l="0" t="0" r="6350" b="1905"/>
            <wp:wrapTopAndBottom/>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AmB platform state.pdf"/>
                    <pic:cNvPicPr/>
                  </pic:nvPicPr>
                  <pic:blipFill rotWithShape="1">
                    <a:blip r:embed="rId96">
                      <a:extLst>
                        <a:ext uri="{28A0092B-C50C-407E-A947-70E740481C1C}">
                          <a14:useLocalDpi xmlns:a14="http://schemas.microsoft.com/office/drawing/2010/main" val="0"/>
                        </a:ext>
                      </a:extLst>
                    </a:blip>
                    <a:srcRect l="13086" t="21910" r="11375" b="22941"/>
                    <a:stretch/>
                  </pic:blipFill>
                  <pic:spPr bwMode="auto">
                    <a:xfrm>
                      <a:off x="0" y="0"/>
                      <a:ext cx="3727450" cy="19284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6899F66" w14:textId="4C2802ED" w:rsidR="00D50249" w:rsidRPr="008B3AD6" w:rsidRDefault="006F0D9E" w:rsidP="00F41A2A">
      <w:pPr>
        <w:spacing w:line="360" w:lineRule="auto"/>
        <w:jc w:val="both"/>
        <w:sectPr w:rsidR="00D50249" w:rsidRPr="008B3AD6" w:rsidSect="00D50249">
          <w:pgSz w:w="16840" w:h="11900" w:orient="landscape"/>
          <w:pgMar w:top="851" w:right="1134" w:bottom="2268" w:left="1134" w:header="709" w:footer="709" w:gutter="0"/>
          <w:cols w:space="708"/>
          <w:docGrid w:linePitch="360"/>
        </w:sectPr>
      </w:pPr>
      <w:r>
        <w:rPr>
          <w:noProof/>
        </w:rPr>
        <w:lastRenderedPageBreak/>
        <w:drawing>
          <wp:anchor distT="0" distB="0" distL="114300" distR="114300" simplePos="0" relativeHeight="252089344" behindDoc="0" locked="0" layoutInCell="1" allowOverlap="1" wp14:anchorId="36E6D65B" wp14:editId="73199930">
            <wp:simplePos x="0" y="0"/>
            <wp:positionH relativeFrom="column">
              <wp:posOffset>13335</wp:posOffset>
            </wp:positionH>
            <wp:positionV relativeFrom="paragraph">
              <wp:posOffset>1270</wp:posOffset>
            </wp:positionV>
            <wp:extent cx="9232900" cy="4911725"/>
            <wp:effectExtent l="0" t="0" r="0" b="0"/>
            <wp:wrapTopAndBottom/>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pic:cNvPicPr>
                      <a:picLocks noChangeAspect="1"/>
                    </pic:cNvPicPr>
                  </pic:nvPicPr>
                  <pic:blipFill rotWithShape="1">
                    <a:blip r:embed="rId97">
                      <a:extLst>
                        <a:ext uri="{28A0092B-C50C-407E-A947-70E740481C1C}">
                          <a14:useLocalDpi xmlns:a14="http://schemas.microsoft.com/office/drawing/2010/main" val="0"/>
                        </a:ext>
                      </a:extLst>
                    </a:blip>
                    <a:srcRect b="7687"/>
                    <a:stretch/>
                  </pic:blipFill>
                  <pic:spPr bwMode="auto">
                    <a:xfrm>
                      <a:off x="0" y="0"/>
                      <a:ext cx="9232900" cy="4911725"/>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E41555">
        <w:rPr>
          <w:noProof/>
        </w:rPr>
        <mc:AlternateContent>
          <mc:Choice Requires="wps">
            <w:drawing>
              <wp:anchor distT="0" distB="0" distL="114300" distR="114300" simplePos="0" relativeHeight="252088320" behindDoc="0" locked="0" layoutInCell="1" allowOverlap="1" wp14:anchorId="58331143" wp14:editId="3816C4FE">
                <wp:simplePos x="0" y="0"/>
                <wp:positionH relativeFrom="column">
                  <wp:posOffset>107123</wp:posOffset>
                </wp:positionH>
                <wp:positionV relativeFrom="paragraph">
                  <wp:posOffset>4970225</wp:posOffset>
                </wp:positionV>
                <wp:extent cx="9074150" cy="590218"/>
                <wp:effectExtent l="0" t="0" r="6350" b="0"/>
                <wp:wrapTopAndBottom/>
                <wp:docPr id="625" name="Text Box 625"/>
                <wp:cNvGraphicFramePr/>
                <a:graphic xmlns:a="http://schemas.openxmlformats.org/drawingml/2006/main">
                  <a:graphicData uri="http://schemas.microsoft.com/office/word/2010/wordprocessingShape">
                    <wps:wsp>
                      <wps:cNvSpPr txBox="1"/>
                      <wps:spPr>
                        <a:xfrm>
                          <a:off x="0" y="0"/>
                          <a:ext cx="9074150" cy="590218"/>
                        </a:xfrm>
                        <a:prstGeom prst="rect">
                          <a:avLst/>
                        </a:prstGeom>
                        <a:solidFill>
                          <a:prstClr val="white"/>
                        </a:solidFill>
                        <a:ln>
                          <a:noFill/>
                        </a:ln>
                      </wps:spPr>
                      <wps:txbx>
                        <w:txbxContent>
                          <w:p w14:paraId="3F8E9117" w14:textId="61E6AF91" w:rsidR="00F61130" w:rsidRPr="004C1FDD" w:rsidRDefault="00F61130" w:rsidP="00B23FF8">
                            <w:pPr>
                              <w:pStyle w:val="Caption"/>
                              <w:spacing w:line="360" w:lineRule="auto"/>
                              <w:jc w:val="both"/>
                              <w:rPr>
                                <w:sz w:val="20"/>
                                <w:szCs w:val="20"/>
                              </w:rPr>
                            </w:pPr>
                            <w:bookmarkStart w:id="652" w:name="_Ref536814010"/>
                            <w:bookmarkStart w:id="653" w:name="_Ref522891090"/>
                            <w:bookmarkStart w:id="654" w:name="_Toc525227251"/>
                            <w:bookmarkStart w:id="655" w:name="_Toc536814190"/>
                            <w:r w:rsidRPr="004C1FDD">
                              <w:rPr>
                                <w:b/>
                                <w:sz w:val="20"/>
                                <w:szCs w:val="20"/>
                              </w:rPr>
                              <w:t xml:space="preserve">Figure </w:t>
                            </w:r>
                            <w:r>
                              <w:rPr>
                                <w:b/>
                                <w:sz w:val="20"/>
                                <w:szCs w:val="20"/>
                              </w:rPr>
                              <w:fldChar w:fldCharType="begin"/>
                            </w:r>
                            <w:r>
                              <w:rPr>
                                <w:b/>
                                <w:sz w:val="20"/>
                                <w:szCs w:val="20"/>
                              </w:rPr>
                              <w:instrText xml:space="preserve"> STYLEREF 1 \s </w:instrText>
                            </w:r>
                            <w:r>
                              <w:rPr>
                                <w:b/>
                                <w:sz w:val="20"/>
                                <w:szCs w:val="20"/>
                              </w:rPr>
                              <w:fldChar w:fldCharType="separate"/>
                            </w:r>
                            <w:r>
                              <w:rPr>
                                <w:b/>
                                <w:noProof/>
                                <w:sz w:val="20"/>
                                <w:szCs w:val="20"/>
                              </w:rPr>
                              <w:t>5</w:t>
                            </w:r>
                            <w:r>
                              <w:rPr>
                                <w:b/>
                                <w:sz w:val="20"/>
                                <w:szCs w:val="20"/>
                              </w:rPr>
                              <w:fldChar w:fldCharType="end"/>
                            </w:r>
                            <w:r>
                              <w:rPr>
                                <w:b/>
                                <w:sz w:val="20"/>
                                <w:szCs w:val="20"/>
                              </w:rPr>
                              <w:t>.</w:t>
                            </w:r>
                            <w:r>
                              <w:rPr>
                                <w:b/>
                                <w:sz w:val="20"/>
                                <w:szCs w:val="20"/>
                              </w:rPr>
                              <w:fldChar w:fldCharType="begin"/>
                            </w:r>
                            <w:r>
                              <w:rPr>
                                <w:b/>
                                <w:sz w:val="20"/>
                                <w:szCs w:val="20"/>
                              </w:rPr>
                              <w:instrText xml:space="preserve"> SEQ Figure \* ARABIC \s 1 </w:instrText>
                            </w:r>
                            <w:r>
                              <w:rPr>
                                <w:b/>
                                <w:sz w:val="20"/>
                                <w:szCs w:val="20"/>
                              </w:rPr>
                              <w:fldChar w:fldCharType="separate"/>
                            </w:r>
                            <w:r>
                              <w:rPr>
                                <w:b/>
                                <w:noProof/>
                                <w:sz w:val="20"/>
                                <w:szCs w:val="20"/>
                              </w:rPr>
                              <w:t>16</w:t>
                            </w:r>
                            <w:r>
                              <w:rPr>
                                <w:b/>
                                <w:sz w:val="20"/>
                                <w:szCs w:val="20"/>
                              </w:rPr>
                              <w:fldChar w:fldCharType="end"/>
                            </w:r>
                            <w:bookmarkEnd w:id="652"/>
                            <w:bookmarkEnd w:id="653"/>
                            <w:r w:rsidRPr="004C1FDD">
                              <w:rPr>
                                <w:b/>
                                <w:sz w:val="20"/>
                                <w:szCs w:val="20"/>
                              </w:rPr>
                              <w:t xml:space="preserve"> - Diagrammatic representation and equations describing the activities and states of Amphotericin B in the simulation model. </w:t>
                            </w:r>
                            <w:r>
                              <w:rPr>
                                <w:sz w:val="20"/>
                                <w:szCs w:val="20"/>
                              </w:rPr>
                              <w:t xml:space="preserve">The platform behaviours described in </w:t>
                            </w:r>
                            <w:r>
                              <w:rPr>
                                <w:sz w:val="20"/>
                                <w:szCs w:val="20"/>
                              </w:rPr>
                              <w:fldChar w:fldCharType="begin"/>
                            </w:r>
                            <w:r>
                              <w:rPr>
                                <w:sz w:val="20"/>
                                <w:szCs w:val="20"/>
                              </w:rPr>
                              <w:instrText xml:space="preserve"> REF _Ref522814474  \* MERGEFORMAT </w:instrText>
                            </w:r>
                            <w:r>
                              <w:rPr>
                                <w:sz w:val="20"/>
                                <w:szCs w:val="20"/>
                              </w:rPr>
                              <w:fldChar w:fldCharType="separate"/>
                            </w:r>
                            <w:r w:rsidRPr="00985B84">
                              <w:rPr>
                                <w:b/>
                                <w:sz w:val="20"/>
                                <w:szCs w:val="20"/>
                              </w:rPr>
                              <w:t xml:space="preserve">Figure </w:t>
                            </w:r>
                            <w:r>
                              <w:rPr>
                                <w:b/>
                                <w:noProof/>
                                <w:sz w:val="20"/>
                                <w:szCs w:val="20"/>
                              </w:rPr>
                              <w:t>5</w:t>
                            </w:r>
                            <w:r>
                              <w:rPr>
                                <w:b/>
                                <w:sz w:val="20"/>
                                <w:szCs w:val="20"/>
                              </w:rPr>
                              <w:t>.</w:t>
                            </w:r>
                            <w:r>
                              <w:rPr>
                                <w:b/>
                                <w:noProof/>
                                <w:sz w:val="20"/>
                                <w:szCs w:val="20"/>
                              </w:rPr>
                              <w:t>14</w:t>
                            </w:r>
                            <w:r>
                              <w:rPr>
                                <w:sz w:val="20"/>
                                <w:szCs w:val="20"/>
                              </w:rPr>
                              <w:fldChar w:fldCharType="end"/>
                            </w:r>
                            <w:r>
                              <w:rPr>
                                <w:sz w:val="20"/>
                                <w:szCs w:val="20"/>
                              </w:rPr>
                              <w:t xml:space="preserve"> were translated into a simulation model. In addition to the pre-existing model (</w:t>
                            </w:r>
                            <w:r>
                              <w:rPr>
                                <w:sz w:val="20"/>
                                <w:szCs w:val="20"/>
                              </w:rPr>
                              <w:fldChar w:fldCharType="begin"/>
                            </w:r>
                            <w:r>
                              <w:rPr>
                                <w:sz w:val="20"/>
                                <w:szCs w:val="20"/>
                              </w:rPr>
                              <w:instrText xml:space="preserve"> REF _Ref522633684  \* MERGEFORMAT </w:instrText>
                            </w:r>
                            <w:r>
                              <w:rPr>
                                <w:sz w:val="20"/>
                                <w:szCs w:val="20"/>
                              </w:rPr>
                              <w:fldChar w:fldCharType="separate"/>
                            </w:r>
                            <w:r w:rsidRPr="00FE3B84">
                              <w:rPr>
                                <w:b/>
                                <w:sz w:val="20"/>
                                <w:szCs w:val="20"/>
                              </w:rPr>
                              <w:t xml:space="preserve">Figure </w:t>
                            </w:r>
                            <w:r>
                              <w:rPr>
                                <w:b/>
                                <w:noProof/>
                                <w:sz w:val="20"/>
                                <w:szCs w:val="20"/>
                              </w:rPr>
                              <w:t>5</w:t>
                            </w:r>
                            <w:r>
                              <w:rPr>
                                <w:b/>
                                <w:sz w:val="20"/>
                                <w:szCs w:val="20"/>
                              </w:rPr>
                              <w:t>.</w:t>
                            </w:r>
                            <w:r>
                              <w:rPr>
                                <w:b/>
                                <w:noProof/>
                                <w:sz w:val="20"/>
                                <w:szCs w:val="20"/>
                              </w:rPr>
                              <w:t>2</w:t>
                            </w:r>
                            <w:r>
                              <w:rPr>
                                <w:sz w:val="20"/>
                                <w:szCs w:val="20"/>
                              </w:rPr>
                              <w:fldChar w:fldCharType="end"/>
                            </w:r>
                            <w:r>
                              <w:rPr>
                                <w:sz w:val="20"/>
                                <w:szCs w:val="20"/>
                              </w:rPr>
                              <w:t>) entities describing Amphotericin B were added to the model with their subsequent behaviours (Eq. 5.7 - 5.10).</w:t>
                            </w:r>
                            <w:bookmarkEnd w:id="654"/>
                            <w:bookmarkEnd w:id="655"/>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58331143" id="Text Box 625" o:spid="_x0000_s1187" type="#_x0000_t202" style="position:absolute;left:0;text-align:left;margin-left:8.45pt;margin-top:391.35pt;width:714.5pt;height:46.45pt;z-index:2520883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eaPRyMwIAAG0EAAAOAAAAZHJzL2Uyb0RvYy54bWysVFFv2yAQfp+0/4B4X2xHS9ZacaosVaZJ&#13;&#10;VVspmfpMMMRImGNAYme/fgeO063b07QXfNwdB9/33Xlx17eanITzCkxFi0lOiTAcamUOFf2223y4&#13;&#10;ocQHZmqmwYiKnoWnd8v37xadLcUUGtC1cASLGF92tqJNCLbMMs8b0TI/ASsMBiW4lgXcukNWO9Zh&#13;&#10;9VZn0zyfZx242jrgwnv03g9Bukz1pRQ8PEnpRSC6ovi2kFaX1n1cs+WClQfHbKP45RnsH17RMmXw&#13;&#10;0mupexYYOTr1R6lWcQceZJhwaDOQUnGRMCCaIn+DZtswKxIWJMfbK03+/5Xlj6dnR1Rd0fl0Rolh&#13;&#10;LYq0E30gn6En0YcMddaXmLi1mBp6DKDSo9+jMwLvpWvjFyERjCPX5yu/sRxH523+6WMxwxDH2Ow2&#13;&#10;nxY3sUz2eto6H74IaEk0KupQv0QrOz34MKSOKfEyD1rVG6V13MTAWjtyYqh116ggLsV/y9Im5hqI&#13;&#10;p4aC0ZNFiAOUaIV+3ydSivkV6B7qM+J3MPSQt3yj8MYH5sMzc9g0iAsHITzhIjV0FYWLRUkD7sff&#13;&#10;/DEftcQoJR02YUX99yNzghL91aDKsWNHw43GfjTMsV0DYi1wxCxPJh5wQY+mdNC+4Hys4i0YYobj&#13;&#10;XRUNo7kOwyjgfHGxWqUk7EvLwoPZWh5Lj8zu+hfm7EWXgIo+wtierHwjz5A78Lw6BpAqaReZHVi8&#13;&#10;EI49ndS/zF8cml/3Kev1L7H8CQAA//8DAFBLAwQUAAYACAAAACEAtko+oeMAAAAQAQAADwAAAGRy&#13;&#10;cy9kb3ducmV2LnhtbExPPU/DMBDdkfgP1iGxIOoQtUlI41TQwAZDS9XZjU0SEZ8j22nSf891guWk&#13;&#10;d/fufRSb2fTsrJ3vLAp4WkTANNZWddgIOHy9P2bAfJCoZG9RC7hoD5vy9qaQubIT7vR5HxpGIuhz&#13;&#10;KaANYcg593WrjfQLO2ik27d1RgaCruHKyYnETc/jKEq4kR2SQysHvW11/bMfjYCkcuO0w+1DdXj7&#13;&#10;kJ9DEx9fL0ch7u/mak3jZQ0s6Dn8fcC1A+WHkoKd7IjKs55w8kxMAWkWp8CuhOVyRauTgCxdJcDL&#13;&#10;gv8vUv4CAAD//wMAUEsBAi0AFAAGAAgAAAAhALaDOJL+AAAA4QEAABMAAAAAAAAAAAAAAAAAAAAA&#13;&#10;AFtDb250ZW50X1R5cGVzXS54bWxQSwECLQAUAAYACAAAACEAOP0h/9YAAACUAQAACwAAAAAAAAAA&#13;&#10;AAAAAAAvAQAAX3JlbHMvLnJlbHNQSwECLQAUAAYACAAAACEAHmj0cjMCAABtBAAADgAAAAAAAAAA&#13;&#10;AAAAAAAuAgAAZHJzL2Uyb0RvYy54bWxQSwECLQAUAAYACAAAACEAtko+oeMAAAAQAQAADwAAAAAA&#13;&#10;AAAAAAAAAACNBAAAZHJzL2Rvd25yZXYueG1sUEsFBgAAAAAEAAQA8wAAAJ0FAAAAAA==&#13;&#10;" stroked="f">
                <v:textbox inset="0,0,0,0">
                  <w:txbxContent>
                    <w:p w14:paraId="3F8E9117" w14:textId="61E6AF91" w:rsidR="00F61130" w:rsidRPr="004C1FDD" w:rsidRDefault="00F61130" w:rsidP="00B23FF8">
                      <w:pPr>
                        <w:pStyle w:val="Caption"/>
                        <w:spacing w:line="360" w:lineRule="auto"/>
                        <w:jc w:val="both"/>
                        <w:rPr>
                          <w:sz w:val="20"/>
                          <w:szCs w:val="20"/>
                        </w:rPr>
                      </w:pPr>
                      <w:bookmarkStart w:id="656" w:name="_Ref536814010"/>
                      <w:bookmarkStart w:id="657" w:name="_Ref522891090"/>
                      <w:bookmarkStart w:id="658" w:name="_Toc525227251"/>
                      <w:bookmarkStart w:id="659" w:name="_Toc536814190"/>
                      <w:r w:rsidRPr="004C1FDD">
                        <w:rPr>
                          <w:b/>
                          <w:sz w:val="20"/>
                          <w:szCs w:val="20"/>
                        </w:rPr>
                        <w:t xml:space="preserve">Figure </w:t>
                      </w:r>
                      <w:r>
                        <w:rPr>
                          <w:b/>
                          <w:sz w:val="20"/>
                          <w:szCs w:val="20"/>
                        </w:rPr>
                        <w:fldChar w:fldCharType="begin"/>
                      </w:r>
                      <w:r>
                        <w:rPr>
                          <w:b/>
                          <w:sz w:val="20"/>
                          <w:szCs w:val="20"/>
                        </w:rPr>
                        <w:instrText xml:space="preserve"> STYLEREF 1 \s </w:instrText>
                      </w:r>
                      <w:r>
                        <w:rPr>
                          <w:b/>
                          <w:sz w:val="20"/>
                          <w:szCs w:val="20"/>
                        </w:rPr>
                        <w:fldChar w:fldCharType="separate"/>
                      </w:r>
                      <w:r>
                        <w:rPr>
                          <w:b/>
                          <w:noProof/>
                          <w:sz w:val="20"/>
                          <w:szCs w:val="20"/>
                        </w:rPr>
                        <w:t>5</w:t>
                      </w:r>
                      <w:r>
                        <w:rPr>
                          <w:b/>
                          <w:sz w:val="20"/>
                          <w:szCs w:val="20"/>
                        </w:rPr>
                        <w:fldChar w:fldCharType="end"/>
                      </w:r>
                      <w:r>
                        <w:rPr>
                          <w:b/>
                          <w:sz w:val="20"/>
                          <w:szCs w:val="20"/>
                        </w:rPr>
                        <w:t>.</w:t>
                      </w:r>
                      <w:r>
                        <w:rPr>
                          <w:b/>
                          <w:sz w:val="20"/>
                          <w:szCs w:val="20"/>
                        </w:rPr>
                        <w:fldChar w:fldCharType="begin"/>
                      </w:r>
                      <w:r>
                        <w:rPr>
                          <w:b/>
                          <w:sz w:val="20"/>
                          <w:szCs w:val="20"/>
                        </w:rPr>
                        <w:instrText xml:space="preserve"> SEQ Figure \* ARABIC \s 1 </w:instrText>
                      </w:r>
                      <w:r>
                        <w:rPr>
                          <w:b/>
                          <w:sz w:val="20"/>
                          <w:szCs w:val="20"/>
                        </w:rPr>
                        <w:fldChar w:fldCharType="separate"/>
                      </w:r>
                      <w:r>
                        <w:rPr>
                          <w:b/>
                          <w:noProof/>
                          <w:sz w:val="20"/>
                          <w:szCs w:val="20"/>
                        </w:rPr>
                        <w:t>16</w:t>
                      </w:r>
                      <w:r>
                        <w:rPr>
                          <w:b/>
                          <w:sz w:val="20"/>
                          <w:szCs w:val="20"/>
                        </w:rPr>
                        <w:fldChar w:fldCharType="end"/>
                      </w:r>
                      <w:bookmarkEnd w:id="656"/>
                      <w:bookmarkEnd w:id="657"/>
                      <w:r w:rsidRPr="004C1FDD">
                        <w:rPr>
                          <w:b/>
                          <w:sz w:val="20"/>
                          <w:szCs w:val="20"/>
                        </w:rPr>
                        <w:t xml:space="preserve"> - Diagrammatic representation and equations describing the activities and states of Amphotericin B in the simulation model. </w:t>
                      </w:r>
                      <w:r>
                        <w:rPr>
                          <w:sz w:val="20"/>
                          <w:szCs w:val="20"/>
                        </w:rPr>
                        <w:t xml:space="preserve">The platform behaviours described in </w:t>
                      </w:r>
                      <w:r>
                        <w:rPr>
                          <w:sz w:val="20"/>
                          <w:szCs w:val="20"/>
                        </w:rPr>
                        <w:fldChar w:fldCharType="begin"/>
                      </w:r>
                      <w:r>
                        <w:rPr>
                          <w:sz w:val="20"/>
                          <w:szCs w:val="20"/>
                        </w:rPr>
                        <w:instrText xml:space="preserve"> REF _Ref522814474  \* MERGEFORMAT </w:instrText>
                      </w:r>
                      <w:r>
                        <w:rPr>
                          <w:sz w:val="20"/>
                          <w:szCs w:val="20"/>
                        </w:rPr>
                        <w:fldChar w:fldCharType="separate"/>
                      </w:r>
                      <w:r w:rsidRPr="00985B84">
                        <w:rPr>
                          <w:b/>
                          <w:sz w:val="20"/>
                          <w:szCs w:val="20"/>
                        </w:rPr>
                        <w:t xml:space="preserve">Figure </w:t>
                      </w:r>
                      <w:r>
                        <w:rPr>
                          <w:b/>
                          <w:noProof/>
                          <w:sz w:val="20"/>
                          <w:szCs w:val="20"/>
                        </w:rPr>
                        <w:t>5</w:t>
                      </w:r>
                      <w:r>
                        <w:rPr>
                          <w:b/>
                          <w:sz w:val="20"/>
                          <w:szCs w:val="20"/>
                        </w:rPr>
                        <w:t>.</w:t>
                      </w:r>
                      <w:r>
                        <w:rPr>
                          <w:b/>
                          <w:noProof/>
                          <w:sz w:val="20"/>
                          <w:szCs w:val="20"/>
                        </w:rPr>
                        <w:t>14</w:t>
                      </w:r>
                      <w:r>
                        <w:rPr>
                          <w:sz w:val="20"/>
                          <w:szCs w:val="20"/>
                        </w:rPr>
                        <w:fldChar w:fldCharType="end"/>
                      </w:r>
                      <w:r>
                        <w:rPr>
                          <w:sz w:val="20"/>
                          <w:szCs w:val="20"/>
                        </w:rPr>
                        <w:t xml:space="preserve"> were translated into a simulation model. In addition to the pre-existing model (</w:t>
                      </w:r>
                      <w:r>
                        <w:rPr>
                          <w:sz w:val="20"/>
                          <w:szCs w:val="20"/>
                        </w:rPr>
                        <w:fldChar w:fldCharType="begin"/>
                      </w:r>
                      <w:r>
                        <w:rPr>
                          <w:sz w:val="20"/>
                          <w:szCs w:val="20"/>
                        </w:rPr>
                        <w:instrText xml:space="preserve"> REF _Ref522633684  \* MERGEFORMAT </w:instrText>
                      </w:r>
                      <w:r>
                        <w:rPr>
                          <w:sz w:val="20"/>
                          <w:szCs w:val="20"/>
                        </w:rPr>
                        <w:fldChar w:fldCharType="separate"/>
                      </w:r>
                      <w:r w:rsidRPr="00FE3B84">
                        <w:rPr>
                          <w:b/>
                          <w:sz w:val="20"/>
                          <w:szCs w:val="20"/>
                        </w:rPr>
                        <w:t xml:space="preserve">Figure </w:t>
                      </w:r>
                      <w:r>
                        <w:rPr>
                          <w:b/>
                          <w:noProof/>
                          <w:sz w:val="20"/>
                          <w:szCs w:val="20"/>
                        </w:rPr>
                        <w:t>5</w:t>
                      </w:r>
                      <w:r>
                        <w:rPr>
                          <w:b/>
                          <w:sz w:val="20"/>
                          <w:szCs w:val="20"/>
                        </w:rPr>
                        <w:t>.</w:t>
                      </w:r>
                      <w:r>
                        <w:rPr>
                          <w:b/>
                          <w:noProof/>
                          <w:sz w:val="20"/>
                          <w:szCs w:val="20"/>
                        </w:rPr>
                        <w:t>2</w:t>
                      </w:r>
                      <w:r>
                        <w:rPr>
                          <w:sz w:val="20"/>
                          <w:szCs w:val="20"/>
                        </w:rPr>
                        <w:fldChar w:fldCharType="end"/>
                      </w:r>
                      <w:r>
                        <w:rPr>
                          <w:sz w:val="20"/>
                          <w:szCs w:val="20"/>
                        </w:rPr>
                        <w:t>) entities describing Amphotericin B were added to the model with their subsequent behaviours (Eq. 5.7 - 5.10).</w:t>
                      </w:r>
                      <w:bookmarkEnd w:id="658"/>
                      <w:bookmarkEnd w:id="659"/>
                    </w:p>
                  </w:txbxContent>
                </v:textbox>
                <w10:wrap type="topAndBottom"/>
              </v:shape>
            </w:pict>
          </mc:Fallback>
        </mc:AlternateContent>
      </w:r>
    </w:p>
    <w:p w14:paraId="4EFD6B49" w14:textId="5108089E" w:rsidR="00B96608" w:rsidRPr="008B3AD6" w:rsidRDefault="00B96608">
      <w:pPr>
        <w:spacing w:line="240" w:lineRule="auto"/>
      </w:pPr>
    </w:p>
    <w:p w14:paraId="0DFEB3B1" w14:textId="2E9E7E59" w:rsidR="008155D6" w:rsidRPr="004E793F" w:rsidRDefault="0097530B" w:rsidP="00F41A2A">
      <w:pPr>
        <w:spacing w:line="360" w:lineRule="auto"/>
        <w:jc w:val="both"/>
      </w:pPr>
      <w:r w:rsidRPr="008B3AD6">
        <w:t xml:space="preserve">Once the domain and platform models </w:t>
      </w:r>
      <w:r w:rsidR="006F0D9E">
        <w:t xml:space="preserve">had been </w:t>
      </w:r>
      <w:r w:rsidR="004E793F">
        <w:t xml:space="preserve">further </w:t>
      </w:r>
      <w:r w:rsidR="006F0D9E">
        <w:t>developed to include</w:t>
      </w:r>
      <w:r w:rsidRPr="008B3AD6">
        <w:t xml:space="preserve"> </w:t>
      </w:r>
      <w:r w:rsidR="00A32111">
        <w:t>AmB</w:t>
      </w:r>
      <w:r w:rsidRPr="008B3AD6">
        <w:t xml:space="preserve"> the simulation model could be </w:t>
      </w:r>
      <w:r w:rsidR="004E793F">
        <w:t>then be updated</w:t>
      </w:r>
      <w:r w:rsidRPr="008B3AD6">
        <w:t xml:space="preserve">. </w:t>
      </w:r>
      <w:r w:rsidR="00313897" w:rsidRPr="008B3AD6">
        <w:rPr>
          <w:b/>
        </w:rPr>
        <w:fldChar w:fldCharType="begin"/>
      </w:r>
      <w:r w:rsidR="00313897" w:rsidRPr="008B3AD6">
        <w:rPr>
          <w:b/>
        </w:rPr>
        <w:instrText xml:space="preserve"> REF _Ref522891090  \* MERGEFORMAT </w:instrText>
      </w:r>
      <w:r w:rsidR="00313897" w:rsidRPr="008B3AD6">
        <w:rPr>
          <w:b/>
        </w:rPr>
        <w:fldChar w:fldCharType="separate"/>
      </w:r>
      <w:r w:rsidR="00921CAF" w:rsidRPr="00921CAF">
        <w:rPr>
          <w:b/>
        </w:rPr>
        <w:t xml:space="preserve">Figure </w:t>
      </w:r>
      <w:r w:rsidR="00921CAF" w:rsidRPr="00921CAF">
        <w:rPr>
          <w:b/>
          <w:noProof/>
        </w:rPr>
        <w:t>5.16</w:t>
      </w:r>
      <w:r w:rsidR="00313897" w:rsidRPr="008B3AD6">
        <w:rPr>
          <w:b/>
          <w:noProof/>
        </w:rPr>
        <w:fldChar w:fldCharType="end"/>
      </w:r>
      <w:r w:rsidR="008155D6" w:rsidRPr="008B3AD6">
        <w:t xml:space="preserve"> shows the equations derived to translate the platform model </w:t>
      </w:r>
      <w:r w:rsidR="006F0D9E">
        <w:t xml:space="preserve">specifications of AmB </w:t>
      </w:r>
      <w:r w:rsidR="008155D6" w:rsidRPr="008B3AD6">
        <w:t xml:space="preserve">into </w:t>
      </w:r>
      <w:r w:rsidR="004E793F">
        <w:t>the</w:t>
      </w:r>
      <w:r w:rsidR="008155D6" w:rsidRPr="008B3AD6">
        <w:t xml:space="preserve"> simulation model including a diagrammatic representation of the processes. </w:t>
      </w:r>
      <w:r w:rsidR="004E793F">
        <w:t>These equations and the diagram only show the pharmacokinetic/pharmacodynamic behaviours of the simulation, the underlying immunological mechanisms are those shown in</w:t>
      </w:r>
      <w:r w:rsidR="008155D6" w:rsidRPr="008B3AD6">
        <w:t xml:space="preserve"> </w:t>
      </w:r>
      <w:r w:rsidR="0074700A">
        <w:rPr>
          <w:b/>
        </w:rPr>
        <w:fldChar w:fldCharType="begin"/>
      </w:r>
      <w:r w:rsidR="0074700A">
        <w:rPr>
          <w:b/>
        </w:rPr>
        <w:instrText xml:space="preserve"> REF _Ref522633684  \* MERGEFORMAT </w:instrText>
      </w:r>
      <w:r w:rsidR="0074700A">
        <w:rPr>
          <w:b/>
        </w:rPr>
        <w:fldChar w:fldCharType="separate"/>
      </w:r>
      <w:r w:rsidR="00921CAF" w:rsidRPr="00921CAF">
        <w:rPr>
          <w:b/>
        </w:rPr>
        <w:t xml:space="preserve">Figure </w:t>
      </w:r>
      <w:r w:rsidR="00921CAF" w:rsidRPr="00921CAF">
        <w:rPr>
          <w:b/>
          <w:noProof/>
        </w:rPr>
        <w:t>5.2</w:t>
      </w:r>
      <w:r w:rsidR="0074700A">
        <w:rPr>
          <w:b/>
          <w:noProof/>
        </w:rPr>
        <w:fldChar w:fldCharType="end"/>
      </w:r>
      <w:r w:rsidR="008155D6" w:rsidRPr="008B3AD6">
        <w:t>, and</w:t>
      </w:r>
      <w:r w:rsidR="004E793F">
        <w:t xml:space="preserve"> still utilise</w:t>
      </w:r>
      <w:r w:rsidR="008155D6" w:rsidRPr="008B3AD6">
        <w:t xml:space="preserve"> the calibrated parameters,</w:t>
      </w:r>
      <w:r w:rsidR="004E793F">
        <w:t xml:space="preserve"> shown in</w:t>
      </w:r>
      <w:r w:rsidR="008155D6" w:rsidRPr="008B3AD6">
        <w:t xml:space="preserve"> </w:t>
      </w:r>
      <w:r w:rsidR="0074700A">
        <w:rPr>
          <w:b/>
        </w:rPr>
        <w:fldChar w:fldCharType="begin"/>
      </w:r>
      <w:r w:rsidR="0074700A">
        <w:rPr>
          <w:b/>
        </w:rPr>
        <w:instrText xml:space="preserve"> REF _Ref522637474  \* MERGEFORMAT </w:instrText>
      </w:r>
      <w:r w:rsidR="0074700A">
        <w:rPr>
          <w:b/>
        </w:rPr>
        <w:fldChar w:fldCharType="separate"/>
      </w:r>
      <w:r w:rsidR="00921CAF" w:rsidRPr="00921CAF">
        <w:rPr>
          <w:b/>
        </w:rPr>
        <w:t xml:space="preserve">Table </w:t>
      </w:r>
      <w:r w:rsidR="00921CAF" w:rsidRPr="00921CAF">
        <w:rPr>
          <w:b/>
          <w:noProof/>
        </w:rPr>
        <w:t>5.1</w:t>
      </w:r>
      <w:r w:rsidR="0074700A">
        <w:rPr>
          <w:b/>
          <w:noProof/>
        </w:rPr>
        <w:fldChar w:fldCharType="end"/>
      </w:r>
      <w:r w:rsidR="008155D6" w:rsidRPr="008B3AD6">
        <w:t xml:space="preserve"> and </w:t>
      </w:r>
      <w:r w:rsidR="0074700A">
        <w:rPr>
          <w:b/>
        </w:rPr>
        <w:fldChar w:fldCharType="begin"/>
      </w:r>
      <w:r w:rsidR="0074700A">
        <w:rPr>
          <w:b/>
        </w:rPr>
        <w:instrText xml:space="preserve"> REF _Ref522646935  \* MERGEFORMAT </w:instrText>
      </w:r>
      <w:r w:rsidR="0074700A">
        <w:rPr>
          <w:b/>
        </w:rPr>
        <w:fldChar w:fldCharType="separate"/>
      </w:r>
      <w:r w:rsidR="00921CAF" w:rsidRPr="00921CAF">
        <w:rPr>
          <w:b/>
        </w:rPr>
        <w:t xml:space="preserve">Table </w:t>
      </w:r>
      <w:r w:rsidR="00921CAF" w:rsidRPr="00921CAF">
        <w:rPr>
          <w:b/>
          <w:noProof/>
        </w:rPr>
        <w:t>5.2</w:t>
      </w:r>
      <w:r w:rsidR="0074700A">
        <w:rPr>
          <w:b/>
          <w:noProof/>
        </w:rPr>
        <w:fldChar w:fldCharType="end"/>
      </w:r>
      <w:r w:rsidR="004E793F">
        <w:t xml:space="preserve">. Thus, the combination of </w:t>
      </w:r>
      <w:r w:rsidR="004E793F">
        <w:rPr>
          <w:b/>
        </w:rPr>
        <w:fldChar w:fldCharType="begin"/>
      </w:r>
      <w:r w:rsidR="004E793F">
        <w:rPr>
          <w:b/>
        </w:rPr>
        <w:instrText xml:space="preserve"> REF _Ref522633684  \* MERGEFORMAT </w:instrText>
      </w:r>
      <w:r w:rsidR="004E793F">
        <w:rPr>
          <w:b/>
        </w:rPr>
        <w:fldChar w:fldCharType="separate"/>
      </w:r>
      <w:r w:rsidR="00921CAF" w:rsidRPr="00921CAF">
        <w:rPr>
          <w:b/>
        </w:rPr>
        <w:t xml:space="preserve">Figure </w:t>
      </w:r>
      <w:r w:rsidR="00921CAF" w:rsidRPr="00921CAF">
        <w:rPr>
          <w:b/>
          <w:noProof/>
        </w:rPr>
        <w:t>5.2</w:t>
      </w:r>
      <w:r w:rsidR="004E793F">
        <w:rPr>
          <w:b/>
          <w:noProof/>
        </w:rPr>
        <w:fldChar w:fldCharType="end"/>
      </w:r>
      <w:r w:rsidR="004E793F">
        <w:rPr>
          <w:b/>
          <w:noProof/>
        </w:rPr>
        <w:t xml:space="preserve"> </w:t>
      </w:r>
      <w:r w:rsidR="004E793F">
        <w:rPr>
          <w:noProof/>
        </w:rPr>
        <w:t>and</w:t>
      </w:r>
      <w:r w:rsidR="004E793F">
        <w:t xml:space="preserve"> </w:t>
      </w:r>
      <w:r w:rsidR="004E793F" w:rsidRPr="008B3AD6">
        <w:rPr>
          <w:b/>
        </w:rPr>
        <w:fldChar w:fldCharType="begin"/>
      </w:r>
      <w:r w:rsidR="004E793F" w:rsidRPr="008B3AD6">
        <w:rPr>
          <w:b/>
        </w:rPr>
        <w:instrText xml:space="preserve"> REF _Ref522891090  \* MERGEFORMAT </w:instrText>
      </w:r>
      <w:r w:rsidR="004E793F" w:rsidRPr="008B3AD6">
        <w:rPr>
          <w:b/>
        </w:rPr>
        <w:fldChar w:fldCharType="separate"/>
      </w:r>
      <w:r w:rsidR="00921CAF" w:rsidRPr="00921CAF">
        <w:rPr>
          <w:b/>
        </w:rPr>
        <w:t xml:space="preserve">Figure </w:t>
      </w:r>
      <w:r w:rsidR="00921CAF" w:rsidRPr="00921CAF">
        <w:rPr>
          <w:b/>
          <w:noProof/>
        </w:rPr>
        <w:t>5.16</w:t>
      </w:r>
      <w:r w:rsidR="004E793F" w:rsidRPr="008B3AD6">
        <w:rPr>
          <w:b/>
          <w:noProof/>
        </w:rPr>
        <w:fldChar w:fldCharType="end"/>
      </w:r>
      <w:r w:rsidR="004E793F">
        <w:rPr>
          <w:b/>
          <w:noProof/>
        </w:rPr>
        <w:t xml:space="preserve"> </w:t>
      </w:r>
      <w:r w:rsidR="004E793F">
        <w:rPr>
          <w:noProof/>
        </w:rPr>
        <w:t>represents the immunological and pharmacological phenomena of the entire system.</w:t>
      </w:r>
    </w:p>
    <w:p w14:paraId="23EFF19B" w14:textId="77777777" w:rsidR="004E793F" w:rsidRDefault="004E793F" w:rsidP="00F41A2A">
      <w:pPr>
        <w:spacing w:line="360" w:lineRule="auto"/>
        <w:jc w:val="both"/>
      </w:pPr>
    </w:p>
    <w:p w14:paraId="4599A65A" w14:textId="5D80353F" w:rsidR="000C08B3" w:rsidRPr="008B3AD6" w:rsidRDefault="004E793F" w:rsidP="00F41A2A">
      <w:pPr>
        <w:spacing w:line="360" w:lineRule="auto"/>
        <w:jc w:val="both"/>
      </w:pPr>
      <w:r>
        <w:t xml:space="preserve">For the simulation model describing the pharmacological behaviours, </w:t>
      </w:r>
      <w:r w:rsidRPr="006F0D9E">
        <w:rPr>
          <w:b/>
        </w:rPr>
        <w:t xml:space="preserve">Figure </w:t>
      </w:r>
      <w:r w:rsidRPr="006F0D9E">
        <w:rPr>
          <w:b/>
          <w:noProof/>
        </w:rPr>
        <w:t>5.1</w:t>
      </w:r>
      <w:r>
        <w:t xml:space="preserve">, </w:t>
      </w:r>
      <w:r w:rsidR="00A32111">
        <w:t>AmB</w:t>
      </w:r>
      <w:r w:rsidR="008155D6" w:rsidRPr="008B3AD6">
        <w:t xml:space="preserve"> is initialised outside of the liver (</w:t>
      </w:r>
      <w:r w:rsidR="008155D6" w:rsidRPr="008B3AD6">
        <w:rPr>
          <w:i/>
        </w:rPr>
        <w:t>O</w:t>
      </w:r>
      <w:r w:rsidR="008155D6" w:rsidRPr="008B3AD6">
        <w:t xml:space="preserve">) where it may flux into or out of the liver. </w:t>
      </w:r>
      <w:r w:rsidR="00057516" w:rsidRPr="008B3AD6">
        <w:t xml:space="preserve">This extra-hepatic initialisation is necessary for two main reasons. Firstly, there is a lack of </w:t>
      </w:r>
      <w:r w:rsidR="00A32111">
        <w:t>AmB</w:t>
      </w:r>
      <w:r w:rsidR="00057516" w:rsidRPr="008B3AD6">
        <w:t xml:space="preserve"> </w:t>
      </w:r>
      <w:r>
        <w:t>metabolism/</w:t>
      </w:r>
      <w:r w:rsidR="00057516" w:rsidRPr="008B3AD6">
        <w:t xml:space="preserve">clearance within the liver, as previously described, and this process is thought to occur via urinary and faecal clearance </w:t>
      </w:r>
      <w:r w:rsidR="00057516" w:rsidRPr="008B3AD6">
        <w:fldChar w:fldCharType="begin"/>
      </w:r>
      <w:r w:rsidR="007A6EED">
        <w:instrText xml:space="preserve"> ADDIN ZOTERO_ITEM CSL_CITATION {"citationID":"ZGgbpN0J","properties":{"formattedCitation":"(Bekersky et al. 2002)","plainCitation":"(Bekersky et al. 2002)","noteIndex":0},"citationItems":[{"id":2370,"uris":["http://zotero.org/users/2628971/items/GA3IUC6T"],"uri":["http://zotero.org/users/2628971/items/GA3IUC6T"],"itemData":{"id":2370,"type":"article-journal","title":"Pharmacokinetics, Excretion, and Mass Balance of Liposomal Amphotericin B (AmBisome) and Amphotericin B Deoxycholate in Humans","container-title":"Antimicrobial Agents and Chemotherapy","page":"828-833","volume":"46","issue":"3","source":"PubMed Central","abstract":"The pharmacokinetics, excretion, and mass balance of liposomal amphotericin B (AmBisome) (liposomal AMB) and the conventional formulation, AMB deoxycholate (AMB-DOC), were compared in a phase IV, open-label, parallel study in healthy volunteers. After a single 2-h infusion of 2 mg of liposomal AMB/kg of body weight or 0.6 mg of AMB-DOC/kg, plasma, urine, and feces were collected for 168 h. The concentrations of AMB were determined by liquid chromatography tandem mass spectrometry (plasma, urine, feces) or high-performance liquid chromatography (HPLC) (plasma). Infusion-related side effects similar to those reported in patients, including nausea and back pain, were observed in both groups. Both formulations had triphasic plasma profiles with long terminal half-lives (liposomal AMB, 152 ± 116 h; AMB-DOC, 127 ± 30 h), but plasma concentrations were higher (P &lt; 0.01) after administration of liposomal AMB (maximum concentration of drug in serum [Cmax], 22.9 ± 10 μg/ml) than those of AMB-DOC (Cmax, 1.4 ± 0.2 μg/ml). Liposomal AMB had a central compartment volume close to that of plasma (50 ± 19 ml/kg) and a volume of distribution at steady state (Vss) (774 ± 550 ml/kg) smaller than the Vss of AMB-DOC (1,807 ± 239 ml/kg) (P &lt; 0.01). Total clearances were similar (approximately 10 ml hr−1 kg−1), but renal and fecal clearances of liposomal AMB were 10-fold lower than those of AMB-DOC (P &lt; 0.01). Two-thirds of the AMB-DOC was excreted unchanged in the urine (20.6%) and feces (42.5%) with &gt;90% accounted for in mass balance calculations at 1 week, suggesting that metabolism plays at most a minor role in AMB elimination. In contrast, &lt;10% of the liposomal AMB was excreted unchanged. No metabolites were observed by HPLC or mass spectrometry. In comparison to AMB-DOC, liposomal AMB produced higher plasma exposures and lower volumes of distribution and markedly decreased the excretion of unchanged drug in urine and feces. Thus, liposomal AMB significantly alters the excretion and mass balance of AMB. The ability of liposomes to sequester drugs in circulating liposomes and within deep tissue compartments may account for these differences.","DOI":"10.1128/AAC.46.3.828-833.2002","ISSN":"0066-4804","note":"PMID: 11850268\nPMCID: PMC127462","journalAbbreviation":"Antimicrob Agents Chemother","author":[{"family":"Bekersky","given":"Ihor"},{"family":"Fielding","given":"Robert M."},{"family":"Dressler","given":"Dawna E."},{"family":"Lee","given":"Jean W."},{"family":"Buell","given":"Donald N."},{"family":"Walsh","given":"Thomas J."}],"issued":{"date-parts":[["2002",3]]}}}],"schema":"https://github.com/citation-style-language/schema/raw/master/csl-citation.json"} </w:instrText>
      </w:r>
      <w:r w:rsidR="00057516" w:rsidRPr="008B3AD6">
        <w:fldChar w:fldCharType="separate"/>
      </w:r>
      <w:r w:rsidR="007A6EED" w:rsidRPr="007A6EED">
        <w:rPr>
          <w:lang w:val="en-US"/>
        </w:rPr>
        <w:t>(Bekersky et al. 2002)</w:t>
      </w:r>
      <w:r w:rsidR="00057516" w:rsidRPr="008B3AD6">
        <w:fldChar w:fldCharType="end"/>
      </w:r>
      <w:r w:rsidR="00057516" w:rsidRPr="008B3AD6">
        <w:t xml:space="preserve">. </w:t>
      </w:r>
      <w:r>
        <w:t>AmB clearance</w:t>
      </w:r>
      <w:r w:rsidR="00057516" w:rsidRPr="008B3AD6">
        <w:t xml:space="preserve"> </w:t>
      </w:r>
      <w:r>
        <w:t>should</w:t>
      </w:r>
      <w:r w:rsidR="00057516" w:rsidRPr="008B3AD6">
        <w:t xml:space="preserve"> be represented as </w:t>
      </w:r>
      <w:r>
        <w:t>it</w:t>
      </w:r>
      <w:r w:rsidR="00057516" w:rsidRPr="008B3AD6">
        <w:t xml:space="preserve"> likely influences </w:t>
      </w:r>
      <w:r>
        <w:t xml:space="preserve">hepatic AmB </w:t>
      </w:r>
      <w:r w:rsidR="00057516" w:rsidRPr="008B3AD6">
        <w:t xml:space="preserve">accumulation levels however to abstract </w:t>
      </w:r>
      <w:r>
        <w:t xml:space="preserve">these </w:t>
      </w:r>
      <w:r w:rsidR="00057516" w:rsidRPr="008B3AD6">
        <w:t xml:space="preserve">clearance processes </w:t>
      </w:r>
      <w:r>
        <w:t xml:space="preserve">so that </w:t>
      </w:r>
      <w:r w:rsidR="00057516" w:rsidRPr="008B3AD6">
        <w:t>the</w:t>
      </w:r>
      <w:r>
        <w:t xml:space="preserve">y occur in the </w:t>
      </w:r>
      <w:r w:rsidR="00057516" w:rsidRPr="008B3AD6">
        <w:t xml:space="preserve">liver would skew the values parameters </w:t>
      </w:r>
      <w:r>
        <w:t>describing other</w:t>
      </w:r>
      <w:r w:rsidR="00057516" w:rsidRPr="008B3AD6">
        <w:t xml:space="preserve"> hepatic processes to compensate. To avoid this</w:t>
      </w:r>
      <w:r w:rsidR="009479AD" w:rsidRPr="008B3AD6">
        <w:t>,</w:t>
      </w:r>
      <w:r w:rsidR="00057516" w:rsidRPr="008B3AD6">
        <w:t xml:space="preserve"> clearance occurs </w:t>
      </w:r>
      <w:r w:rsidR="00F13F13" w:rsidRPr="008B3AD6">
        <w:t>for</w:t>
      </w:r>
      <w:r w:rsidR="00BF45C4" w:rsidRPr="008B3AD6">
        <w:t xml:space="preserve"> extra-hepatic </w:t>
      </w:r>
      <w:r w:rsidR="00A32111">
        <w:t>AmB</w:t>
      </w:r>
      <w:r w:rsidR="00EA6971" w:rsidRPr="008B3AD6">
        <w:t xml:space="preserve"> represented by a clearance rate (</w:t>
      </w:r>
      <w:r w:rsidR="00EA6971" w:rsidRPr="008B3AD6">
        <w:rPr>
          <w:i/>
        </w:rPr>
        <w:t>C</w:t>
      </w:r>
      <w:r w:rsidR="009479AD" w:rsidRPr="008B3AD6">
        <w:rPr>
          <w:i/>
          <w:vertAlign w:val="subscript"/>
        </w:rPr>
        <w:t>O</w:t>
      </w:r>
      <w:r w:rsidR="00EA6971" w:rsidRPr="008B3AD6">
        <w:t>)</w:t>
      </w:r>
      <w:r w:rsidR="00BF45C4" w:rsidRPr="008B3AD6">
        <w:t xml:space="preserve">. The second reason for inclusion of </w:t>
      </w:r>
      <w:r w:rsidR="00C45ACE" w:rsidRPr="008B3AD6">
        <w:t xml:space="preserve">a </w:t>
      </w:r>
      <w:r w:rsidR="00BF45C4" w:rsidRPr="008B3AD6">
        <w:t xml:space="preserve">secondary compartment is the known retention of </w:t>
      </w:r>
      <w:r w:rsidR="00A32111">
        <w:t>AmB</w:t>
      </w:r>
      <w:r w:rsidR="00BF45C4" w:rsidRPr="008B3AD6">
        <w:t xml:space="preserve"> in other organs</w:t>
      </w:r>
      <w:r w:rsidR="00C45ACE" w:rsidRPr="008B3AD6">
        <w:t>, such as the spleen</w:t>
      </w:r>
      <w:r w:rsidR="009479AD" w:rsidRPr="008B3AD6">
        <w:t xml:space="preserve"> </w:t>
      </w:r>
      <w:r w:rsidR="00D538EF" w:rsidRPr="008B3AD6">
        <w:fldChar w:fldCharType="begin"/>
      </w:r>
      <w:r w:rsidR="007A6EED">
        <w:instrText xml:space="preserve"> ADDIN ZOTERO_ITEM CSL_CITATION {"citationID":"mlsDBd73","properties":{"formattedCitation":"(Proffitt et al. 1991b)","plainCitation":"(Proffitt et al. 1991b)","noteIndex":0},"citationItems":[{"id":2415,"uris":["http://zotero.org/users/2628971/items/6IHN925P"],"uri":["http://zotero.org/users/2628971/items/6IHN925P"],"itemData":{"id":2415,"type":"article-journal","title":"Pharmacology and toxicology of a liposomal formulation of amphotericin B (AmBisome) in rodents","container-title":"The Journal of Antimicrobial Chemotherapy","page":"49-61","volume":"28 Suppl B","source":"PubMed","abstract":"AmBisome is a lyophilized preparation of liposomal amphotericin B. The acute intravenous toxicity of AmBisome was evaluated in mice and rats, and the LD50S were found to be greater than 175 and 50 mg/kg, respectively. The corresponding LD50S for conventional amphotericin B were approximately 2.3 and 1.6 mg/kg for mice and rats, respectively. The multiple dose toxicity test confirmed that AmBisome was well tolerated by both species. There were no deaths observed among mice receiving 25 or 50 mg/kg AmBisome for 14 days, and only two deaths among mice receiving 75 mg/kg AmBisome. One rat died in the group receiving 25 mg/kg AmBisome for 30 days. However, five of ten and nine of ten rats died in the groups treated with 50 and 75 mg/kg AmBisome, respectively. Hepatotoxicity was evident by elevation in serum liver enzyme levels for these groups. Initial pharmacokinetic evaluations demonstrated that peak plasma concentrations of 87 and 118 mg/kg, respectively, were attained in mice and rats after injection with 5 mg/kg AmBisome. Terminal plasma half-lives of 3.36 and 7.56 h were calculated for mice and rats, respectively. Tissue accumulations of amphotericin B resulting from multiple dose intravenous administration of either conventional amphotericin B or AmBisome were determined. At equivalent doses of 1 mg/kg, AmBisome treatment resulted in higher liver and spleen uptake of drug, but lower kidney and lung uptake than amphotericin B. At 5 mg/kg, AmBisome treatment resulted in concentrations of drug in the kidney and lungs that were comparable to corresponding tissue levels observed in the group treated with 1 mg/kg conventional amphotericin B.(ABSTRACT TRUNCATED AT 250 WORDS)","ISSN":"0305-7453","note":"PMID: 1778892","journalAbbreviation":"J. Antimicrob. Chemother.","language":"eng","author":[{"family":"Proffitt","given":"R. T."},{"family":"Satorius","given":"A."},{"family":"Chiang","given":"S. M."},{"family":"Sullivan","given":"L."},{"family":"Adler-Moore","given":"J. P."}],"issued":{"date-parts":[["1991",10]]}}}],"schema":"https://github.com/citation-style-language/schema/raw/master/csl-citation.json"} </w:instrText>
      </w:r>
      <w:r w:rsidR="00D538EF" w:rsidRPr="008B3AD6">
        <w:fldChar w:fldCharType="separate"/>
      </w:r>
      <w:r w:rsidR="007A6EED" w:rsidRPr="007A6EED">
        <w:rPr>
          <w:lang w:val="en-US"/>
        </w:rPr>
        <w:t>(Proffitt et al. 1991b)</w:t>
      </w:r>
      <w:r w:rsidR="00D538EF" w:rsidRPr="008B3AD6">
        <w:fldChar w:fldCharType="end"/>
      </w:r>
      <w:r w:rsidR="00EA6971" w:rsidRPr="008B3AD6">
        <w:t xml:space="preserve">. Whilst the retention mechanisms of </w:t>
      </w:r>
      <w:r w:rsidR="00A32111">
        <w:t>AmB</w:t>
      </w:r>
      <w:r w:rsidR="00EA6971" w:rsidRPr="008B3AD6">
        <w:t xml:space="preserve"> within individual tissues has not been fully characterised biologically previous pharmacokinetic models </w:t>
      </w:r>
      <w:r w:rsidR="00EA6971" w:rsidRPr="008B3AD6">
        <w:fldChar w:fldCharType="begin"/>
      </w:r>
      <w:r w:rsidR="007A6EED">
        <w:instrText xml:space="preserve"> ADDIN ZOTERO_ITEM CSL_CITATION {"citationID":"queBEqHV","properties":{"formattedCitation":"(Kagan et al. 2011, 2014c)","plainCitation":"(Kagan et al. 2011, 2014c)","noteIndex":0},"citationItems":[{"id":3032,"uris":["http://zotero.org/users/2628971/items/2TWBRX8Q"],"uri":["http://zotero.org/users/2628971/items/2TWBRX8Q"],"itemData":{"id":3032,"type":"article-journal","title":"Physiologically Based Pharmacokinetic Model of Amphotericin B Disposition in Rats Following Administration of Deoxycholate Formulation (Fungizone®): Pooled Analysis of Published Data","container-title":"The AAPS Journal","volume":"13","issue":"2","source":"PubMed Central","abstract":"The time course of tissue distribution of amphotericin B (AmB) has not been sufficiently characterized despite its therapeutic importance and an apparent disconnect between plasma pharmacokinetics and clinical outcomes. The goals of this work were to develop and evaluate a physiologically based pharmacokinetic (PBPK) model to characterize the disposition properties of AmB administered as deoxycholate formulation in healthy rats and to examine the utility of the PBPK model for interspecies scaling of AmB pharmacokinetics. AmB plasma and tissue concentration–time data, following single and multiple intravenous administration of Fungizone® to rats, from several publications were combined for construction of the model. Physiological parameters were fixed to literature values. Various structural models for single organs were evaluated, and the whole-body PBPK model included liver, spleen, kidney, lung, heart, gastrointestinal tract, plasma, and remainder compartments. The final model resulted in a good simultaneous description of both single and multiple dose data sets. Incorporation of three subcompartments for spleen and kidney tissues was required for capturing a prolonged half-life in these organs. The predictive performance of the final PBPK model was assessed by evaluating its utility in predicting pharmacokinetics of AmB in mice and humans. Clearance and permeability–surface area terms were scaled with body weight. The model demonstrated good predictions of plasma AmB concentration–time profiles for both species. This modeling framework represents an important basis that may be further utilized for characterization of formulation- and disease-related factors in AmB pharmacokinetics and pharmacodynamics.","URL":"https://www.ncbi.nlm.nih.gov/pmc/articles/PMC3085707/","DOI":"10.1208/s12248-011-9267-8","ISSN":"1550-7416","note":"PMID: 21431453\nPMCID: PMC3085707","shortTitle":"Physiologically Based Pharmacokinetic Model of Amphotericin B Disposition in Rats Following Administration of Deoxycholate Formulation (Fungizone®)","journalAbbreviation":"AAPS J","author":[{"family":"Kagan","given":"Leonid"},{"family":"Gershkovich","given":"Pavel"},{"family":"Wasan","given":"Kishor M."},{"family":"Mager","given":"Donald E."}],"issued":{"date-parts":[["2011",3,23]]},"accessed":{"date-parts":[["2018",8,2]]}}},{"id":2365,"uris":["http://zotero.org/users/2628971/items/T929QAG7"],"uri":["http://zotero.org/users/2628971/items/T929QAG7"],"itemData":{"id":2365,"type":"article-journal","title":"Dual Physiologically Based Pharmacokinetic Model of Liposomal and Nonliposomal Amphotericin B Disposition","container-title":"Pharmaceutical Research","page":"35-45","volume":"31","issue":"1","source":"link.springer.com","abstract":"ABSTRACTPurposeTo investigate the biodistribution of amphotericin B (AmB) in mice and rats following administration of liposomal AmB (AmBisome®) using a physiologically-based pharmacokinetic (PBPK) modeling framework and to utilize this approach for predicting AmBisome® pharmacokinetics in human tissues.MethodsAmB plasma and tissue concentration-time data, following single and multiple intravenous administration of nonliposomal and liposomal AmB to mice and rats, were extracted from literature. The whole-body PBPK model was constructed and incorporated nonliposomal and liposomal subcompartments. Various structural models for individual organs were evaluated. Allometric relationships were incorporated into the model to scale parameters based on species body weight.ResultsA non-Michaelis-Menten mechanism was included into the structure of the liver and spleen liposomal compartments to describe saturable uptake of particles by the reticuloendothelial system. The model successfully described plasma and tissue pharmacokinetics of AmB after administration of AmBisome® to rats and mice.ConclusionsThe dual PBPK model demonstrated good predictive performance by reasonably simulating AmB exposure in human tissues. This modeling framework can be potentially utilized for optimizing AmBisome® therapy in humans and for investigating pathophysiological factors controlling AmB pharmacokinetics and pharmacodynamics.","DOI":"10.1007/s11095-013-1127-z","ISSN":"0724-8741, 1573-904X","journalAbbreviation":"Pharm Res","language":"en","author":[{"family":"Kagan","given":"Leonid"},{"family":"Gershkovich","given":"Pavel"},{"family":"Wasan","given":"Kishor M."},{"family":"Mager","given":"Donald E."}],"issued":{"date-parts":[["2014",1,1]]}}}],"schema":"https://github.com/citation-style-language/schema/raw/master/csl-citation.json"} </w:instrText>
      </w:r>
      <w:r w:rsidR="00EA6971" w:rsidRPr="008B3AD6">
        <w:fldChar w:fldCharType="separate"/>
      </w:r>
      <w:r w:rsidR="007A6EED" w:rsidRPr="007A6EED">
        <w:rPr>
          <w:lang w:val="en-US"/>
        </w:rPr>
        <w:t>(Kagan et al. 2011, 2014c)</w:t>
      </w:r>
      <w:r w:rsidR="00EA6971" w:rsidRPr="008B3AD6">
        <w:fldChar w:fldCharType="end"/>
      </w:r>
      <w:r w:rsidR="00EA6971" w:rsidRPr="008B3AD6">
        <w:t xml:space="preserve"> have described the release of drug from tissues freeing </w:t>
      </w:r>
      <w:r w:rsidR="00A32111">
        <w:t>AmB</w:t>
      </w:r>
      <w:r w:rsidR="00EA6971" w:rsidRPr="008B3AD6">
        <w:t xml:space="preserve"> for absorption </w:t>
      </w:r>
      <w:r>
        <w:t>at</w:t>
      </w:r>
      <w:r w:rsidR="00EA6971" w:rsidRPr="008B3AD6">
        <w:t xml:space="preserve"> other sites. Thus, whilst circulating blood levels may not sustain high quantities of blood a recirculation of drug is described which may play a role in hepatic accumulation.</w:t>
      </w:r>
    </w:p>
    <w:p w14:paraId="4D48BAB0" w14:textId="35397A3B" w:rsidR="000C08B3" w:rsidRPr="008B3AD6" w:rsidRDefault="000C08B3" w:rsidP="00F41A2A">
      <w:pPr>
        <w:spacing w:line="360" w:lineRule="auto"/>
        <w:jc w:val="both"/>
      </w:pPr>
    </w:p>
    <w:p w14:paraId="070490CC" w14:textId="72DC3E14" w:rsidR="003A2372" w:rsidRPr="008B3AD6" w:rsidRDefault="00A32111" w:rsidP="00F41A2A">
      <w:pPr>
        <w:spacing w:line="360" w:lineRule="auto"/>
        <w:jc w:val="both"/>
      </w:pPr>
      <w:r>
        <w:t>AmB</w:t>
      </w:r>
      <w:r w:rsidR="009479AD" w:rsidRPr="008B3AD6">
        <w:t xml:space="preserve"> may flux in (</w:t>
      </w:r>
      <w:r w:rsidR="009479AD" w:rsidRPr="008B3AD6">
        <w:rPr>
          <w:i/>
        </w:rPr>
        <w:t>K</w:t>
      </w:r>
      <w:r w:rsidR="009479AD" w:rsidRPr="008B3AD6">
        <w:rPr>
          <w:i/>
          <w:vertAlign w:val="subscript"/>
        </w:rPr>
        <w:t>OL</w:t>
      </w:r>
      <w:r w:rsidR="009479AD" w:rsidRPr="008B3AD6">
        <w:t>) and out of the liver (</w:t>
      </w:r>
      <w:r w:rsidR="009479AD" w:rsidRPr="008B3AD6">
        <w:rPr>
          <w:i/>
        </w:rPr>
        <w:t>K</w:t>
      </w:r>
      <w:r w:rsidR="009479AD" w:rsidRPr="008B3AD6">
        <w:rPr>
          <w:i/>
          <w:vertAlign w:val="subscript"/>
        </w:rPr>
        <w:t>LO</w:t>
      </w:r>
      <w:r w:rsidR="009479AD" w:rsidRPr="008B3AD6">
        <w:t xml:space="preserve">). Our previous data has shown that whilst the liver retains high levels of </w:t>
      </w:r>
      <w:r>
        <w:t>AmB</w:t>
      </w:r>
      <w:r w:rsidR="009479AD" w:rsidRPr="008B3AD6">
        <w:t xml:space="preserve"> post-treatment (</w:t>
      </w:r>
      <w:r w:rsidR="0074700A">
        <w:rPr>
          <w:b/>
        </w:rPr>
        <w:fldChar w:fldCharType="begin"/>
      </w:r>
      <w:r w:rsidR="0074700A">
        <w:rPr>
          <w:b/>
        </w:rPr>
        <w:instrText xml:space="preserve"> REF _Ref518932550  \* MERGEFORMAT </w:instrText>
      </w:r>
      <w:r w:rsidR="0074700A">
        <w:rPr>
          <w:b/>
        </w:rPr>
        <w:fldChar w:fldCharType="separate"/>
      </w:r>
      <w:r w:rsidR="00921CAF" w:rsidRPr="00921CAF">
        <w:rPr>
          <w:b/>
        </w:rPr>
        <w:t xml:space="preserve">Figure </w:t>
      </w:r>
      <w:r w:rsidR="00921CAF" w:rsidRPr="00921CAF">
        <w:rPr>
          <w:b/>
          <w:noProof/>
        </w:rPr>
        <w:t>3.12</w:t>
      </w:r>
      <w:r w:rsidR="0074700A">
        <w:rPr>
          <w:b/>
          <w:noProof/>
        </w:rPr>
        <w:fldChar w:fldCharType="end"/>
      </w:r>
      <w:r w:rsidR="009479AD" w:rsidRPr="008B3AD6">
        <w:t xml:space="preserve">) that the </w:t>
      </w:r>
      <w:r w:rsidR="004E793F">
        <w:t>majority</w:t>
      </w:r>
      <w:r w:rsidR="009479AD" w:rsidRPr="008B3AD6">
        <w:t xml:space="preserve"> of this does not seem to be located in the leukocytes (</w:t>
      </w:r>
      <w:r w:rsidR="0074700A">
        <w:rPr>
          <w:b/>
        </w:rPr>
        <w:fldChar w:fldCharType="begin"/>
      </w:r>
      <w:r w:rsidR="0074700A">
        <w:rPr>
          <w:b/>
        </w:rPr>
        <w:instrText xml:space="preserve"> REF _Ref518932772  \* MERGEFORMAT </w:instrText>
      </w:r>
      <w:r w:rsidR="0074700A">
        <w:rPr>
          <w:b/>
        </w:rPr>
        <w:fldChar w:fldCharType="separate"/>
      </w:r>
      <w:r w:rsidR="00921CAF" w:rsidRPr="00921CAF">
        <w:rPr>
          <w:b/>
        </w:rPr>
        <w:t xml:space="preserve">Figure </w:t>
      </w:r>
      <w:r w:rsidR="00921CAF" w:rsidRPr="00921CAF">
        <w:rPr>
          <w:b/>
          <w:noProof/>
        </w:rPr>
        <w:t>3.13</w:t>
      </w:r>
      <w:r w:rsidR="0074700A">
        <w:rPr>
          <w:b/>
          <w:noProof/>
        </w:rPr>
        <w:fldChar w:fldCharType="end"/>
      </w:r>
      <w:r w:rsidR="009479AD" w:rsidRPr="008B3AD6">
        <w:t>). Thus, we assume non-leukocytic retention of drug, with parenchymal cells as likely candidates (</w:t>
      </w:r>
      <w:r w:rsidR="0074700A">
        <w:rPr>
          <w:b/>
        </w:rPr>
        <w:fldChar w:fldCharType="begin"/>
      </w:r>
      <w:r w:rsidR="0074700A">
        <w:rPr>
          <w:b/>
        </w:rPr>
        <w:instrText xml:space="preserve"> REF _Ref518931821  \* MERGEFORMAT </w:instrText>
      </w:r>
      <w:r w:rsidR="0074700A">
        <w:rPr>
          <w:b/>
        </w:rPr>
        <w:fldChar w:fldCharType="separate"/>
      </w:r>
      <w:r w:rsidR="00921CAF" w:rsidRPr="00921CAF">
        <w:rPr>
          <w:b/>
        </w:rPr>
        <w:t xml:space="preserve">Figure </w:t>
      </w:r>
      <w:r w:rsidR="00921CAF" w:rsidRPr="00921CAF">
        <w:rPr>
          <w:b/>
          <w:noProof/>
        </w:rPr>
        <w:t>3.3</w:t>
      </w:r>
      <w:r w:rsidR="0074700A">
        <w:rPr>
          <w:b/>
          <w:noProof/>
        </w:rPr>
        <w:fldChar w:fldCharType="end"/>
      </w:r>
      <w:r w:rsidR="009479AD" w:rsidRPr="008B3AD6">
        <w:t xml:space="preserve">). Rather than add another </w:t>
      </w:r>
      <w:r>
        <w:t>AmB</w:t>
      </w:r>
      <w:r w:rsidR="009479AD" w:rsidRPr="008B3AD6">
        <w:t xml:space="preserve"> population to the model, thus again increasing complexity and parameter searching space, a more simplistic representation is the addition of a retention parameter (</w:t>
      </w:r>
      <w:r w:rsidR="009479AD" w:rsidRPr="008B3AD6">
        <w:rPr>
          <w:i/>
        </w:rPr>
        <w:t>R</w:t>
      </w:r>
      <w:r w:rsidR="009479AD" w:rsidRPr="008B3AD6">
        <w:rPr>
          <w:i/>
          <w:vertAlign w:val="subscript"/>
        </w:rPr>
        <w:t>L</w:t>
      </w:r>
      <w:r w:rsidR="009479AD" w:rsidRPr="008B3AD6">
        <w:t xml:space="preserve">). This parameter represents the concept that not all hepatic </w:t>
      </w:r>
      <w:r>
        <w:t>AmB</w:t>
      </w:r>
      <w:r w:rsidR="009479AD" w:rsidRPr="008B3AD6">
        <w:t xml:space="preserve"> is freely available to </w:t>
      </w:r>
      <w:r w:rsidR="009479AD" w:rsidRPr="008B3AD6">
        <w:lastRenderedPageBreak/>
        <w:t xml:space="preserve">partake in absorption and excretion processes whilst not </w:t>
      </w:r>
      <w:r w:rsidR="00324F3B" w:rsidRPr="008B3AD6">
        <w:t>necessitating</w:t>
      </w:r>
      <w:r w:rsidR="009479AD" w:rsidRPr="008B3AD6">
        <w:t xml:space="preserve"> the need for explicit representation of these entities.</w:t>
      </w:r>
    </w:p>
    <w:p w14:paraId="36CAAF7E" w14:textId="77777777" w:rsidR="003A2372" w:rsidRPr="008B3AD6" w:rsidRDefault="003A2372" w:rsidP="00F41A2A">
      <w:pPr>
        <w:spacing w:line="360" w:lineRule="auto"/>
        <w:jc w:val="both"/>
      </w:pPr>
    </w:p>
    <w:p w14:paraId="3C8CE632" w14:textId="4900D8CE" w:rsidR="00B62FD1" w:rsidRPr="008B3AD6" w:rsidRDefault="003A2372" w:rsidP="00F41A2A">
      <w:pPr>
        <w:spacing w:line="360" w:lineRule="auto"/>
        <w:jc w:val="both"/>
      </w:pPr>
      <w:r w:rsidRPr="008B3AD6">
        <w:t xml:space="preserve">Once </w:t>
      </w:r>
      <w:r w:rsidR="00A32111">
        <w:t>AmB</w:t>
      </w:r>
      <w:r w:rsidRPr="008B3AD6">
        <w:t xml:space="preserve"> is localised within the liver, myeloid cells (both susceptible and infected) and T cells may absorb it represented by simple mass-balance kinetics. This absorption is density-dependent and occurs at set rates per T cell (</w:t>
      </w:r>
      <w:r w:rsidRPr="008B3AD6">
        <w:rPr>
          <w:i/>
        </w:rPr>
        <w:t>K</w:t>
      </w:r>
      <w:r w:rsidRPr="008B3AD6">
        <w:rPr>
          <w:i/>
          <w:vertAlign w:val="subscript"/>
        </w:rPr>
        <w:t>LT</w:t>
      </w:r>
      <w:r w:rsidRPr="008B3AD6">
        <w:t>) and myeloid cells (</w:t>
      </w:r>
      <w:r w:rsidRPr="008B3AD6">
        <w:rPr>
          <w:i/>
        </w:rPr>
        <w:t>K</w:t>
      </w:r>
      <w:r w:rsidRPr="008B3AD6">
        <w:rPr>
          <w:i/>
          <w:vertAlign w:val="subscript"/>
        </w:rPr>
        <w:t>LM</w:t>
      </w:r>
      <w:r w:rsidRPr="008B3AD6">
        <w:t>)</w:t>
      </w:r>
      <w:r w:rsidR="00010140" w:rsidRPr="008B3AD6">
        <w:t xml:space="preserve">. The excretion, or out flux, of </w:t>
      </w:r>
      <w:r w:rsidR="00A32111">
        <w:t>AmB</w:t>
      </w:r>
      <w:r w:rsidR="00B62FD1" w:rsidRPr="008B3AD6">
        <w:t xml:space="preserve"> from these entities occurs at set rates (</w:t>
      </w:r>
      <w:r w:rsidR="00B62FD1" w:rsidRPr="008B3AD6">
        <w:rPr>
          <w:i/>
        </w:rPr>
        <w:t>K</w:t>
      </w:r>
      <w:r w:rsidR="00B62FD1" w:rsidRPr="008B3AD6">
        <w:rPr>
          <w:i/>
          <w:vertAlign w:val="subscript"/>
        </w:rPr>
        <w:t>ML</w:t>
      </w:r>
      <w:r w:rsidR="00B62FD1" w:rsidRPr="008B3AD6">
        <w:t xml:space="preserve"> and </w:t>
      </w:r>
      <w:r w:rsidR="00B62FD1" w:rsidRPr="008B3AD6">
        <w:rPr>
          <w:i/>
        </w:rPr>
        <w:t>K</w:t>
      </w:r>
      <w:r w:rsidR="00B62FD1" w:rsidRPr="008B3AD6">
        <w:rPr>
          <w:i/>
          <w:vertAlign w:val="subscript"/>
        </w:rPr>
        <w:t>TL</w:t>
      </w:r>
      <w:r w:rsidR="00B62FD1" w:rsidRPr="008B3AD6">
        <w:t xml:space="preserve">, respectively) with </w:t>
      </w:r>
      <w:r w:rsidR="00A32111">
        <w:t>AmB</w:t>
      </w:r>
      <w:r w:rsidR="00B62FD1" w:rsidRPr="008B3AD6">
        <w:t xml:space="preserve"> released to the </w:t>
      </w:r>
      <w:r w:rsidR="004E793F">
        <w:t>l</w:t>
      </w:r>
      <w:r w:rsidR="00B62FD1" w:rsidRPr="008B3AD6">
        <w:t xml:space="preserve">iver. Free </w:t>
      </w:r>
      <w:r w:rsidR="00A32111">
        <w:t>AmB</w:t>
      </w:r>
      <w:r w:rsidR="00B62FD1" w:rsidRPr="008B3AD6">
        <w:t xml:space="preserve"> within the liver can kill extracellular </w:t>
      </w:r>
      <w:r w:rsidR="00B62FD1" w:rsidRPr="008B3AD6">
        <w:rPr>
          <w:i/>
        </w:rPr>
        <w:t>L. donovani</w:t>
      </w:r>
      <w:r w:rsidR="00B62FD1" w:rsidRPr="008B3AD6">
        <w:t xml:space="preserve"> </w:t>
      </w:r>
      <w:r w:rsidR="004E793F">
        <w:t xml:space="preserve">and this is represented </w:t>
      </w:r>
      <w:r w:rsidR="00B62FD1" w:rsidRPr="008B3AD6">
        <w:t>using Michaelis–Menten kinetics, incorporating the IC</w:t>
      </w:r>
      <w:r w:rsidR="00B62FD1" w:rsidRPr="008B3AD6">
        <w:rPr>
          <w:vertAlign w:val="subscript"/>
        </w:rPr>
        <w:t>50</w:t>
      </w:r>
      <w:r w:rsidR="004E793F">
        <w:rPr>
          <w:vertAlign w:val="subscript"/>
        </w:rPr>
        <w:t xml:space="preserve"> </w:t>
      </w:r>
      <w:r w:rsidR="00B62FD1" w:rsidRPr="008B3AD6">
        <w:t xml:space="preserve">of </w:t>
      </w:r>
      <w:r w:rsidR="00A32111">
        <w:t>AmB</w:t>
      </w:r>
      <w:r w:rsidR="004E793F">
        <w:t>, the concentration needed to kill 50% of the target population,</w:t>
      </w:r>
      <w:r w:rsidR="004E793F" w:rsidRPr="008B3AD6">
        <w:t xml:space="preserve"> </w:t>
      </w:r>
      <w:r w:rsidR="00B62FD1" w:rsidRPr="008B3AD6">
        <w:t xml:space="preserve">for these extracellular </w:t>
      </w:r>
      <w:r w:rsidR="00B62FD1" w:rsidRPr="008B3AD6">
        <w:rPr>
          <w:i/>
        </w:rPr>
        <w:t xml:space="preserve">L. donovani </w:t>
      </w:r>
      <w:r w:rsidR="00B62FD1" w:rsidRPr="008B3AD6">
        <w:t>(</w:t>
      </w:r>
      <w:r w:rsidR="00B62FD1" w:rsidRPr="008B3AD6">
        <w:rPr>
          <w:i/>
        </w:rPr>
        <w:t>b</w:t>
      </w:r>
      <w:r w:rsidR="00B62FD1" w:rsidRPr="008B3AD6">
        <w:t xml:space="preserve">). Intracellular </w:t>
      </w:r>
      <w:r w:rsidR="00B62FD1" w:rsidRPr="008B3AD6">
        <w:rPr>
          <w:i/>
        </w:rPr>
        <w:t xml:space="preserve">L. donovani </w:t>
      </w:r>
      <w:r w:rsidR="00B62FD1" w:rsidRPr="008B3AD6">
        <w:t xml:space="preserve">is killed by </w:t>
      </w:r>
      <w:r w:rsidR="00A32111">
        <w:t>AmB</w:t>
      </w:r>
      <w:r w:rsidR="00B62FD1" w:rsidRPr="008B3AD6">
        <w:t xml:space="preserve"> located within Myeloid cells incorporating the IC</w:t>
      </w:r>
      <w:r w:rsidR="00B62FD1" w:rsidRPr="008B3AD6">
        <w:rPr>
          <w:vertAlign w:val="subscript"/>
        </w:rPr>
        <w:t>50</w:t>
      </w:r>
      <w:r w:rsidR="00B62FD1" w:rsidRPr="008B3AD6">
        <w:t xml:space="preserve"> of </w:t>
      </w:r>
      <w:r w:rsidR="00A32111">
        <w:t>AmB</w:t>
      </w:r>
      <w:r w:rsidR="00B62FD1" w:rsidRPr="008B3AD6">
        <w:t xml:space="preserve"> for intracellular </w:t>
      </w:r>
      <w:r w:rsidR="00B62FD1" w:rsidRPr="008B3AD6">
        <w:rPr>
          <w:i/>
        </w:rPr>
        <w:t xml:space="preserve">L. donovani </w:t>
      </w:r>
      <w:r w:rsidR="00B62FD1" w:rsidRPr="008B3AD6">
        <w:t>(</w:t>
      </w:r>
      <w:r w:rsidR="00B62FD1" w:rsidRPr="008B3AD6">
        <w:rPr>
          <w:i/>
        </w:rPr>
        <w:t>d</w:t>
      </w:r>
      <w:r w:rsidR="00B62FD1" w:rsidRPr="008B3AD6">
        <w:t>).</w:t>
      </w:r>
    </w:p>
    <w:p w14:paraId="1E20E65E" w14:textId="70C9F5F7" w:rsidR="00B62FD1" w:rsidRPr="008B3AD6" w:rsidRDefault="00B62FD1" w:rsidP="00F41A2A">
      <w:pPr>
        <w:spacing w:line="360" w:lineRule="auto"/>
        <w:jc w:val="both"/>
      </w:pPr>
    </w:p>
    <w:p w14:paraId="492DEDF5" w14:textId="4D7ECB44" w:rsidR="00E65E72" w:rsidRPr="008B3AD6" w:rsidRDefault="008F5D3E" w:rsidP="006D2EDF">
      <w:pPr>
        <w:spacing w:line="360" w:lineRule="auto"/>
        <w:jc w:val="both"/>
      </w:pPr>
      <w:r w:rsidRPr="008B3AD6">
        <w:t xml:space="preserve">At this stage a simulation model had been derived (an amalgamation of </w:t>
      </w:r>
      <w:r w:rsidR="0074700A">
        <w:rPr>
          <w:b/>
        </w:rPr>
        <w:fldChar w:fldCharType="begin"/>
      </w:r>
      <w:r w:rsidR="0074700A">
        <w:rPr>
          <w:b/>
        </w:rPr>
        <w:instrText xml:space="preserve"> REF _Ref522633684  \* MERGEFORMAT </w:instrText>
      </w:r>
      <w:r w:rsidR="0074700A">
        <w:rPr>
          <w:b/>
        </w:rPr>
        <w:fldChar w:fldCharType="separate"/>
      </w:r>
      <w:r w:rsidR="00921CAF" w:rsidRPr="00921CAF">
        <w:rPr>
          <w:b/>
        </w:rPr>
        <w:t xml:space="preserve">Figure </w:t>
      </w:r>
      <w:r w:rsidR="00921CAF" w:rsidRPr="00921CAF">
        <w:rPr>
          <w:b/>
          <w:noProof/>
        </w:rPr>
        <w:t>5.2</w:t>
      </w:r>
      <w:r w:rsidR="0074700A">
        <w:rPr>
          <w:b/>
          <w:noProof/>
        </w:rPr>
        <w:fldChar w:fldCharType="end"/>
      </w:r>
      <w:r w:rsidRPr="008B3AD6">
        <w:t xml:space="preserve"> and </w:t>
      </w:r>
      <w:r w:rsidR="0074700A">
        <w:rPr>
          <w:b/>
        </w:rPr>
        <w:fldChar w:fldCharType="begin"/>
      </w:r>
      <w:r w:rsidR="0074700A">
        <w:rPr>
          <w:b/>
        </w:rPr>
        <w:instrText xml:space="preserve"> REF _Ref522891090  \* MERGEFORMAT </w:instrText>
      </w:r>
      <w:r w:rsidR="0074700A">
        <w:rPr>
          <w:b/>
        </w:rPr>
        <w:fldChar w:fldCharType="separate"/>
      </w:r>
      <w:r w:rsidR="00921CAF" w:rsidRPr="00921CAF">
        <w:rPr>
          <w:b/>
        </w:rPr>
        <w:t xml:space="preserve">Figure </w:t>
      </w:r>
      <w:r w:rsidR="00921CAF" w:rsidRPr="00921CAF">
        <w:rPr>
          <w:b/>
          <w:noProof/>
        </w:rPr>
        <w:t>5.16</w:t>
      </w:r>
      <w:r w:rsidR="0074700A">
        <w:rPr>
          <w:b/>
          <w:noProof/>
        </w:rPr>
        <w:fldChar w:fldCharType="end"/>
      </w:r>
      <w:r w:rsidRPr="008B3AD6">
        <w:t xml:space="preserve">), based upon the preceding domain and platform models, but prior to implementation in investigative scenarios the model required calibration. </w:t>
      </w:r>
      <w:r w:rsidR="006D2EDF" w:rsidRPr="008B3AD6">
        <w:t xml:space="preserve">Initially calibration was attempted for the </w:t>
      </w:r>
      <w:r w:rsidR="00A32111">
        <w:t>AmB</w:t>
      </w:r>
      <w:r w:rsidR="006D2EDF" w:rsidRPr="008B3AD6">
        <w:t xml:space="preserve"> accumulation in the liver (Eq. 5.8), myeloid cells (Eq. 5.10) and T cells (Eq. 5.9</w:t>
      </w:r>
      <w:r w:rsidR="003F3B2A" w:rsidRPr="008B3AD6">
        <w:t xml:space="preserve">) but did not include calibration for the population changes of T cells, myeloid cells, intracellular </w:t>
      </w:r>
      <w:r w:rsidR="003F3B2A" w:rsidRPr="008B3AD6">
        <w:rPr>
          <w:i/>
        </w:rPr>
        <w:t>L. donovani</w:t>
      </w:r>
      <w:r w:rsidR="003F3B2A" w:rsidRPr="008B3AD6">
        <w:t xml:space="preserve"> or extracellular </w:t>
      </w:r>
      <w:r w:rsidR="003F3B2A" w:rsidRPr="008B3AD6">
        <w:rPr>
          <w:i/>
        </w:rPr>
        <w:t>L. donovani</w:t>
      </w:r>
      <w:r w:rsidR="003F3B2A" w:rsidRPr="008B3AD6">
        <w:t xml:space="preserve">. This approach was taken to reduce the complexity of the calibration, by reducing the parameter sampling space, and to examine whether the calibration was able to derive parameters which naturally induced the population changes. To this end the multi-objective NSGA-II algorithm was employed (see Section </w:t>
      </w:r>
      <w:r w:rsidR="008B3AD6" w:rsidRPr="008B3AD6">
        <w:fldChar w:fldCharType="begin"/>
      </w:r>
      <w:r w:rsidR="008B3AD6" w:rsidRPr="008B3AD6">
        <w:instrText xml:space="preserve"> REF _Ref523067372 \n </w:instrText>
      </w:r>
      <w:r w:rsidR="008B3AD6">
        <w:instrText xml:space="preserve"> \* MERGEFORMAT </w:instrText>
      </w:r>
      <w:r w:rsidR="008B3AD6" w:rsidRPr="008B3AD6">
        <w:fldChar w:fldCharType="separate"/>
      </w:r>
      <w:r w:rsidR="00921CAF">
        <w:t>2.15.6</w:t>
      </w:r>
      <w:r w:rsidR="008B3AD6" w:rsidRPr="008B3AD6">
        <w:fldChar w:fldCharType="end"/>
      </w:r>
      <w:r w:rsidR="003F3B2A" w:rsidRPr="008B3AD6">
        <w:t xml:space="preserve">). The simulation model was supplied alongside an evaluation function which calculated the RMSE between the biological and simulation data, using the data for </w:t>
      </w:r>
      <w:r w:rsidR="00A32111">
        <w:t>AmB</w:t>
      </w:r>
      <w:r w:rsidR="003F3B2A" w:rsidRPr="008B3AD6">
        <w:t xml:space="preserve"> accumulation in the liver (</w:t>
      </w:r>
      <w:r w:rsidR="00755AFD" w:rsidRPr="008B3AD6">
        <w:rPr>
          <w:b/>
        </w:rPr>
        <w:fldChar w:fldCharType="begin"/>
      </w:r>
      <w:r w:rsidR="00755AFD" w:rsidRPr="008B3AD6">
        <w:rPr>
          <w:b/>
        </w:rPr>
        <w:instrText xml:space="preserve"> REF _Ref518932550  \* MERGEFORMAT </w:instrText>
      </w:r>
      <w:r w:rsidR="00755AFD" w:rsidRPr="008B3AD6">
        <w:rPr>
          <w:b/>
        </w:rPr>
        <w:fldChar w:fldCharType="separate"/>
      </w:r>
      <w:r w:rsidR="00921CAF" w:rsidRPr="00921CAF">
        <w:rPr>
          <w:b/>
        </w:rPr>
        <w:t xml:space="preserve">Figure </w:t>
      </w:r>
      <w:r w:rsidR="00921CAF" w:rsidRPr="00921CAF">
        <w:rPr>
          <w:b/>
          <w:noProof/>
        </w:rPr>
        <w:t>3.12</w:t>
      </w:r>
      <w:r w:rsidR="00755AFD" w:rsidRPr="008B3AD6">
        <w:rPr>
          <w:b/>
          <w:noProof/>
        </w:rPr>
        <w:fldChar w:fldCharType="end"/>
      </w:r>
      <w:r w:rsidR="003F3B2A" w:rsidRPr="008B3AD6">
        <w:t>), myeloid and T cells (</w:t>
      </w:r>
      <w:r w:rsidR="00755AFD" w:rsidRPr="008B3AD6">
        <w:rPr>
          <w:b/>
        </w:rPr>
        <w:fldChar w:fldCharType="begin"/>
      </w:r>
      <w:r w:rsidR="00755AFD" w:rsidRPr="008B3AD6">
        <w:rPr>
          <w:b/>
        </w:rPr>
        <w:instrText xml:space="preserve"> REF _Ref522784400  \* MERGEFORMAT </w:instrText>
      </w:r>
      <w:r w:rsidR="00755AFD" w:rsidRPr="008B3AD6">
        <w:rPr>
          <w:b/>
        </w:rPr>
        <w:fldChar w:fldCharType="separate"/>
      </w:r>
      <w:r w:rsidR="00921CAF" w:rsidRPr="00921CAF">
        <w:rPr>
          <w:b/>
        </w:rPr>
        <w:t xml:space="preserve">Figure </w:t>
      </w:r>
      <w:r w:rsidR="00921CAF" w:rsidRPr="00921CAF">
        <w:rPr>
          <w:b/>
          <w:noProof/>
        </w:rPr>
        <w:t>5.9</w:t>
      </w:r>
      <w:r w:rsidR="00755AFD" w:rsidRPr="008B3AD6">
        <w:rPr>
          <w:b/>
          <w:noProof/>
        </w:rPr>
        <w:fldChar w:fldCharType="end"/>
      </w:r>
      <w:r w:rsidR="003F3B2A" w:rsidRPr="008B3AD6">
        <w:t xml:space="preserve">). The algorithm attempted to minimise the RMSE, generating 100 parameter sets which evolved over 200 generations. </w:t>
      </w:r>
      <w:r w:rsidR="0074700A">
        <w:rPr>
          <w:b/>
        </w:rPr>
        <w:fldChar w:fldCharType="begin"/>
      </w:r>
      <w:r w:rsidR="0074700A">
        <w:rPr>
          <w:b/>
        </w:rPr>
        <w:instrText xml:space="preserve"> REF _Ref523067540  \* MERGEFORMAT </w:instrText>
      </w:r>
      <w:r w:rsidR="0074700A">
        <w:rPr>
          <w:b/>
        </w:rPr>
        <w:fldChar w:fldCharType="separate"/>
      </w:r>
      <w:r w:rsidR="00921CAF" w:rsidRPr="00921CAF">
        <w:rPr>
          <w:b/>
        </w:rPr>
        <w:t xml:space="preserve">Figure </w:t>
      </w:r>
      <w:r w:rsidR="00921CAF" w:rsidRPr="00921CAF">
        <w:rPr>
          <w:b/>
          <w:noProof/>
        </w:rPr>
        <w:t>5.17</w:t>
      </w:r>
      <w:r w:rsidR="0074700A">
        <w:rPr>
          <w:b/>
          <w:noProof/>
        </w:rPr>
        <w:fldChar w:fldCharType="end"/>
      </w:r>
      <w:r w:rsidR="003F3B2A" w:rsidRPr="008B3AD6">
        <w:t xml:space="preserve"> shows the RMSE for </w:t>
      </w:r>
      <w:r w:rsidR="00A32111">
        <w:t>AmB</w:t>
      </w:r>
      <w:r w:rsidR="003F3B2A" w:rsidRPr="008B3AD6">
        <w:t xml:space="preserve"> accumulation in the liver, myeloid and T cells for the final generation of the 100 parameter sets. </w:t>
      </w:r>
    </w:p>
    <w:p w14:paraId="498A61A4" w14:textId="5CD0AF96" w:rsidR="00EC7CEF" w:rsidRPr="008B3AD6" w:rsidRDefault="00EC7CEF" w:rsidP="006D2EDF">
      <w:pPr>
        <w:spacing w:line="360" w:lineRule="auto"/>
        <w:jc w:val="both"/>
      </w:pPr>
    </w:p>
    <w:p w14:paraId="4CECF39E" w14:textId="394AE458" w:rsidR="00EC7CEF" w:rsidRPr="008B3AD6" w:rsidRDefault="00EC7CEF" w:rsidP="006D2EDF">
      <w:pPr>
        <w:spacing w:line="360" w:lineRule="auto"/>
        <w:jc w:val="both"/>
      </w:pPr>
    </w:p>
    <w:p w14:paraId="0926C5AF" w14:textId="2F7A8984" w:rsidR="00EC7CEF" w:rsidRPr="008B3AD6" w:rsidRDefault="00EC7CEF" w:rsidP="006D2EDF">
      <w:pPr>
        <w:spacing w:line="360" w:lineRule="auto"/>
        <w:jc w:val="both"/>
      </w:pPr>
    </w:p>
    <w:p w14:paraId="0AFA569C" w14:textId="40D9675A" w:rsidR="00EC7CEF" w:rsidRPr="008B3AD6" w:rsidRDefault="00EC7CEF" w:rsidP="006D2EDF">
      <w:pPr>
        <w:spacing w:line="360" w:lineRule="auto"/>
        <w:jc w:val="both"/>
      </w:pPr>
    </w:p>
    <w:p w14:paraId="6F5EC8E0" w14:textId="224D29C5" w:rsidR="00EC7CEF" w:rsidRPr="008B3AD6" w:rsidRDefault="00EC7CEF" w:rsidP="006D2EDF">
      <w:pPr>
        <w:spacing w:line="360" w:lineRule="auto"/>
        <w:jc w:val="both"/>
      </w:pPr>
    </w:p>
    <w:p w14:paraId="05482FBB" w14:textId="3D5BBF26" w:rsidR="00EC7CEF" w:rsidRPr="008B3AD6" w:rsidRDefault="00EC7CEF" w:rsidP="006D2EDF">
      <w:pPr>
        <w:spacing w:line="360" w:lineRule="auto"/>
        <w:jc w:val="both"/>
      </w:pPr>
    </w:p>
    <w:p w14:paraId="03C0E0B6" w14:textId="197959AC" w:rsidR="00EC7CEF" w:rsidRPr="008B3AD6" w:rsidRDefault="00EC7CEF" w:rsidP="006D2EDF">
      <w:pPr>
        <w:spacing w:line="360" w:lineRule="auto"/>
        <w:jc w:val="both"/>
      </w:pPr>
    </w:p>
    <w:p w14:paraId="5F71CDC2" w14:textId="2BEF871C" w:rsidR="00EC7CEF" w:rsidRPr="008B3AD6" w:rsidRDefault="00EC7CEF" w:rsidP="006D2EDF">
      <w:pPr>
        <w:spacing w:line="360" w:lineRule="auto"/>
        <w:jc w:val="both"/>
      </w:pPr>
    </w:p>
    <w:p w14:paraId="1F1F0BC6" w14:textId="7F095E31" w:rsidR="00EC7CEF" w:rsidRPr="008B3AD6" w:rsidRDefault="00F7425F" w:rsidP="006D2EDF">
      <w:pPr>
        <w:spacing w:line="360" w:lineRule="auto"/>
        <w:jc w:val="both"/>
      </w:pPr>
      <w:r>
        <w:rPr>
          <w:noProof/>
        </w:rPr>
        <mc:AlternateContent>
          <mc:Choice Requires="wps">
            <w:drawing>
              <wp:anchor distT="0" distB="0" distL="114300" distR="114300" simplePos="0" relativeHeight="251924480" behindDoc="0" locked="0" layoutInCell="1" allowOverlap="1" wp14:anchorId="70D67580" wp14:editId="498E213D">
                <wp:simplePos x="0" y="0"/>
                <wp:positionH relativeFrom="column">
                  <wp:posOffset>-314325</wp:posOffset>
                </wp:positionH>
                <wp:positionV relativeFrom="paragraph">
                  <wp:posOffset>3763108</wp:posOffset>
                </wp:positionV>
                <wp:extent cx="5575935" cy="1330325"/>
                <wp:effectExtent l="0" t="0" r="0" b="3175"/>
                <wp:wrapTopAndBottom/>
                <wp:docPr id="138" name="Text Box 138"/>
                <wp:cNvGraphicFramePr/>
                <a:graphic xmlns:a="http://schemas.openxmlformats.org/drawingml/2006/main">
                  <a:graphicData uri="http://schemas.microsoft.com/office/word/2010/wordprocessingShape">
                    <wps:wsp>
                      <wps:cNvSpPr txBox="1"/>
                      <wps:spPr>
                        <a:xfrm>
                          <a:off x="0" y="0"/>
                          <a:ext cx="5575935" cy="1330325"/>
                        </a:xfrm>
                        <a:prstGeom prst="rect">
                          <a:avLst/>
                        </a:prstGeom>
                        <a:solidFill>
                          <a:prstClr val="white"/>
                        </a:solidFill>
                        <a:ln>
                          <a:noFill/>
                        </a:ln>
                      </wps:spPr>
                      <wps:txbx>
                        <w:txbxContent>
                          <w:p w14:paraId="1D83B9D8" w14:textId="41CAD69D" w:rsidR="00F61130" w:rsidRPr="00D9511B" w:rsidRDefault="00F61130" w:rsidP="00B23FF8">
                            <w:pPr>
                              <w:pStyle w:val="Caption"/>
                              <w:spacing w:line="360" w:lineRule="auto"/>
                              <w:jc w:val="both"/>
                              <w:rPr>
                                <w:sz w:val="20"/>
                                <w:szCs w:val="20"/>
                              </w:rPr>
                            </w:pPr>
                            <w:bookmarkStart w:id="660" w:name="_Ref523067540"/>
                            <w:bookmarkStart w:id="661" w:name="_Toc525227252"/>
                            <w:bookmarkStart w:id="662" w:name="_Toc536814191"/>
                            <w:r w:rsidRPr="00D9511B">
                              <w:rPr>
                                <w:b/>
                                <w:sz w:val="20"/>
                                <w:szCs w:val="20"/>
                              </w:rPr>
                              <w:t xml:space="preserve">Figure </w:t>
                            </w:r>
                            <w:r>
                              <w:rPr>
                                <w:b/>
                                <w:sz w:val="20"/>
                                <w:szCs w:val="20"/>
                              </w:rPr>
                              <w:fldChar w:fldCharType="begin"/>
                            </w:r>
                            <w:r>
                              <w:rPr>
                                <w:b/>
                                <w:sz w:val="20"/>
                                <w:szCs w:val="20"/>
                              </w:rPr>
                              <w:instrText xml:space="preserve"> STYLEREF 1 \s </w:instrText>
                            </w:r>
                            <w:r>
                              <w:rPr>
                                <w:b/>
                                <w:sz w:val="20"/>
                                <w:szCs w:val="20"/>
                              </w:rPr>
                              <w:fldChar w:fldCharType="separate"/>
                            </w:r>
                            <w:r>
                              <w:rPr>
                                <w:b/>
                                <w:noProof/>
                                <w:sz w:val="20"/>
                                <w:szCs w:val="20"/>
                              </w:rPr>
                              <w:t>5</w:t>
                            </w:r>
                            <w:r>
                              <w:rPr>
                                <w:b/>
                                <w:sz w:val="20"/>
                                <w:szCs w:val="20"/>
                              </w:rPr>
                              <w:fldChar w:fldCharType="end"/>
                            </w:r>
                            <w:r>
                              <w:rPr>
                                <w:b/>
                                <w:sz w:val="20"/>
                                <w:szCs w:val="20"/>
                              </w:rPr>
                              <w:t>.</w:t>
                            </w:r>
                            <w:r>
                              <w:rPr>
                                <w:b/>
                                <w:sz w:val="20"/>
                                <w:szCs w:val="20"/>
                              </w:rPr>
                              <w:fldChar w:fldCharType="begin"/>
                            </w:r>
                            <w:r>
                              <w:rPr>
                                <w:b/>
                                <w:sz w:val="20"/>
                                <w:szCs w:val="20"/>
                              </w:rPr>
                              <w:instrText xml:space="preserve"> SEQ Figure \* ARABIC \s 1 </w:instrText>
                            </w:r>
                            <w:r>
                              <w:rPr>
                                <w:b/>
                                <w:sz w:val="20"/>
                                <w:szCs w:val="20"/>
                              </w:rPr>
                              <w:fldChar w:fldCharType="separate"/>
                            </w:r>
                            <w:r>
                              <w:rPr>
                                <w:b/>
                                <w:noProof/>
                                <w:sz w:val="20"/>
                                <w:szCs w:val="20"/>
                              </w:rPr>
                              <w:t>17</w:t>
                            </w:r>
                            <w:r>
                              <w:rPr>
                                <w:b/>
                                <w:sz w:val="20"/>
                                <w:szCs w:val="20"/>
                              </w:rPr>
                              <w:fldChar w:fldCharType="end"/>
                            </w:r>
                            <w:bookmarkEnd w:id="660"/>
                            <w:r w:rsidRPr="00D9511B">
                              <w:rPr>
                                <w:b/>
                                <w:sz w:val="20"/>
                                <w:szCs w:val="20"/>
                              </w:rPr>
                              <w:t xml:space="preserve"> - Calibration </w:t>
                            </w:r>
                            <w:r>
                              <w:rPr>
                                <w:b/>
                                <w:sz w:val="20"/>
                                <w:szCs w:val="20"/>
                              </w:rPr>
                              <w:t xml:space="preserve">of </w:t>
                            </w:r>
                            <w:r w:rsidRPr="00D9511B">
                              <w:rPr>
                                <w:b/>
                                <w:sz w:val="20"/>
                                <w:szCs w:val="20"/>
                              </w:rPr>
                              <w:t xml:space="preserve">RMSE Scores for Amphotericin B accumulation in the Liver, Myeloid cells and T Cells. </w:t>
                            </w:r>
                            <w:r>
                              <w:rPr>
                                <w:sz w:val="20"/>
                                <w:szCs w:val="20"/>
                              </w:rPr>
                              <w:t xml:space="preserve">In the first instance, the </w:t>
                            </w:r>
                            <w:r>
                              <w:rPr>
                                <w:i/>
                                <w:sz w:val="20"/>
                                <w:szCs w:val="20"/>
                              </w:rPr>
                              <w:t>nsga2</w:t>
                            </w:r>
                            <w:r>
                              <w:rPr>
                                <w:sz w:val="20"/>
                                <w:szCs w:val="20"/>
                              </w:rPr>
                              <w:t xml:space="preserve"> function was employed to calibrate parameters by minimising the RMSE between the biological and simulation data derived from Amphotericin B accumulation in the liver (Eq. 5.8), myeloid cells (Eq. 5.10) and T Cells (Eq. 5.9).</w:t>
                            </w:r>
                            <w:r w:rsidRPr="00D9511B">
                              <w:rPr>
                                <w:sz w:val="20"/>
                                <w:szCs w:val="20"/>
                              </w:rPr>
                              <w:t xml:space="preserve"> 100 parameter sets were evolved over 200 generations using this evaluation. Each red circle represents a member of the last generation with their RMSE for the three entities.</w:t>
                            </w:r>
                            <w:bookmarkEnd w:id="661"/>
                            <w:bookmarkEnd w:id="662"/>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70D67580" id="Text Box 138" o:spid="_x0000_s1188" type="#_x0000_t202" style="position:absolute;left:0;text-align:left;margin-left:-24.75pt;margin-top:296.3pt;width:439.05pt;height:104.75pt;z-index:2519244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v2nW9NAIAAG4EAAAOAAAAZHJzL2Uyb0RvYy54bWysVE1v2zAMvQ/YfxB0X5wPpFuNOEWWIsOA&#13;&#10;oi2QDD0rshQLkEWNUmJnv36UHadbt9Owi0yR1JP4HunFXVtbdlIYDLiCT0ZjzpSTUBp3KPi33ebD&#13;&#10;J85CFK4UFpwq+FkFfrd8/27R+FxNoQJbKmQE4kLe+IJXMfo8y4KsVC3CCLxyFNSAtYi0xUNWomgI&#13;&#10;vbbZdDy+yRrA0iNIFQJ57/sgX3b4WisZn7QOKjJbcHpb7Fbs1n1as+VC5AcUvjLy8gzxD6+ohXF0&#13;&#10;6RXqXkTBjmj+gKqNRAig40hCnYHWRqquBqpmMn5TzbYSXnW1EDnBX2kK/w9WPp6ekZmStJuRVE7U&#13;&#10;JNJOtZF9hpYlHzHU+JBT4tZTamwpQNmDP5AzFd5qrNOXSmIUJ67PV34TnCTnfP5xfjubcyYpNpnN&#13;&#10;xrPpPOFkr8c9hvhFQc2SUXAkATtexekhxD51SEm3BbCm3Bhr0yYF1hbZSZDYTWWiuoD/lmVdynWQ&#13;&#10;TvWAyZOlGvtakhXbfduzcjMdKt1DeSYCEPomCl5uDN34IEJ8FkhdQzXTJMQnWrSFpuBwsTirAH/8&#13;&#10;zZ/ySUyKctZQFxY8fD8KVJzZr45kTi07GDgY+8Fwx3oNVOuEZszLzqQDGO1gaoT6hQZklW6hkHCS&#13;&#10;7ip4HMx17GeBBkyq1apLosb0Ij64rZcJemB2174I9BddIkn6CEN/ivyNPH1uz/PqGEGbTrvEbM/i&#13;&#10;hXBq6k79ywCmqfl132W9/iaWPwEAAP//AwBQSwMEFAAGAAgAAAAhAOyZSKfjAAAAEAEAAA8AAABk&#13;&#10;cnMvZG93bnJldi54bWxMTz1vwjAQ3Sv1P1iH1KUCh6hEIcRBLWm3doAiZhO7SUR8jmyHhH/f60SX&#13;&#10;0zvdu/eRbyfTsat2vrUoYLmIgGmsrGqxFnD8/pinwHyQqGRnUQu4aQ/b4vEhl5myI+719RBqRiLo&#13;&#10;MymgCaHPOPdVo430C9trpNuPdUYGWl3NlZMjiZuOx1GUcCNbJIdG9nrX6OpyGIyApHTDuMfdc3l8&#13;&#10;/5RffR2f3m4nIZ5mU7mh8boBFvQU7h/w14HyQ0HBznZA5VknYP6yXhFVwGodJ8CIkcYpgTOBKF4C&#13;&#10;L3L+v0jxCwAA//8DAFBLAQItABQABgAIAAAAIQC2gziS/gAAAOEBAAATAAAAAAAAAAAAAAAAAAAA&#13;&#10;AABbQ29udGVudF9UeXBlc10ueG1sUEsBAi0AFAAGAAgAAAAhADj9If/WAAAAlAEAAAsAAAAAAAAA&#13;&#10;AAAAAAAALwEAAF9yZWxzLy5yZWxzUEsBAi0AFAAGAAgAAAAhAO/adb00AgAAbgQAAA4AAAAAAAAA&#13;&#10;AAAAAAAALgIAAGRycy9lMm9Eb2MueG1sUEsBAi0AFAAGAAgAAAAhAOyZSKfjAAAAEAEAAA8AAAAA&#13;&#10;AAAAAAAAAAAAjgQAAGRycy9kb3ducmV2LnhtbFBLBQYAAAAABAAEAPMAAACeBQAAAAA=&#13;&#10;" stroked="f">
                <v:textbox inset="0,0,0,0">
                  <w:txbxContent>
                    <w:p w14:paraId="1D83B9D8" w14:textId="41CAD69D" w:rsidR="00F61130" w:rsidRPr="00D9511B" w:rsidRDefault="00F61130" w:rsidP="00B23FF8">
                      <w:pPr>
                        <w:pStyle w:val="Caption"/>
                        <w:spacing w:line="360" w:lineRule="auto"/>
                        <w:jc w:val="both"/>
                        <w:rPr>
                          <w:sz w:val="20"/>
                          <w:szCs w:val="20"/>
                        </w:rPr>
                      </w:pPr>
                      <w:bookmarkStart w:id="663" w:name="_Ref523067540"/>
                      <w:bookmarkStart w:id="664" w:name="_Toc525227252"/>
                      <w:bookmarkStart w:id="665" w:name="_Toc536814191"/>
                      <w:r w:rsidRPr="00D9511B">
                        <w:rPr>
                          <w:b/>
                          <w:sz w:val="20"/>
                          <w:szCs w:val="20"/>
                        </w:rPr>
                        <w:t xml:space="preserve">Figure </w:t>
                      </w:r>
                      <w:r>
                        <w:rPr>
                          <w:b/>
                          <w:sz w:val="20"/>
                          <w:szCs w:val="20"/>
                        </w:rPr>
                        <w:fldChar w:fldCharType="begin"/>
                      </w:r>
                      <w:r>
                        <w:rPr>
                          <w:b/>
                          <w:sz w:val="20"/>
                          <w:szCs w:val="20"/>
                        </w:rPr>
                        <w:instrText xml:space="preserve"> STYLEREF 1 \s </w:instrText>
                      </w:r>
                      <w:r>
                        <w:rPr>
                          <w:b/>
                          <w:sz w:val="20"/>
                          <w:szCs w:val="20"/>
                        </w:rPr>
                        <w:fldChar w:fldCharType="separate"/>
                      </w:r>
                      <w:r>
                        <w:rPr>
                          <w:b/>
                          <w:noProof/>
                          <w:sz w:val="20"/>
                          <w:szCs w:val="20"/>
                        </w:rPr>
                        <w:t>5</w:t>
                      </w:r>
                      <w:r>
                        <w:rPr>
                          <w:b/>
                          <w:sz w:val="20"/>
                          <w:szCs w:val="20"/>
                        </w:rPr>
                        <w:fldChar w:fldCharType="end"/>
                      </w:r>
                      <w:r>
                        <w:rPr>
                          <w:b/>
                          <w:sz w:val="20"/>
                          <w:szCs w:val="20"/>
                        </w:rPr>
                        <w:t>.</w:t>
                      </w:r>
                      <w:r>
                        <w:rPr>
                          <w:b/>
                          <w:sz w:val="20"/>
                          <w:szCs w:val="20"/>
                        </w:rPr>
                        <w:fldChar w:fldCharType="begin"/>
                      </w:r>
                      <w:r>
                        <w:rPr>
                          <w:b/>
                          <w:sz w:val="20"/>
                          <w:szCs w:val="20"/>
                        </w:rPr>
                        <w:instrText xml:space="preserve"> SEQ Figure \* ARABIC \s 1 </w:instrText>
                      </w:r>
                      <w:r>
                        <w:rPr>
                          <w:b/>
                          <w:sz w:val="20"/>
                          <w:szCs w:val="20"/>
                        </w:rPr>
                        <w:fldChar w:fldCharType="separate"/>
                      </w:r>
                      <w:r>
                        <w:rPr>
                          <w:b/>
                          <w:noProof/>
                          <w:sz w:val="20"/>
                          <w:szCs w:val="20"/>
                        </w:rPr>
                        <w:t>17</w:t>
                      </w:r>
                      <w:r>
                        <w:rPr>
                          <w:b/>
                          <w:sz w:val="20"/>
                          <w:szCs w:val="20"/>
                        </w:rPr>
                        <w:fldChar w:fldCharType="end"/>
                      </w:r>
                      <w:bookmarkEnd w:id="663"/>
                      <w:r w:rsidRPr="00D9511B">
                        <w:rPr>
                          <w:b/>
                          <w:sz w:val="20"/>
                          <w:szCs w:val="20"/>
                        </w:rPr>
                        <w:t xml:space="preserve"> - Calibration </w:t>
                      </w:r>
                      <w:r>
                        <w:rPr>
                          <w:b/>
                          <w:sz w:val="20"/>
                          <w:szCs w:val="20"/>
                        </w:rPr>
                        <w:t xml:space="preserve">of </w:t>
                      </w:r>
                      <w:r w:rsidRPr="00D9511B">
                        <w:rPr>
                          <w:b/>
                          <w:sz w:val="20"/>
                          <w:szCs w:val="20"/>
                        </w:rPr>
                        <w:t xml:space="preserve">RMSE Scores for Amphotericin B accumulation in the Liver, Myeloid cells and T Cells. </w:t>
                      </w:r>
                      <w:r>
                        <w:rPr>
                          <w:sz w:val="20"/>
                          <w:szCs w:val="20"/>
                        </w:rPr>
                        <w:t xml:space="preserve">In the first instance, the </w:t>
                      </w:r>
                      <w:r>
                        <w:rPr>
                          <w:i/>
                          <w:sz w:val="20"/>
                          <w:szCs w:val="20"/>
                        </w:rPr>
                        <w:t>nsga2</w:t>
                      </w:r>
                      <w:r>
                        <w:rPr>
                          <w:sz w:val="20"/>
                          <w:szCs w:val="20"/>
                        </w:rPr>
                        <w:t xml:space="preserve"> function was employed to calibrate parameters by minimising the RMSE between the biological and simulation data derived from Amphotericin B accumulation in the liver (Eq. 5.8), myeloid cells (Eq. 5.10) and T Cells (Eq. 5.9).</w:t>
                      </w:r>
                      <w:r w:rsidRPr="00D9511B">
                        <w:rPr>
                          <w:sz w:val="20"/>
                          <w:szCs w:val="20"/>
                        </w:rPr>
                        <w:t xml:space="preserve"> 100 parameter sets were evolved over 200 generations using this evaluation. Each red circle represents a member of the last generation with their RMSE for the three entities.</w:t>
                      </w:r>
                      <w:bookmarkEnd w:id="664"/>
                      <w:bookmarkEnd w:id="665"/>
                    </w:p>
                  </w:txbxContent>
                </v:textbox>
                <w10:wrap type="topAndBottom"/>
              </v:shape>
            </w:pict>
          </mc:Fallback>
        </mc:AlternateContent>
      </w:r>
    </w:p>
    <w:p w14:paraId="5635C9A1" w14:textId="010384C6" w:rsidR="00EC7CEF" w:rsidRPr="008B3AD6" w:rsidRDefault="00E41555" w:rsidP="006D2EDF">
      <w:pPr>
        <w:spacing w:line="360" w:lineRule="auto"/>
        <w:jc w:val="both"/>
      </w:pPr>
      <w:r>
        <w:rPr>
          <w:noProof/>
        </w:rPr>
        <w:drawing>
          <wp:anchor distT="0" distB="0" distL="114300" distR="114300" simplePos="0" relativeHeight="251923456" behindDoc="0" locked="0" layoutInCell="1" allowOverlap="1" wp14:anchorId="27223957" wp14:editId="256F7BD5">
            <wp:simplePos x="0" y="0"/>
            <wp:positionH relativeFrom="column">
              <wp:posOffset>-314765</wp:posOffset>
            </wp:positionH>
            <wp:positionV relativeFrom="paragraph">
              <wp:posOffset>195</wp:posOffset>
            </wp:positionV>
            <wp:extent cx="5575935" cy="3527137"/>
            <wp:effectExtent l="0" t="0" r="0" b="0"/>
            <wp:wrapTopAndBottom/>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Picture 135"/>
                    <pic:cNvPicPr>
                      <a:picLocks noChangeAspect="1"/>
                    </pic:cNvPicPr>
                  </pic:nvPicPr>
                  <pic:blipFill>
                    <a:blip r:embed="rId98">
                      <a:extLst>
                        <a:ext uri="{28A0092B-C50C-407E-A947-70E740481C1C}">
                          <a14:useLocalDpi xmlns:a14="http://schemas.microsoft.com/office/drawing/2010/main" val="0"/>
                        </a:ext>
                      </a:extLst>
                    </a:blip>
                    <a:stretch>
                      <a:fillRect/>
                    </a:stretch>
                  </pic:blipFill>
                  <pic:spPr>
                    <a:xfrm>
                      <a:off x="0" y="0"/>
                      <a:ext cx="5575935" cy="3527137"/>
                    </a:xfrm>
                    <a:prstGeom prst="rect">
                      <a:avLst/>
                    </a:prstGeom>
                  </pic:spPr>
                </pic:pic>
              </a:graphicData>
            </a:graphic>
          </wp:anchor>
        </w:drawing>
      </w:r>
    </w:p>
    <w:p w14:paraId="079C54E3" w14:textId="49356B42" w:rsidR="00E65E72" w:rsidRPr="008B3AD6" w:rsidRDefault="00001342" w:rsidP="00F41A2A">
      <w:pPr>
        <w:spacing w:line="360" w:lineRule="auto"/>
        <w:jc w:val="both"/>
      </w:pPr>
      <w:r w:rsidRPr="008B3AD6">
        <w:t xml:space="preserve">The parameter sets derived from the multi-objective calibration were supplied to the model and full time courses for </w:t>
      </w:r>
      <w:r w:rsidR="00FC23A0">
        <w:t xml:space="preserve">Amphotericin B accumulation within the Liver, T Cells and myeloid cells </w:t>
      </w:r>
      <w:r w:rsidRPr="008B3AD6">
        <w:t xml:space="preserve">were generated, shown in  </w:t>
      </w:r>
      <w:r w:rsidRPr="008B3AD6">
        <w:rPr>
          <w:b/>
        </w:rPr>
        <w:fldChar w:fldCharType="begin"/>
      </w:r>
      <w:r w:rsidRPr="008B3AD6">
        <w:rPr>
          <w:b/>
        </w:rPr>
        <w:instrText xml:space="preserve"> REF _Ref523071071  \* MERGEFORMAT </w:instrText>
      </w:r>
      <w:r w:rsidRPr="008B3AD6">
        <w:rPr>
          <w:b/>
        </w:rPr>
        <w:fldChar w:fldCharType="separate"/>
      </w:r>
      <w:r w:rsidR="00921CAF" w:rsidRPr="00921CAF">
        <w:rPr>
          <w:b/>
        </w:rPr>
        <w:t xml:space="preserve">Figure </w:t>
      </w:r>
      <w:r w:rsidR="00921CAF" w:rsidRPr="00921CAF">
        <w:rPr>
          <w:b/>
          <w:noProof/>
        </w:rPr>
        <w:t>5.18</w:t>
      </w:r>
      <w:r w:rsidRPr="008B3AD6">
        <w:rPr>
          <w:b/>
        </w:rPr>
        <w:fldChar w:fldCharType="end"/>
      </w:r>
      <w:r w:rsidR="00632104" w:rsidRPr="008B3AD6">
        <w:t>,</w:t>
      </w:r>
      <w:r w:rsidR="00632104" w:rsidRPr="008B3AD6">
        <w:rPr>
          <w:b/>
        </w:rPr>
        <w:t xml:space="preserve"> </w:t>
      </w:r>
      <w:r w:rsidR="00632104" w:rsidRPr="008B3AD6">
        <w:t xml:space="preserve"> </w:t>
      </w:r>
      <w:r w:rsidR="00FC23A0">
        <w:t>showing accumulation within</w:t>
      </w:r>
      <w:r w:rsidR="00632104" w:rsidRPr="008B3AD6">
        <w:t xml:space="preserve"> the liver (</w:t>
      </w:r>
      <w:r w:rsidR="00632104" w:rsidRPr="008B3AD6">
        <w:rPr>
          <w:b/>
        </w:rPr>
        <w:fldChar w:fldCharType="begin"/>
      </w:r>
      <w:r w:rsidR="00632104" w:rsidRPr="008B3AD6">
        <w:rPr>
          <w:b/>
        </w:rPr>
        <w:instrText xml:space="preserve"> REF _Ref523071071  \* MERGEFORMAT </w:instrText>
      </w:r>
      <w:r w:rsidR="00632104" w:rsidRPr="008B3AD6">
        <w:rPr>
          <w:b/>
        </w:rPr>
        <w:fldChar w:fldCharType="separate"/>
      </w:r>
      <w:r w:rsidR="00921CAF" w:rsidRPr="00921CAF">
        <w:rPr>
          <w:b/>
        </w:rPr>
        <w:t xml:space="preserve">Figure </w:t>
      </w:r>
      <w:r w:rsidR="00921CAF" w:rsidRPr="00921CAF">
        <w:rPr>
          <w:b/>
          <w:noProof/>
        </w:rPr>
        <w:t>5.18</w:t>
      </w:r>
      <w:r w:rsidR="00632104" w:rsidRPr="008B3AD6">
        <w:rPr>
          <w:b/>
        </w:rPr>
        <w:fldChar w:fldCharType="end"/>
      </w:r>
      <w:r w:rsidR="00632104" w:rsidRPr="008B3AD6">
        <w:rPr>
          <w:b/>
        </w:rPr>
        <w:t>A</w:t>
      </w:r>
      <w:r w:rsidR="00632104" w:rsidRPr="008B3AD6">
        <w:t>), T cells (</w:t>
      </w:r>
      <w:r w:rsidR="00632104" w:rsidRPr="008B3AD6">
        <w:rPr>
          <w:b/>
        </w:rPr>
        <w:fldChar w:fldCharType="begin"/>
      </w:r>
      <w:r w:rsidR="00632104" w:rsidRPr="008B3AD6">
        <w:rPr>
          <w:b/>
        </w:rPr>
        <w:instrText xml:space="preserve"> REF _Ref523071071  \* MERGEFORMAT </w:instrText>
      </w:r>
      <w:r w:rsidR="00632104" w:rsidRPr="008B3AD6">
        <w:rPr>
          <w:b/>
        </w:rPr>
        <w:fldChar w:fldCharType="separate"/>
      </w:r>
      <w:r w:rsidR="00921CAF" w:rsidRPr="00921CAF">
        <w:rPr>
          <w:b/>
        </w:rPr>
        <w:t xml:space="preserve">Figure </w:t>
      </w:r>
      <w:r w:rsidR="00921CAF" w:rsidRPr="00921CAF">
        <w:rPr>
          <w:b/>
          <w:noProof/>
        </w:rPr>
        <w:t>5.18</w:t>
      </w:r>
      <w:r w:rsidR="00632104" w:rsidRPr="008B3AD6">
        <w:rPr>
          <w:b/>
        </w:rPr>
        <w:fldChar w:fldCharType="end"/>
      </w:r>
      <w:r w:rsidR="00632104" w:rsidRPr="008B3AD6">
        <w:rPr>
          <w:b/>
        </w:rPr>
        <w:t>B</w:t>
      </w:r>
      <w:r w:rsidR="00632104" w:rsidRPr="008B3AD6">
        <w:t>) and myeloid cells (</w:t>
      </w:r>
      <w:r w:rsidR="00632104" w:rsidRPr="008B3AD6">
        <w:rPr>
          <w:b/>
        </w:rPr>
        <w:fldChar w:fldCharType="begin"/>
      </w:r>
      <w:r w:rsidR="00632104" w:rsidRPr="008B3AD6">
        <w:rPr>
          <w:b/>
        </w:rPr>
        <w:instrText xml:space="preserve"> REF _Ref523071071  \* MERGEFORMAT </w:instrText>
      </w:r>
      <w:r w:rsidR="00632104" w:rsidRPr="008B3AD6">
        <w:rPr>
          <w:b/>
        </w:rPr>
        <w:fldChar w:fldCharType="separate"/>
      </w:r>
      <w:r w:rsidR="00921CAF" w:rsidRPr="00921CAF">
        <w:rPr>
          <w:b/>
        </w:rPr>
        <w:t xml:space="preserve">Figure </w:t>
      </w:r>
      <w:r w:rsidR="00921CAF" w:rsidRPr="00921CAF">
        <w:rPr>
          <w:b/>
          <w:noProof/>
        </w:rPr>
        <w:t>5.18</w:t>
      </w:r>
      <w:r w:rsidR="00632104" w:rsidRPr="008B3AD6">
        <w:rPr>
          <w:b/>
        </w:rPr>
        <w:fldChar w:fldCharType="end"/>
      </w:r>
      <w:r w:rsidR="00632104" w:rsidRPr="008B3AD6">
        <w:rPr>
          <w:b/>
        </w:rPr>
        <w:t>C</w:t>
      </w:r>
      <w:r w:rsidR="00632104" w:rsidRPr="008B3AD6">
        <w:t xml:space="preserve">). These data showed the calibration was unsuccessful with the observed pharmacokinetics, shown in blue, not recapitulated by the derived parameters. These results indicate </w:t>
      </w:r>
      <w:r w:rsidR="004E793F">
        <w:t xml:space="preserve">an improvement is needed </w:t>
      </w:r>
      <w:r w:rsidR="00632104" w:rsidRPr="008B3AD6">
        <w:t xml:space="preserve">in the domain, platform or simulation model and further iterations of the CoSMoS process should be carried out to rectify </w:t>
      </w:r>
      <w:r w:rsidR="00E6693B">
        <w:t>any</w:t>
      </w:r>
      <w:r w:rsidR="00632104" w:rsidRPr="008B3AD6">
        <w:t xml:space="preserve"> issues</w:t>
      </w:r>
      <w:r w:rsidR="00E6693B">
        <w:t xml:space="preserve"> identified</w:t>
      </w:r>
      <w:r w:rsidR="00632104" w:rsidRPr="008B3AD6">
        <w:t>.</w:t>
      </w:r>
    </w:p>
    <w:p w14:paraId="79B06993" w14:textId="5448DF3A" w:rsidR="00EC7CEF" w:rsidRPr="008B3AD6" w:rsidRDefault="00EC7CEF" w:rsidP="00F41A2A">
      <w:pPr>
        <w:spacing w:line="360" w:lineRule="auto"/>
        <w:jc w:val="both"/>
      </w:pPr>
    </w:p>
    <w:p w14:paraId="7F14A39D" w14:textId="55D5B1F3" w:rsidR="00EC7CEF" w:rsidRPr="008B3AD6" w:rsidRDefault="00EC7CEF" w:rsidP="00F41A2A">
      <w:pPr>
        <w:spacing w:line="360" w:lineRule="auto"/>
        <w:jc w:val="both"/>
      </w:pPr>
    </w:p>
    <w:p w14:paraId="0218911F" w14:textId="0383FD93" w:rsidR="00EC7CEF" w:rsidRPr="008B3AD6" w:rsidRDefault="00EC7CEF" w:rsidP="00F41A2A">
      <w:pPr>
        <w:spacing w:line="360" w:lineRule="auto"/>
        <w:jc w:val="both"/>
      </w:pPr>
    </w:p>
    <w:p w14:paraId="79A3A36D" w14:textId="15C1982F" w:rsidR="00EC7CEF" w:rsidRPr="008B3AD6" w:rsidRDefault="00EC7CEF" w:rsidP="00F41A2A">
      <w:pPr>
        <w:spacing w:line="360" w:lineRule="auto"/>
        <w:jc w:val="both"/>
      </w:pPr>
    </w:p>
    <w:p w14:paraId="3EF7F68D" w14:textId="49BA50E5" w:rsidR="00EC7CEF" w:rsidRPr="008B3AD6" w:rsidRDefault="00EC7CEF" w:rsidP="00F41A2A">
      <w:pPr>
        <w:spacing w:line="360" w:lineRule="auto"/>
        <w:jc w:val="both"/>
      </w:pPr>
    </w:p>
    <w:p w14:paraId="1D1752D0" w14:textId="22D0C18B" w:rsidR="00EC7CEF" w:rsidRPr="008B3AD6" w:rsidRDefault="00EC7CEF" w:rsidP="00F41A2A">
      <w:pPr>
        <w:spacing w:line="360" w:lineRule="auto"/>
        <w:jc w:val="both"/>
      </w:pPr>
    </w:p>
    <w:p w14:paraId="30364CDE" w14:textId="7C6261F8" w:rsidR="00EC7CEF" w:rsidRPr="008B3AD6" w:rsidRDefault="00D540E9" w:rsidP="00F41A2A">
      <w:pPr>
        <w:spacing w:line="360" w:lineRule="auto"/>
        <w:jc w:val="both"/>
      </w:pPr>
      <w:r w:rsidRPr="00D540E9">
        <w:rPr>
          <w:noProof/>
        </w:rPr>
        <w:lastRenderedPageBreak/>
        <mc:AlternateContent>
          <mc:Choice Requires="wps">
            <w:drawing>
              <wp:anchor distT="0" distB="0" distL="114300" distR="114300" simplePos="0" relativeHeight="252196864" behindDoc="0" locked="0" layoutInCell="1" allowOverlap="1" wp14:anchorId="3874D3C6" wp14:editId="48B2C23C">
                <wp:simplePos x="0" y="0"/>
                <wp:positionH relativeFrom="column">
                  <wp:posOffset>494732</wp:posOffset>
                </wp:positionH>
                <wp:positionV relativeFrom="paragraph">
                  <wp:posOffset>4935585</wp:posOffset>
                </wp:positionV>
                <wp:extent cx="187325" cy="179070"/>
                <wp:effectExtent l="0" t="0" r="3175" b="0"/>
                <wp:wrapTopAndBottom/>
                <wp:docPr id="467" name="Text Box 467"/>
                <wp:cNvGraphicFramePr/>
                <a:graphic xmlns:a="http://schemas.openxmlformats.org/drawingml/2006/main">
                  <a:graphicData uri="http://schemas.microsoft.com/office/word/2010/wordprocessingShape">
                    <wps:wsp>
                      <wps:cNvSpPr txBox="1"/>
                      <wps:spPr>
                        <a:xfrm>
                          <a:off x="0" y="0"/>
                          <a:ext cx="187325" cy="179070"/>
                        </a:xfrm>
                        <a:prstGeom prst="rect">
                          <a:avLst/>
                        </a:prstGeom>
                        <a:noFill/>
                        <a:ln w="6350">
                          <a:noFill/>
                        </a:ln>
                      </wps:spPr>
                      <wps:txbx>
                        <w:txbxContent>
                          <w:p w14:paraId="1DF154D9" w14:textId="77777777" w:rsidR="00F61130" w:rsidRPr="006508D1" w:rsidRDefault="00F61130" w:rsidP="00D540E9">
                            <w:pPr>
                              <w:jc w:val="center"/>
                            </w:pPr>
                            <w:r>
                              <w:t>C</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3874D3C6" id="Text Box 467" o:spid="_x0000_s1189" type="#_x0000_t202" style="position:absolute;left:0;text-align:left;margin-left:38.95pt;margin-top:388.65pt;width:14.75pt;height:14.1pt;z-index:2521968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cpSJyKgIAAE0EAAAOAAAAZHJzL2Uyb0RvYy54bWysVF1v2jAUfZ+0/2D5fSTACl1EqFgrpkmo&#13;&#10;rQRTn41jk0i2r2cbEvbrd+0QWnV7mvZibnw/z7nHLO46rchJON+AKel4lFMiDIeqMYeS/titP91S&#13;&#10;4gMzFVNgREnPwtO75ccPi9YWYgI1qEo4gkWML1pb0joEW2SZ57XQzI/ACoNOCU6zgJ/ukFWOtVhd&#13;&#10;q2yS57OsBVdZB1x4j7cPvZMuU30pBQ9PUnoRiCopzhbS6dK5j2e2XLDi4JitG34Zg/3DFJo1Bpte&#13;&#10;Sz2wwMjRNX+U0g134EGGEQedgZQNFwkDohnn79Bsa2ZFwoLkeHulyf+/svzx9OxIU5X082xOiWEa&#13;&#10;l7QTXSBfoSPxDhlqrS8wcGsxNHTowE0P9x4vI/BOOh1/ERJBP3J9vvIby/GYdDufTm4o4egaz7/k&#13;&#10;88R/9ppsnQ/fBGgSjZI6XF9ilZ02PuAgGDqExF4G1o1SaYXKkLaks+lNnhKuHsxQBhMjhH7UaIVu&#13;&#10;3yXQ49l0ALKH6oz4HPQa8ZavG5xiw3x4Zg5FgZBQ6OEJD6kAu8HFoqQG9+tv9zEed4VeSloUWUn9&#13;&#10;zyNzghL13eAWoyIHww3GfjDMUd8D6naMT8jyZGKCC2owpQP9gvpfxS7oYoZjr5KGwbwPvdTx/XCx&#13;&#10;WqUg1J1lYWO2lsfSkcfI6a57Yc5eiA+4sUcY5MeKd/z3sf0GVscAsknLicz2LF4IR82mnV3eV3wU&#13;&#10;b79T1Ou/wPI3AAAA//8DAFBLAwQUAAYACAAAACEAzUrGD+IAAAAPAQAADwAAAGRycy9kb3ducmV2&#13;&#10;LnhtbExPTU/DMAy9I/EfIiNxY8mA0dE1nRCDG4NtgAS3tDFtReJUTdqVf096gost6z2/j2w9WsMG&#13;&#10;7HzjSMJ8JoAhlU43VEl4e328WALzQZFWxhFK+EEP6/z0JFOpdkfa43AIFYsi5FMloQ6hTTn3ZY1W&#13;&#10;+ZlrkSL25TqrQjy7iutOHaO4NfxSiBtuVUPRoVYt3tdYfh96K8F8+O6pEOFz2FTbsHvh/fvD/FnK&#13;&#10;87Nxs4rjbgUs4Bj+PmDqEPNDHoMVriftmZGQJLeROe3kCthEEMk1sELCUiwWwPOM/++R/wIAAP//&#13;&#10;AwBQSwECLQAUAAYACAAAACEAtoM4kv4AAADhAQAAEwAAAAAAAAAAAAAAAAAAAAAAW0NvbnRlbnRf&#13;&#10;VHlwZXNdLnhtbFBLAQItABQABgAIAAAAIQA4/SH/1gAAAJQBAAALAAAAAAAAAAAAAAAAAC8BAABf&#13;&#10;cmVscy8ucmVsc1BLAQItABQABgAIAAAAIQAcpSJyKgIAAE0EAAAOAAAAAAAAAAAAAAAAAC4CAABk&#13;&#10;cnMvZTJvRG9jLnhtbFBLAQItABQABgAIAAAAIQDNSsYP4gAAAA8BAAAPAAAAAAAAAAAAAAAAAIQE&#13;&#10;AABkcnMvZG93bnJldi54bWxQSwUGAAAAAAQABADzAAAAkwUAAAAA&#13;&#10;" filled="f" stroked="f" strokeweight=".5pt">
                <v:textbox inset="0,0,0,0">
                  <w:txbxContent>
                    <w:p w14:paraId="1DF154D9" w14:textId="77777777" w:rsidR="00F61130" w:rsidRPr="006508D1" w:rsidRDefault="00F61130" w:rsidP="00D540E9">
                      <w:pPr>
                        <w:jc w:val="center"/>
                      </w:pPr>
                      <w:r>
                        <w:t>C</w:t>
                      </w:r>
                    </w:p>
                  </w:txbxContent>
                </v:textbox>
                <w10:wrap type="topAndBottom"/>
              </v:shape>
            </w:pict>
          </mc:Fallback>
        </mc:AlternateContent>
      </w:r>
      <w:r w:rsidRPr="00D540E9">
        <w:rPr>
          <w:noProof/>
        </w:rPr>
        <mc:AlternateContent>
          <mc:Choice Requires="wps">
            <w:drawing>
              <wp:anchor distT="0" distB="0" distL="114300" distR="114300" simplePos="0" relativeHeight="252195840" behindDoc="0" locked="0" layoutInCell="1" allowOverlap="1" wp14:anchorId="46153DA3" wp14:editId="0CD244AD">
                <wp:simplePos x="0" y="0"/>
                <wp:positionH relativeFrom="column">
                  <wp:posOffset>493355</wp:posOffset>
                </wp:positionH>
                <wp:positionV relativeFrom="paragraph">
                  <wp:posOffset>2548647</wp:posOffset>
                </wp:positionV>
                <wp:extent cx="187325" cy="179070"/>
                <wp:effectExtent l="0" t="0" r="3175" b="0"/>
                <wp:wrapTopAndBottom/>
                <wp:docPr id="460" name="Text Box 460"/>
                <wp:cNvGraphicFramePr/>
                <a:graphic xmlns:a="http://schemas.openxmlformats.org/drawingml/2006/main">
                  <a:graphicData uri="http://schemas.microsoft.com/office/word/2010/wordprocessingShape">
                    <wps:wsp>
                      <wps:cNvSpPr txBox="1"/>
                      <wps:spPr>
                        <a:xfrm>
                          <a:off x="0" y="0"/>
                          <a:ext cx="187325" cy="179070"/>
                        </a:xfrm>
                        <a:prstGeom prst="rect">
                          <a:avLst/>
                        </a:prstGeom>
                        <a:noFill/>
                        <a:ln w="6350">
                          <a:noFill/>
                        </a:ln>
                      </wps:spPr>
                      <wps:txbx>
                        <w:txbxContent>
                          <w:p w14:paraId="6CCD8153" w14:textId="77777777" w:rsidR="00F61130" w:rsidRPr="006508D1" w:rsidRDefault="00F61130" w:rsidP="00D540E9">
                            <w:pPr>
                              <w:jc w:val="center"/>
                            </w:pPr>
                            <w:r>
                              <w:t>B</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46153DA3" id="Text Box 460" o:spid="_x0000_s1190" type="#_x0000_t202" style="position:absolute;left:0;text-align:left;margin-left:38.85pt;margin-top:200.7pt;width:14.75pt;height:14.1pt;z-index:2521958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aKUo/KQIAAE0EAAAOAAAAZHJzL2Uyb0RvYy54bWysVF1v2jAUfZ+0/2D5fSTQFrqIULFWTJNQ&#13;&#10;WwmmPhvHJpFsX882JOzX79ohdOr2VPXF3Ph+nnOPmd91WpGjcL4BU9LxKKdEGA5VY/Yl/bldfbml&#13;&#10;xAdmKqbAiJKehKd3i8+f5q0txARqUJVwBIsYX7S2pHUItsgyz2uhmR+BFQadEpxmAT/dPqsca7G6&#13;&#10;Vtkkz6dZC66yDrjwHm8feiddpPpSCh6epPQiEFVSnC2k06VzF89sMWfF3jFbN/w8BnvHFJo1Bpte&#13;&#10;Sj2wwMjBNf+U0g134EGGEQedgZQNFwkDohnnb9BsamZFwoLkeHuhyX9cWf54fHakqUp6PUV+DNO4&#13;&#10;pK3oAvkGHYl3yFBrfYGBG4uhoUMHbnq493gZgXfS6fiLkAj6sdbpwm8sx2PS7exqckMJR9d49jWf&#13;&#10;perZa7J1PnwXoEk0SupwfYlVdlz7gINg6BASexlYNUqlFSpD2pJOr27ylHDxYIYymBgh9KNGK3S7&#13;&#10;LoEeT68HIDuoTojPQa8Rb/mqwSnWzIdn5lAUCAmFHp7wkAqwG5wtSmpwv/93H+NxV+ilpEWRldT/&#13;&#10;OjAnKFE/DG4xKnIw3GDsBsMc9D2gbsf4hCxPJia4oAZTOtAvqP9l7IIuZjj2KmkYzPvQSx3fDxfL&#13;&#10;ZQpC3VkW1mZjeSwdeYycbrsX5uyZ+IAbe4RBfqx4w38f229geQggm7ScyGzP4plw1Gza2fl9xUfx&#13;&#10;93eKev0XWPwBAAD//wMAUEsDBBQABgAIAAAAIQAKKcZf4gAAAA8BAAAPAAAAZHJzL2Rvd25yZXYu&#13;&#10;eG1sTE/LTsMwELwj8Q/WInGjdqKqgTROhSjceLZFgpsTL0lEvI5sJw1/j3uCy0q7MzuPYjObnk3o&#13;&#10;fGdJQrIQwJBqqztqJBz2D1fXwHxQpFVvCSX8oIdNeX5WqFzbI73htAsNiyLkcyWhDWHIOfd1i0b5&#13;&#10;hR2QIvZlnVEhrq7h2qljFDc9T4VYcaM6ig6tGvCuxfp7NxoJ/Yd3j5UIn9O2eQqvL3x8v0+epby8&#13;&#10;mLfrOG7XwALO4e8DTh1ifihjsMqOpD3rJWRZFpkSliJZAjsRRJYCq+IlvVkBLwv+v0f5CwAA//8D&#13;&#10;AFBLAQItABQABgAIAAAAIQC2gziS/gAAAOEBAAATAAAAAAAAAAAAAAAAAAAAAABbQ29udGVudF9U&#13;&#10;eXBlc10ueG1sUEsBAi0AFAAGAAgAAAAhADj9If/WAAAAlAEAAAsAAAAAAAAAAAAAAAAALwEAAF9y&#13;&#10;ZWxzLy5yZWxzUEsBAi0AFAAGAAgAAAAhAFopSj8pAgAATQQAAA4AAAAAAAAAAAAAAAAALgIAAGRy&#13;&#10;cy9lMm9Eb2MueG1sUEsBAi0AFAAGAAgAAAAhAAopxl/iAAAADwEAAA8AAAAAAAAAAAAAAAAAgwQA&#13;&#10;AGRycy9kb3ducmV2LnhtbFBLBQYAAAAABAAEAPMAAACSBQAAAAA=&#13;&#10;" filled="f" stroked="f" strokeweight=".5pt">
                <v:textbox inset="0,0,0,0">
                  <w:txbxContent>
                    <w:p w14:paraId="6CCD8153" w14:textId="77777777" w:rsidR="00F61130" w:rsidRPr="006508D1" w:rsidRDefault="00F61130" w:rsidP="00D540E9">
                      <w:pPr>
                        <w:jc w:val="center"/>
                      </w:pPr>
                      <w:r>
                        <w:t>B</w:t>
                      </w:r>
                    </w:p>
                  </w:txbxContent>
                </v:textbox>
                <w10:wrap type="topAndBottom"/>
              </v:shape>
            </w:pict>
          </mc:Fallback>
        </mc:AlternateContent>
      </w:r>
      <w:r w:rsidRPr="00D540E9">
        <w:rPr>
          <w:noProof/>
        </w:rPr>
        <mc:AlternateContent>
          <mc:Choice Requires="wps">
            <w:drawing>
              <wp:anchor distT="0" distB="0" distL="114300" distR="114300" simplePos="0" relativeHeight="252194816" behindDoc="0" locked="0" layoutInCell="1" allowOverlap="1" wp14:anchorId="239BCDB3" wp14:editId="79A16242">
                <wp:simplePos x="0" y="0"/>
                <wp:positionH relativeFrom="column">
                  <wp:posOffset>505352</wp:posOffset>
                </wp:positionH>
                <wp:positionV relativeFrom="paragraph">
                  <wp:posOffset>392</wp:posOffset>
                </wp:positionV>
                <wp:extent cx="187325" cy="179070"/>
                <wp:effectExtent l="0" t="0" r="3175" b="0"/>
                <wp:wrapTopAndBottom/>
                <wp:docPr id="457" name="Text Box 457"/>
                <wp:cNvGraphicFramePr/>
                <a:graphic xmlns:a="http://schemas.openxmlformats.org/drawingml/2006/main">
                  <a:graphicData uri="http://schemas.microsoft.com/office/word/2010/wordprocessingShape">
                    <wps:wsp>
                      <wps:cNvSpPr txBox="1"/>
                      <wps:spPr>
                        <a:xfrm>
                          <a:off x="0" y="0"/>
                          <a:ext cx="187325" cy="179070"/>
                        </a:xfrm>
                        <a:prstGeom prst="rect">
                          <a:avLst/>
                        </a:prstGeom>
                        <a:noFill/>
                        <a:ln w="6350">
                          <a:noFill/>
                        </a:ln>
                      </wps:spPr>
                      <wps:txbx>
                        <w:txbxContent>
                          <w:p w14:paraId="63B1BD03" w14:textId="77777777" w:rsidR="00F61130" w:rsidRPr="006508D1" w:rsidRDefault="00F61130" w:rsidP="00D540E9">
                            <w:pPr>
                              <w:jc w:val="center"/>
                            </w:pPr>
                            <w:r w:rsidRPr="006508D1">
                              <w:t>A</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239BCDB3" id="Text Box 457" o:spid="_x0000_s1191" type="#_x0000_t202" style="position:absolute;left:0;text-align:left;margin-left:39.8pt;margin-top:.05pt;width:14.75pt;height:14.1pt;z-index:2521948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WIOvLKgIAAE0EAAAOAAAAZHJzL2Uyb0RvYy54bWysVF1v2jAUfZ+0/2D5fSTQAV1EqFgrpkmo&#13;&#10;rQRTn41jk0i2r2cbEvbrd+0QWnV7mvZibnw/z7nHLO46rchJON+AKel4lFMiDIeqMYeS/titP91S&#13;&#10;4gMzFVNgREnPwtO75ccPi9YWYgI1qEo4gkWML1pb0joEW2SZ57XQzI/ACoNOCU6zgJ/ukFWOtVhd&#13;&#10;q2yS57OsBVdZB1x4j7cPvZMuU30pBQ9PUnoRiCopzhbS6dK5j2e2XLDi4JitG34Zg/3DFJo1Bpte&#13;&#10;Sz2wwMjRNX+U0g134EGGEQedgZQNFwkDohnn79Bsa2ZFwoLkeHulyf+/svzx9OxIU5X083ROiWEa&#13;&#10;l7QTXSBfoSPxDhlqrS8wcGsxNHTowE0P9x4vI/BOOh1/ERJBP3J9vvIby/GYdDu/mUwp4egaz7/k&#13;&#10;88R/9ppsnQ/fBGgSjZI6XF9ilZ02PuAgGDqExF4G1o1SaYXKkLaks5tpnhKuHsxQBhMjhH7UaIVu&#13;&#10;3yXQ49l0ALKH6oz4HPQa8ZavG5xiw3x4Zg5FgZBQ6OEJD6kAu8HFoqQG9+tv9zEed4VeSloUWUn9&#13;&#10;zyNzghL13eAWoyIHww3GfjDMUd8D6naMT8jyZGKCC2owpQP9gvpfxS7oYoZjr5KGwbwPvdTx/XCx&#13;&#10;WqUg1J1lYWO2lsfSkcfI6a57Yc5eiA+4sUcY5MeKd/z3sf0GVscAsknLicz2LF4IR82mnV3eV3wU&#13;&#10;b79T1Ou/wPI3AAAA//8DAFBLAwQUAAYACAAAACEADlCM/d4AAAALAQAADwAAAGRycy9kb3ducmV2&#13;&#10;LnhtbExPS0/DMAy+I/EfIiNxY8mGNLau6YQY3HiOTYJb2pi2Io8qSbvy73FPcLFsf/b3yLejNWzA&#13;&#10;EFvvJMxnAhi6yuvW1RIO7w9XK2AxKaeV8Q4l/GCEbXF+lqtM+5N7w2GfakYkLmZKQpNSl3Eeqwat&#13;&#10;ijPfoSPsywerEo2h5jqoE5FbwxdCLLlVrSOFRnV412D1ve+tBPMRw2Mp0uewq5/S6wvvj/fzZykv&#13;&#10;L8bdhsrtBljCMf19wJSB/ENBxkrfOx2ZkXCzXtLltGcTKtbUlBIWq2vgRc7/Zyh+AQAA//8DAFBL&#13;&#10;AQItABQABgAIAAAAIQC2gziS/gAAAOEBAAATAAAAAAAAAAAAAAAAAAAAAABbQ29udGVudF9UeXBl&#13;&#10;c10ueG1sUEsBAi0AFAAGAAgAAAAhADj9If/WAAAAlAEAAAsAAAAAAAAAAAAAAAAALwEAAF9yZWxz&#13;&#10;Ly5yZWxzUEsBAi0AFAAGAAgAAAAhANYg68sqAgAATQQAAA4AAAAAAAAAAAAAAAAALgIAAGRycy9l&#13;&#10;Mm9Eb2MueG1sUEsBAi0AFAAGAAgAAAAhAA5QjP3eAAAACwEAAA8AAAAAAAAAAAAAAAAAhAQAAGRy&#13;&#10;cy9kb3ducmV2LnhtbFBLBQYAAAAABAAEAPMAAACPBQAAAAA=&#13;&#10;" filled="f" stroked="f" strokeweight=".5pt">
                <v:textbox inset="0,0,0,0">
                  <w:txbxContent>
                    <w:p w14:paraId="63B1BD03" w14:textId="77777777" w:rsidR="00F61130" w:rsidRPr="006508D1" w:rsidRDefault="00F61130" w:rsidP="00D540E9">
                      <w:pPr>
                        <w:jc w:val="center"/>
                      </w:pPr>
                      <w:r w:rsidRPr="006508D1">
                        <w:t>A</w:t>
                      </w:r>
                    </w:p>
                  </w:txbxContent>
                </v:textbox>
                <w10:wrap type="topAndBottom"/>
              </v:shape>
            </w:pict>
          </mc:Fallback>
        </mc:AlternateContent>
      </w:r>
      <w:r w:rsidRPr="00BA0A8C">
        <w:rPr>
          <w:b/>
          <w:noProof/>
        </w:rPr>
        <w:drawing>
          <wp:anchor distT="0" distB="0" distL="114300" distR="114300" simplePos="0" relativeHeight="252192768" behindDoc="0" locked="0" layoutInCell="1" allowOverlap="1" wp14:anchorId="0E979EFA" wp14:editId="3F436DC5">
            <wp:simplePos x="0" y="0"/>
            <wp:positionH relativeFrom="margin">
              <wp:align>center</wp:align>
            </wp:positionH>
            <wp:positionV relativeFrom="paragraph">
              <wp:posOffset>2540</wp:posOffset>
            </wp:positionV>
            <wp:extent cx="4560434" cy="7380000"/>
            <wp:effectExtent l="0" t="0" r="0" b="0"/>
            <wp:wrapTopAndBottom/>
            <wp:docPr id="455" name="Picture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extLst>
                        <a:ext uri="{28A0092B-C50C-407E-A947-70E740481C1C}">
                          <a14:useLocalDpi xmlns:a14="http://schemas.microsoft.com/office/drawing/2010/main" val="0"/>
                        </a:ext>
                      </a:extLst>
                    </a:blip>
                    <a:stretch>
                      <a:fillRect/>
                    </a:stretch>
                  </pic:blipFill>
                  <pic:spPr>
                    <a:xfrm>
                      <a:off x="0" y="0"/>
                      <a:ext cx="4560434" cy="7380000"/>
                    </a:xfrm>
                    <a:prstGeom prst="rect">
                      <a:avLst/>
                    </a:prstGeom>
                  </pic:spPr>
                </pic:pic>
              </a:graphicData>
            </a:graphic>
            <wp14:sizeRelH relativeFrom="page">
              <wp14:pctWidth>0</wp14:pctWidth>
            </wp14:sizeRelH>
            <wp14:sizeRelV relativeFrom="page">
              <wp14:pctHeight>0</wp14:pctHeight>
            </wp14:sizeRelV>
          </wp:anchor>
        </w:drawing>
      </w:r>
      <w:r w:rsidR="00DD140B">
        <w:rPr>
          <w:noProof/>
        </w:rPr>
        <mc:AlternateContent>
          <mc:Choice Requires="wps">
            <w:drawing>
              <wp:anchor distT="0" distB="0" distL="114300" distR="114300" simplePos="0" relativeHeight="251930624" behindDoc="0" locked="0" layoutInCell="1" allowOverlap="1" wp14:anchorId="1384EB75" wp14:editId="18D6F8B5">
                <wp:simplePos x="0" y="0"/>
                <wp:positionH relativeFrom="column">
                  <wp:posOffset>529297</wp:posOffset>
                </wp:positionH>
                <wp:positionV relativeFrom="paragraph">
                  <wp:posOffset>7567197</wp:posOffset>
                </wp:positionV>
                <wp:extent cx="4829175" cy="1568450"/>
                <wp:effectExtent l="0" t="0" r="0" b="6350"/>
                <wp:wrapTopAndBottom/>
                <wp:docPr id="145" name="Text Box 145"/>
                <wp:cNvGraphicFramePr/>
                <a:graphic xmlns:a="http://schemas.openxmlformats.org/drawingml/2006/main">
                  <a:graphicData uri="http://schemas.microsoft.com/office/word/2010/wordprocessingShape">
                    <wps:wsp>
                      <wps:cNvSpPr txBox="1"/>
                      <wps:spPr>
                        <a:xfrm>
                          <a:off x="0" y="0"/>
                          <a:ext cx="4829175" cy="1568450"/>
                        </a:xfrm>
                        <a:prstGeom prst="rect">
                          <a:avLst/>
                        </a:prstGeom>
                        <a:solidFill>
                          <a:prstClr val="white"/>
                        </a:solidFill>
                        <a:ln>
                          <a:noFill/>
                        </a:ln>
                      </wps:spPr>
                      <wps:txbx>
                        <w:txbxContent>
                          <w:p w14:paraId="669658E5" w14:textId="36F0B65D" w:rsidR="00F61130" w:rsidRPr="00F64F3A" w:rsidRDefault="00F61130" w:rsidP="00B23FF8">
                            <w:pPr>
                              <w:pStyle w:val="Caption"/>
                              <w:spacing w:line="360" w:lineRule="auto"/>
                              <w:jc w:val="both"/>
                              <w:rPr>
                                <w:noProof/>
                                <w:color w:val="auto"/>
                                <w:sz w:val="20"/>
                                <w:szCs w:val="20"/>
                              </w:rPr>
                            </w:pPr>
                            <w:bookmarkStart w:id="666" w:name="_Ref523071071"/>
                            <w:bookmarkStart w:id="667" w:name="_Toc536814192"/>
                            <w:bookmarkStart w:id="668" w:name="_Toc525227253"/>
                            <w:r w:rsidRPr="00632104">
                              <w:rPr>
                                <w:b/>
                                <w:sz w:val="20"/>
                                <w:szCs w:val="20"/>
                              </w:rPr>
                              <w:t xml:space="preserve">Figure </w:t>
                            </w:r>
                            <w:r>
                              <w:rPr>
                                <w:b/>
                                <w:sz w:val="20"/>
                                <w:szCs w:val="20"/>
                              </w:rPr>
                              <w:fldChar w:fldCharType="begin"/>
                            </w:r>
                            <w:r>
                              <w:rPr>
                                <w:b/>
                                <w:sz w:val="20"/>
                                <w:szCs w:val="20"/>
                              </w:rPr>
                              <w:instrText xml:space="preserve"> STYLEREF 1 \s </w:instrText>
                            </w:r>
                            <w:r>
                              <w:rPr>
                                <w:b/>
                                <w:sz w:val="20"/>
                                <w:szCs w:val="20"/>
                              </w:rPr>
                              <w:fldChar w:fldCharType="separate"/>
                            </w:r>
                            <w:r>
                              <w:rPr>
                                <w:b/>
                                <w:noProof/>
                                <w:sz w:val="20"/>
                                <w:szCs w:val="20"/>
                              </w:rPr>
                              <w:t>5</w:t>
                            </w:r>
                            <w:r>
                              <w:rPr>
                                <w:b/>
                                <w:sz w:val="20"/>
                                <w:szCs w:val="20"/>
                              </w:rPr>
                              <w:fldChar w:fldCharType="end"/>
                            </w:r>
                            <w:r>
                              <w:rPr>
                                <w:b/>
                                <w:sz w:val="20"/>
                                <w:szCs w:val="20"/>
                              </w:rPr>
                              <w:t>.</w:t>
                            </w:r>
                            <w:r>
                              <w:rPr>
                                <w:b/>
                                <w:sz w:val="20"/>
                                <w:szCs w:val="20"/>
                              </w:rPr>
                              <w:fldChar w:fldCharType="begin"/>
                            </w:r>
                            <w:r>
                              <w:rPr>
                                <w:b/>
                                <w:sz w:val="20"/>
                                <w:szCs w:val="20"/>
                              </w:rPr>
                              <w:instrText xml:space="preserve"> SEQ Figure \* ARABIC \s 1 </w:instrText>
                            </w:r>
                            <w:r>
                              <w:rPr>
                                <w:b/>
                                <w:sz w:val="20"/>
                                <w:szCs w:val="20"/>
                              </w:rPr>
                              <w:fldChar w:fldCharType="separate"/>
                            </w:r>
                            <w:r>
                              <w:rPr>
                                <w:b/>
                                <w:noProof/>
                                <w:sz w:val="20"/>
                                <w:szCs w:val="20"/>
                              </w:rPr>
                              <w:t>18</w:t>
                            </w:r>
                            <w:r>
                              <w:rPr>
                                <w:b/>
                                <w:sz w:val="20"/>
                                <w:szCs w:val="20"/>
                              </w:rPr>
                              <w:fldChar w:fldCharType="end"/>
                            </w:r>
                            <w:bookmarkEnd w:id="666"/>
                            <w:r w:rsidRPr="00632104">
                              <w:rPr>
                                <w:b/>
                                <w:sz w:val="20"/>
                                <w:szCs w:val="20"/>
                              </w:rPr>
                              <w:t xml:space="preserve"> - Fitting of Liver, T cell and Myeloid Cell Amphotericin B accumulation using calibrated parameter sets.</w:t>
                            </w:r>
                            <w:r>
                              <w:rPr>
                                <w:b/>
                                <w:sz w:val="20"/>
                                <w:szCs w:val="20"/>
                              </w:rPr>
                              <w:t xml:space="preserve"> </w:t>
                            </w:r>
                            <w:r>
                              <w:rPr>
                                <w:sz w:val="20"/>
                                <w:szCs w:val="20"/>
                              </w:rPr>
                              <w:t>Liver (A),</w:t>
                            </w:r>
                            <w:r w:rsidRPr="00F64F3A">
                              <w:rPr>
                                <w:sz w:val="20"/>
                                <w:szCs w:val="20"/>
                              </w:rPr>
                              <w:t xml:space="preserve"> </w:t>
                            </w:r>
                            <w:r>
                              <w:rPr>
                                <w:sz w:val="20"/>
                                <w:szCs w:val="20"/>
                              </w:rPr>
                              <w:t>T</w:t>
                            </w:r>
                            <w:r w:rsidRPr="00F64F3A">
                              <w:rPr>
                                <w:sz w:val="20"/>
                                <w:szCs w:val="20"/>
                              </w:rPr>
                              <w:t xml:space="preserve"> cell (B) and </w:t>
                            </w:r>
                            <w:r>
                              <w:rPr>
                                <w:sz w:val="20"/>
                                <w:szCs w:val="20"/>
                              </w:rPr>
                              <w:t xml:space="preserve">Myeloid cell </w:t>
                            </w:r>
                            <w:r w:rsidRPr="00F64F3A">
                              <w:rPr>
                                <w:sz w:val="20"/>
                                <w:szCs w:val="20"/>
                              </w:rPr>
                              <w:t>(C)</w:t>
                            </w:r>
                            <w:r>
                              <w:rPr>
                                <w:sz w:val="20"/>
                                <w:szCs w:val="20"/>
                              </w:rPr>
                              <w:t xml:space="preserve"> pharmacokinetics</w:t>
                            </w:r>
                            <w:r w:rsidRPr="00F64F3A">
                              <w:rPr>
                                <w:sz w:val="20"/>
                                <w:szCs w:val="20"/>
                              </w:rPr>
                              <w:t xml:space="preserve"> were fitted using </w:t>
                            </w:r>
                            <w:r>
                              <w:rPr>
                                <w:sz w:val="20"/>
                                <w:szCs w:val="20"/>
                              </w:rPr>
                              <w:t xml:space="preserve">parameters deriving using the </w:t>
                            </w:r>
                            <w:r>
                              <w:rPr>
                                <w:i/>
                                <w:sz w:val="20"/>
                                <w:szCs w:val="20"/>
                              </w:rPr>
                              <w:t>nsga2</w:t>
                            </w:r>
                            <w:r w:rsidRPr="00F64F3A">
                              <w:rPr>
                                <w:sz w:val="20"/>
                                <w:szCs w:val="20"/>
                              </w:rPr>
                              <w:t xml:space="preserve"> function of the </w:t>
                            </w:r>
                            <w:r>
                              <w:rPr>
                                <w:i/>
                                <w:sz w:val="20"/>
                                <w:szCs w:val="20"/>
                              </w:rPr>
                              <w:t>mco</w:t>
                            </w:r>
                            <w:r w:rsidRPr="00F64F3A">
                              <w:rPr>
                                <w:sz w:val="20"/>
                                <w:szCs w:val="20"/>
                              </w:rPr>
                              <w:t xml:space="preserve"> package. </w:t>
                            </w:r>
                            <w:r>
                              <w:rPr>
                                <w:sz w:val="20"/>
                                <w:szCs w:val="20"/>
                              </w:rPr>
                              <w:t>Blue</w:t>
                            </w:r>
                            <w:r w:rsidRPr="00F64F3A">
                              <w:rPr>
                                <w:sz w:val="20"/>
                                <w:szCs w:val="20"/>
                              </w:rPr>
                              <w:t xml:space="preserve"> dots represent biological replica</w:t>
                            </w:r>
                            <w:r>
                              <w:rPr>
                                <w:sz w:val="20"/>
                                <w:szCs w:val="20"/>
                              </w:rPr>
                              <w:t>tes for each time point (n = 1)</w:t>
                            </w:r>
                            <w:r w:rsidRPr="00F64F3A">
                              <w:rPr>
                                <w:sz w:val="20"/>
                                <w:szCs w:val="20"/>
                              </w:rPr>
                              <w:t xml:space="preserve"> </w:t>
                            </w:r>
                            <w:r>
                              <w:rPr>
                                <w:sz w:val="20"/>
                                <w:szCs w:val="20"/>
                              </w:rPr>
                              <w:t>against</w:t>
                            </w:r>
                            <w:r w:rsidRPr="00F64F3A">
                              <w:rPr>
                                <w:sz w:val="20"/>
                                <w:szCs w:val="20"/>
                              </w:rPr>
                              <w:t xml:space="preserve"> which the model was trained, grey lines represent </w:t>
                            </w:r>
                            <w:r w:rsidRPr="00F64F3A">
                              <w:rPr>
                                <w:i/>
                                <w:sz w:val="20"/>
                                <w:szCs w:val="20"/>
                              </w:rPr>
                              <w:t>in silico</w:t>
                            </w:r>
                            <w:r w:rsidRPr="00F64F3A">
                              <w:rPr>
                                <w:sz w:val="20"/>
                                <w:szCs w:val="20"/>
                              </w:rPr>
                              <w:t xml:space="preserve"> parameterisation outputs (n = </w:t>
                            </w:r>
                            <w:r>
                              <w:rPr>
                                <w:sz w:val="20"/>
                                <w:szCs w:val="20"/>
                              </w:rPr>
                              <w:t>100</w:t>
                            </w:r>
                            <w:r w:rsidRPr="00F64F3A">
                              <w:rPr>
                                <w:sz w:val="20"/>
                                <w:szCs w:val="20"/>
                              </w:rPr>
                              <w:t>)</w:t>
                            </w:r>
                            <w:r>
                              <w:rPr>
                                <w:sz w:val="20"/>
                                <w:szCs w:val="20"/>
                              </w:rPr>
                              <w:t xml:space="preserve"> and red lines represent the 95% confidence intervals of the </w:t>
                            </w:r>
                            <w:r>
                              <w:rPr>
                                <w:i/>
                                <w:sz w:val="20"/>
                                <w:szCs w:val="20"/>
                              </w:rPr>
                              <w:t xml:space="preserve">in silico </w:t>
                            </w:r>
                            <w:r>
                              <w:rPr>
                                <w:sz w:val="20"/>
                                <w:szCs w:val="20"/>
                              </w:rPr>
                              <w:t>outputs.</w:t>
                            </w:r>
                            <w:bookmarkEnd w:id="667"/>
                            <w:bookmarkEnd w:id="668"/>
                          </w:p>
                          <w:p w14:paraId="5B37E158" w14:textId="1CF7B98F" w:rsidR="00F61130" w:rsidRPr="00632104" w:rsidRDefault="00F61130" w:rsidP="00B23FF8">
                            <w:pPr>
                              <w:pStyle w:val="Caption"/>
                              <w:spacing w:line="360" w:lineRule="auto"/>
                              <w:jc w:val="both"/>
                              <w:rPr>
                                <w:b/>
                                <w:sz w:val="20"/>
                                <w:szCs w:val="20"/>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384EB75" id="Text Box 145" o:spid="_x0000_s1192" type="#_x0000_t202" style="position:absolute;left:0;text-align:left;margin-left:41.7pt;margin-top:595.85pt;width:380.25pt;height:123.5pt;z-index:2519306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W9CHrNwIAAG4EAAAOAAAAZHJzL2Uyb0RvYy54bWysVMFu2zAMvQ/YPwi6r06CJuuCOkWWosOA&#13;&#10;oi2QDj0rshwLkEVNUmJ3X78nOW63bqdhF4UmKVLvPTKXV31r2FH5oMmWfHo24UxZSZW2+5J/e7z5&#13;&#10;cMFZiMJWwpBVJX9WgV+t3r+77NxSzaghUynPUMSGZedK3sTolkURZKNaEc7IKYtgTb4VEZ9+X1Re&#13;&#10;dKjemmI2mSyKjnzlPEkVArzXQ5Cvcv26VjLe13VQkZmS420xnz6fu3QWq0ux3HvhGi1PzxD/8IpW&#13;&#10;aIumL6WuRRTs4PUfpVotPQWq45mktqC61lJlDEAznbxBs22EUxkLyAnuhabw/8rKu+ODZ7qCdudz&#13;&#10;zqxoIdKj6iP7TD1LPjDUubBE4tYhNfYIIHv0BzgT8L72bfoFJIY4uH5+4TeVk3CeX8w+TT+ijURs&#13;&#10;Ol9cnM+zAsXrdedD/KKoZckouYeAmVdxvA0RT0HqmJK6BTK6utHGpI8U2BjPjgJid42OKj0SN37L&#13;&#10;MjblWkq3hnDyFAnjgCVZsd/1AyuLxYh0R9UzCPA0DFFw8kaj460I8UF4TA0wYxPiPY7aUFdyOlmc&#13;&#10;NeR//M2f8iEmopx1mMKSh+8H4RVn5quFzGlkR8OPxm407KHdELBOsWNOZhMXfDSjWXtqn7Ag69QF&#13;&#10;IWElepU8juYmDruABZNqvc5JGEwn4q3dOplKj8w+9k/Cu5MuEZLe0TifYvlGniE3C+TWhwius3aJ&#13;&#10;2YHFE+EY6izQaQHT1vz6nbNe/yZWPwEAAP//AwBQSwMEFAAGAAgAAAAhAIxBHY3mAAAAEQEAAA8A&#13;&#10;AABkcnMvZG93bnJldi54bWxMTz1PwzAQ3ZH4D9ZVYkHUCbHaNI1TVQUGWCpCl25u7MaB2I5spw3/&#13;&#10;nmOC5aR79+59lJvJ9OSifOic5ZDOEyDKNk52tuVw+Hh5yIGEKKwUvbOKw7cKsKlub0pRSHe17+pS&#13;&#10;x5agiA2F4KBjHApKQ6OVEWHuBmXxdnbeiIirb6n04oripqePSbKgRnQWHbQY1E6r5qseDYc9O+71&#13;&#10;/Xh+ftuyzL8ext3is605v5tNT2sc2zWQqKb49wG/HTA/VBjs5EYrA+k55BlDJuLpKl0CQUbOshWQ&#13;&#10;E0Isy5dAq5L+b1L9AAAA//8DAFBLAQItABQABgAIAAAAIQC2gziS/gAAAOEBAAATAAAAAAAAAAAA&#13;&#10;AAAAAAAAAABbQ29udGVudF9UeXBlc10ueG1sUEsBAi0AFAAGAAgAAAAhADj9If/WAAAAlAEAAAsA&#13;&#10;AAAAAAAAAAAAAAAALwEAAF9yZWxzLy5yZWxzUEsBAi0AFAAGAAgAAAAhAFb0Ies3AgAAbgQAAA4A&#13;&#10;AAAAAAAAAAAAAAAALgIAAGRycy9lMm9Eb2MueG1sUEsBAi0AFAAGAAgAAAAhAIxBHY3mAAAAEQEA&#13;&#10;AA8AAAAAAAAAAAAAAAAAkQQAAGRycy9kb3ducmV2LnhtbFBLBQYAAAAABAAEAPMAAACkBQAAAAA=&#13;&#10;" stroked="f">
                <v:textbox style="mso-fit-shape-to-text:t" inset="0,0,0,0">
                  <w:txbxContent>
                    <w:p w14:paraId="669658E5" w14:textId="36F0B65D" w:rsidR="00F61130" w:rsidRPr="00F64F3A" w:rsidRDefault="00F61130" w:rsidP="00B23FF8">
                      <w:pPr>
                        <w:pStyle w:val="Caption"/>
                        <w:spacing w:line="360" w:lineRule="auto"/>
                        <w:jc w:val="both"/>
                        <w:rPr>
                          <w:noProof/>
                          <w:color w:val="auto"/>
                          <w:sz w:val="20"/>
                          <w:szCs w:val="20"/>
                        </w:rPr>
                      </w:pPr>
                      <w:bookmarkStart w:id="669" w:name="_Ref523071071"/>
                      <w:bookmarkStart w:id="670" w:name="_Toc536814192"/>
                      <w:bookmarkStart w:id="671" w:name="_Toc525227253"/>
                      <w:r w:rsidRPr="00632104">
                        <w:rPr>
                          <w:b/>
                          <w:sz w:val="20"/>
                          <w:szCs w:val="20"/>
                        </w:rPr>
                        <w:t xml:space="preserve">Figure </w:t>
                      </w:r>
                      <w:r>
                        <w:rPr>
                          <w:b/>
                          <w:sz w:val="20"/>
                          <w:szCs w:val="20"/>
                        </w:rPr>
                        <w:fldChar w:fldCharType="begin"/>
                      </w:r>
                      <w:r>
                        <w:rPr>
                          <w:b/>
                          <w:sz w:val="20"/>
                          <w:szCs w:val="20"/>
                        </w:rPr>
                        <w:instrText xml:space="preserve"> STYLEREF 1 \s </w:instrText>
                      </w:r>
                      <w:r>
                        <w:rPr>
                          <w:b/>
                          <w:sz w:val="20"/>
                          <w:szCs w:val="20"/>
                        </w:rPr>
                        <w:fldChar w:fldCharType="separate"/>
                      </w:r>
                      <w:r>
                        <w:rPr>
                          <w:b/>
                          <w:noProof/>
                          <w:sz w:val="20"/>
                          <w:szCs w:val="20"/>
                        </w:rPr>
                        <w:t>5</w:t>
                      </w:r>
                      <w:r>
                        <w:rPr>
                          <w:b/>
                          <w:sz w:val="20"/>
                          <w:szCs w:val="20"/>
                        </w:rPr>
                        <w:fldChar w:fldCharType="end"/>
                      </w:r>
                      <w:r>
                        <w:rPr>
                          <w:b/>
                          <w:sz w:val="20"/>
                          <w:szCs w:val="20"/>
                        </w:rPr>
                        <w:t>.</w:t>
                      </w:r>
                      <w:r>
                        <w:rPr>
                          <w:b/>
                          <w:sz w:val="20"/>
                          <w:szCs w:val="20"/>
                        </w:rPr>
                        <w:fldChar w:fldCharType="begin"/>
                      </w:r>
                      <w:r>
                        <w:rPr>
                          <w:b/>
                          <w:sz w:val="20"/>
                          <w:szCs w:val="20"/>
                        </w:rPr>
                        <w:instrText xml:space="preserve"> SEQ Figure \* ARABIC \s 1 </w:instrText>
                      </w:r>
                      <w:r>
                        <w:rPr>
                          <w:b/>
                          <w:sz w:val="20"/>
                          <w:szCs w:val="20"/>
                        </w:rPr>
                        <w:fldChar w:fldCharType="separate"/>
                      </w:r>
                      <w:r>
                        <w:rPr>
                          <w:b/>
                          <w:noProof/>
                          <w:sz w:val="20"/>
                          <w:szCs w:val="20"/>
                        </w:rPr>
                        <w:t>18</w:t>
                      </w:r>
                      <w:r>
                        <w:rPr>
                          <w:b/>
                          <w:sz w:val="20"/>
                          <w:szCs w:val="20"/>
                        </w:rPr>
                        <w:fldChar w:fldCharType="end"/>
                      </w:r>
                      <w:bookmarkEnd w:id="669"/>
                      <w:r w:rsidRPr="00632104">
                        <w:rPr>
                          <w:b/>
                          <w:sz w:val="20"/>
                          <w:szCs w:val="20"/>
                        </w:rPr>
                        <w:t xml:space="preserve"> - Fitting of Liver, T cell and Myeloid Cell Amphotericin B accumulation using calibrated parameter sets.</w:t>
                      </w:r>
                      <w:r>
                        <w:rPr>
                          <w:b/>
                          <w:sz w:val="20"/>
                          <w:szCs w:val="20"/>
                        </w:rPr>
                        <w:t xml:space="preserve"> </w:t>
                      </w:r>
                      <w:r>
                        <w:rPr>
                          <w:sz w:val="20"/>
                          <w:szCs w:val="20"/>
                        </w:rPr>
                        <w:t>Liver (A),</w:t>
                      </w:r>
                      <w:r w:rsidRPr="00F64F3A">
                        <w:rPr>
                          <w:sz w:val="20"/>
                          <w:szCs w:val="20"/>
                        </w:rPr>
                        <w:t xml:space="preserve"> </w:t>
                      </w:r>
                      <w:r>
                        <w:rPr>
                          <w:sz w:val="20"/>
                          <w:szCs w:val="20"/>
                        </w:rPr>
                        <w:t>T</w:t>
                      </w:r>
                      <w:r w:rsidRPr="00F64F3A">
                        <w:rPr>
                          <w:sz w:val="20"/>
                          <w:szCs w:val="20"/>
                        </w:rPr>
                        <w:t xml:space="preserve"> cell (B) and </w:t>
                      </w:r>
                      <w:r>
                        <w:rPr>
                          <w:sz w:val="20"/>
                          <w:szCs w:val="20"/>
                        </w:rPr>
                        <w:t xml:space="preserve">Myeloid cell </w:t>
                      </w:r>
                      <w:r w:rsidRPr="00F64F3A">
                        <w:rPr>
                          <w:sz w:val="20"/>
                          <w:szCs w:val="20"/>
                        </w:rPr>
                        <w:t>(C)</w:t>
                      </w:r>
                      <w:r>
                        <w:rPr>
                          <w:sz w:val="20"/>
                          <w:szCs w:val="20"/>
                        </w:rPr>
                        <w:t xml:space="preserve"> pharmacokinetics</w:t>
                      </w:r>
                      <w:r w:rsidRPr="00F64F3A">
                        <w:rPr>
                          <w:sz w:val="20"/>
                          <w:szCs w:val="20"/>
                        </w:rPr>
                        <w:t xml:space="preserve"> were fitted using </w:t>
                      </w:r>
                      <w:r>
                        <w:rPr>
                          <w:sz w:val="20"/>
                          <w:szCs w:val="20"/>
                        </w:rPr>
                        <w:t xml:space="preserve">parameters deriving using the </w:t>
                      </w:r>
                      <w:r>
                        <w:rPr>
                          <w:i/>
                          <w:sz w:val="20"/>
                          <w:szCs w:val="20"/>
                        </w:rPr>
                        <w:t>nsga2</w:t>
                      </w:r>
                      <w:r w:rsidRPr="00F64F3A">
                        <w:rPr>
                          <w:sz w:val="20"/>
                          <w:szCs w:val="20"/>
                        </w:rPr>
                        <w:t xml:space="preserve"> function of the </w:t>
                      </w:r>
                      <w:r>
                        <w:rPr>
                          <w:i/>
                          <w:sz w:val="20"/>
                          <w:szCs w:val="20"/>
                        </w:rPr>
                        <w:t>mco</w:t>
                      </w:r>
                      <w:r w:rsidRPr="00F64F3A">
                        <w:rPr>
                          <w:sz w:val="20"/>
                          <w:szCs w:val="20"/>
                        </w:rPr>
                        <w:t xml:space="preserve"> package. </w:t>
                      </w:r>
                      <w:r>
                        <w:rPr>
                          <w:sz w:val="20"/>
                          <w:szCs w:val="20"/>
                        </w:rPr>
                        <w:t>Blue</w:t>
                      </w:r>
                      <w:r w:rsidRPr="00F64F3A">
                        <w:rPr>
                          <w:sz w:val="20"/>
                          <w:szCs w:val="20"/>
                        </w:rPr>
                        <w:t xml:space="preserve"> dots represent biological replica</w:t>
                      </w:r>
                      <w:r>
                        <w:rPr>
                          <w:sz w:val="20"/>
                          <w:szCs w:val="20"/>
                        </w:rPr>
                        <w:t>tes for each time point (n = 1)</w:t>
                      </w:r>
                      <w:r w:rsidRPr="00F64F3A">
                        <w:rPr>
                          <w:sz w:val="20"/>
                          <w:szCs w:val="20"/>
                        </w:rPr>
                        <w:t xml:space="preserve"> </w:t>
                      </w:r>
                      <w:r>
                        <w:rPr>
                          <w:sz w:val="20"/>
                          <w:szCs w:val="20"/>
                        </w:rPr>
                        <w:t>against</w:t>
                      </w:r>
                      <w:r w:rsidRPr="00F64F3A">
                        <w:rPr>
                          <w:sz w:val="20"/>
                          <w:szCs w:val="20"/>
                        </w:rPr>
                        <w:t xml:space="preserve"> which the model was trained, grey lines represent </w:t>
                      </w:r>
                      <w:r w:rsidRPr="00F64F3A">
                        <w:rPr>
                          <w:i/>
                          <w:sz w:val="20"/>
                          <w:szCs w:val="20"/>
                        </w:rPr>
                        <w:t>in silico</w:t>
                      </w:r>
                      <w:r w:rsidRPr="00F64F3A">
                        <w:rPr>
                          <w:sz w:val="20"/>
                          <w:szCs w:val="20"/>
                        </w:rPr>
                        <w:t xml:space="preserve"> parameterisation outputs (n = </w:t>
                      </w:r>
                      <w:r>
                        <w:rPr>
                          <w:sz w:val="20"/>
                          <w:szCs w:val="20"/>
                        </w:rPr>
                        <w:t>100</w:t>
                      </w:r>
                      <w:r w:rsidRPr="00F64F3A">
                        <w:rPr>
                          <w:sz w:val="20"/>
                          <w:szCs w:val="20"/>
                        </w:rPr>
                        <w:t>)</w:t>
                      </w:r>
                      <w:r>
                        <w:rPr>
                          <w:sz w:val="20"/>
                          <w:szCs w:val="20"/>
                        </w:rPr>
                        <w:t xml:space="preserve"> and red lines represent the 95% confidence intervals of the </w:t>
                      </w:r>
                      <w:r>
                        <w:rPr>
                          <w:i/>
                          <w:sz w:val="20"/>
                          <w:szCs w:val="20"/>
                        </w:rPr>
                        <w:t xml:space="preserve">in silico </w:t>
                      </w:r>
                      <w:r>
                        <w:rPr>
                          <w:sz w:val="20"/>
                          <w:szCs w:val="20"/>
                        </w:rPr>
                        <w:t>outputs.</w:t>
                      </w:r>
                      <w:bookmarkEnd w:id="670"/>
                      <w:bookmarkEnd w:id="671"/>
                    </w:p>
                    <w:p w14:paraId="5B37E158" w14:textId="1CF7B98F" w:rsidR="00F61130" w:rsidRPr="00632104" w:rsidRDefault="00F61130" w:rsidP="00B23FF8">
                      <w:pPr>
                        <w:pStyle w:val="Caption"/>
                        <w:spacing w:line="360" w:lineRule="auto"/>
                        <w:jc w:val="both"/>
                        <w:rPr>
                          <w:b/>
                          <w:sz w:val="20"/>
                          <w:szCs w:val="20"/>
                        </w:rPr>
                      </w:pPr>
                    </w:p>
                  </w:txbxContent>
                </v:textbox>
                <w10:wrap type="topAndBottom"/>
              </v:shape>
            </w:pict>
          </mc:Fallback>
        </mc:AlternateContent>
      </w:r>
    </w:p>
    <w:p w14:paraId="7A8FD1CC" w14:textId="173225F9" w:rsidR="009479AD" w:rsidRPr="008B3AD6" w:rsidRDefault="00B62FD1" w:rsidP="00632104">
      <w:pPr>
        <w:pStyle w:val="Heading2"/>
      </w:pPr>
      <w:r w:rsidRPr="008B3AD6">
        <w:lastRenderedPageBreak/>
        <w:t xml:space="preserve">  </w:t>
      </w:r>
      <w:r w:rsidR="00010140" w:rsidRPr="008B3AD6">
        <w:t xml:space="preserve"> </w:t>
      </w:r>
      <w:r w:rsidR="009479AD" w:rsidRPr="008B3AD6">
        <w:t xml:space="preserve">   </w:t>
      </w:r>
      <w:bookmarkStart w:id="672" w:name="_Toc3716118"/>
      <w:r w:rsidR="00A17164" w:rsidRPr="008B3AD6">
        <w:t>Discussion</w:t>
      </w:r>
      <w:bookmarkEnd w:id="672"/>
    </w:p>
    <w:p w14:paraId="462EA9C4" w14:textId="1BBEA373" w:rsidR="00D06F35" w:rsidRPr="008B3AD6" w:rsidRDefault="003F18EF" w:rsidP="00FD712F">
      <w:pPr>
        <w:spacing w:line="360" w:lineRule="auto"/>
        <w:jc w:val="both"/>
        <w:rPr>
          <w:color w:val="000000" w:themeColor="text1"/>
        </w:rPr>
      </w:pPr>
      <w:r w:rsidRPr="008B3AD6">
        <w:rPr>
          <w:color w:val="000000" w:themeColor="text1"/>
        </w:rPr>
        <w:t xml:space="preserve">In this chapter a mathematical model </w:t>
      </w:r>
      <w:r w:rsidR="00E6693B">
        <w:rPr>
          <w:color w:val="000000" w:themeColor="text1"/>
        </w:rPr>
        <w:t>describing</w:t>
      </w:r>
      <w:r w:rsidRPr="008B3AD6">
        <w:rPr>
          <w:color w:val="000000" w:themeColor="text1"/>
        </w:rPr>
        <w:t xml:space="preserve"> a simplified hepatic immune response to </w:t>
      </w:r>
      <w:r w:rsidRPr="008B3AD6">
        <w:rPr>
          <w:i/>
          <w:color w:val="000000" w:themeColor="text1"/>
        </w:rPr>
        <w:t>L. donovani</w:t>
      </w:r>
      <w:r w:rsidRPr="008B3AD6">
        <w:rPr>
          <w:color w:val="000000" w:themeColor="text1"/>
        </w:rPr>
        <w:t xml:space="preserve"> infection and the pharmacokinetics/pharmacodynamics of </w:t>
      </w:r>
      <w:r w:rsidR="00A32111">
        <w:rPr>
          <w:color w:val="000000" w:themeColor="text1"/>
        </w:rPr>
        <w:t>AmB</w:t>
      </w:r>
      <w:r w:rsidR="00FD712F" w:rsidRPr="008B3AD6">
        <w:rPr>
          <w:color w:val="000000" w:themeColor="text1"/>
        </w:rPr>
        <w:t xml:space="preserve"> in the liver during </w:t>
      </w:r>
      <w:r w:rsidR="00E6693B">
        <w:rPr>
          <w:color w:val="000000" w:themeColor="text1"/>
        </w:rPr>
        <w:t>this infection</w:t>
      </w:r>
      <w:r w:rsidR="00FD712F" w:rsidRPr="008B3AD6">
        <w:rPr>
          <w:color w:val="000000" w:themeColor="text1"/>
        </w:rPr>
        <w:t xml:space="preserve"> was proposed. </w:t>
      </w:r>
    </w:p>
    <w:p w14:paraId="64F79E80" w14:textId="77777777" w:rsidR="00D06F35" w:rsidRPr="008B3AD6" w:rsidRDefault="00D06F35" w:rsidP="00FD712F">
      <w:pPr>
        <w:spacing w:line="360" w:lineRule="auto"/>
        <w:jc w:val="both"/>
        <w:rPr>
          <w:color w:val="000000" w:themeColor="text1"/>
        </w:rPr>
      </w:pPr>
    </w:p>
    <w:p w14:paraId="7EC44019" w14:textId="12B69A02" w:rsidR="00FD712F" w:rsidRPr="008B3AD6" w:rsidRDefault="00FD712F" w:rsidP="00FD712F">
      <w:pPr>
        <w:spacing w:line="360" w:lineRule="auto"/>
        <w:jc w:val="both"/>
        <w:rPr>
          <w:color w:val="000000" w:themeColor="text1"/>
        </w:rPr>
      </w:pPr>
      <w:r w:rsidRPr="008B3AD6">
        <w:rPr>
          <w:color w:val="000000" w:themeColor="text1"/>
        </w:rPr>
        <w:t xml:space="preserve">The </w:t>
      </w:r>
      <w:r w:rsidR="00D538EF" w:rsidRPr="008B3AD6">
        <w:rPr>
          <w:color w:val="000000" w:themeColor="text1"/>
        </w:rPr>
        <w:t xml:space="preserve">first </w:t>
      </w:r>
      <w:r w:rsidRPr="008B3AD6">
        <w:rPr>
          <w:color w:val="000000" w:themeColor="text1"/>
        </w:rPr>
        <w:t xml:space="preserve">aim set </w:t>
      </w:r>
      <w:r w:rsidR="00D538EF" w:rsidRPr="008B3AD6">
        <w:rPr>
          <w:color w:val="000000" w:themeColor="text1"/>
        </w:rPr>
        <w:t>was</w:t>
      </w:r>
      <w:r w:rsidRPr="008B3AD6">
        <w:rPr>
          <w:color w:val="000000" w:themeColor="text1"/>
        </w:rPr>
        <w:t xml:space="preserve"> to </w:t>
      </w:r>
      <w:r w:rsidR="00D538EF" w:rsidRPr="008B3AD6">
        <w:rPr>
          <w:color w:val="000000" w:themeColor="text1"/>
        </w:rPr>
        <w:t xml:space="preserve">create a model combining both </w:t>
      </w:r>
      <w:r w:rsidR="00A32111">
        <w:rPr>
          <w:color w:val="000000" w:themeColor="text1"/>
        </w:rPr>
        <w:t>AmB</w:t>
      </w:r>
      <w:r w:rsidR="00D538EF" w:rsidRPr="008B3AD6">
        <w:rPr>
          <w:color w:val="000000" w:themeColor="text1"/>
        </w:rPr>
        <w:t xml:space="preserve"> (and its pharmacokinetic and pharmacodynamic processes) and the hepatic immune response to </w:t>
      </w:r>
      <w:r w:rsidR="00D538EF" w:rsidRPr="008B3AD6">
        <w:rPr>
          <w:i/>
          <w:color w:val="000000" w:themeColor="text1"/>
        </w:rPr>
        <w:t>L. donovani</w:t>
      </w:r>
      <w:r w:rsidR="00D538EF" w:rsidRPr="008B3AD6">
        <w:rPr>
          <w:color w:val="000000" w:themeColor="text1"/>
        </w:rPr>
        <w:t xml:space="preserve"> infection. Initially to achieve this aim the originally proposed model (see </w:t>
      </w:r>
      <w:r w:rsidR="00D538EF" w:rsidRPr="008B3AD6">
        <w:rPr>
          <w:color w:val="000000" w:themeColor="text1"/>
        </w:rPr>
        <w:fldChar w:fldCharType="begin"/>
      </w:r>
      <w:r w:rsidR="00D538EF" w:rsidRPr="008B3AD6">
        <w:rPr>
          <w:color w:val="000000" w:themeColor="text1"/>
        </w:rPr>
        <w:instrText xml:space="preserve"> REF _Ref519000859 \n </w:instrText>
      </w:r>
      <w:r w:rsidR="008B3AD6">
        <w:rPr>
          <w:color w:val="000000" w:themeColor="text1"/>
        </w:rPr>
        <w:instrText xml:space="preserve"> \* MERGEFORMAT </w:instrText>
      </w:r>
      <w:r w:rsidR="00D538EF" w:rsidRPr="008B3AD6">
        <w:rPr>
          <w:color w:val="000000" w:themeColor="text1"/>
        </w:rPr>
        <w:fldChar w:fldCharType="separate"/>
      </w:r>
      <w:r w:rsidR="00031DCA">
        <w:rPr>
          <w:color w:val="000000" w:themeColor="text1"/>
        </w:rPr>
        <w:t>Chapter 4</w:t>
      </w:r>
      <w:r w:rsidR="00D538EF" w:rsidRPr="008B3AD6">
        <w:rPr>
          <w:color w:val="000000" w:themeColor="text1"/>
        </w:rPr>
        <w:fldChar w:fldCharType="end"/>
      </w:r>
      <w:r w:rsidR="00D538EF" w:rsidRPr="008B3AD6">
        <w:rPr>
          <w:color w:val="000000" w:themeColor="text1"/>
        </w:rPr>
        <w:t>) was re-evaluated to ensure its suitability for this hybridisation. Examining the previously descri</w:t>
      </w:r>
      <w:r w:rsidR="00E6693B">
        <w:rPr>
          <w:color w:val="000000" w:themeColor="text1"/>
        </w:rPr>
        <w:t xml:space="preserve">bed domain and platform models </w:t>
      </w:r>
      <w:r w:rsidR="00D538EF" w:rsidRPr="008B3AD6">
        <w:rPr>
          <w:color w:val="000000" w:themeColor="text1"/>
        </w:rPr>
        <w:t xml:space="preserve">created during our implementation of the CoSMoS process (see Section </w:t>
      </w:r>
      <w:r w:rsidR="00D538EF" w:rsidRPr="008B3AD6">
        <w:rPr>
          <w:color w:val="000000" w:themeColor="text1"/>
        </w:rPr>
        <w:fldChar w:fldCharType="begin"/>
      </w:r>
      <w:r w:rsidR="00D538EF" w:rsidRPr="008B3AD6">
        <w:rPr>
          <w:color w:val="000000" w:themeColor="text1"/>
        </w:rPr>
        <w:instrText xml:space="preserve"> REF _Ref523509055 \n </w:instrText>
      </w:r>
      <w:r w:rsidR="008B3AD6">
        <w:rPr>
          <w:color w:val="000000" w:themeColor="text1"/>
        </w:rPr>
        <w:instrText xml:space="preserve"> \* MERGEFORMAT </w:instrText>
      </w:r>
      <w:r w:rsidR="00D538EF" w:rsidRPr="008B3AD6">
        <w:rPr>
          <w:color w:val="000000" w:themeColor="text1"/>
        </w:rPr>
        <w:fldChar w:fldCharType="separate"/>
      </w:r>
      <w:r w:rsidR="00031DCA">
        <w:rPr>
          <w:color w:val="000000" w:themeColor="text1"/>
        </w:rPr>
        <w:t>2.15</w:t>
      </w:r>
      <w:r w:rsidR="00D538EF" w:rsidRPr="008B3AD6">
        <w:rPr>
          <w:color w:val="000000" w:themeColor="text1"/>
        </w:rPr>
        <w:fldChar w:fldCharType="end"/>
      </w:r>
      <w:r w:rsidR="00D538EF" w:rsidRPr="008B3AD6">
        <w:rPr>
          <w:color w:val="000000" w:themeColor="text1"/>
        </w:rPr>
        <w:t xml:space="preserve">) </w:t>
      </w:r>
      <w:r w:rsidR="00E6693B">
        <w:rPr>
          <w:color w:val="000000" w:themeColor="text1"/>
        </w:rPr>
        <w:t>the original platform specification for the</w:t>
      </w:r>
      <w:r w:rsidR="00D538EF" w:rsidRPr="008B3AD6">
        <w:rPr>
          <w:color w:val="000000" w:themeColor="text1"/>
        </w:rPr>
        <w:t xml:space="preserve"> proliferative responses </w:t>
      </w:r>
      <w:r w:rsidR="00E6693B">
        <w:rPr>
          <w:color w:val="000000" w:themeColor="text1"/>
        </w:rPr>
        <w:t xml:space="preserve">of T cells and myeloid cells </w:t>
      </w:r>
      <w:r w:rsidR="00FF7C59">
        <w:rPr>
          <w:color w:val="000000" w:themeColor="text1"/>
        </w:rPr>
        <w:t>was thought to be insufficient</w:t>
      </w:r>
      <w:r w:rsidR="002A596C" w:rsidRPr="008B3AD6">
        <w:rPr>
          <w:color w:val="000000" w:themeColor="text1"/>
        </w:rPr>
        <w:t xml:space="preserve">. </w:t>
      </w:r>
      <w:r w:rsidR="00FF7C59">
        <w:rPr>
          <w:color w:val="000000" w:themeColor="text1"/>
        </w:rPr>
        <w:t>T</w:t>
      </w:r>
      <w:r w:rsidR="002A596C" w:rsidRPr="008B3AD6">
        <w:rPr>
          <w:color w:val="000000" w:themeColor="text1"/>
        </w:rPr>
        <w:t xml:space="preserve">he platform </w:t>
      </w:r>
      <w:r w:rsidR="00FF7C59">
        <w:rPr>
          <w:color w:val="000000" w:themeColor="text1"/>
        </w:rPr>
        <w:t xml:space="preserve">specifications were updated </w:t>
      </w:r>
      <w:r w:rsidR="002A596C" w:rsidRPr="008B3AD6">
        <w:rPr>
          <w:color w:val="000000" w:themeColor="text1"/>
        </w:rPr>
        <w:t xml:space="preserve">to </w:t>
      </w:r>
      <w:r w:rsidR="00FF7C59">
        <w:rPr>
          <w:color w:val="000000" w:themeColor="text1"/>
        </w:rPr>
        <w:t>a better representation of T cell and myeloid cell proliferation</w:t>
      </w:r>
      <w:r w:rsidR="002A596C" w:rsidRPr="008B3AD6">
        <w:rPr>
          <w:color w:val="000000" w:themeColor="text1"/>
        </w:rPr>
        <w:t xml:space="preserve"> (</w:t>
      </w:r>
      <w:r w:rsidR="002A596C" w:rsidRPr="008B3AD6">
        <w:rPr>
          <w:color w:val="000000" w:themeColor="text1"/>
        </w:rPr>
        <w:fldChar w:fldCharType="begin"/>
      </w:r>
      <w:r w:rsidR="002A596C" w:rsidRPr="008B3AD6">
        <w:rPr>
          <w:color w:val="000000" w:themeColor="text1"/>
        </w:rPr>
        <w:instrText xml:space="preserve"> REF _Ref522617715  \* MERGEFORMAT </w:instrText>
      </w:r>
      <w:r w:rsidR="002A596C" w:rsidRPr="008B3AD6">
        <w:rPr>
          <w:color w:val="000000" w:themeColor="text1"/>
        </w:rPr>
        <w:fldChar w:fldCharType="separate"/>
      </w:r>
      <w:r w:rsidR="00921CAF" w:rsidRPr="00921CAF">
        <w:rPr>
          <w:b/>
        </w:rPr>
        <w:t xml:space="preserve">Figure </w:t>
      </w:r>
      <w:r w:rsidR="00921CAF" w:rsidRPr="00921CAF">
        <w:rPr>
          <w:b/>
          <w:noProof/>
        </w:rPr>
        <w:t>5.1</w:t>
      </w:r>
      <w:r w:rsidR="002A596C" w:rsidRPr="008B3AD6">
        <w:rPr>
          <w:color w:val="000000" w:themeColor="text1"/>
        </w:rPr>
        <w:fldChar w:fldCharType="end"/>
      </w:r>
      <w:r w:rsidR="002A596C" w:rsidRPr="008B3AD6">
        <w:rPr>
          <w:color w:val="000000" w:themeColor="text1"/>
        </w:rPr>
        <w:t xml:space="preserve">) </w:t>
      </w:r>
      <w:r w:rsidR="00FF7C59">
        <w:rPr>
          <w:color w:val="000000" w:themeColor="text1"/>
        </w:rPr>
        <w:t xml:space="preserve">which </w:t>
      </w:r>
      <w:r w:rsidR="002A596C" w:rsidRPr="008B3AD6">
        <w:rPr>
          <w:color w:val="000000" w:themeColor="text1"/>
        </w:rPr>
        <w:t>led to a new simulation model (</w:t>
      </w:r>
      <w:r w:rsidR="002A596C" w:rsidRPr="008B3AD6">
        <w:rPr>
          <w:color w:val="000000" w:themeColor="text1"/>
        </w:rPr>
        <w:fldChar w:fldCharType="begin"/>
      </w:r>
      <w:r w:rsidR="002A596C" w:rsidRPr="008B3AD6">
        <w:rPr>
          <w:color w:val="000000" w:themeColor="text1"/>
        </w:rPr>
        <w:instrText xml:space="preserve"> REF _Ref522633684  \* MERGEFORMAT </w:instrText>
      </w:r>
      <w:r w:rsidR="002A596C" w:rsidRPr="008B3AD6">
        <w:rPr>
          <w:color w:val="000000" w:themeColor="text1"/>
        </w:rPr>
        <w:fldChar w:fldCharType="separate"/>
      </w:r>
      <w:r w:rsidR="00921CAF" w:rsidRPr="00921CAF">
        <w:rPr>
          <w:b/>
        </w:rPr>
        <w:t xml:space="preserve">Figure </w:t>
      </w:r>
      <w:r w:rsidR="00921CAF" w:rsidRPr="00921CAF">
        <w:rPr>
          <w:b/>
          <w:noProof/>
        </w:rPr>
        <w:t>5.2</w:t>
      </w:r>
      <w:r w:rsidR="002A596C" w:rsidRPr="008B3AD6">
        <w:rPr>
          <w:color w:val="000000" w:themeColor="text1"/>
        </w:rPr>
        <w:fldChar w:fldCharType="end"/>
      </w:r>
      <w:r w:rsidR="002A596C" w:rsidRPr="008B3AD6">
        <w:rPr>
          <w:color w:val="000000" w:themeColor="text1"/>
        </w:rPr>
        <w:t xml:space="preserve">). The new simulation model included </w:t>
      </w:r>
      <w:r w:rsidR="007873B8" w:rsidRPr="008B3AD6">
        <w:rPr>
          <w:color w:val="000000" w:themeColor="text1"/>
        </w:rPr>
        <w:t xml:space="preserve">both non-antigen </w:t>
      </w:r>
      <w:r w:rsidR="002A596C" w:rsidRPr="008B3AD6">
        <w:rPr>
          <w:color w:val="000000" w:themeColor="text1"/>
        </w:rPr>
        <w:t xml:space="preserve">and antigen stimulated increases in T cell and myeloid cell populations, processes which have </w:t>
      </w:r>
      <w:r w:rsidR="007873B8" w:rsidRPr="008B3AD6">
        <w:rPr>
          <w:color w:val="000000" w:themeColor="text1"/>
        </w:rPr>
        <w:t xml:space="preserve">both </w:t>
      </w:r>
      <w:r w:rsidR="002A596C" w:rsidRPr="008B3AD6">
        <w:rPr>
          <w:color w:val="000000" w:themeColor="text1"/>
        </w:rPr>
        <w:t xml:space="preserve">been previously used to describe </w:t>
      </w:r>
      <w:r w:rsidR="00C034F5" w:rsidRPr="008B3AD6">
        <w:rPr>
          <w:color w:val="000000" w:themeColor="text1"/>
        </w:rPr>
        <w:t xml:space="preserve">leukocyte </w:t>
      </w:r>
      <w:r w:rsidR="002A596C" w:rsidRPr="008B3AD6">
        <w:rPr>
          <w:color w:val="000000" w:themeColor="text1"/>
        </w:rPr>
        <w:t xml:space="preserve">population changes in models of leishmaniasis </w:t>
      </w:r>
      <w:r w:rsidR="002A596C" w:rsidRPr="008B3AD6">
        <w:rPr>
          <w:color w:val="000000" w:themeColor="text1"/>
        </w:rPr>
        <w:fldChar w:fldCharType="begin"/>
      </w:r>
      <w:r w:rsidR="007A6EED">
        <w:rPr>
          <w:color w:val="000000" w:themeColor="text1"/>
        </w:rPr>
        <w:instrText xml:space="preserve"> ADDIN ZOTERO_ITEM CSL_CITATION {"citationID":"6HtxsYmX","properties":{"formattedCitation":"(Albergante et al. 2013; Siewe et al. 2017; Moyo et al. 2018)","plainCitation":"(Albergante et al. 2013; Siewe et al. 2017; Moyo et al. 2018)","noteIndex":0},"citationItems":[{"id":2607,"uris":["http://zotero.org/users/2628971/items/V9Q4NYEZ"],"uri":["http://zotero.org/users/2628971/items/V9Q4NYEZ"],"itemData":{"id":2607,"type":"article-journal","title":"A Petri net model of granulomatous inflammation: implications for IL-10 mediated control of Leishmania donovani infection","container-title":"PLoS computational biology","page":"e1003334","volume":"9","issue":"11","source":"PubMed","abstract":"Experimental visceral leishmaniasis, caused by infection of mice with the protozoan parasite Leishmania donovani, is characterized by focal accumulation of inflammatory cells in the liver, forming discrete \"granulomas\" within which the parasite is eventually eliminated. To shed new light on fundamental aspects of granuloma formation and function, we have developed an in silico Petri net model that simulates hepatic granuloma development throughout the course of infection. The model was extensively validated by comparison with data derived from experimental studies in mice, and the model robustness was assessed by a sensitivity analysis. The model recapitulated the progression of disease as seen during experimental infection and also faithfully predicted many of the changes in cellular composition seen within granulomas over time. By conducting in silico experiments, we have identified a previously unappreciated level of inter-granuloma diversity in terms of the development of anti-leishmanial activity. Furthermore, by simulating the impact of IL-10 gene deficiency in a variety of lymphocyte and myeloid cell populations, our data suggest a dominant local regulatory role for IL-10 produced by infected Kupffer cells at the core of the granuloma.","DOI":"10.1371/journal.pcbi.1003334","ISSN":"1553-7358","note":"PMID: 24363630\nPMCID: PMC3867212","shortTitle":"A Petri net model of granulomatous inflammation","journalAbbreviation":"PLoS Comput. Biol.","language":"eng","author":[{"family":"Albergante","given":"Luca"},{"family":"Timmis","given":"Jon"},{"family":"Beattie","given":"Lynette"},{"family":"Kaye","given":"Paul M."}],"issued":{"date-parts":[["2013"]]}}},{"id":2568,"uris":["http://zotero.org/users/2628971/items/BUY74DXX"],"uri":["http://zotero.org/users/2628971/items/BUY74DXX"],"itemData":{"id":2568,"type":"article-journal","title":"Granuloma formation in leishmaniasis: A mathematical model","container-title":"Journal of Theoretical Biology","page":"48-60","volume":"412","source":"PubMed","abstract":"Leishmaniasis is a disease caused by the Leishmania parasites. The two common forms of leishmaniasis are cutaneous leishmaniasis (CL) and visceral leishmaniasis (VL). VL is the more severe of the two and, if untreated, may become fatal. The hallmark of VL is the formation of granuloma in the liver or the spleen. In this paper, we develop a mathematical model of the evolution of granuloma in the liver. The model is represented by a system of partial differential equations and it includes migration of cells from the adaptive immune system into the granuloma; the rate of the influx is determined by the strength of the immune response of the infected individual. It is shown that parasite load decreases as the strength of the immune system increases. Furthermore, the efficacy of a commonly used drug, which increases T cells proliferation, increases in an individual with stronger immune response. The model also provides an explanation why, in contrast to humans, mice recover naturally from VL in the liver.","DOI":"10.1016/j.jtbi.2016.10.004","ISSN":"1095-8541","note":"PMID: 27769685","shortTitle":"Granuloma formation in leishmaniasis","journalAbbreviation":"J. Theor. Biol.","language":"eng","author":[{"family":"Siewe","given":"Nourridine"},{"family":"Yakubu","given":"Abdul-Aziz"},{"family":"Satoskar","given":"Abhay R."},{"family":"Friedman","given":"Avner"}],"issued":{"date-parts":[["2017",1,7]]}}},{"id":2567,"uris":["http://zotero.org/users/2628971/items/BATTH2JT"],"uri":["http://zotero.org/users/2628971/items/BATTH2JT"],"itemData":{"id":2567,"type":"article-journal","title":"Macrophage Transactivation for Chemokine Production Identified as a Negative Regulator of Granulomatous Inflammation Using Agent-Based Modeling","container-title":"Frontiers in Immunology","volume":"9","source":"PubMed Central","abstract":"Cellular activation in trans by interferons, cytokines, and chemokines is a commonly recognized mechanism to amplify immune effector function and limit pathogen spread. However, an optimal host response also requires that collateral damage associated with inflammation is limited. This may be particularly so in the case of granulomatous inflammation, where an excessive number and/or excessively florid granulomas can have significant pathological consequences. Here, we have combined transcriptomics, agent-based modeling, and in vivo experimental approaches to study constraints on hepatic granuloma formation in a murine model of experimental leishmaniasis. We demonstrate that chemokine production by non-infected Kupffer cells in the Leishmania donovani-infected liver promotes competition with infected KCs for available iNKT cells, ultimately inhibiting the extent of granulomatous inflammation. We propose trans-activation for chemokine production as a novel broadly applicable mechanism that may operate early in infection to limit excessive focal inflammation.","URL":"https://www.ncbi.nlm.nih.gov/pmc/articles/PMC5880939/","DOI":"10.3389/fimmu.2018.00637","ISSN":"1664-3224","note":"PMID: 29636754\nPMCID: PMC5880939","journalAbbreviation":"Front Immunol","author":[{"family":"Moyo","given":"Daniel"},{"family":"Beattie","given":"Lynette"},{"family":"Andrews","given":"Paul S."},{"family":"Moore","given":"John W. J."},{"family":"Timmis","given":"Jon"},{"family":"Sawtell","given":"Amy"},{"family":"Hoehme","given":"Stefan"},{"family":"Sampson","given":"Adam T."},{"family":"Kaye","given":"Paul M."}],"issued":{"date-parts":[["2018",3,27]]},"accessed":{"date-parts":[["2018",6,14]]}}}],"schema":"https://github.com/citation-style-language/schema/raw/master/csl-citation.json"} </w:instrText>
      </w:r>
      <w:r w:rsidR="002A596C" w:rsidRPr="008B3AD6">
        <w:rPr>
          <w:color w:val="000000" w:themeColor="text1"/>
        </w:rPr>
        <w:fldChar w:fldCharType="separate"/>
      </w:r>
      <w:r w:rsidR="007A6EED" w:rsidRPr="007A6EED">
        <w:rPr>
          <w:color w:val="000000"/>
          <w:lang w:val="en-US"/>
        </w:rPr>
        <w:t>(Albergante et al. 2013; Siewe et al. 2017; Moyo et al. 2018)</w:t>
      </w:r>
      <w:r w:rsidR="002A596C" w:rsidRPr="008B3AD6">
        <w:rPr>
          <w:color w:val="000000" w:themeColor="text1"/>
        </w:rPr>
        <w:fldChar w:fldCharType="end"/>
      </w:r>
      <w:r w:rsidR="002A596C" w:rsidRPr="008B3AD6">
        <w:rPr>
          <w:color w:val="000000" w:themeColor="text1"/>
        </w:rPr>
        <w:t xml:space="preserve"> and for T cells in various scenarios </w:t>
      </w:r>
      <w:r w:rsidR="00C034F5" w:rsidRPr="008B3AD6">
        <w:rPr>
          <w:color w:val="000000" w:themeColor="text1"/>
        </w:rPr>
        <w:fldChar w:fldCharType="begin"/>
      </w:r>
      <w:r w:rsidR="001E0E9E">
        <w:rPr>
          <w:color w:val="000000" w:themeColor="text1"/>
        </w:rPr>
        <w:instrText xml:space="preserve"> ADDIN ZOTERO_ITEM CSL_CITATION {"citationID":"GS6e4yOH","properties":{"formattedCitation":"(Rob J. De Boer and Perelson 1995; Dorratoltaj et al. 2017a)","plainCitation":"(Rob J. De Boer and Perelson 1995; Dorratoltaj et al. 2017a)","noteIndex":0},"citationItems":[{"id":3400,"uris":["http://zotero.org/users/2628971/items/UW5SIM3W"],"uri":["http://zotero.org/users/2628971/items/UW5SIM3W"],"itemData":{"id":3400,"type":"article-journal","title":"Towards a general function describing t cell proliferation","container-title":"Journal of Theoretical Biology","page":"567-576","volume":"175","issue":"4","source":"ScienceDirect","abstract":"A new function is proposed for describing the rate of T cell proliferation in response to peptides on antigen-presenting cells. The model improves an earlier model of ours by allowing for a true maximum proliferation rate of the T cells. This is achieved by a simple change of variables that markedly relaxes the conditions for a conventional quasi-steady-state assumption. The new model has the same “ecological” properties as the previous one. Thus the natural competition in the model allows for regulation of T cell population size in the presence of continuous stimulation by antigen. An important feature is the competitive exclusion of T cell clones recognizing the same peptide with different affinities allowing for “affinity selection”. Models for the population dynamics of experienced, naı&amp;#x0308;ve and activated T cells are also developed. These T cell subpopulations compete with one another for antigen. In models with lymphokine production a “proliferation threshold” is obtained that allows for tolerance.","DOI":"10.1006/jtbi.1995.0165","ISSN":"0022-5193","journalAbbreviation":"Journal of Theoretical Biology","author":[{"family":"De Boer","given":"Rob J."},{"family":"Perelson","given":"A. S."}],"issued":{"date-parts":[["1995",8,21]]}}},{"id":2753,"uris":["http://zotero.org/users/2628971/items/CC7Z7FFX"],"uri":["http://zotero.org/users/2628971/items/CC7Z7FFX"],"itemData":{"id":2753,"type":"article-journal","title":"Multi-scale immunoepidemiological modeling of within-host and between-host HIV dynamics: systematic review of mathematical models","container-title":"PeerJ","page":"e3877","volume":"5","source":"PubMed","abstract":"OBJECTIVE: The objective of this study is to conduct a systematic review of multi-scale HIV immunoepidemiological models to improve our understanding of the synergistic impact between the HIV viral-immune dynamics at the individual level and HIV transmission dynamics at the population level.\nBACKGROUND: While within-host and between-host models of HIV dynamics have been well studied at a single scale, connecting the immunological and epidemiological scales through multi-scale models is an emerging method to infer the synergistic dynamics of HIV at the individual and population levels.\nMETHODS: We reviewed nine articles using the PRISMA (Preferred Reporting Items for Systematic Reviews and Meta-Analyses) framework that focused on the synergistic dynamics of HIV immunoepidemiological models at the individual and population levels.\nRESULTS: HIV immunoepidemiological models simulate viral immune dynamics at the within-host scale and the epidemiological transmission dynamics at the between-host scale. They account for longitudinal changes in the immune viral dynamics of HIV+ individuals, and their corresponding impact on the transmission dynamics in the population. They are useful to analyze the dynamics of HIV super-infection, co-infection, drug resistance, evolution, and treatment in HIV+ individuals, and their impact on the epidemic pathways in the population. We illustrate the coupling mechanisms of the within-host and between-host scales, their mathematical implementation, and the clinical and public health problems that are appropriate for analysis using HIV immunoepidemiological models.\nCONCLUSION: HIV immunoepidemiological models connect the within-host immune dynamics at the individual level and the epidemiological transmission dynamics at the population level. While multi-scale models add complexity over a single-scale model, they account for the time varying immune viral response of HIV+ individuals, and the corresponding impact on the time-varying risk of transmission of HIV+ individuals to other susceptibles in the population.","DOI":"10.7717/peerj.3877","ISSN":"2167-8359","note":"PMID: 28970973\nPMCID: PMC5623312","shortTitle":"Multi-scale immunoepidemiological modeling of within-host and between-host HIV dynamics","journalAbbreviation":"PeerJ","language":"eng","author":[{"family":"Dorratoltaj","given":"Nargesalsadat"},{"family":"Nikin-Beers","given":"Ryan"},{"family":"Ciupe","given":"Stanca M."},{"family":"Eubank","given":"Stephen G."},{"family":"Abbas","given":"Kaja M."}],"issued":{"date-parts":[["2017"]]}}}],"schema":"https://github.com/citation-style-language/schema/raw/master/csl-citation.json"} </w:instrText>
      </w:r>
      <w:r w:rsidR="00C034F5" w:rsidRPr="008B3AD6">
        <w:rPr>
          <w:color w:val="000000" w:themeColor="text1"/>
        </w:rPr>
        <w:fldChar w:fldCharType="separate"/>
      </w:r>
      <w:r w:rsidR="001E0E9E">
        <w:rPr>
          <w:color w:val="000000"/>
          <w:lang w:val="en-US"/>
        </w:rPr>
        <w:t>(De Boer and Perelson 1995; Dorratoltaj et al. 2017)</w:t>
      </w:r>
      <w:r w:rsidR="00C034F5" w:rsidRPr="008B3AD6">
        <w:rPr>
          <w:color w:val="000000" w:themeColor="text1"/>
        </w:rPr>
        <w:fldChar w:fldCharType="end"/>
      </w:r>
      <w:r w:rsidR="002A596C" w:rsidRPr="008B3AD6">
        <w:rPr>
          <w:color w:val="000000" w:themeColor="text1"/>
        </w:rPr>
        <w:t>.</w:t>
      </w:r>
      <w:r w:rsidR="00C034F5" w:rsidRPr="008B3AD6">
        <w:rPr>
          <w:color w:val="000000" w:themeColor="text1"/>
        </w:rPr>
        <w:t xml:space="preserve"> The proposed simulation model was then calibrated against generated biological data (see Section </w:t>
      </w:r>
      <w:r w:rsidR="00C034F5" w:rsidRPr="008B3AD6">
        <w:rPr>
          <w:color w:val="000000" w:themeColor="text1"/>
        </w:rPr>
        <w:fldChar w:fldCharType="begin"/>
      </w:r>
      <w:r w:rsidR="00C034F5" w:rsidRPr="008B3AD6">
        <w:rPr>
          <w:color w:val="000000" w:themeColor="text1"/>
        </w:rPr>
        <w:instrText xml:space="preserve"> REF _Ref523511938 \n </w:instrText>
      </w:r>
      <w:r w:rsidR="007F4C8A" w:rsidRPr="008B3AD6">
        <w:rPr>
          <w:color w:val="000000" w:themeColor="text1"/>
        </w:rPr>
        <w:instrText xml:space="preserve"> \* MERGEFORMAT </w:instrText>
      </w:r>
      <w:r w:rsidR="00C034F5" w:rsidRPr="008B3AD6">
        <w:rPr>
          <w:color w:val="000000" w:themeColor="text1"/>
        </w:rPr>
        <w:fldChar w:fldCharType="separate"/>
      </w:r>
      <w:r w:rsidR="00921CAF">
        <w:rPr>
          <w:color w:val="000000" w:themeColor="text1"/>
        </w:rPr>
        <w:t>4.3.1</w:t>
      </w:r>
      <w:r w:rsidR="00C034F5" w:rsidRPr="008B3AD6">
        <w:rPr>
          <w:color w:val="000000" w:themeColor="text1"/>
        </w:rPr>
        <w:fldChar w:fldCharType="end"/>
      </w:r>
      <w:r w:rsidR="00C034F5" w:rsidRPr="008B3AD6">
        <w:rPr>
          <w:color w:val="000000" w:themeColor="text1"/>
        </w:rPr>
        <w:t>) combining single</w:t>
      </w:r>
      <w:r w:rsidR="007F4C8A" w:rsidRPr="008B3AD6">
        <w:rPr>
          <w:color w:val="000000" w:themeColor="text1"/>
        </w:rPr>
        <w:t xml:space="preserve"> (</w:t>
      </w:r>
      <w:r w:rsidR="007F4C8A" w:rsidRPr="008B3AD6">
        <w:rPr>
          <w:color w:val="000000" w:themeColor="text1"/>
        </w:rPr>
        <w:fldChar w:fldCharType="begin"/>
      </w:r>
      <w:r w:rsidR="007F4C8A" w:rsidRPr="008B3AD6">
        <w:rPr>
          <w:color w:val="000000" w:themeColor="text1"/>
        </w:rPr>
        <w:instrText xml:space="preserve"> REF _Ref522636893  \* MERGEFORMAT </w:instrText>
      </w:r>
      <w:r w:rsidR="007F4C8A" w:rsidRPr="008B3AD6">
        <w:rPr>
          <w:color w:val="000000" w:themeColor="text1"/>
        </w:rPr>
        <w:fldChar w:fldCharType="separate"/>
      </w:r>
      <w:r w:rsidR="00921CAF" w:rsidRPr="00921CAF">
        <w:rPr>
          <w:b/>
        </w:rPr>
        <w:t xml:space="preserve">Figure </w:t>
      </w:r>
      <w:r w:rsidR="00921CAF" w:rsidRPr="00921CAF">
        <w:rPr>
          <w:b/>
          <w:noProof/>
        </w:rPr>
        <w:t>5.3</w:t>
      </w:r>
      <w:r w:rsidR="007F4C8A" w:rsidRPr="008B3AD6">
        <w:rPr>
          <w:color w:val="000000" w:themeColor="text1"/>
        </w:rPr>
        <w:fldChar w:fldCharType="end"/>
      </w:r>
      <w:r w:rsidR="007F4C8A" w:rsidRPr="008B3AD6">
        <w:rPr>
          <w:color w:val="000000" w:themeColor="text1"/>
        </w:rPr>
        <w:t xml:space="preserve">) </w:t>
      </w:r>
      <w:r w:rsidR="00C034F5" w:rsidRPr="008B3AD6">
        <w:rPr>
          <w:color w:val="000000" w:themeColor="text1"/>
        </w:rPr>
        <w:t>and multi-objective</w:t>
      </w:r>
      <w:r w:rsidR="007F4C8A" w:rsidRPr="008B3AD6">
        <w:rPr>
          <w:color w:val="000000" w:themeColor="text1"/>
        </w:rPr>
        <w:t xml:space="preserve"> (</w:t>
      </w:r>
      <w:r w:rsidR="007F4C8A" w:rsidRPr="008B3AD6">
        <w:rPr>
          <w:color w:val="000000" w:themeColor="text1"/>
        </w:rPr>
        <w:fldChar w:fldCharType="begin"/>
      </w:r>
      <w:r w:rsidR="007F4C8A" w:rsidRPr="008B3AD6">
        <w:rPr>
          <w:color w:val="000000" w:themeColor="text1"/>
        </w:rPr>
        <w:instrText xml:space="preserve"> REF _Ref522642155  \* MERGEFORMAT </w:instrText>
      </w:r>
      <w:r w:rsidR="007F4C8A" w:rsidRPr="008B3AD6">
        <w:rPr>
          <w:color w:val="000000" w:themeColor="text1"/>
        </w:rPr>
        <w:fldChar w:fldCharType="separate"/>
      </w:r>
      <w:r w:rsidR="00921CAF" w:rsidRPr="00921CAF">
        <w:rPr>
          <w:b/>
        </w:rPr>
        <w:t xml:space="preserve">Figure </w:t>
      </w:r>
      <w:r w:rsidR="00921CAF" w:rsidRPr="00921CAF">
        <w:rPr>
          <w:b/>
          <w:noProof/>
        </w:rPr>
        <w:t>5.4</w:t>
      </w:r>
      <w:r w:rsidR="007F4C8A" w:rsidRPr="008B3AD6">
        <w:rPr>
          <w:color w:val="000000" w:themeColor="text1"/>
        </w:rPr>
        <w:fldChar w:fldCharType="end"/>
      </w:r>
      <w:r w:rsidR="007F4C8A" w:rsidRPr="008B3AD6">
        <w:rPr>
          <w:color w:val="000000" w:themeColor="text1"/>
        </w:rPr>
        <w:t xml:space="preserve"> and </w:t>
      </w:r>
      <w:r w:rsidR="007F4C8A" w:rsidRPr="008B3AD6">
        <w:rPr>
          <w:color w:val="000000" w:themeColor="text1"/>
        </w:rPr>
        <w:fldChar w:fldCharType="begin"/>
      </w:r>
      <w:r w:rsidR="007F4C8A" w:rsidRPr="008B3AD6">
        <w:rPr>
          <w:color w:val="000000" w:themeColor="text1"/>
        </w:rPr>
        <w:instrText xml:space="preserve"> REF _Ref522644196  \* MERGEFORMAT </w:instrText>
      </w:r>
      <w:r w:rsidR="007F4C8A" w:rsidRPr="008B3AD6">
        <w:rPr>
          <w:color w:val="000000" w:themeColor="text1"/>
        </w:rPr>
        <w:fldChar w:fldCharType="separate"/>
      </w:r>
      <w:r w:rsidR="00921CAF" w:rsidRPr="00921CAF">
        <w:rPr>
          <w:b/>
        </w:rPr>
        <w:t xml:space="preserve">Figure </w:t>
      </w:r>
      <w:r w:rsidR="00921CAF" w:rsidRPr="00921CAF">
        <w:rPr>
          <w:b/>
          <w:noProof/>
        </w:rPr>
        <w:t>5.5</w:t>
      </w:r>
      <w:r w:rsidR="007F4C8A" w:rsidRPr="008B3AD6">
        <w:rPr>
          <w:color w:val="000000" w:themeColor="text1"/>
        </w:rPr>
        <w:fldChar w:fldCharType="end"/>
      </w:r>
      <w:r w:rsidR="007F4C8A" w:rsidRPr="008B3AD6">
        <w:rPr>
          <w:color w:val="000000" w:themeColor="text1"/>
        </w:rPr>
        <w:t>)</w:t>
      </w:r>
      <w:r w:rsidR="00C034F5" w:rsidRPr="008B3AD6">
        <w:rPr>
          <w:color w:val="000000" w:themeColor="text1"/>
        </w:rPr>
        <w:t xml:space="preserve"> approaches. </w:t>
      </w:r>
      <w:r w:rsidR="00AD4449" w:rsidRPr="008B3AD6">
        <w:rPr>
          <w:color w:val="000000" w:themeColor="text1"/>
        </w:rPr>
        <w:t>These calibrations yield</w:t>
      </w:r>
      <w:r w:rsidR="00CB09BA" w:rsidRPr="008B3AD6">
        <w:rPr>
          <w:color w:val="000000" w:themeColor="text1"/>
        </w:rPr>
        <w:t>ed</w:t>
      </w:r>
      <w:r w:rsidR="00AD4449" w:rsidRPr="008B3AD6">
        <w:rPr>
          <w:color w:val="000000" w:themeColor="text1"/>
        </w:rPr>
        <w:t xml:space="preserve"> a s</w:t>
      </w:r>
      <w:r w:rsidR="00CB09BA" w:rsidRPr="008B3AD6">
        <w:rPr>
          <w:color w:val="000000" w:themeColor="text1"/>
        </w:rPr>
        <w:t>et of parameters (</w:t>
      </w:r>
      <w:r w:rsidR="00CB09BA" w:rsidRPr="008B3AD6">
        <w:rPr>
          <w:color w:val="000000" w:themeColor="text1"/>
        </w:rPr>
        <w:fldChar w:fldCharType="begin"/>
      </w:r>
      <w:r w:rsidR="00CB09BA" w:rsidRPr="008B3AD6">
        <w:rPr>
          <w:color w:val="000000" w:themeColor="text1"/>
        </w:rPr>
        <w:instrText xml:space="preserve"> REF _Ref522637474  \* MERGEFORMAT </w:instrText>
      </w:r>
      <w:r w:rsidR="00CB09BA" w:rsidRPr="008B3AD6">
        <w:rPr>
          <w:color w:val="000000" w:themeColor="text1"/>
        </w:rPr>
        <w:fldChar w:fldCharType="separate"/>
      </w:r>
      <w:r w:rsidR="00921CAF" w:rsidRPr="00921CAF">
        <w:rPr>
          <w:b/>
        </w:rPr>
        <w:t xml:space="preserve">Table </w:t>
      </w:r>
      <w:r w:rsidR="00921CAF" w:rsidRPr="00921CAF">
        <w:rPr>
          <w:b/>
          <w:noProof/>
        </w:rPr>
        <w:t>5.1</w:t>
      </w:r>
      <w:r w:rsidR="00CB09BA" w:rsidRPr="008B3AD6">
        <w:rPr>
          <w:color w:val="000000" w:themeColor="text1"/>
        </w:rPr>
        <w:fldChar w:fldCharType="end"/>
      </w:r>
      <w:r w:rsidR="00CB09BA" w:rsidRPr="008B3AD6">
        <w:rPr>
          <w:color w:val="000000" w:themeColor="text1"/>
        </w:rPr>
        <w:t xml:space="preserve"> and </w:t>
      </w:r>
      <w:r w:rsidR="00CB09BA" w:rsidRPr="008B3AD6">
        <w:rPr>
          <w:color w:val="000000" w:themeColor="text1"/>
        </w:rPr>
        <w:fldChar w:fldCharType="begin"/>
      </w:r>
      <w:r w:rsidR="00CB09BA" w:rsidRPr="008B3AD6">
        <w:rPr>
          <w:color w:val="000000" w:themeColor="text1"/>
        </w:rPr>
        <w:instrText xml:space="preserve"> REF _Ref522646935  \* MERGEFORMAT </w:instrText>
      </w:r>
      <w:r w:rsidR="00CB09BA" w:rsidRPr="008B3AD6">
        <w:rPr>
          <w:color w:val="000000" w:themeColor="text1"/>
        </w:rPr>
        <w:fldChar w:fldCharType="separate"/>
      </w:r>
      <w:r w:rsidR="00921CAF" w:rsidRPr="00921CAF">
        <w:rPr>
          <w:b/>
        </w:rPr>
        <w:t xml:space="preserve">Table </w:t>
      </w:r>
      <w:r w:rsidR="00921CAF" w:rsidRPr="00921CAF">
        <w:rPr>
          <w:b/>
          <w:noProof/>
        </w:rPr>
        <w:t>5.2</w:t>
      </w:r>
      <w:r w:rsidR="00CB09BA" w:rsidRPr="008B3AD6">
        <w:rPr>
          <w:color w:val="000000" w:themeColor="text1"/>
        </w:rPr>
        <w:fldChar w:fldCharType="end"/>
      </w:r>
      <w:r w:rsidR="00CB09BA" w:rsidRPr="008B3AD6">
        <w:rPr>
          <w:color w:val="000000" w:themeColor="text1"/>
        </w:rPr>
        <w:t>) which provided a good fit of experimental data (</w:t>
      </w:r>
      <w:r w:rsidR="00CB09BA" w:rsidRPr="008B3AD6">
        <w:rPr>
          <w:color w:val="000000" w:themeColor="text1"/>
        </w:rPr>
        <w:fldChar w:fldCharType="begin"/>
      </w:r>
      <w:r w:rsidR="00CB09BA" w:rsidRPr="008B3AD6">
        <w:rPr>
          <w:color w:val="000000" w:themeColor="text1"/>
        </w:rPr>
        <w:instrText xml:space="preserve"> REF _Ref522644981  \* MERGEFORMAT </w:instrText>
      </w:r>
      <w:r w:rsidR="00CB09BA" w:rsidRPr="008B3AD6">
        <w:rPr>
          <w:color w:val="000000" w:themeColor="text1"/>
        </w:rPr>
        <w:fldChar w:fldCharType="separate"/>
      </w:r>
      <w:r w:rsidR="00921CAF" w:rsidRPr="00921CAF">
        <w:rPr>
          <w:b/>
        </w:rPr>
        <w:t xml:space="preserve">Figure </w:t>
      </w:r>
      <w:r w:rsidR="00921CAF" w:rsidRPr="00921CAF">
        <w:rPr>
          <w:b/>
          <w:noProof/>
        </w:rPr>
        <w:t>5.6</w:t>
      </w:r>
      <w:r w:rsidR="00CB09BA" w:rsidRPr="008B3AD6">
        <w:rPr>
          <w:color w:val="000000" w:themeColor="text1"/>
        </w:rPr>
        <w:fldChar w:fldCharType="end"/>
      </w:r>
      <w:r w:rsidR="00CB09BA" w:rsidRPr="008B3AD6">
        <w:rPr>
          <w:color w:val="000000" w:themeColor="text1"/>
        </w:rPr>
        <w:t xml:space="preserve">). </w:t>
      </w:r>
    </w:p>
    <w:p w14:paraId="755ADBE0" w14:textId="77777777" w:rsidR="00FD712F" w:rsidRPr="008B3AD6" w:rsidRDefault="00FD712F" w:rsidP="00FD712F">
      <w:pPr>
        <w:pStyle w:val="NormalWeb"/>
        <w:shd w:val="clear" w:color="auto" w:fill="FFFFFF"/>
        <w:spacing w:before="0" w:beforeAutospacing="0" w:after="0" w:afterAutospacing="0" w:line="450" w:lineRule="atLeast"/>
        <w:rPr>
          <w:rFonts w:ascii="inherit" w:hAnsi="inherit" w:cs="Arial"/>
          <w:color w:val="494949"/>
          <w:sz w:val="27"/>
          <w:szCs w:val="27"/>
        </w:rPr>
      </w:pPr>
    </w:p>
    <w:p w14:paraId="33C47964" w14:textId="28B6F720" w:rsidR="00653884" w:rsidRPr="008B3AD6" w:rsidRDefault="00FA7F92" w:rsidP="00CC788B">
      <w:pPr>
        <w:pStyle w:val="NormalWeb"/>
        <w:shd w:val="clear" w:color="auto" w:fill="FFFFFF"/>
        <w:spacing w:before="0" w:beforeAutospacing="0" w:after="0" w:afterAutospacing="0" w:line="360" w:lineRule="auto"/>
        <w:jc w:val="both"/>
      </w:pPr>
      <w:r w:rsidRPr="008B3AD6">
        <w:t>A global sensitivity analysis of the</w:t>
      </w:r>
      <w:r w:rsidR="00FF7C59">
        <w:t xml:space="preserve"> newly created simulation</w:t>
      </w:r>
      <w:r w:rsidRPr="008B3AD6">
        <w:t xml:space="preserve"> model, scanning over parameter ranges </w:t>
      </w:r>
      <w:r w:rsidR="00FF7C59">
        <w:t xml:space="preserve">that had previously been </w:t>
      </w:r>
      <w:r w:rsidRPr="008B3AD6">
        <w:t xml:space="preserve">supplied as prior distributions during calibration, yielded insight into the parameters which influenced </w:t>
      </w:r>
      <w:r w:rsidR="00C73CA9" w:rsidRPr="008B3AD6">
        <w:t xml:space="preserve">the levels of intracellular </w:t>
      </w:r>
      <w:r w:rsidR="00C73CA9" w:rsidRPr="008B3AD6">
        <w:rPr>
          <w:i/>
        </w:rPr>
        <w:t>L. donovani</w:t>
      </w:r>
      <w:r w:rsidR="00C73CA9" w:rsidRPr="008B3AD6">
        <w:t xml:space="preserve"> (</w:t>
      </w:r>
      <w:r w:rsidR="00606122" w:rsidRPr="008B3AD6">
        <w:rPr>
          <w:b/>
        </w:rPr>
        <w:fldChar w:fldCharType="begin"/>
      </w:r>
      <w:r w:rsidR="00606122" w:rsidRPr="008B3AD6">
        <w:rPr>
          <w:b/>
        </w:rPr>
        <w:instrText xml:space="preserve"> REF _Ref522716221  \* MERGEFORMAT </w:instrText>
      </w:r>
      <w:r w:rsidR="00606122" w:rsidRPr="008B3AD6">
        <w:rPr>
          <w:b/>
        </w:rPr>
        <w:fldChar w:fldCharType="separate"/>
      </w:r>
      <w:r w:rsidR="00031DCA" w:rsidRPr="00031DCA">
        <w:rPr>
          <w:b/>
        </w:rPr>
        <w:t xml:space="preserve">Figure </w:t>
      </w:r>
      <w:r w:rsidR="00031DCA" w:rsidRPr="00031DCA">
        <w:rPr>
          <w:b/>
          <w:noProof/>
        </w:rPr>
        <w:t>5.7</w:t>
      </w:r>
      <w:r w:rsidR="00606122" w:rsidRPr="008B3AD6">
        <w:rPr>
          <w:b/>
          <w:noProof/>
        </w:rPr>
        <w:fldChar w:fldCharType="end"/>
      </w:r>
      <w:r w:rsidR="00CC788B" w:rsidRPr="008B3AD6">
        <w:t xml:space="preserve">). </w:t>
      </w:r>
      <w:r w:rsidR="00FF7C59">
        <w:t>T</w:t>
      </w:r>
      <w:r w:rsidR="00CC788B" w:rsidRPr="008B3AD6">
        <w:t xml:space="preserve">his analysis showed that infection parameters </w:t>
      </w:r>
      <w:r w:rsidR="00CC788B" w:rsidRPr="008B3AD6">
        <w:rPr>
          <w:i/>
        </w:rPr>
        <w:t>bm</w:t>
      </w:r>
      <w:r w:rsidR="00CC788B" w:rsidRPr="008B3AD6">
        <w:t xml:space="preserve">, the rate of infection, and </w:t>
      </w:r>
      <w:r w:rsidR="00CC788B" w:rsidRPr="008B3AD6">
        <w:rPr>
          <w:i/>
        </w:rPr>
        <w:t>c</w:t>
      </w:r>
      <w:r w:rsidR="00CC788B" w:rsidRPr="008B3AD6">
        <w:t>, the number of parasites internalised per infection event, were most influential at the initiation of infection</w:t>
      </w:r>
      <w:r w:rsidR="00FF7C59">
        <w:t xml:space="preserve"> (0 - 7 days post-infection)</w:t>
      </w:r>
      <w:r w:rsidR="00CC788B" w:rsidRPr="008B3AD6">
        <w:t xml:space="preserve"> </w:t>
      </w:r>
      <w:r w:rsidR="00FF7C59">
        <w:t>and following from this the</w:t>
      </w:r>
      <w:r w:rsidR="002C3FA9" w:rsidRPr="008B3AD6">
        <w:t xml:space="preserve"> influence</w:t>
      </w:r>
      <w:r w:rsidR="00CC788B" w:rsidRPr="008B3AD6">
        <w:t xml:space="preserve"> gradually degraded over time, showing that these parameters and/or associated processes do not govern the levels of intracellular </w:t>
      </w:r>
      <w:r w:rsidR="00CC788B" w:rsidRPr="008B3AD6">
        <w:rPr>
          <w:i/>
        </w:rPr>
        <w:t>L. donovani</w:t>
      </w:r>
      <w:r w:rsidR="00CC788B" w:rsidRPr="008B3AD6">
        <w:t xml:space="preserve"> at later stages of infection. </w:t>
      </w:r>
      <w:r w:rsidR="00653884" w:rsidRPr="008B3AD6">
        <w:t xml:space="preserve">Lee and colleagues </w:t>
      </w:r>
      <w:r w:rsidR="004B7DE2" w:rsidRPr="008B3AD6">
        <w:t>showed that</w:t>
      </w:r>
      <w:r w:rsidR="00653884" w:rsidRPr="008B3AD6">
        <w:t xml:space="preserve"> mannose receptor c</w:t>
      </w:r>
      <w:r w:rsidR="004B7DE2" w:rsidRPr="008B3AD6">
        <w:t xml:space="preserve"> (</w:t>
      </w:r>
      <w:r w:rsidR="004B7DE2" w:rsidRPr="008B3AD6">
        <w:rPr>
          <w:i/>
        </w:rPr>
        <w:t>mrc</w:t>
      </w:r>
      <w:r w:rsidR="004B7DE2" w:rsidRPr="008B3AD6">
        <w:t xml:space="preserve">) null mutant mice infected with a non-healing strain of </w:t>
      </w:r>
      <w:r w:rsidR="004B7DE2" w:rsidRPr="008B3AD6">
        <w:rPr>
          <w:i/>
        </w:rPr>
        <w:t>L. major</w:t>
      </w:r>
      <w:r w:rsidR="004B7DE2" w:rsidRPr="008B3AD6">
        <w:t xml:space="preserve"> displayed smaller lesion sizes and reduced parasite burden as compared to wild-type controls</w:t>
      </w:r>
      <w:r w:rsidR="002C3FA9" w:rsidRPr="008B3AD6">
        <w:t xml:space="preserve"> </w:t>
      </w:r>
      <w:r w:rsidR="002C3FA9" w:rsidRPr="008B3AD6">
        <w:fldChar w:fldCharType="begin"/>
      </w:r>
      <w:r w:rsidR="007A6EED">
        <w:instrText xml:space="preserve"> ADDIN ZOTERO_ITEM CSL_CITATION {"citationID":"CFpByN9b","properties":{"formattedCitation":"(S. H. Lee et al. 2017)","plainCitation":"(S. H. Lee et al. 2017)","noteIndex":0},"citationItems":[{"id":3707,"uris":["http://zotero.org/users/2628971/items/FE3R8TBT"],"uri":["http://zotero.org/users/2628971/items/FE3R8TBT"],"itemData":{"id":3707,"type":"article-journal","title":"Mannose receptor high, M2 dermal macrophages mediate nonhealing Leishmania major infection in a Th1 immune environment","container-title":"Journal of Experimental Medicine","page":"jem.20171389","source":"jem.rupress.org","abstract":"The origin and functional specialization of dermal macrophages in cutaneous infections have been little studied. In this paper, we show that a strain of Leishmania major (L. major Seidman [LmSd]) that produces nonhealing cutaneous lesions in conventionally resistant C57BL/6 mice was more efficiently taken up by M2-polarized bone marrow (BM)–derived macrophages (BMDMs) in vitro and by mannose receptor (MR)hi dermal macrophages in vivo compared with a healing strain (L. major Friedlin V1). Both in steady and in T helper type 1 (Th1) cell–driven inflammatory states, the MRhi dermal macrophages showed M2 characteristics. The dermal macrophages were radio resistant and not replaced by monocytes or adult BM-derived cells during infection, but were locally maintained by IL-4 and IL-10. Notably, the favored infection of M2 BMDMs by LmSd in vitro was MR dependent, and genetic deletion of MR or selective depletion of MRhi dermal macrophages by anti–CSF-1 receptor antibody reversed the nonhealing phenotype. We conclude that embryonic-derived, MRhi dermal macrophages are permissive for parasite growth even in a strong Th1-immune environment, and the preferential infection of these cells plays a crucial role in the severity of cutaneous disease.","DOI":"10.1084/jem.20171389","ISSN":"0022-1007, 1540-9538","note":"PMID: 29247046","language":"en","author":[{"family":"Lee","given":"Sang Hun"},{"family":"Charmoy","given":"Melanie"},{"family":"Romano","given":"Audrey"},{"family":"Paun","given":"Andrea"},{"family":"Chaves","given":"Mariana M."},{"family":"Cope","given":"Frederick O."},{"family":"Ralph","given":"David A."},{"family":"Sacks","given":"David L."}],"issued":{"date-parts":[["2017",12,15]]}}}],"schema":"https://github.com/citation-style-language/schema/raw/master/csl-citation.json"} </w:instrText>
      </w:r>
      <w:r w:rsidR="002C3FA9" w:rsidRPr="008B3AD6">
        <w:fldChar w:fldCharType="separate"/>
      </w:r>
      <w:r w:rsidR="00921CAF">
        <w:rPr>
          <w:lang w:val="en-US"/>
        </w:rPr>
        <w:t>(</w:t>
      </w:r>
      <w:r w:rsidR="007A6EED" w:rsidRPr="007A6EED">
        <w:rPr>
          <w:lang w:val="en-US"/>
        </w:rPr>
        <w:t>Lee et al. 2017)</w:t>
      </w:r>
      <w:r w:rsidR="002C3FA9" w:rsidRPr="008B3AD6">
        <w:fldChar w:fldCharType="end"/>
      </w:r>
      <w:r w:rsidR="004B7DE2" w:rsidRPr="008B3AD6">
        <w:t xml:space="preserve">. </w:t>
      </w:r>
      <w:r w:rsidR="004B7DE2" w:rsidRPr="008B3AD6">
        <w:rPr>
          <w:i/>
        </w:rPr>
        <w:t xml:space="preserve">mrc </w:t>
      </w:r>
      <w:r w:rsidR="004B7DE2" w:rsidRPr="008B3AD6">
        <w:t xml:space="preserve">ablation decreases the infection of host macrophages, a generalised representation of a reduction in the </w:t>
      </w:r>
      <w:r w:rsidR="004B7DE2" w:rsidRPr="008B3AD6">
        <w:rPr>
          <w:i/>
        </w:rPr>
        <w:t>bm</w:t>
      </w:r>
      <w:r w:rsidR="004B7DE2" w:rsidRPr="008B3AD6">
        <w:t xml:space="preserve"> parameter value, which generally agreed with our </w:t>
      </w:r>
      <w:r w:rsidR="004B7DE2" w:rsidRPr="008B3AD6">
        <w:lastRenderedPageBreak/>
        <w:t xml:space="preserve">findings, however a more rigorous investigation within an </w:t>
      </w:r>
      <w:r w:rsidR="004B7DE2" w:rsidRPr="008B3AD6">
        <w:rPr>
          <w:i/>
        </w:rPr>
        <w:t>L. donovani</w:t>
      </w:r>
      <w:r w:rsidR="004B7DE2" w:rsidRPr="008B3AD6">
        <w:t xml:space="preserve"> system would be needed for full confidence. </w:t>
      </w:r>
      <w:r w:rsidR="006C0A41" w:rsidRPr="008B3AD6">
        <w:t>Compared</w:t>
      </w:r>
      <w:r w:rsidR="00CC788B" w:rsidRPr="008B3AD6">
        <w:t xml:space="preserve"> to the </w:t>
      </w:r>
      <w:r w:rsidR="00FF7C59">
        <w:t xml:space="preserve">mathematical </w:t>
      </w:r>
      <w:r w:rsidR="00CC788B" w:rsidRPr="008B3AD6">
        <w:t xml:space="preserve">model proposed by Siewe and colleagues </w:t>
      </w:r>
      <w:r w:rsidR="00CC788B" w:rsidRPr="008B3AD6">
        <w:fldChar w:fldCharType="begin"/>
      </w:r>
      <w:r w:rsidR="007A6EED">
        <w:instrText xml:space="preserve"> ADDIN ZOTERO_ITEM CSL_CITATION {"citationID":"DcgtGfXY","properties":{"formattedCitation":"(Siewe et al. 2016)","plainCitation":"(Siewe et al. 2016)","noteIndex":0},"citationItems":[{"id":2578,"uris":["http://zotero.org/users/2628971/items/GKTD3VPK"],"uri":["http://zotero.org/users/2628971/items/GKTD3VPK"],"itemData":{"id":2578,"type":"article-journal","title":"Immune response to infection by Leishmania: A mathematical model","container-title":"Mathematical Biosciences","page":"28-43","volume":"276","source":"PubMed","abstract":"Leishmaniasis is a disease caused by the Leishmania parasites. The injection of the parasites into the host occurs when a sand fly, which is the vector, bites the skin of the host. The parasites, which are obligate, take advantage of the immune system response and invade both the classically activated macrophages (M1) and the alternatively activated macrophages (M2). In this paper, we develop a mathematical model to explain the evolution of the disease. Simulations of the model show that, M2 macrophages steadily increase and M1 macrophages steadily decrease, while M1+M2 reach a steady state which is approximately the same as at healthy state of the host. Furthermore, the ratio of Leishmania parasites to macrophages depends homogeneously on their ratio at the time of the initial infection, in agreement with in vitro experimental data. The model is used to simulate treatment by existing or potential new drugs, and to compare the efficacy of different schedules of drug delivery.","DOI":"10.1016/j.mbs.2016.02.015","ISSN":"1879-3134","note":"PMID: 26987853","shortTitle":"Immune response to infection by Leishmania","journalAbbreviation":"Math Biosci","language":"eng","author":[{"family":"Siewe","given":"Nourridine"},{"family":"Yakubu","given":"Abdul-Aziz"},{"family":"Satoskar","given":"Abhay R."},{"family":"Friedman","given":"Avner"}],"issued":{"date-parts":[["2016"]]}}}],"schema":"https://github.com/citation-style-language/schema/raw/master/csl-citation.json"} </w:instrText>
      </w:r>
      <w:r w:rsidR="00CC788B" w:rsidRPr="008B3AD6">
        <w:fldChar w:fldCharType="separate"/>
      </w:r>
      <w:r w:rsidR="007A6EED" w:rsidRPr="007A6EED">
        <w:rPr>
          <w:lang w:val="en-US"/>
        </w:rPr>
        <w:t>(Siewe et al. 2016)</w:t>
      </w:r>
      <w:r w:rsidR="00CC788B" w:rsidRPr="008B3AD6">
        <w:fldChar w:fldCharType="end"/>
      </w:r>
      <w:r w:rsidR="00CC788B" w:rsidRPr="008B3AD6">
        <w:t xml:space="preserve">, our proposed model </w:t>
      </w:r>
      <w:r w:rsidR="006C0A41" w:rsidRPr="008B3AD6">
        <w:t xml:space="preserve">did not </w:t>
      </w:r>
      <w:r w:rsidR="00CC788B" w:rsidRPr="008B3AD6">
        <w:t>indicate that basal addition of myeloid cells influence</w:t>
      </w:r>
      <w:r w:rsidR="006C0A41" w:rsidRPr="008B3AD6">
        <w:t>s</w:t>
      </w:r>
      <w:r w:rsidR="00CC788B" w:rsidRPr="008B3AD6">
        <w:t xml:space="preserve"> </w:t>
      </w:r>
      <w:r w:rsidR="006C0A41" w:rsidRPr="008B3AD6">
        <w:t xml:space="preserve">any population of </w:t>
      </w:r>
      <w:r w:rsidR="00CC788B" w:rsidRPr="008B3AD6">
        <w:rPr>
          <w:i/>
        </w:rPr>
        <w:t>L. donovani</w:t>
      </w:r>
      <w:r w:rsidR="00CC788B" w:rsidRPr="008B3AD6">
        <w:t xml:space="preserve"> (total, extracellular or intracellular (</w:t>
      </w:r>
      <w:r w:rsidR="00606122" w:rsidRPr="008B3AD6">
        <w:rPr>
          <w:b/>
        </w:rPr>
        <w:fldChar w:fldCharType="begin"/>
      </w:r>
      <w:r w:rsidR="00606122" w:rsidRPr="008B3AD6">
        <w:rPr>
          <w:b/>
        </w:rPr>
        <w:instrText xml:space="preserve"> REF _Ref523573715  \* MERGEFORMAT </w:instrText>
      </w:r>
      <w:r w:rsidR="00606122" w:rsidRPr="008B3AD6">
        <w:rPr>
          <w:b/>
        </w:rPr>
        <w:fldChar w:fldCharType="separate"/>
      </w:r>
      <w:r w:rsidR="00921CAF" w:rsidRPr="00921CAF">
        <w:rPr>
          <w:b/>
        </w:rPr>
        <w:t xml:space="preserve">Figure </w:t>
      </w:r>
      <w:r w:rsidR="00921CAF" w:rsidRPr="00921CAF">
        <w:rPr>
          <w:b/>
          <w:noProof/>
        </w:rPr>
        <w:t>7.8</w:t>
      </w:r>
      <w:r w:rsidR="00606122" w:rsidRPr="008B3AD6">
        <w:rPr>
          <w:b/>
          <w:noProof/>
        </w:rPr>
        <w:fldChar w:fldCharType="end"/>
      </w:r>
      <w:r w:rsidR="00CC788B" w:rsidRPr="008B3AD6">
        <w:t>)).</w:t>
      </w:r>
      <w:r w:rsidR="006C0A41" w:rsidRPr="008B3AD6">
        <w:t xml:space="preserve"> Conversely, our analysis </w:t>
      </w:r>
      <w:r w:rsidR="0093434D" w:rsidRPr="008B3AD6">
        <w:t>showed</w:t>
      </w:r>
      <w:r w:rsidR="006C0A41" w:rsidRPr="008B3AD6">
        <w:t xml:space="preserve"> that the </w:t>
      </w:r>
      <w:r w:rsidR="00FF7C59">
        <w:t>m</w:t>
      </w:r>
      <w:r w:rsidR="006C0A41" w:rsidRPr="008B3AD6">
        <w:t>yeloid cell exit</w:t>
      </w:r>
      <w:r w:rsidR="0093434D" w:rsidRPr="008B3AD6">
        <w:t xml:space="preserve"> rate</w:t>
      </w:r>
      <w:r w:rsidR="006C0A41" w:rsidRPr="008B3AD6">
        <w:t xml:space="preserve">, </w:t>
      </w:r>
      <w:r w:rsidR="006C0A41" w:rsidRPr="008B3AD6">
        <w:rPr>
          <w:i/>
        </w:rPr>
        <w:t>D</w:t>
      </w:r>
      <w:r w:rsidR="006C0A41" w:rsidRPr="008B3AD6">
        <w:rPr>
          <w:i/>
          <w:vertAlign w:val="subscript"/>
        </w:rPr>
        <w:t>m</w:t>
      </w:r>
      <w:r w:rsidR="006C0A41" w:rsidRPr="008B3AD6">
        <w:t xml:space="preserve">, was the myeloid cell associated parameter </w:t>
      </w:r>
      <w:r w:rsidR="00FF7C59">
        <w:t xml:space="preserve">most </w:t>
      </w:r>
      <w:r w:rsidR="00653884" w:rsidRPr="008B3AD6">
        <w:t>affecting</w:t>
      </w:r>
      <w:r w:rsidR="00FF7C59">
        <w:t xml:space="preserve"> the intracellular</w:t>
      </w:r>
      <w:r w:rsidR="006C0A41" w:rsidRPr="008B3AD6">
        <w:t xml:space="preserve"> </w:t>
      </w:r>
      <w:r w:rsidR="00FF7C59" w:rsidRPr="008B3AD6">
        <w:rPr>
          <w:i/>
        </w:rPr>
        <w:t>L. donovani</w:t>
      </w:r>
      <w:r w:rsidR="00FF7C59" w:rsidRPr="008B3AD6">
        <w:t xml:space="preserve"> </w:t>
      </w:r>
      <w:r w:rsidR="00FF7C59">
        <w:t>population</w:t>
      </w:r>
      <w:r w:rsidR="006C0A41" w:rsidRPr="008B3AD6">
        <w:t xml:space="preserve">. </w:t>
      </w:r>
      <w:r w:rsidR="00FF7C59">
        <w:t xml:space="preserve">Differences in the simulation outputs, such as </w:t>
      </w:r>
      <w:r w:rsidR="00FF7C59" w:rsidRPr="008B3AD6">
        <w:t xml:space="preserve">Siewe and colleague’s </w:t>
      </w:r>
      <w:r w:rsidR="006C0A41" w:rsidRPr="008B3AD6">
        <w:t>analysis took place at 150 days post-infection</w:t>
      </w:r>
      <w:r w:rsidR="00FF7C59">
        <w:t>,</w:t>
      </w:r>
      <w:r w:rsidR="006C0A41" w:rsidRPr="008B3AD6">
        <w:t xml:space="preserve"> may </w:t>
      </w:r>
      <w:r w:rsidR="00FF7C59">
        <w:t xml:space="preserve">explain why the model presented here and the published mathematical model </w:t>
      </w:r>
      <w:r w:rsidR="006C0A41" w:rsidRPr="008B3AD6">
        <w:t>yield contrasting conclusions.</w:t>
      </w:r>
    </w:p>
    <w:p w14:paraId="66DECE41" w14:textId="0C9B715A" w:rsidR="00F54577" w:rsidRPr="008B3AD6" w:rsidRDefault="00F54577" w:rsidP="00CC788B">
      <w:pPr>
        <w:pStyle w:val="NormalWeb"/>
        <w:shd w:val="clear" w:color="auto" w:fill="FFFFFF"/>
        <w:spacing w:before="0" w:beforeAutospacing="0" w:after="0" w:afterAutospacing="0" w:line="360" w:lineRule="auto"/>
        <w:jc w:val="both"/>
      </w:pPr>
    </w:p>
    <w:p w14:paraId="6FECC1D1" w14:textId="12C4F062" w:rsidR="002E18DC" w:rsidRPr="002E18DC" w:rsidRDefault="00F54577" w:rsidP="00CC788B">
      <w:pPr>
        <w:pStyle w:val="NormalWeb"/>
        <w:shd w:val="clear" w:color="auto" w:fill="FFFFFF"/>
        <w:spacing w:before="0" w:beforeAutospacing="0" w:after="0" w:afterAutospacing="0" w:line="360" w:lineRule="auto"/>
        <w:jc w:val="both"/>
      </w:pPr>
      <w:r w:rsidRPr="008B3AD6">
        <w:t>Following from model implementation and calibration validation of the model was attempted using previously unseen data (</w:t>
      </w:r>
      <w:r w:rsidRPr="008B3AD6">
        <w:fldChar w:fldCharType="begin"/>
      </w:r>
      <w:r w:rsidRPr="008B3AD6">
        <w:instrText xml:space="preserve"> REF _Ref522722269 </w:instrText>
      </w:r>
      <w:r w:rsidR="002F49F0" w:rsidRPr="008B3AD6">
        <w:instrText xml:space="preserve"> \* MERGEFORMAT </w:instrText>
      </w:r>
      <w:r w:rsidRPr="008B3AD6">
        <w:fldChar w:fldCharType="separate"/>
      </w:r>
      <w:r w:rsidR="00921CAF" w:rsidRPr="00921CAF">
        <w:rPr>
          <w:b/>
        </w:rPr>
        <w:t xml:space="preserve">Figure </w:t>
      </w:r>
      <w:r w:rsidR="00921CAF" w:rsidRPr="00921CAF">
        <w:rPr>
          <w:b/>
          <w:noProof/>
        </w:rPr>
        <w:t>5.8</w:t>
      </w:r>
      <w:r w:rsidRPr="008B3AD6">
        <w:fldChar w:fldCharType="end"/>
      </w:r>
      <w:r w:rsidRPr="008B3AD6">
        <w:t xml:space="preserve">). The parameter set generated against </w:t>
      </w:r>
      <w:r w:rsidRPr="008B3AD6">
        <w:rPr>
          <w:i/>
        </w:rPr>
        <w:t>in vivo</w:t>
      </w:r>
      <w:r w:rsidRPr="008B3AD6">
        <w:t xml:space="preserve"> </w:t>
      </w:r>
      <w:r w:rsidR="002E18DC">
        <w:t xml:space="preserve">data </w:t>
      </w:r>
      <w:r w:rsidR="00F933D1">
        <w:t>were</w:t>
      </w:r>
      <w:r w:rsidR="00F933D1" w:rsidRPr="008B3AD6">
        <w:t xml:space="preserve"> </w:t>
      </w:r>
      <w:r w:rsidRPr="008B3AD6">
        <w:t xml:space="preserve">not able to recapitulate the </w:t>
      </w:r>
      <w:r w:rsidR="00FF7C59">
        <w:rPr>
          <w:i/>
        </w:rPr>
        <w:t xml:space="preserve">in vitro </w:t>
      </w:r>
      <w:r w:rsidRPr="008B3AD6">
        <w:t xml:space="preserve">growth of intracellular </w:t>
      </w:r>
      <w:r w:rsidRPr="008B3AD6">
        <w:rPr>
          <w:i/>
        </w:rPr>
        <w:t>L. donovani</w:t>
      </w:r>
      <w:r w:rsidRPr="008B3AD6">
        <w:t xml:space="preserve"> in infected </w:t>
      </w:r>
      <w:r w:rsidR="00FF7C59">
        <w:t>macrophages</w:t>
      </w:r>
      <w:r w:rsidRPr="008B3AD6">
        <w:t xml:space="preserve">. The model was modified so that it represented the </w:t>
      </w:r>
      <w:r w:rsidRPr="008B3AD6">
        <w:rPr>
          <w:i/>
        </w:rPr>
        <w:t>in vitro</w:t>
      </w:r>
      <w:r w:rsidRPr="008B3AD6">
        <w:t xml:space="preserve"> system as closely as possible in that no T cells were present, initial values for susceptible myeloid cells and extracellular </w:t>
      </w:r>
      <w:r w:rsidRPr="008B3AD6">
        <w:rPr>
          <w:i/>
        </w:rPr>
        <w:t>L. donovani</w:t>
      </w:r>
      <w:r w:rsidRPr="008B3AD6">
        <w:t xml:space="preserve"> were derived from source publication of the validation data </w:t>
      </w:r>
      <w:r w:rsidR="00573FF2" w:rsidRPr="008B3AD6">
        <w:fldChar w:fldCharType="begin"/>
      </w:r>
      <w:r w:rsidR="007A6EED">
        <w:instrText xml:space="preserve"> ADDIN ZOTERO_ITEM CSL_CITATION {"citationID":"jmLSW1c8","properties":{"formattedCitation":"(Mart\\uc0\\u237{}n-Montes et al. 2017)","plainCitation":"(Martín-Montes et al. 2017)","noteIndex":0},"citationItems":[{"id":2742,"uris":["http://zotero.org/users/2628971/items/4FBMZRCI"],"uri":["http://zotero.org/users/2628971/items/4FBMZRCI"],"itemData":{"id":2742,"type":"article-journal","title":"Synthesis and in vitro leishmanicidal activity of novel [1,2,3]triazolo[1,5-a]pyridine salts","container-title":"RSC Advances","page":"15715-15726","volume":"7","issue":"26","source":"Crossref","DOI":"10.1039/C7RA01070B","ISSN":"2046-2069","language":"en","author":[{"family":"Martín-Montes","given":"Álvaro"},{"family":"Ballesteros-Garrido","given":"Rafael"},{"family":"Martín-Escolano","given":"Rubén"},{"family":"Marín","given":"Clotilde"},{"family":"Guitiérrez-Sánchez","given":"Ramón"},{"family":"Abarca","given":"Belén"},{"family":"Ballesteros","given":"Rafael"},{"family":"Sanchez-Moreno","given":"Manuel"}],"issued":{"date-parts":[["2017"]]}}}],"schema":"https://github.com/citation-style-language/schema/raw/master/csl-citation.json"} </w:instrText>
      </w:r>
      <w:r w:rsidR="00573FF2" w:rsidRPr="008B3AD6">
        <w:fldChar w:fldCharType="separate"/>
      </w:r>
      <w:r w:rsidR="007A6EED" w:rsidRPr="007A6EED">
        <w:rPr>
          <w:lang w:val="en-US"/>
        </w:rPr>
        <w:t>(Martín-Montes et al. 2017)</w:t>
      </w:r>
      <w:r w:rsidR="00573FF2" w:rsidRPr="008B3AD6">
        <w:fldChar w:fldCharType="end"/>
      </w:r>
      <w:r w:rsidRPr="008B3AD6">
        <w:t xml:space="preserve"> and basal addition of myeloid cells was removed. Even with these modifications the model did not match the published data, most likely highlighting that the rates/probabilities of processes inherently differ between </w:t>
      </w:r>
      <w:r w:rsidRPr="008B3AD6">
        <w:rPr>
          <w:i/>
        </w:rPr>
        <w:t>in vivo</w:t>
      </w:r>
      <w:r w:rsidRPr="008B3AD6">
        <w:t xml:space="preserve"> and </w:t>
      </w:r>
      <w:r w:rsidRPr="008B3AD6">
        <w:rPr>
          <w:i/>
        </w:rPr>
        <w:t>in vitro</w:t>
      </w:r>
      <w:r w:rsidRPr="008B3AD6">
        <w:t xml:space="preserve"> systems. </w:t>
      </w:r>
      <w:r w:rsidR="002E18DC">
        <w:t xml:space="preserve">We did not employ further iterations of the CoSMoS process to try and match the </w:t>
      </w:r>
      <w:r w:rsidR="002E18DC">
        <w:rPr>
          <w:i/>
        </w:rPr>
        <w:t xml:space="preserve">in vitro </w:t>
      </w:r>
      <w:r w:rsidR="002E18DC">
        <w:t xml:space="preserve">data to simulated data as at this stage several iterations had already been carried out and it is more likely the </w:t>
      </w:r>
      <w:r w:rsidR="002E18DC">
        <w:rPr>
          <w:i/>
        </w:rPr>
        <w:t>in vitro</w:t>
      </w:r>
      <w:r w:rsidR="002E18DC">
        <w:t xml:space="preserve"> data </w:t>
      </w:r>
      <w:r w:rsidR="00F933D1">
        <w:t>are</w:t>
      </w:r>
      <w:r w:rsidR="002E18DC">
        <w:t xml:space="preserve"> unsuitable for validation. Alternative options that could be re-examined which use the existing </w:t>
      </w:r>
      <w:r w:rsidR="002E18DC">
        <w:rPr>
          <w:i/>
        </w:rPr>
        <w:t>in vivo</w:t>
      </w:r>
      <w:r w:rsidR="002E18DC">
        <w:t xml:space="preserve"> data include n-1 or split-sample validation, which were initially discounted due to high levels of variability in biological replicates. </w:t>
      </w:r>
      <w:r w:rsidR="002E18DC" w:rsidRPr="008B3AD6">
        <w:t xml:space="preserve">The </w:t>
      </w:r>
      <w:r w:rsidR="002E18DC">
        <w:t xml:space="preserve">final simulation </w:t>
      </w:r>
      <w:r w:rsidR="002E18DC" w:rsidRPr="008B3AD6">
        <w:t>model was still implemented for further use in this project, but some form of further validation must be implemented for full confidence in the predictions generated</w:t>
      </w:r>
      <w:r w:rsidR="002E18DC">
        <w:t>.</w:t>
      </w:r>
    </w:p>
    <w:p w14:paraId="575F4E63" w14:textId="7E4F20D9" w:rsidR="002F49F0" w:rsidRPr="008B3AD6" w:rsidRDefault="002F49F0" w:rsidP="00CC788B">
      <w:pPr>
        <w:pStyle w:val="NormalWeb"/>
        <w:shd w:val="clear" w:color="auto" w:fill="FFFFFF"/>
        <w:spacing w:before="0" w:beforeAutospacing="0" w:after="0" w:afterAutospacing="0" w:line="360" w:lineRule="auto"/>
        <w:jc w:val="both"/>
      </w:pPr>
    </w:p>
    <w:p w14:paraId="71A236CE" w14:textId="210080FF" w:rsidR="002F6D94" w:rsidRPr="008B3AD6" w:rsidRDefault="002F49F0" w:rsidP="00CC788B">
      <w:pPr>
        <w:pStyle w:val="NormalWeb"/>
        <w:shd w:val="clear" w:color="auto" w:fill="FFFFFF"/>
        <w:spacing w:before="0" w:beforeAutospacing="0" w:after="0" w:afterAutospacing="0" w:line="360" w:lineRule="auto"/>
        <w:jc w:val="both"/>
      </w:pPr>
      <w:r w:rsidRPr="008B3AD6">
        <w:t xml:space="preserve">The finalised model formed the foundation for extension with pharmacological data previously generated (see </w:t>
      </w:r>
      <w:fldSimple w:instr=" REF _Ref518738258 \n  \* MERGEFORMAT ">
        <w:r w:rsidR="00921CAF">
          <w:t>Chapter 3</w:t>
        </w:r>
      </w:fldSimple>
      <w:r w:rsidRPr="008B3AD6">
        <w:t>). The leukocyte entities analysed during our pharmacological investigations (namely monocytes, neutrophils, Kupffer &amp; dendritic cells and lymphoid cells) did not</w:t>
      </w:r>
      <w:r w:rsidR="00B361FA" w:rsidRPr="008B3AD6">
        <w:t xml:space="preserve"> directly</w:t>
      </w:r>
      <w:r w:rsidRPr="008B3AD6">
        <w:t xml:space="preserve"> match with those that were modelled (T cells and myeloid cells) and as such initially we re-analysed our data to generate pharmacokinetic time courses for T cells and myeloid cells (</w:t>
      </w:r>
      <w:r w:rsidR="00606122" w:rsidRPr="008B3AD6">
        <w:rPr>
          <w:b/>
        </w:rPr>
        <w:fldChar w:fldCharType="begin"/>
      </w:r>
      <w:r w:rsidR="00606122" w:rsidRPr="008B3AD6">
        <w:rPr>
          <w:b/>
        </w:rPr>
        <w:instrText xml:space="preserve"> REF _Ref522784400  \* MERGEFORMAT </w:instrText>
      </w:r>
      <w:r w:rsidR="00606122" w:rsidRPr="008B3AD6">
        <w:rPr>
          <w:b/>
        </w:rPr>
        <w:fldChar w:fldCharType="separate"/>
      </w:r>
      <w:r w:rsidR="00921CAF" w:rsidRPr="00921CAF">
        <w:rPr>
          <w:b/>
        </w:rPr>
        <w:t xml:space="preserve">Figure </w:t>
      </w:r>
      <w:r w:rsidR="00921CAF" w:rsidRPr="00921CAF">
        <w:rPr>
          <w:b/>
          <w:noProof/>
        </w:rPr>
        <w:t>5.9</w:t>
      </w:r>
      <w:r w:rsidR="00606122" w:rsidRPr="008B3AD6">
        <w:rPr>
          <w:b/>
          <w:noProof/>
        </w:rPr>
        <w:fldChar w:fldCharType="end"/>
      </w:r>
      <w:r w:rsidRPr="008B3AD6">
        <w:t>)</w:t>
      </w:r>
      <w:r w:rsidR="00A8446F" w:rsidRPr="008B3AD6">
        <w:t>.</w:t>
      </w:r>
      <w:r w:rsidR="00B361FA" w:rsidRPr="008B3AD6">
        <w:t xml:space="preserve"> Following from this a further instantiation of the CoSMoS process was ran </w:t>
      </w:r>
      <w:r w:rsidR="002F6D94" w:rsidRPr="008B3AD6">
        <w:t>generating an expected behaviours diagram (</w:t>
      </w:r>
      <w:r w:rsidR="0074700A">
        <w:rPr>
          <w:b/>
        </w:rPr>
        <w:fldChar w:fldCharType="begin"/>
      </w:r>
      <w:r w:rsidR="0074700A">
        <w:rPr>
          <w:b/>
        </w:rPr>
        <w:instrText xml:space="preserve"> REF _Ref522725649  \* MERGEFORMAT </w:instrText>
      </w:r>
      <w:r w:rsidR="0074700A">
        <w:rPr>
          <w:b/>
        </w:rPr>
        <w:fldChar w:fldCharType="separate"/>
      </w:r>
      <w:r w:rsidR="00921CAF" w:rsidRPr="00921CAF">
        <w:rPr>
          <w:b/>
        </w:rPr>
        <w:t xml:space="preserve">Figure </w:t>
      </w:r>
      <w:r w:rsidR="00921CAF" w:rsidRPr="00921CAF">
        <w:rPr>
          <w:b/>
          <w:noProof/>
        </w:rPr>
        <w:t>5.10</w:t>
      </w:r>
      <w:r w:rsidR="0074700A">
        <w:rPr>
          <w:b/>
          <w:noProof/>
        </w:rPr>
        <w:fldChar w:fldCharType="end"/>
      </w:r>
      <w:r w:rsidR="002F6D94" w:rsidRPr="008B3AD6">
        <w:t>) and a domain model (</w:t>
      </w:r>
      <w:r w:rsidR="0074700A">
        <w:rPr>
          <w:b/>
        </w:rPr>
        <w:fldChar w:fldCharType="begin"/>
      </w:r>
      <w:r w:rsidR="0074700A">
        <w:rPr>
          <w:b/>
        </w:rPr>
        <w:instrText xml:space="preserve"> REF _Ref522793179  \* MERGEFORMAT </w:instrText>
      </w:r>
      <w:r w:rsidR="0074700A">
        <w:rPr>
          <w:b/>
        </w:rPr>
        <w:fldChar w:fldCharType="separate"/>
      </w:r>
      <w:r w:rsidR="00921CAF" w:rsidRPr="00921CAF">
        <w:rPr>
          <w:b/>
        </w:rPr>
        <w:t xml:space="preserve">Figure </w:t>
      </w:r>
      <w:r w:rsidR="00921CAF" w:rsidRPr="00921CAF">
        <w:rPr>
          <w:b/>
          <w:noProof/>
        </w:rPr>
        <w:t>5.11</w:t>
      </w:r>
      <w:r w:rsidR="0074700A">
        <w:rPr>
          <w:b/>
          <w:noProof/>
        </w:rPr>
        <w:fldChar w:fldCharType="end"/>
      </w:r>
      <w:r w:rsidR="002F6D94" w:rsidRPr="008B3AD6">
        <w:t xml:space="preserve"> and </w:t>
      </w:r>
      <w:r w:rsidR="0074700A">
        <w:rPr>
          <w:b/>
        </w:rPr>
        <w:fldChar w:fldCharType="begin"/>
      </w:r>
      <w:r w:rsidR="0074700A">
        <w:rPr>
          <w:b/>
        </w:rPr>
        <w:instrText xml:space="preserve"> REF _Ref522801233  \* MERGEFORMAT </w:instrText>
      </w:r>
      <w:r w:rsidR="0074700A">
        <w:rPr>
          <w:b/>
        </w:rPr>
        <w:fldChar w:fldCharType="separate"/>
      </w:r>
      <w:r w:rsidR="00921CAF" w:rsidRPr="00921CAF">
        <w:rPr>
          <w:b/>
        </w:rPr>
        <w:t xml:space="preserve">Figure </w:t>
      </w:r>
      <w:r w:rsidR="00921CAF" w:rsidRPr="00921CAF">
        <w:rPr>
          <w:b/>
          <w:noProof/>
        </w:rPr>
        <w:t>5.12</w:t>
      </w:r>
      <w:r w:rsidR="0074700A">
        <w:rPr>
          <w:b/>
          <w:noProof/>
        </w:rPr>
        <w:fldChar w:fldCharType="end"/>
      </w:r>
      <w:r w:rsidR="002F6D94" w:rsidRPr="008B3AD6">
        <w:t xml:space="preserve">) for </w:t>
      </w:r>
      <w:r w:rsidR="00A32111">
        <w:t>AmB</w:t>
      </w:r>
      <w:r w:rsidR="002F6D94" w:rsidRPr="008B3AD6">
        <w:t xml:space="preserve">. The inclusion of </w:t>
      </w:r>
      <w:r w:rsidR="00A32111">
        <w:t>AmB</w:t>
      </w:r>
      <w:r w:rsidR="002F6D94" w:rsidRPr="008B3AD6">
        <w:t xml:space="preserve"> into </w:t>
      </w:r>
      <w:r w:rsidR="002F6D94" w:rsidRPr="008B3AD6">
        <w:lastRenderedPageBreak/>
        <w:t xml:space="preserve">our model necessitated an updating of the domain model for </w:t>
      </w:r>
      <w:r w:rsidR="002F6D94" w:rsidRPr="008B3AD6">
        <w:rPr>
          <w:i/>
        </w:rPr>
        <w:t xml:space="preserve">L. donovani </w:t>
      </w:r>
      <w:r w:rsidR="002F6D94" w:rsidRPr="008B3AD6">
        <w:t>(</w:t>
      </w:r>
      <w:r w:rsidR="0074700A">
        <w:rPr>
          <w:b/>
        </w:rPr>
        <w:fldChar w:fldCharType="begin"/>
      </w:r>
      <w:r w:rsidR="0074700A">
        <w:rPr>
          <w:b/>
        </w:rPr>
        <w:instrText xml:space="preserve"> REF _Ref522803171  \* MERGEFORMAT </w:instrText>
      </w:r>
      <w:r w:rsidR="0074700A">
        <w:rPr>
          <w:b/>
        </w:rPr>
        <w:fldChar w:fldCharType="separate"/>
      </w:r>
      <w:r w:rsidR="00921CAF" w:rsidRPr="00921CAF">
        <w:rPr>
          <w:b/>
        </w:rPr>
        <w:t xml:space="preserve">Figure </w:t>
      </w:r>
      <w:r w:rsidR="00921CAF" w:rsidRPr="00921CAF">
        <w:rPr>
          <w:b/>
          <w:noProof/>
        </w:rPr>
        <w:t>5.14</w:t>
      </w:r>
      <w:r w:rsidR="0074700A">
        <w:rPr>
          <w:b/>
          <w:noProof/>
        </w:rPr>
        <w:fldChar w:fldCharType="end"/>
      </w:r>
      <w:r w:rsidR="002F6D94" w:rsidRPr="008B3AD6">
        <w:t>). A platform model for all entities was generated (</w:t>
      </w:r>
      <w:r w:rsidR="0074700A">
        <w:rPr>
          <w:b/>
        </w:rPr>
        <w:fldChar w:fldCharType="begin"/>
      </w:r>
      <w:r w:rsidR="0074700A">
        <w:rPr>
          <w:b/>
        </w:rPr>
        <w:instrText xml:space="preserve"> REF _Ref522814474  \* MERGEFORMAT </w:instrText>
      </w:r>
      <w:r w:rsidR="0074700A">
        <w:rPr>
          <w:b/>
        </w:rPr>
        <w:fldChar w:fldCharType="separate"/>
      </w:r>
      <w:r w:rsidR="00921CAF" w:rsidRPr="00921CAF">
        <w:rPr>
          <w:b/>
        </w:rPr>
        <w:t xml:space="preserve">Figure </w:t>
      </w:r>
      <w:r w:rsidR="00921CAF" w:rsidRPr="00921CAF">
        <w:rPr>
          <w:b/>
          <w:noProof/>
        </w:rPr>
        <w:t>5.15</w:t>
      </w:r>
      <w:r w:rsidR="0074700A">
        <w:rPr>
          <w:b/>
          <w:noProof/>
        </w:rPr>
        <w:fldChar w:fldCharType="end"/>
      </w:r>
      <w:r w:rsidR="002F6D94" w:rsidRPr="008B3AD6">
        <w:t>) which was developed into a simulation model (</w:t>
      </w:r>
      <w:r w:rsidR="00606122" w:rsidRPr="008B3AD6">
        <w:rPr>
          <w:b/>
        </w:rPr>
        <w:fldChar w:fldCharType="begin"/>
      </w:r>
      <w:r w:rsidR="00606122" w:rsidRPr="008B3AD6">
        <w:rPr>
          <w:b/>
        </w:rPr>
        <w:instrText xml:space="preserve"> REF _Ref522891090  \* MERGEFORMAT </w:instrText>
      </w:r>
      <w:r w:rsidR="00606122" w:rsidRPr="008B3AD6">
        <w:rPr>
          <w:b/>
        </w:rPr>
        <w:fldChar w:fldCharType="separate"/>
      </w:r>
      <w:r w:rsidR="00921CAF" w:rsidRPr="00921CAF">
        <w:rPr>
          <w:b/>
        </w:rPr>
        <w:t xml:space="preserve">Figure </w:t>
      </w:r>
      <w:r w:rsidR="00921CAF" w:rsidRPr="00921CAF">
        <w:rPr>
          <w:b/>
          <w:noProof/>
        </w:rPr>
        <w:t>5.16</w:t>
      </w:r>
      <w:r w:rsidR="00606122" w:rsidRPr="008B3AD6">
        <w:rPr>
          <w:b/>
          <w:noProof/>
        </w:rPr>
        <w:fldChar w:fldCharType="end"/>
      </w:r>
      <w:r w:rsidR="002F6D94" w:rsidRPr="008B3AD6">
        <w:t>).</w:t>
      </w:r>
    </w:p>
    <w:p w14:paraId="3F41D22D" w14:textId="77777777" w:rsidR="002F6D94" w:rsidRPr="008B3AD6" w:rsidRDefault="002F6D94" w:rsidP="00CC788B">
      <w:pPr>
        <w:pStyle w:val="NormalWeb"/>
        <w:shd w:val="clear" w:color="auto" w:fill="FFFFFF"/>
        <w:spacing w:before="0" w:beforeAutospacing="0" w:after="0" w:afterAutospacing="0" w:line="360" w:lineRule="auto"/>
        <w:jc w:val="both"/>
      </w:pPr>
    </w:p>
    <w:p w14:paraId="2DCF20CC" w14:textId="77777777" w:rsidR="009D77B7" w:rsidRDefault="002F6D94" w:rsidP="00CC788B">
      <w:pPr>
        <w:pStyle w:val="NormalWeb"/>
        <w:shd w:val="clear" w:color="auto" w:fill="FFFFFF"/>
        <w:spacing w:before="0" w:beforeAutospacing="0" w:after="0" w:afterAutospacing="0" w:line="360" w:lineRule="auto"/>
        <w:jc w:val="both"/>
      </w:pPr>
      <w:r w:rsidRPr="008B3AD6">
        <w:t>Calibration of this</w:t>
      </w:r>
      <w:r w:rsidR="00F85551">
        <w:t xml:space="preserve"> simulation</w:t>
      </w:r>
      <w:r w:rsidRPr="008B3AD6">
        <w:t xml:space="preserve"> model was ultimately unsuccessful when using a multi-objective approach against biological data for total liver, myeloid and T cell </w:t>
      </w:r>
      <w:r w:rsidR="00A32111">
        <w:t>AmB</w:t>
      </w:r>
      <w:r w:rsidRPr="008B3AD6">
        <w:t xml:space="preserve"> accumulation (</w:t>
      </w:r>
      <w:r w:rsidR="0074700A">
        <w:rPr>
          <w:b/>
        </w:rPr>
        <w:fldChar w:fldCharType="begin"/>
      </w:r>
      <w:r w:rsidR="0074700A">
        <w:rPr>
          <w:b/>
        </w:rPr>
        <w:instrText xml:space="preserve"> REF _Ref523067540  \* MERGEFORMAT </w:instrText>
      </w:r>
      <w:r w:rsidR="0074700A">
        <w:rPr>
          <w:b/>
        </w:rPr>
        <w:fldChar w:fldCharType="separate"/>
      </w:r>
      <w:r w:rsidR="00921CAF" w:rsidRPr="00921CAF">
        <w:rPr>
          <w:b/>
        </w:rPr>
        <w:t xml:space="preserve">Figure </w:t>
      </w:r>
      <w:r w:rsidR="00921CAF" w:rsidRPr="00921CAF">
        <w:rPr>
          <w:b/>
          <w:noProof/>
        </w:rPr>
        <w:t>5.17</w:t>
      </w:r>
      <w:r w:rsidR="0074700A">
        <w:rPr>
          <w:b/>
          <w:noProof/>
        </w:rPr>
        <w:fldChar w:fldCharType="end"/>
      </w:r>
      <w:r w:rsidRPr="008B3AD6">
        <w:t xml:space="preserve"> and </w:t>
      </w:r>
      <w:r w:rsidR="0074700A">
        <w:rPr>
          <w:b/>
        </w:rPr>
        <w:fldChar w:fldCharType="begin"/>
      </w:r>
      <w:r w:rsidR="0074700A">
        <w:rPr>
          <w:b/>
        </w:rPr>
        <w:instrText xml:space="preserve"> REF _Ref523071071  \* MERGEFORMAT </w:instrText>
      </w:r>
      <w:r w:rsidR="0074700A">
        <w:rPr>
          <w:b/>
        </w:rPr>
        <w:fldChar w:fldCharType="separate"/>
      </w:r>
      <w:r w:rsidR="00921CAF" w:rsidRPr="00921CAF">
        <w:rPr>
          <w:b/>
        </w:rPr>
        <w:t xml:space="preserve">Figure </w:t>
      </w:r>
      <w:r w:rsidR="00921CAF" w:rsidRPr="00921CAF">
        <w:rPr>
          <w:b/>
          <w:noProof/>
        </w:rPr>
        <w:t>5.18</w:t>
      </w:r>
      <w:r w:rsidR="0074700A">
        <w:rPr>
          <w:b/>
          <w:noProof/>
        </w:rPr>
        <w:fldChar w:fldCharType="end"/>
      </w:r>
      <w:r w:rsidR="00F85551">
        <w:t>). Accordingly, our</w:t>
      </w:r>
      <w:r w:rsidRPr="008B3AD6">
        <w:t xml:space="preserve"> secondary aim to utilise this new </w:t>
      </w:r>
      <w:r w:rsidR="00F85551">
        <w:t xml:space="preserve">simulation </w:t>
      </w:r>
      <w:r w:rsidRPr="008B3AD6">
        <w:t xml:space="preserve">model to identify and investigate the processes influencing drug accumulation within leukocytes and the subsequent effects </w:t>
      </w:r>
      <w:r w:rsidR="00F85551">
        <w:t>on</w:t>
      </w:r>
      <w:r w:rsidRPr="008B3AD6">
        <w:t xml:space="preserve"> parasite burden was not achieved. </w:t>
      </w:r>
      <w:r w:rsidR="000711E2" w:rsidRPr="008B3AD6">
        <w:t xml:space="preserve">The pharmacokinetic aspects of the proposed model </w:t>
      </w:r>
      <w:r w:rsidR="00712928" w:rsidRPr="008B3AD6">
        <w:t>were</w:t>
      </w:r>
      <w:r w:rsidR="000711E2" w:rsidRPr="008B3AD6">
        <w:t xml:space="preserve"> </w:t>
      </w:r>
      <w:r w:rsidR="00712928" w:rsidRPr="008B3AD6">
        <w:t xml:space="preserve">implemented as a </w:t>
      </w:r>
      <w:r w:rsidR="000711E2" w:rsidRPr="008B3AD6">
        <w:t xml:space="preserve">traditional two-compartment </w:t>
      </w:r>
      <w:r w:rsidR="00F85551" w:rsidRPr="008B3AD6">
        <w:t xml:space="preserve">pharmacokinetic </w:t>
      </w:r>
      <w:r w:rsidR="000711E2" w:rsidRPr="008B3AD6">
        <w:t>model</w:t>
      </w:r>
      <w:r w:rsidR="00712928" w:rsidRPr="008B3AD6">
        <w:t xml:space="preserve"> </w:t>
      </w:r>
      <w:r w:rsidR="00712928" w:rsidRPr="008B3AD6">
        <w:fldChar w:fldCharType="begin"/>
      </w:r>
      <w:r w:rsidR="007A6EED">
        <w:instrText xml:space="preserve"> ADDIN ZOTERO_ITEM CSL_CITATION {"citationID":"UwbckS8u","properties":{"formattedCitation":"(Upton 2004)","plainCitation":"(Upton 2004)","noteIndex":0},"citationItems":[{"id":3710,"uris":["http://zotero.org/users/2628971/items/LXW2G793"],"uri":["http://zotero.org/users/2628971/items/LXW2G793"],"itemData":{"id":3710,"type":"article-journal","title":"The two-compartment recirculatory pharmacokinetic model'an introduction to recirculatory pharmacokinetic concepts","container-title":"British Journal of Anaesthesia","page":"475-484","volume":"92","issue":"4","source":"ScienceDirect","abstract":"Background\nSome limitations of traditional (‘mamillary’) compartmental pharmacokinetic models of anaesthetic related drugs arise from representing the blood as a central compartment. Recirculatory pharmacokinetic models overcome these limitations. It is proposed that the simplest recirculatory model has only two compartments, and that understanding the properties of this model is a useful introduction to recirculatory pharmacokinetic concepts.\nMethods\nThe compartments of the model are the lungs and the remainder of the body. The traditional rate constants (e.g. k12 and k21) are replaced by terms that include cardiac output. Drug infusion is into the lung compartment, and drug clearance is from the ‘body’ compartment. The ‘total’ drug concentrations can be thought of as the sum of the first-pass and recirculated drug concentrations at any time. Equations for both first-pass and total drug concentrations in arterial and mixed venous blood are presented. The effects of cardiac output and injection time on these concentrations were analysed.\nResults\nThe first-pass arterial concentrations were shown to make a significant contribution to the total concentrations for high-clearance drugs and/or bolus drug administration. There was an inverse relationship between these first-pass concentrations and cardiac output, and a direct relationship with bolus injection rate. Thus, the total arterial concentrations are affected by these factors in these circumstances.\nConclusions\nThe two-compartment recirculatory model is the simplest tool available for elaborating recirculatory pharmacokinetic concepts. The recirculatory approach may provide a conceptual framework of drug disposition that better matches the clinical experience of anaesthetists.","DOI":"10.1093/bja/aeh089","ISSN":"0007-0912","journalAbbreviation":"British Journal of Anaesthesia","author":[{"family":"Upton","given":"R. N."}],"issued":{"date-parts":[["2004",4,1]]}}}],"schema":"https://github.com/citation-style-language/schema/raw/master/csl-citation.json"} </w:instrText>
      </w:r>
      <w:r w:rsidR="00712928" w:rsidRPr="008B3AD6">
        <w:fldChar w:fldCharType="separate"/>
      </w:r>
      <w:r w:rsidR="007A6EED" w:rsidRPr="007A6EED">
        <w:rPr>
          <w:lang w:val="en-US"/>
        </w:rPr>
        <w:t>(Upton 2004)</w:t>
      </w:r>
      <w:r w:rsidR="00712928" w:rsidRPr="008B3AD6">
        <w:fldChar w:fldCharType="end"/>
      </w:r>
      <w:r w:rsidR="000711E2" w:rsidRPr="008B3AD6">
        <w:t xml:space="preserve"> with distinct rep</w:t>
      </w:r>
      <w:r w:rsidR="00712928" w:rsidRPr="008B3AD6">
        <w:t>resentations of</w:t>
      </w:r>
      <w:r w:rsidR="000711E2" w:rsidRPr="008B3AD6">
        <w:t xml:space="preserve"> a ‘well-stirred’</w:t>
      </w:r>
      <w:r w:rsidR="00712928" w:rsidRPr="008B3AD6">
        <w:t xml:space="preserve"> li</w:t>
      </w:r>
      <w:r w:rsidR="000711E2" w:rsidRPr="008B3AD6">
        <w:t xml:space="preserve">ver compartment and an ‘other’ compartment, a theoretical representation of the rest of the body. </w:t>
      </w:r>
      <w:r w:rsidR="00712928" w:rsidRPr="008B3AD6">
        <w:t xml:space="preserve">The model representing the immune processes occurring due to </w:t>
      </w:r>
      <w:r w:rsidR="00712928" w:rsidRPr="008B3AD6">
        <w:rPr>
          <w:i/>
        </w:rPr>
        <w:t>L. donovani</w:t>
      </w:r>
      <w:r w:rsidR="00712928" w:rsidRPr="008B3AD6">
        <w:t xml:space="preserve"> infection was situated within this liver compartment. </w:t>
      </w:r>
      <w:r w:rsidR="00C35CE9" w:rsidRPr="008B3AD6">
        <w:t>This h</w:t>
      </w:r>
      <w:r w:rsidR="00465834" w:rsidRPr="008B3AD6">
        <w:t xml:space="preserve">ybridisation of pharmacokinetic and cellular modelling has been previously described for </w:t>
      </w:r>
      <w:r w:rsidR="00CF21C8" w:rsidRPr="008B3AD6">
        <w:t xml:space="preserve">intestinal inflammation </w:t>
      </w:r>
      <w:r w:rsidR="00CF21C8" w:rsidRPr="008B3AD6">
        <w:fldChar w:fldCharType="begin"/>
      </w:r>
      <w:r w:rsidR="007A6EED">
        <w:instrText xml:space="preserve"> ADDIN ZOTERO_ITEM CSL_CITATION {"citationID":"lktXPtCQ","properties":{"formattedCitation":"(Evans 2016)","plainCitation":"(Evans 2016)","noteIndex":0},"citationItems":[{"id":2612,"uris":["http://zotero.org/users/2628971/items/W55UH82A"],"uri":["http://zotero.org/users/2628971/items/W55UH82A"],"itemData":{"id":2612,"type":"thesis","title":"A Computational Approach to Studying the Processes Active During Helicobacter hepaticus-Induced Intestinal Inflammation","publisher":"University of York","genre":"phd","source":"etheses.whiterose.ac.uk","abstract":"Inflammatory bowel disease (IBD) is a chronic inflammatory condition of the gastro-intestinal tract that usually manifests as either ulcerative colitis or Crohn's disease. Helicobacter hepaticus (Hh)-induced colitis is a mouse model of intestinal inflammation whereby IL-10 knock out mice are infected with Hh, resulting in pathology similar to that seen in Crohn's disease. \n\nFollowing the Complex Systems Modelling and Simulation (CoSMoS) process, a principled approach to the engineering of simulations of complex systems, we have developed IBDSim, a computational model of the processes active in the intestinal tract during Hh-induced colitis. IBDSim is a hybrid agent-based model (ABM) that combines agent-based modelling with systems biology and quantitative systems pharmacology approaches, to capture both cell- and system-level behaviours. In combining these approaches, the Automated Simulation Parameter Alteration and SensItivity Analysis toolkit (ASPASIA) was developed to aid in the calibration and analysis of models written in Systems Biology Mark-up Language (SBML), where the addition of an intervention is required for key behaviours to emerge. SBML models generated using this toolkit could then be incorporated into IBDSim.","URL":"http://etheses.whiterose.ac.uk/16125/","author":[{"family":"Evans","given":"Stephanie"}],"issued":{"date-parts":[["2016",9]]},"accessed":{"date-parts":[["2018",6,19]]}}}],"schema":"https://github.com/citation-style-language/schema/raw/master/csl-citation.json"} </w:instrText>
      </w:r>
      <w:r w:rsidR="00CF21C8" w:rsidRPr="008B3AD6">
        <w:fldChar w:fldCharType="separate"/>
      </w:r>
      <w:r w:rsidR="007A6EED" w:rsidRPr="007A6EED">
        <w:rPr>
          <w:lang w:val="en-US"/>
        </w:rPr>
        <w:t>(Evans 2016)</w:t>
      </w:r>
      <w:r w:rsidR="00CF21C8" w:rsidRPr="008B3AD6">
        <w:fldChar w:fldCharType="end"/>
      </w:r>
      <w:r w:rsidR="00CF21C8" w:rsidRPr="008B3AD6">
        <w:t xml:space="preserve"> and cancer therapeutics </w:t>
      </w:r>
      <w:r w:rsidR="00CF21C8" w:rsidRPr="008B3AD6">
        <w:fldChar w:fldCharType="begin"/>
      </w:r>
      <w:r w:rsidR="007A6EED">
        <w:instrText xml:space="preserve"> ADDIN ZOTERO_ITEM CSL_CITATION {"citationID":"g4W58jyn","properties":{"formattedCitation":"(Kim, Gillies, and Rejniak 2013; Ciccolini et al. 2017)","plainCitation":"(Kim, Gillies, and Rejniak 2013; Ciccolini et al. 2017)","noteIndex":0},"citationItems":[{"id":3713,"uris":["http://zotero.org/users/2628971/items/HWP4DPTH"],"uri":["http://zotero.org/users/2628971/items/HWP4DPTH"],"itemData":{"id":3713,"type":"article-journal","title":"Current Advances in Mathematical Modeling of Anti-Cancer Drug Penetration into Tumor Tissues","container-title":"Frontiers in Oncology","volume":"3","source":"PubMed Central","abstract":"Delivery of anti-cancer drugs to tumor tissues, including their interstitial transport and cellular uptake, is a complex process involving various biochemical, mechanical, and biophysical factors. Mathematical modeling provides a means through which to understand this complexity better, as well as to examine interactions between contributing components in a systematic way via computational simulations and quantitative analyses. In this review, we present the current state of mathematical modeling approaches that address phenomena related to drug delivery. We describe how various types of models were used to predict spatio-temporal distributions of drugs within the tumor tissue, to simulate different ways to overcome barriers to drug transport, or to optimize treatment schedules. Finally, we discuss how integration of mathematical modeling with experimental or clinical data can provide better tools to understand the drug delivery process, in particular to examine the specific tissue- or compound-related factors that limit drug penetration through tumors. Such tools will be important in designing new chemotherapy targets and optimal treatment strategies, as well as in developing non-invasive diagnosis to monitor treatment response and detect tumor recurrence.","URL":"https://www.ncbi.nlm.nih.gov/pmc/articles/PMC3831268/","DOI":"10.3389/fonc.2013.00278","ISSN":"2234-943X","note":"PMID: 24303366\nPMCID: PMC3831268","journalAbbreviation":"Front Oncol","author":[{"family":"Kim","given":"MunJu"},{"family":"Gillies","given":"Robert J."},{"family":"Rejniak","given":"Katarzyna A."}],"issued":{"date-parts":[["2013",11,18]]},"accessed":{"date-parts":[["2018",9,1]]}}},{"id":3716,"uris":["http://zotero.org/users/2628971/items/KYB5QN4P"],"uri":["http://zotero.org/users/2628971/items/KYB5QN4P"],"itemData":{"id":3716,"type":"article-journal","title":"Pharmacokinetics and Pharmacodynamics-Based Mathematical Modeling Identifies an Optimal Protocol for Metronomic Chemotherapy","container-title":"Cancer Research","page":"4723-4733","volume":"77","issue":"17","source":"cancerres.aacrjournals.org","abstract":"Metronomic chemotherapy is usually associated with better tolerance than conventional chemotherapy, and encouraging response rates have been reported in various settings. However, clinical development of metronomic chemotherapy has been hampered by a number of limitations, including the vagueness of its definition and the resulting empiricism in protocol design. In this study, we developed a pharmacokinetic/pharmacodynamic mathematical model that identifies in silico the most effective administration schedule for gemcitabine monotherapy. This model is based upon four biological assumptions regarding the mechanisms of action of metronomic chemotherapy, resulting in a set of 6 minimally parameterized differential equations. Simulations identified daily 0.5–1 mg/kg gemcitabine as an optimal protocol to maximize antitumor efficacy. Both metronomic protocols (0.5 and 1 mg/kg/day for 28 days) were evaluated in chemoresistant neuroblastoma-bearing mice and compared with the standard MTD protocol (100 mg/kg once a week for 4 weeks). Systemic exposure to gemcitabine was 14 times lower in the metronomic groups compared with the standard group. Despite this, metronomic gemcitabine significantly inhibited tumor angiogenesis and reduced tumor perfusion and inflammation in vivo, while standard gemcitabine did not. Furthermore, metronomic gemcitabine yielded a 40%–50% decrease in tumor mass at the end of treatment as compared with control mice (P = 0.002; ANOVA on ranks with Dunn test), while standard gemcitabine failed to significantly reduce tumor growth. Stable disease was maintained in the metronomic groups for up to 2 months after treatment completion (67%–72% reduction in tumor growth at study conclusion, P &lt; 0.001; ANOVA on ranks with Dunn test). Collectively, our results confirmed the superiority of metronomic protocols in chemoresistant tumors in vivo. Cancer Res; 77(17); 4723–33. ©2017 AACR.","DOI":"10.1158/0008-5472.CAN-16-3130","ISSN":"0008-5472, 1538-7445","note":"PMID: 28655786","journalAbbreviation":"Cancer Res","language":"en","author":[{"family":"Ciccolini","given":"Joseph"},{"family":"Barbolosi","given":"Dominique"},{"family":"Meille","given":"Christophe"},{"family":"Lombard","given":"Aurélie"},{"family":"Serdjebi","given":"Cindy"},{"family":"Giacometti","given":"Sarah"},{"family":"Padovani","given":"Laetitia"},{"family":"Pasquier","given":"Eddy"},{"family":"André","given":"Nicolas"}],"issued":{"date-parts":[["2017",9,1]]}}}],"schema":"https://github.com/citation-style-language/schema/raw/master/csl-citation.json"} </w:instrText>
      </w:r>
      <w:r w:rsidR="00CF21C8" w:rsidRPr="008B3AD6">
        <w:fldChar w:fldCharType="separate"/>
      </w:r>
      <w:r w:rsidR="007A6EED" w:rsidRPr="007A6EED">
        <w:rPr>
          <w:lang w:val="en-US"/>
        </w:rPr>
        <w:t>(Kim, Gillies, and Rejniak 2013; Ciccolini et al. 2017)</w:t>
      </w:r>
      <w:r w:rsidR="00CF21C8" w:rsidRPr="008B3AD6">
        <w:fldChar w:fldCharType="end"/>
      </w:r>
      <w:r w:rsidR="00CF21C8" w:rsidRPr="008B3AD6">
        <w:t xml:space="preserve">. </w:t>
      </w:r>
      <w:r w:rsidR="00985429" w:rsidRPr="008B3AD6">
        <w:t xml:space="preserve">For our system </w:t>
      </w:r>
      <w:r w:rsidR="0074700A">
        <w:rPr>
          <w:b/>
        </w:rPr>
        <w:fldChar w:fldCharType="begin"/>
      </w:r>
      <w:r w:rsidR="0074700A">
        <w:rPr>
          <w:b/>
        </w:rPr>
        <w:instrText xml:space="preserve"> REF _Ref523067540  \* MERGEFORMAT </w:instrText>
      </w:r>
      <w:r w:rsidR="0074700A">
        <w:rPr>
          <w:b/>
        </w:rPr>
        <w:fldChar w:fldCharType="separate"/>
      </w:r>
      <w:r w:rsidR="00921CAF" w:rsidRPr="00921CAF">
        <w:rPr>
          <w:b/>
        </w:rPr>
        <w:t xml:space="preserve">Figure </w:t>
      </w:r>
      <w:r w:rsidR="00921CAF" w:rsidRPr="00921CAF">
        <w:rPr>
          <w:b/>
          <w:noProof/>
        </w:rPr>
        <w:t>5.17</w:t>
      </w:r>
      <w:r w:rsidR="0074700A">
        <w:rPr>
          <w:b/>
          <w:noProof/>
        </w:rPr>
        <w:fldChar w:fldCharType="end"/>
      </w:r>
      <w:r w:rsidR="00985429" w:rsidRPr="008B3AD6">
        <w:t xml:space="preserve"> initially indicates a scaling issue may be present, the RMSEs achieved for modelling liver concentrations against those for T and myeloid cells would appear to indicate that comparatively we have achieved better fits for these cellular entities, when in reality we did not. Normalisation of model output to biological data should be implemented to remedy this representation issue. However, this does not account for the inability to derive parameter sets which recapitulate our biological data, to address this we can compartmentalise the stages of our calibration. For example, developing a pharmacokinetic model which simulates total liver concentrations and using information gleaned from this as prior information for calibration at a cellular level. </w:t>
      </w:r>
    </w:p>
    <w:p w14:paraId="272B748C" w14:textId="4922DC13" w:rsidR="009D77B7" w:rsidRDefault="009D77B7" w:rsidP="00CC788B">
      <w:pPr>
        <w:pStyle w:val="NormalWeb"/>
        <w:shd w:val="clear" w:color="auto" w:fill="FFFFFF"/>
        <w:spacing w:before="0" w:beforeAutospacing="0" w:after="0" w:afterAutospacing="0" w:line="360" w:lineRule="auto"/>
        <w:jc w:val="both"/>
      </w:pPr>
    </w:p>
    <w:p w14:paraId="3BCFFEE1" w14:textId="77777777" w:rsidR="009D77B7" w:rsidRPr="008B3AD6" w:rsidRDefault="009D77B7" w:rsidP="009D77B7">
      <w:pPr>
        <w:spacing w:line="360" w:lineRule="auto"/>
        <w:jc w:val="both"/>
      </w:pPr>
      <w:r>
        <w:t>Additionally, w</w:t>
      </w:r>
      <w:r w:rsidRPr="00BC2EB3">
        <w:t>hen considering the expression used to define the amount of anti-leishmanial compound (A = (M</w:t>
      </w:r>
      <w:r w:rsidRPr="00A55185">
        <w:rPr>
          <w:vertAlign w:val="subscript"/>
        </w:rPr>
        <w:t>s</w:t>
      </w:r>
      <w:r w:rsidRPr="00BC2EB3">
        <w:t xml:space="preserve"> + M</w:t>
      </w:r>
      <w:r w:rsidRPr="00A55185">
        <w:rPr>
          <w:vertAlign w:val="subscript"/>
        </w:rPr>
        <w:t>i</w:t>
      </w:r>
      <w:r w:rsidRPr="00BC2EB3">
        <w:t xml:space="preserve"> + T)/</w:t>
      </w:r>
      <w:r>
        <w:sym w:font="Symbol" w:char="F020"/>
      </w:r>
      <w:r>
        <w:sym w:font="Symbol" w:char="F074"/>
      </w:r>
      <w:r w:rsidRPr="00BC2EB3">
        <w:t>) we can identify a discourse between the biological system and the mathematical implementation. Tau</w:t>
      </w:r>
      <w:r>
        <w:t xml:space="preserve"> (</w:t>
      </w:r>
      <w:r>
        <w:sym w:font="Symbol" w:char="F074"/>
      </w:r>
      <w:r>
        <w:t>)</w:t>
      </w:r>
      <w:r w:rsidRPr="00BC2EB3">
        <w:t xml:space="preserve"> in this instance represents the temporal delay inherent in the complex signalling events involved in the pro-inflammatory response. However, when implemented in the mathematical model its implicit effect is </w:t>
      </w:r>
      <w:r>
        <w:t>to</w:t>
      </w:r>
      <w:r w:rsidRPr="00BC2EB3">
        <w:t xml:space="preserve"> modulate the amount of anti-leishmanial compound. This</w:t>
      </w:r>
      <w:r>
        <w:t xml:space="preserve"> modulation may not be essential for the functioning of this model whereby in the absence of tau the parameter for the amount of anti-leishmanial compound required to kill 50% of the population, A</w:t>
      </w:r>
      <w:r>
        <w:rPr>
          <w:vertAlign w:val="subscript"/>
        </w:rPr>
        <w:t>50</w:t>
      </w:r>
      <w:r>
        <w:t xml:space="preserve">, would instead be likely increased to compensate for the removal of this parameter. In this case the relevant </w:t>
      </w:r>
      <w:r>
        <w:lastRenderedPageBreak/>
        <w:t>biological function would still be represented, with the presence of T cells and susceptible and infected Myeloid cells used as proxy for the amount of anti-leishmanial compounds, and an additional benefit of reducing unnecessary parameters and thus the parameter search space would be achieved. The removal of tau should be undertaken in further iterations of the CoSMoS process to assess any benefit to parameter calibration and model output.</w:t>
      </w:r>
    </w:p>
    <w:p w14:paraId="09D141A5" w14:textId="77777777" w:rsidR="009D77B7" w:rsidRDefault="009D77B7" w:rsidP="00CC788B">
      <w:pPr>
        <w:pStyle w:val="NormalWeb"/>
        <w:shd w:val="clear" w:color="auto" w:fill="FFFFFF"/>
        <w:spacing w:before="0" w:beforeAutospacing="0" w:after="0" w:afterAutospacing="0" w:line="360" w:lineRule="auto"/>
        <w:jc w:val="both"/>
      </w:pPr>
    </w:p>
    <w:p w14:paraId="4A98EE81" w14:textId="2D336160" w:rsidR="00F85551" w:rsidRDefault="007E704E" w:rsidP="00CC788B">
      <w:pPr>
        <w:pStyle w:val="NormalWeb"/>
        <w:shd w:val="clear" w:color="auto" w:fill="FFFFFF"/>
        <w:spacing w:before="0" w:beforeAutospacing="0" w:after="0" w:afterAutospacing="0" w:line="360" w:lineRule="auto"/>
        <w:jc w:val="both"/>
      </w:pPr>
      <w:r>
        <w:t xml:space="preserve">We are confident in our utilisation of the </w:t>
      </w:r>
      <w:r w:rsidR="00985429" w:rsidRPr="008B3AD6">
        <w:t xml:space="preserve">CoSMoS process </w:t>
      </w:r>
      <w:r>
        <w:t>and as a</w:t>
      </w:r>
      <w:r w:rsidR="00985429" w:rsidRPr="008B3AD6">
        <w:t xml:space="preserve">n iterative process we can run further iterations to identify areas in either our domain, platform or simulation models of low confidence which can be further investigated. </w:t>
      </w:r>
    </w:p>
    <w:p w14:paraId="4613FA7B" w14:textId="77777777" w:rsidR="00F85551" w:rsidRDefault="00F85551" w:rsidP="00CC788B">
      <w:pPr>
        <w:pStyle w:val="NormalWeb"/>
        <w:shd w:val="clear" w:color="auto" w:fill="FFFFFF"/>
        <w:spacing w:before="0" w:beforeAutospacing="0" w:after="0" w:afterAutospacing="0" w:line="360" w:lineRule="auto"/>
        <w:jc w:val="both"/>
      </w:pPr>
    </w:p>
    <w:p w14:paraId="73F62B93" w14:textId="1494658A" w:rsidR="002F6D94" w:rsidRPr="008B3AD6" w:rsidRDefault="00F85551" w:rsidP="00CC788B">
      <w:pPr>
        <w:pStyle w:val="NormalWeb"/>
        <w:shd w:val="clear" w:color="auto" w:fill="FFFFFF"/>
        <w:spacing w:before="0" w:beforeAutospacing="0" w:after="0" w:afterAutospacing="0" w:line="360" w:lineRule="auto"/>
        <w:jc w:val="both"/>
      </w:pPr>
      <w:r>
        <w:t>Through this mo</w:t>
      </w:r>
      <w:r w:rsidR="007E704E">
        <w:t xml:space="preserve">del development we have however developed a simulation model based on available published data, through the development and calibration of this model we have been able to question the domain and noted a knowledge gap. For example, we have noted there is little data regarding the immunomodulatory effects of AmB, a crucial area for our biological understanding of the effects of AmB but also for our ability to build a model capable of simulating the system at hand. </w:t>
      </w:r>
      <w:r>
        <w:t>T</w:t>
      </w:r>
      <w:r w:rsidR="00985429" w:rsidRPr="008B3AD6">
        <w:t xml:space="preserve">he proposed </w:t>
      </w:r>
      <w:r>
        <w:t xml:space="preserve">simulation </w:t>
      </w:r>
      <w:r w:rsidR="00985429" w:rsidRPr="008B3AD6">
        <w:t>model is a useful starting point for the integration of pharmacologic</w:t>
      </w:r>
      <w:r w:rsidR="007E704E">
        <w:t xml:space="preserve">al and immunological processes and through its development we have generated questions that need to be answered within the scientific community. </w:t>
      </w:r>
    </w:p>
    <w:p w14:paraId="33A91321" w14:textId="77777777" w:rsidR="002F49F0" w:rsidRPr="008B3AD6" w:rsidRDefault="002F49F0" w:rsidP="00CC788B">
      <w:pPr>
        <w:pStyle w:val="NormalWeb"/>
        <w:shd w:val="clear" w:color="auto" w:fill="FFFFFF"/>
        <w:spacing w:before="0" w:beforeAutospacing="0" w:after="0" w:afterAutospacing="0" w:line="360" w:lineRule="auto"/>
        <w:jc w:val="both"/>
      </w:pPr>
    </w:p>
    <w:p w14:paraId="34385B99" w14:textId="711EDA9D" w:rsidR="001F7625" w:rsidRPr="008B3AD6" w:rsidRDefault="001F7625" w:rsidP="00CC788B">
      <w:pPr>
        <w:pStyle w:val="NormalWeb"/>
        <w:shd w:val="clear" w:color="auto" w:fill="FFFFFF"/>
        <w:spacing w:before="0" w:beforeAutospacing="0" w:after="0" w:afterAutospacing="0" w:line="360" w:lineRule="auto"/>
        <w:jc w:val="both"/>
      </w:pPr>
    </w:p>
    <w:p w14:paraId="47B5B7AA" w14:textId="77777777" w:rsidR="001F7625" w:rsidRPr="008B3AD6" w:rsidRDefault="001F7625" w:rsidP="00CC788B">
      <w:pPr>
        <w:pStyle w:val="NormalWeb"/>
        <w:shd w:val="clear" w:color="auto" w:fill="FFFFFF"/>
        <w:spacing w:before="0" w:beforeAutospacing="0" w:after="0" w:afterAutospacing="0" w:line="360" w:lineRule="auto"/>
        <w:jc w:val="both"/>
      </w:pPr>
    </w:p>
    <w:p w14:paraId="17671093" w14:textId="67F3894D" w:rsidR="004B7DE2" w:rsidRPr="008B3AD6" w:rsidRDefault="004B7DE2" w:rsidP="00CC788B">
      <w:pPr>
        <w:pStyle w:val="NormalWeb"/>
        <w:shd w:val="clear" w:color="auto" w:fill="FFFFFF"/>
        <w:spacing w:before="0" w:beforeAutospacing="0" w:after="0" w:afterAutospacing="0" w:line="360" w:lineRule="auto"/>
        <w:jc w:val="both"/>
      </w:pPr>
    </w:p>
    <w:p w14:paraId="04E74E21" w14:textId="77777777" w:rsidR="004B7DE2" w:rsidRPr="008B3AD6" w:rsidRDefault="004B7DE2" w:rsidP="00CC788B">
      <w:pPr>
        <w:pStyle w:val="NormalWeb"/>
        <w:shd w:val="clear" w:color="auto" w:fill="FFFFFF"/>
        <w:spacing w:before="0" w:beforeAutospacing="0" w:after="0" w:afterAutospacing="0" w:line="360" w:lineRule="auto"/>
        <w:jc w:val="both"/>
      </w:pPr>
    </w:p>
    <w:p w14:paraId="0C4787EE" w14:textId="77777777" w:rsidR="00653884" w:rsidRPr="008B3AD6" w:rsidRDefault="00653884" w:rsidP="00CC788B">
      <w:pPr>
        <w:pStyle w:val="NormalWeb"/>
        <w:shd w:val="clear" w:color="auto" w:fill="FFFFFF"/>
        <w:spacing w:before="0" w:beforeAutospacing="0" w:after="0" w:afterAutospacing="0" w:line="360" w:lineRule="auto"/>
        <w:jc w:val="both"/>
      </w:pPr>
    </w:p>
    <w:p w14:paraId="3F3E50B8" w14:textId="1371B55E" w:rsidR="00CA09C5" w:rsidRPr="008B3AD6" w:rsidRDefault="006C0A41" w:rsidP="00CC788B">
      <w:pPr>
        <w:pStyle w:val="NormalWeb"/>
        <w:shd w:val="clear" w:color="auto" w:fill="FFFFFF"/>
        <w:spacing w:before="0" w:beforeAutospacing="0" w:after="0" w:afterAutospacing="0" w:line="360" w:lineRule="auto"/>
        <w:jc w:val="both"/>
      </w:pPr>
      <w:r w:rsidRPr="008B3AD6">
        <w:t xml:space="preserve">    </w:t>
      </w:r>
      <w:r w:rsidR="00CC788B" w:rsidRPr="008B3AD6">
        <w:t xml:space="preserve">  </w:t>
      </w:r>
      <w:r w:rsidR="003D5A0A" w:rsidRPr="008B3AD6">
        <w:br w:type="page"/>
      </w:r>
    </w:p>
    <w:p w14:paraId="521157E4" w14:textId="1DB0C921" w:rsidR="00E96C8F" w:rsidRPr="008B3AD6" w:rsidRDefault="000A237B" w:rsidP="00713C98">
      <w:pPr>
        <w:pStyle w:val="Heading1"/>
      </w:pPr>
      <w:bookmarkStart w:id="673" w:name="_Toc3716119"/>
      <w:r w:rsidRPr="008B3AD6">
        <w:lastRenderedPageBreak/>
        <w:t xml:space="preserve">| </w:t>
      </w:r>
      <w:r w:rsidR="00A17164" w:rsidRPr="008B3AD6">
        <w:t xml:space="preserve">Concluding </w:t>
      </w:r>
      <w:r w:rsidR="00E96C8F" w:rsidRPr="008B3AD6">
        <w:t>Discussion</w:t>
      </w:r>
      <w:bookmarkEnd w:id="673"/>
    </w:p>
    <w:p w14:paraId="7C537EB0" w14:textId="12C2125E" w:rsidR="00193B35" w:rsidRPr="008B3AD6" w:rsidRDefault="00193B35" w:rsidP="001E4087">
      <w:pPr>
        <w:spacing w:line="360" w:lineRule="auto"/>
        <w:jc w:val="both"/>
      </w:pPr>
      <w:r w:rsidRPr="008B3AD6">
        <w:t xml:space="preserve">In this thesis we aimed to use </w:t>
      </w:r>
      <w:r w:rsidRPr="008B3AD6">
        <w:rPr>
          <w:i/>
        </w:rPr>
        <w:t>L. donovani</w:t>
      </w:r>
      <w:r w:rsidRPr="008B3AD6">
        <w:t xml:space="preserve"> infected C57BL/6 mice treated with Liposomal Amphotericin B</w:t>
      </w:r>
      <w:r w:rsidR="0047740A" w:rsidRPr="008B3AD6">
        <w:t xml:space="preserve"> (</w:t>
      </w:r>
      <w:r w:rsidR="008C16B5">
        <w:t xml:space="preserve">as </w:t>
      </w:r>
      <w:r w:rsidR="0047740A" w:rsidRPr="008B3AD6">
        <w:t>AmBisome)</w:t>
      </w:r>
      <w:r w:rsidRPr="008B3AD6">
        <w:t xml:space="preserve"> to answer the questions:</w:t>
      </w:r>
    </w:p>
    <w:p w14:paraId="2A301834" w14:textId="77777777" w:rsidR="00193B35" w:rsidRPr="008B3AD6" w:rsidRDefault="00193B35" w:rsidP="001E4087">
      <w:pPr>
        <w:spacing w:line="360" w:lineRule="auto"/>
        <w:jc w:val="both"/>
      </w:pPr>
    </w:p>
    <w:p w14:paraId="121D5CE2" w14:textId="7B7F1E4F" w:rsidR="00193B35" w:rsidRPr="008B3AD6" w:rsidRDefault="00193B35" w:rsidP="007E704E">
      <w:pPr>
        <w:pStyle w:val="ListParagraph"/>
        <w:numPr>
          <w:ilvl w:val="0"/>
          <w:numId w:val="37"/>
        </w:numPr>
        <w:spacing w:line="360" w:lineRule="auto"/>
        <w:jc w:val="both"/>
      </w:pPr>
      <w:r w:rsidRPr="008B3AD6">
        <w:t xml:space="preserve">What is the sub-tissue level distribution of </w:t>
      </w:r>
      <w:r w:rsidR="00A32111">
        <w:t>AmB</w:t>
      </w:r>
      <w:r w:rsidRPr="008B3AD6">
        <w:t xml:space="preserve"> in the liver post-treatment during EVL?</w:t>
      </w:r>
    </w:p>
    <w:p w14:paraId="0B81035A" w14:textId="77777777" w:rsidR="00193B35" w:rsidRPr="008B3AD6" w:rsidRDefault="00193B35" w:rsidP="007E704E">
      <w:pPr>
        <w:pStyle w:val="ListParagraph"/>
        <w:numPr>
          <w:ilvl w:val="0"/>
          <w:numId w:val="37"/>
        </w:numPr>
        <w:spacing w:line="360" w:lineRule="auto"/>
        <w:jc w:val="both"/>
      </w:pPr>
      <w:r w:rsidRPr="008B3AD6">
        <w:t>Which processes involving immune system entities, i.e. migration, influence drug accumulation during EVL?</w:t>
      </w:r>
    </w:p>
    <w:p w14:paraId="6F6A3E7A" w14:textId="77777777" w:rsidR="00193B35" w:rsidRPr="008B3AD6" w:rsidRDefault="00193B35" w:rsidP="001E4087">
      <w:pPr>
        <w:spacing w:line="360" w:lineRule="auto"/>
        <w:jc w:val="both"/>
      </w:pPr>
    </w:p>
    <w:p w14:paraId="59EBC3A8" w14:textId="77777777" w:rsidR="00193B35" w:rsidRPr="008B3AD6" w:rsidRDefault="00193B35" w:rsidP="001E4087">
      <w:pPr>
        <w:spacing w:line="360" w:lineRule="auto"/>
        <w:jc w:val="both"/>
      </w:pPr>
      <w:r w:rsidRPr="008B3AD6">
        <w:t xml:space="preserve">In this discussion we reflect upon how to work carried out addressed these questions alongside the contributes to the field of antileishmanial therapeutics and further work that could be carried out. This is finalised with an update to the current understanding of how granulomatous inflammation affects drug distribution during experimental visceral leishmaniasis. </w:t>
      </w:r>
    </w:p>
    <w:p w14:paraId="44BDEF41" w14:textId="77777777" w:rsidR="00193B35" w:rsidRPr="008B3AD6" w:rsidRDefault="00193B35" w:rsidP="001E4087">
      <w:pPr>
        <w:spacing w:line="360" w:lineRule="auto"/>
        <w:jc w:val="both"/>
      </w:pPr>
    </w:p>
    <w:p w14:paraId="459067AE" w14:textId="77777777" w:rsidR="00193B35" w:rsidRPr="008B3AD6" w:rsidRDefault="00193B35" w:rsidP="001E4087">
      <w:pPr>
        <w:pStyle w:val="Heading2"/>
        <w:jc w:val="both"/>
      </w:pPr>
      <w:bookmarkStart w:id="674" w:name="_Toc3716120"/>
      <w:r w:rsidRPr="008B3AD6">
        <w:t>The Sub-Tissue Level Distribution of Amphotericin B in the Liver Post-Treatment During EVL</w:t>
      </w:r>
      <w:bookmarkEnd w:id="674"/>
    </w:p>
    <w:p w14:paraId="4FE65A99" w14:textId="5ED0127E" w:rsidR="00193B35" w:rsidRPr="008B3AD6" w:rsidRDefault="00193B35" w:rsidP="001E4087">
      <w:pPr>
        <w:spacing w:line="360" w:lineRule="auto"/>
        <w:jc w:val="both"/>
      </w:pPr>
      <w:r w:rsidRPr="008B3AD6">
        <w:t xml:space="preserve">To investigate the sub-tissue level distribution of </w:t>
      </w:r>
      <w:r w:rsidR="00A32111">
        <w:t>AmB</w:t>
      </w:r>
      <w:r w:rsidRPr="008B3AD6">
        <w:t xml:space="preserve"> in the liver we developed and optimised, in collaboration with the University of York Proteomics lab, a liquid chromatography tandem mass spectroscopy (LC-MS/MS) protocol for the detection of </w:t>
      </w:r>
      <w:r w:rsidR="00A32111">
        <w:t>AmB</w:t>
      </w:r>
      <w:r w:rsidRPr="008B3AD6">
        <w:t xml:space="preserve"> in tissue and cell samples (</w:t>
      </w:r>
      <w:r w:rsidR="0047740A" w:rsidRPr="008B3AD6">
        <w:rPr>
          <w:b/>
        </w:rPr>
        <w:fldChar w:fldCharType="begin"/>
      </w:r>
      <w:r w:rsidR="0047740A" w:rsidRPr="008B3AD6">
        <w:instrText xml:space="preserve"> REF _Ref518738258 \r \h </w:instrText>
      </w:r>
      <w:r w:rsidR="001E4087" w:rsidRPr="008B3AD6">
        <w:rPr>
          <w:b/>
        </w:rPr>
        <w:instrText xml:space="preserve"> \* MERGEFORMAT </w:instrText>
      </w:r>
      <w:r w:rsidR="0047740A" w:rsidRPr="008B3AD6">
        <w:rPr>
          <w:b/>
        </w:rPr>
      </w:r>
      <w:r w:rsidR="0047740A" w:rsidRPr="008B3AD6">
        <w:rPr>
          <w:b/>
        </w:rPr>
        <w:fldChar w:fldCharType="separate"/>
      </w:r>
      <w:r w:rsidR="00031DCA">
        <w:t>Chapter 3</w:t>
      </w:r>
      <w:r w:rsidR="0047740A" w:rsidRPr="008B3AD6">
        <w:rPr>
          <w:b/>
        </w:rPr>
        <w:fldChar w:fldCharType="end"/>
      </w:r>
      <w:r w:rsidRPr="008B3AD6">
        <w:t xml:space="preserve">). This allowed us to quantify drug accumulation post-treatment in distinct leukocyte subsets involved in the formation and development of </w:t>
      </w:r>
      <w:r w:rsidRPr="0018136B">
        <w:t>granulomas</w:t>
      </w:r>
      <w:r w:rsidR="0018136B" w:rsidRPr="0018136B">
        <w:t xml:space="preserve"> (</w:t>
      </w:r>
      <w:r w:rsidR="0018136B" w:rsidRPr="0018136B">
        <w:fldChar w:fldCharType="begin"/>
      </w:r>
      <w:r w:rsidR="0018136B" w:rsidRPr="0018136B">
        <w:instrText xml:space="preserve"> REF _Ref518932222 </w:instrText>
      </w:r>
      <w:r w:rsidR="0018136B">
        <w:instrText xml:space="preserve"> \* MERGEFORMAT </w:instrText>
      </w:r>
      <w:r w:rsidR="0018136B" w:rsidRPr="0018136B">
        <w:fldChar w:fldCharType="separate"/>
      </w:r>
      <w:r w:rsidR="00921CAF" w:rsidRPr="00921CAF">
        <w:rPr>
          <w:b/>
        </w:rPr>
        <w:t xml:space="preserve">Figure </w:t>
      </w:r>
      <w:r w:rsidR="00921CAF" w:rsidRPr="00921CAF">
        <w:rPr>
          <w:b/>
          <w:noProof/>
        </w:rPr>
        <w:t>3.10</w:t>
      </w:r>
      <w:r w:rsidR="0018136B" w:rsidRPr="0018136B">
        <w:fldChar w:fldCharType="end"/>
      </w:r>
      <w:r w:rsidR="00921CAF">
        <w:t xml:space="preserve">, </w:t>
      </w:r>
      <w:r w:rsidR="0018136B" w:rsidRPr="0018136B">
        <w:fldChar w:fldCharType="begin"/>
      </w:r>
      <w:r w:rsidR="0018136B" w:rsidRPr="0018136B">
        <w:instrText xml:space="preserve"> REF _Ref518932550 </w:instrText>
      </w:r>
      <w:r w:rsidR="0018136B">
        <w:instrText xml:space="preserve"> \* MERGEFORMAT </w:instrText>
      </w:r>
      <w:r w:rsidR="0018136B" w:rsidRPr="0018136B">
        <w:fldChar w:fldCharType="separate"/>
      </w:r>
      <w:r w:rsidR="00921CAF" w:rsidRPr="00921CAF">
        <w:rPr>
          <w:b/>
        </w:rPr>
        <w:t>Figure</w:t>
      </w:r>
      <w:r w:rsidR="00921CAF" w:rsidRPr="00921CAF">
        <w:t xml:space="preserve"> </w:t>
      </w:r>
      <w:r w:rsidR="00921CAF" w:rsidRPr="00921CAF">
        <w:rPr>
          <w:b/>
          <w:noProof/>
        </w:rPr>
        <w:t>3.12</w:t>
      </w:r>
      <w:r w:rsidR="0018136B" w:rsidRPr="0018136B">
        <w:fldChar w:fldCharType="end"/>
      </w:r>
      <w:r w:rsidR="00921CAF">
        <w:t xml:space="preserve"> and </w:t>
      </w:r>
      <w:r w:rsidR="00BD7F86">
        <w:rPr>
          <w:b/>
        </w:rPr>
        <w:fldChar w:fldCharType="begin"/>
      </w:r>
      <w:r w:rsidR="00BD7F86">
        <w:rPr>
          <w:b/>
        </w:rPr>
        <w:instrText xml:space="preserve"> REF _Ref518932911  \* MERGEFORMAT </w:instrText>
      </w:r>
      <w:r w:rsidR="00BD7F86">
        <w:rPr>
          <w:b/>
        </w:rPr>
        <w:fldChar w:fldCharType="separate"/>
      </w:r>
      <w:r w:rsidR="00921CAF" w:rsidRPr="00921CAF">
        <w:rPr>
          <w:b/>
        </w:rPr>
        <w:t>Figure</w:t>
      </w:r>
      <w:r w:rsidR="00921CAF" w:rsidRPr="00921CAF">
        <w:t xml:space="preserve"> </w:t>
      </w:r>
      <w:r w:rsidR="00921CAF" w:rsidRPr="00921CAF">
        <w:rPr>
          <w:b/>
        </w:rPr>
        <w:t>3.14</w:t>
      </w:r>
      <w:r w:rsidR="00BD7F86">
        <w:rPr>
          <w:b/>
        </w:rPr>
        <w:fldChar w:fldCharType="end"/>
      </w:r>
      <w:r w:rsidR="0018136B" w:rsidRPr="0018136B">
        <w:t>)</w:t>
      </w:r>
      <w:r w:rsidRPr="0018136B">
        <w:t>,</w:t>
      </w:r>
      <w:r w:rsidRPr="008B3AD6">
        <w:t xml:space="preserve"> a benefit of this process was the ability to simultaneously analyse multiscale samples of the same biological origin (i.e. total liver accumulation, total leukocyte accumulation and leukocyte subset accumulation) allowing for more robust intra-sample comparisons. </w:t>
      </w:r>
    </w:p>
    <w:p w14:paraId="532E77FF" w14:textId="77777777" w:rsidR="00193B35" w:rsidRPr="008B3AD6" w:rsidRDefault="00193B35" w:rsidP="001E4087">
      <w:pPr>
        <w:spacing w:line="360" w:lineRule="auto"/>
        <w:jc w:val="both"/>
      </w:pPr>
    </w:p>
    <w:p w14:paraId="38BE585D" w14:textId="67F3126D" w:rsidR="00193B35" w:rsidRPr="008B3AD6" w:rsidRDefault="00193B35" w:rsidP="001E4087">
      <w:pPr>
        <w:spacing w:line="360" w:lineRule="auto"/>
        <w:jc w:val="both"/>
      </w:pPr>
      <w:r w:rsidRPr="008B3AD6">
        <w:t xml:space="preserve">Typically, pharmacokinetic studies </w:t>
      </w:r>
      <w:r w:rsidR="0047740A" w:rsidRPr="008B3AD6">
        <w:t>utilising</w:t>
      </w:r>
      <w:r w:rsidRPr="008B3AD6">
        <w:t xml:space="preserve"> anti-leishmanials </w:t>
      </w:r>
      <w:r w:rsidR="0047740A" w:rsidRPr="008B3AD6">
        <w:t xml:space="preserve">effective </w:t>
      </w:r>
      <w:r w:rsidRPr="008B3AD6">
        <w:t>against visceral leishmaniasis infections have focused on whole tissue level distribution of drugs post-administration employing n</w:t>
      </w:r>
      <w:r w:rsidR="001E4087" w:rsidRPr="008B3AD6">
        <w:t xml:space="preserve">aïve mouse models for analysis </w:t>
      </w:r>
      <w:r w:rsidR="001E4087" w:rsidRPr="008B3AD6">
        <w:fldChar w:fldCharType="begin"/>
      </w:r>
      <w:r w:rsidR="007A6EED">
        <w:instrText xml:space="preserve"> ADDIN ZOTERO_ITEM CSL_CITATION {"citationID":"isDH3rxs","properties":{"formattedCitation":"(Proffitt et al. 1991b; Shadkchan, Zaslavsky, and Segal 2003)","plainCitation":"(Proffitt et al. 1991b; Shadkchan, Zaslavsky, and Segal 2003)","noteIndex":0},"citationItems":[{"id":2415,"uris":["http://zotero.org/users/2628971/items/6IHN925P"],"uri":["http://zotero.org/users/2628971/items/6IHN925P"],"itemData":{"id":2415,"type":"article-journal","title":"Pharmacology and toxicology of a liposomal formulation of amphotericin B (AmBisome) in rodents","container-title":"The Journal of Antimicrobial Chemotherapy","page":"49-61","volume":"28 Suppl B","source":"PubMed","abstract":"AmBisome is a lyophilized preparation of liposomal amphotericin B. The acute intravenous toxicity of AmBisome was evaluated in mice and rats, and the LD50S were found to be greater than 175 and 50 mg/kg, respectively. The corresponding LD50S for conventional amphotericin B were approximately 2.3 and 1.6 mg/kg for mice and rats, respectively. The multiple dose toxicity test confirmed that AmBisome was well tolerated by both species. There were no deaths observed among mice receiving 25 or 50 mg/kg AmBisome for 14 days, and only two deaths among mice receiving 75 mg/kg AmBisome. One rat died in the group receiving 25 mg/kg AmBisome for 30 days. However, five of ten and nine of ten rats died in the groups treated with 50 and 75 mg/kg AmBisome, respectively. Hepatotoxicity was evident by elevation in serum liver enzyme levels for these groups. Initial pharmacokinetic evaluations demonstrated that peak plasma concentrations of 87 and 118 mg/kg, respectively, were attained in mice and rats after injection with 5 mg/kg AmBisome. Terminal plasma half-lives of 3.36 and 7.56 h were calculated for mice and rats, respectively. Tissue accumulations of amphotericin B resulting from multiple dose intravenous administration of either conventional amphotericin B or AmBisome were determined. At equivalent doses of 1 mg/kg, AmBisome treatment resulted in higher liver and spleen uptake of drug, but lower kidney and lung uptake than amphotericin B. At 5 mg/kg, AmBisome treatment resulted in concentrations of drug in the kidney and lungs that were comparable to corresponding tissue levels observed in the group treated with 1 mg/kg conventional amphotericin B.(ABSTRACT TRUNCATED AT 250 WORDS)","ISSN":"0305-7453","note":"PMID: 1778892","journalAbbreviation":"J. Antimicrob. Chemother.","language":"eng","author":[{"family":"Proffitt","given":"R. T."},{"family":"Satorius","given":"A."},{"family":"Chiang","given":"S. M."},{"family":"Sullivan","given":"L."},{"family":"Adler-Moore","given":"J. P."}],"issued":{"date-parts":[["1991",10]]}}},{"id":3575,"uris":["http://zotero.org/users/2628971/items/78MXT65N"],"uri":["http://zotero.org/users/2628971/items/78MXT65N"],"itemData":{"id":3575,"type":"article-journal","title":"Pharmacokinetics of amphotericin B in serum and tissues in mice treated with amphotericin B-Intralipid","container-title":"Medical Mycology","page":"15-19","volume":"41","issue":"1","source":"PubMed","abstract":"In our previous research we studied the efficacy of amphotericin B (AMB)-Intralipid (AMB-IL) admixtures in the treatment of experimental systemic candidosis in naïve and compromised mice. In this study we evaluated the levels of AMB in blood and several organs (kidneys, liver, spleen, lungs and heart) at different times after injection (from 5 min to 14 days). Comparisons were made with levels occurring in animals treated with Fungizone or AmBisome. A sensitive high-pressure liquid chromatography (HPLC) method was adapted for assaying AMB in blood and tissues. We used reversed-phased column and a simple mobile phase consisting of acetonitrile and EDTA. We found that blood levels of AMB in mice injected with AMB-IL were higher than those obtained in animals treated with Fungizone, but similar to those obtained in mice administered AmBisome. Compared with conventional Fungizone therapy, administration of lipid formulations of AMB (both AMB-IL and AmBisome) resulted in higher concentrations of AMB in the liver and spleen, but lower concentrations in the kidneys and lungs.","ISSN":"1369-3786","note":"PMID: 12627800","journalAbbreviation":"Med. Mycol.","language":"eng","author":[{"family":"Shadkchan","given":"Y."},{"family":"Zaslavsky","given":"Z."},{"family":"Segal","given":"E."}],"issued":{"date-parts":[["2003",2]]}}}],"schema":"https://github.com/citation-style-language/schema/raw/master/csl-citation.json"} </w:instrText>
      </w:r>
      <w:r w:rsidR="001E4087" w:rsidRPr="008B3AD6">
        <w:fldChar w:fldCharType="separate"/>
      </w:r>
      <w:r w:rsidR="00921CAF">
        <w:rPr>
          <w:lang w:val="en-US"/>
        </w:rPr>
        <w:t>(Proffitt et al. 1991</w:t>
      </w:r>
      <w:r w:rsidR="007A6EED" w:rsidRPr="007A6EED">
        <w:rPr>
          <w:lang w:val="en-US"/>
        </w:rPr>
        <w:t>; Shadkchan, Zaslavsky, and Segal 2003)</w:t>
      </w:r>
      <w:r w:rsidR="001E4087" w:rsidRPr="008B3AD6">
        <w:fldChar w:fldCharType="end"/>
      </w:r>
      <w:r w:rsidRPr="008B3AD6">
        <w:t xml:space="preserve">. Recent papers have begun to move to utilisation of </w:t>
      </w:r>
      <w:r w:rsidRPr="008B3AD6">
        <w:rPr>
          <w:i/>
        </w:rPr>
        <w:t>Leishmania</w:t>
      </w:r>
      <w:r w:rsidRPr="008B3AD6">
        <w:t xml:space="preserve"> infected model systems to further</w:t>
      </w:r>
      <w:r w:rsidR="001E4087" w:rsidRPr="008B3AD6">
        <w:t xml:space="preserve"> investigate drug distribution </w:t>
      </w:r>
      <w:r w:rsidR="001E4087" w:rsidRPr="008B3AD6">
        <w:fldChar w:fldCharType="begin"/>
      </w:r>
      <w:r w:rsidR="007A6EED">
        <w:instrText xml:space="preserve"> ADDIN ZOTERO_ITEM CSL_CITATION {"citationID":"9sLDon01","properties":{"formattedCitation":"(Gershkovich et al. 2010; Voak et al. 2017b)","plainCitation":"(Gershkovich et al. 2010; Voak et al. 2017b)","noteIndex":0},"citationItems":[{"id":2489,"uris":["http://zotero.org/users/2628971/items/XXSTPFCD"],"uri":["http://zotero.org/users/2628971/items/XXSTPFCD"],"itemData":{"id":2489,"type":"article-journal","title":"Visceral leishmaniasis affects liver and spleen concentrations of amphotericin B following administration to mice","container-title":"The Journal of Antimicrobial Chemotherapy","page":"535-537","volume":"65","issue":"3","source":"PubMed","abstract":"OBJECTIVES: To assess the impact of visceral leishmaniasis (VL) on the concentration of amphotericin B (AmB) recovered in the liver and spleen following either intravenous (AmBisome) or oral (iCo-009) AmB administration to mice.\nMETHODS: Livers and spleens previously obtained from VL-infected BALB/c mice (following intravenous AmBisome or oral AmB treatments) were analysed for AmB concentrations. Then, non-infected BALB/c mice were divided into three treatment groups: a single dose of intravenous AmBisome (2 mg/kg, n = 5); and oral AmB every 12 h for 5 days (10 mg/kg, n = 6 and 20 mg/kg, n = 6). The animals were sacrificed 7 days after the initiation of the treatment and the livers and spleens were harvested for drug analysis by HPLC.\nRESULTS: The single intravenous injection of AmBisome resulted in a 77-fold lower concentration of AmB in infected compared with non-infected liver tissue, while the difference in AmB concentration in the spleen was only 5-fold. The multiple dose oral administration of AmB resulted in a 3-fold lower concentration of AmB in infected compared with non-infected livers for both oral doses, while the differences in AmB concentrations in the spleen were not statistically different for the oral treatment groups.\nCONCLUSIONS: VL significantly lowered the concentration of AmB in the liver and the spleen when compared with uninfected animals. This effect seems to correlate with the degree of infection of the tissue. In the case of the intravenous liposomal formulation (AmBisome), the differences between the infected and non-infected tissues are of a higher magnitude than in the case of orally administered AmB (iCo-009).","DOI":"10.1093/jac/dkp465","ISSN":"1460-2091","note":"PMID: 20026611","journalAbbreviation":"J. Antimicrob. Chemother.","language":"eng","author":[{"family":"Gershkovich","given":"Pavel"},{"family":"Wasan","given":"Ellen K."},{"family":"Sivak","given":"Olena"},{"family":"Li","given":"Raymond"},{"family":"Zhu","given":"Xiaohua"},{"family":"Werbovetz","given":"Karl A."},{"family":"Tidwell","given":"Richard R."},{"family":"Clement","given":"John G."},{"family":"Thornton","given":"Sheila J."},{"family":"Wasan","given":"Kishor M."}],"issued":{"date-parts":[["2010",3]]}}},{"id":2828,"uris":["http://zotero.org/users/2628971/items/DVNI4EKC"],"uri":["http://zotero.org/users/2628971/items/DVNI4EKC"],"itemData":{"id":2828,"type":"article-journal","title":"Pharmacodynamics and Biodistribution of Single-Dose Liposomal Amphotericin B at Different Stages of Experimental Visceral Leishmaniasis","container-title":"Antimicrobial Agents and Chemotherapy","volume":"61","issue":"9","source":"PubMed Central","abstract":"Visceral leishmaniasis is a neglected tropical disease that causes significant morbidity and mortality worldwide. Characterization of the pharmacokinetics and pharmacodynamics of antileishmanial drugs in preclinical models is important for drug development and use. Here we investigated the pharmacodynamics and drug distribution of liposomal amphotericin B (AmBisome) in Leishmania donovani-infected BALB/c mice at three different dose levels and two different time points after infection. We additionally compared drug levels in plasma, liver, and spleen in infected and uninfected BALB/c mice over time. At the highest administered dose of 10 mg/kg AmBisome, &gt;90% parasite inhibition was observed within 2 days after drug administration, consistent with drug distribution from blood to tissue within 24 h and a fast rate of kill. Decreased drug potency was observed in the spleen when AmBisome was administered on day 35 after infection, compared to day 14 after infection. Amphotericin B concentrations and total drug amounts per organ were lower in liver and spleen when AmBisome was administered at the advanced stage of infection and compared to those in uninfected BALB/c mice. However, the magnitude of difference was lower when total drug amounts per organ were estimated. Differences were also noted in drug distribution to L. donovani-infected livers and spleens. Taken together, our data suggest that organ enlargement and other pathophysiological factors cause infection- and organ-specific drug distribution and elimination after administration of single-dose AmBisome to L. donovani-infected mice. Plasma drug levels were not reflective of changes in drug levels in tissues.","URL":"https://www.ncbi.nlm.nih.gov/pmc/articles/PMC5571318/","DOI":"10.1128/AAC.00497-17","ISSN":"0066-4804","note":"PMID: 28630200\nPMCID: PMC5571318","journalAbbreviation":"Antimicrob Agents Chemother","author":[{"family":"Voak","given":"Andrew A."},{"family":"Harris","given":"Andy"},{"family":"Qaiser","given":"Zeeshan"},{"family":"Croft","given":"Simon L."},{"family":"Seifert","given":"Karin"}],"issued":{"date-parts":[["2017",8,24]]},"accessed":{"date-parts":[["2018",6,28]]}}}],"schema":"https://github.com/citation-style-language/schema/raw/master/csl-citation.json"} </w:instrText>
      </w:r>
      <w:r w:rsidR="001E4087" w:rsidRPr="008B3AD6">
        <w:fldChar w:fldCharType="separate"/>
      </w:r>
      <w:r w:rsidR="007A6EED" w:rsidRPr="007A6EED">
        <w:rPr>
          <w:lang w:val="en-US"/>
        </w:rPr>
        <w:t>(Gershkovic</w:t>
      </w:r>
      <w:r w:rsidR="00921CAF">
        <w:rPr>
          <w:lang w:val="en-US"/>
        </w:rPr>
        <w:t>h et al. 2010; Voak et al. 2017</w:t>
      </w:r>
      <w:r w:rsidR="007A6EED" w:rsidRPr="007A6EED">
        <w:rPr>
          <w:lang w:val="en-US"/>
        </w:rPr>
        <w:t>)</w:t>
      </w:r>
      <w:r w:rsidR="001E4087" w:rsidRPr="008B3AD6">
        <w:fldChar w:fldCharType="end"/>
      </w:r>
      <w:r w:rsidRPr="008B3AD6">
        <w:t xml:space="preserve"> where they have highlighted that, at whole tissue levels, there are stark differences in organ drug accumulation between naïve and infected cohorts. Conversely, in </w:t>
      </w:r>
      <w:r w:rsidRPr="008B3AD6">
        <w:lastRenderedPageBreak/>
        <w:t xml:space="preserve">studies evaluating treatment of systemic mycosis, the original use for </w:t>
      </w:r>
      <w:r w:rsidR="00A32111">
        <w:t>AmB</w:t>
      </w:r>
      <w:r w:rsidRPr="008B3AD6">
        <w:t>, it is common to use infected systems to derive information pertaining to the administration, distribution, metabolism a</w:t>
      </w:r>
      <w:r w:rsidR="001E4087" w:rsidRPr="008B3AD6">
        <w:t xml:space="preserve">nd excretion of </w:t>
      </w:r>
      <w:r w:rsidR="00A32111">
        <w:t>AmB</w:t>
      </w:r>
      <w:r w:rsidR="001E4087" w:rsidRPr="008B3AD6">
        <w:t xml:space="preserve"> </w:t>
      </w:r>
      <w:r w:rsidR="001E4087" w:rsidRPr="008B3AD6">
        <w:fldChar w:fldCharType="begin"/>
      </w:r>
      <w:r w:rsidR="007A6EED">
        <w:instrText xml:space="preserve"> ADDIN ZOTERO_ITEM CSL_CITATION {"citationID":"X9pL9VcX","properties":{"formattedCitation":"(Gondal, Swartz, and Rahman 1989; van Etten et al. 1995b; P. J. Smith et al. 2007)","plainCitation":"(Gondal, Swartz, and Rahman 1989; van Etten et al. 1995b; P. J. Smith et al. 2007)","noteIndex":0},"citationItems":[{"id":2487,"uris":["http://zotero.org/users/2628971/items/XGTXTU88"],"uri":["http://zotero.org/users/2628971/items/XGTXTU88"],"itemData":{"id":2487,"type":"article-journal","title":"Therapeutic evaluation of free and liposome-encapsulated amphotericin B in the treatment of systemic candidiasis in mice","container-title":"Antimicrobial Agents and Chemotherapy","page":"1544-1548","volume":"33","issue":"9","source":"PubMed","abstract":"Various doses of amphotericin B encapsulated into unilamellar vesicles of 0.1 micron diameter (lip-AMB) (1.0 to 20.0 mg/kg of body weight) were compared with free amphotericin B (AMB) (0.5 to 2.0 mg/kg of body weight) in a murine model of disseminated candidiasis. CD2F1 mice injected intravenously with 3 x 10(5) Candida albicans cells were treated with either single- or multiple-dose regimens. Untreated infected mice had a median survival of 7 days, with all mice dead by 12 days. Single doses of AMB resulted in a median survival range from 18 to 23.5 days, with less than or equal to 38% survival by day 42. Single doses of lip-AMB resulted in 88 to 100% survival by day 42. The multiple-dose AMB regimen provided median survival of only 30 to 33 days, with less than or equal to 38% survival by day 42. The multiple-dose lip-AMB regimen resulted in greater than 90% survival by day 42. With single-dose regimens, lip-AMB levels in plasma were severalfold higher than AMB levels in plasma. By 10 h, at equivalent doses, lip-AMB levels in plasma were much higher, whereas AMB levels in plasma were not detectable. Compared with normal values, the blood urea nitrogen, serum glutamic pyruvic transaminase, serum glutamic oxaloacetate transaminase, and serum lactate dehydrogenase levels were not significantly altered by high doses of lip-AMB treatment. Viable C. albicans was recoverable from the kidneys of some of the lip-AMB-treated mice at day 42. Thus, encapsulation into unilamellar liposomes enhances the antifungal efficacy of amphotericin B while reducing the toxicity normally associated with administration of free amphotericin B.","ISSN":"0066-4804","note":"PMID: 2684010\nPMCID: PMC172699","journalAbbreviation":"Antimicrob. Agents Chemother.","language":"eng","author":[{"family":"Gondal","given":"J. A."},{"family":"Swartz","given":"R. P."},{"family":"Rahman","given":"A."}],"issued":{"date-parts":[["1989",9]]}}},{"id":2318,"uris":["http://zotero.org/users/2628971/items/P7HXXQWW"],"uri":["http://zotero.org/users/2628971/items/P7HXXQWW"],"itemData":{"id":2318,"type":"article-journal","title":"Biodistribution of liposomal amphotericin B (AmBisome) and amphotericin B-desoxycholate (Fungizone) in uninfected immunocompetent mice and leucopenic mice infected with Candida albicans","container-title":"The Journal of Antimicrobial Chemotherapy","page":"509-519","volume":"35","issue":"4","source":"PubMed","abstract":"The biodistribution of liposomal amphotericin B (L-AmB; AmBisome) and amphotericin B-desoxycholate were compared after a single injection of drug in uninfected immunocompetent mice and in leucopenic mice 6 h after inoculation with Candida albicans. Amphotericin B-desoxycholate was administered at the maximum tolerated dose (MTD) of 0.3 mg/kg whereas L-AmB was given at either 0.3 mg/kg or the MTD of 7 mg/kg. Amphotericin B (AmB) concentrations in the blood, liver, spleen, lungs and kidneys were determined by HPLC analysis at various intervals during the 48 h after administration. The biodistribution of both preparations of AmB followed similar patterns in both uninfected immunocompetent mice as well as those that were leucopenic and infected with C. albicans. Administration of L-AmB resulted in increased concentrations of drug in the blood, liver, and spleen but decreased concentrations in the kidney and lung. Hepatosplenic uptake of L-AmB was highly dose dependent with 7 mg/kg resulting in a relatively prolonged blood circulation. Blood and tissues retained high AmB concentrations after administration of L-AmB at the MTD. By using radiolabelled L-AmB, it was found that the high AmB concentrations in blood represented liposome-associated AmB and that during circulation in blood slow release of AmB occurred.","ISSN":"0305-7453","note":"PMID: 7628985","journalAbbreviation":"J. Antimicrob. Chemother.","language":"eng","author":[{"family":"Etten","given":"E. W.","non-dropping-particle":"van"},{"family":"Otte-Lambillion","given":"M."},{"family":"Vianen","given":"W.","non-dropping-particle":"van"},{"family":"Kate","given":"M. T.","non-dropping-particle":"ten"},{"family":"Bakker-Woudenberg","given":"A. J."}],"issued":{"date-parts":[["1995",4]]}}},{"id":2486,"uris":["http://zotero.org/users/2628971/items/QTKCJB7R"],"uri":["http://zotero.org/users/2628971/items/QTKCJB7R"],"itemData":{"id":2486,"type":"article-journal","title":"Effects of dosing regimen on accumulation, retention and prophylactic efficacy of liposomal amphotericin B","container-title":"Journal of Antimicrobial Chemotherapy","page":"941-951","volume":"59","issue":"5","source":"CrossRef","DOI":"10.1093/jac/dkm077","ISSN":"0305-7453, 1460-2091","language":"en","author":[{"family":"Smith","given":"P. J."},{"family":"Olson","given":"J. A."},{"family":"Constable","given":"D."},{"family":"Schwartz","given":"J."},{"family":"Proffitt","given":"R. T."},{"family":"Adler-Moore","given":"J. P."}],"issued":{"date-parts":[["2007",3,15]]}}}],"schema":"https://github.com/citation-style-language/schema/raw/master/csl-citation.json"} </w:instrText>
      </w:r>
      <w:r w:rsidR="001E4087" w:rsidRPr="008B3AD6">
        <w:fldChar w:fldCharType="separate"/>
      </w:r>
      <w:r w:rsidR="007A6EED" w:rsidRPr="007A6EED">
        <w:rPr>
          <w:lang w:val="en-US"/>
        </w:rPr>
        <w:t>(Gondal, Swartz, and Rahman 1989; van Etten et al. 1995; Smith et al. 2007)</w:t>
      </w:r>
      <w:r w:rsidR="001E4087" w:rsidRPr="008B3AD6">
        <w:fldChar w:fldCharType="end"/>
      </w:r>
      <w:r w:rsidRPr="008B3AD6">
        <w:t xml:space="preserve">. Within this thesis the </w:t>
      </w:r>
      <w:r w:rsidRPr="008B3AD6">
        <w:rPr>
          <w:i/>
        </w:rPr>
        <w:t>L. donovani</w:t>
      </w:r>
      <w:r w:rsidRPr="008B3AD6">
        <w:t xml:space="preserve"> infected C57BL/6 mouse model was our baseline model as granulomatous inflammation</w:t>
      </w:r>
      <w:r w:rsidR="0018136B">
        <w:t xml:space="preserve"> in the liver</w:t>
      </w:r>
      <w:r w:rsidRPr="008B3AD6">
        <w:t xml:space="preserve"> is a hallmark of EVL and is not present in naïve mice. A recent development employed in other pharmacokinetic studies is the use of imaging mass spectroscopy allowing for label-free tracking of</w:t>
      </w:r>
      <w:r w:rsidR="001E4087" w:rsidRPr="008B3AD6">
        <w:t xml:space="preserve"> compounds post-administration </w:t>
      </w:r>
      <w:r w:rsidR="001E4087" w:rsidRPr="008B3AD6">
        <w:fldChar w:fldCharType="begin"/>
      </w:r>
      <w:r w:rsidR="007A6EED">
        <w:instrText xml:space="preserve"> ADDIN ZOTERO_ITEM CSL_CITATION {"citationID":"bacfjcwp","properties":{"formattedCitation":"(Rohner, Staab, and Stoeckli 2005; van Kampen et al. 2006; Ding and Wu 2012)","plainCitation":"(Rohner, Staab, and Stoeckli 2005; van Kampen et al. 2006; Ding and Wu 2012)","noteIndex":0},"citationItems":[{"id":3721,"uris":["http://zotero.org/users/2628971/items/EB6XGBCB"],"uri":["http://zotero.org/users/2628971/items/EB6XGBCB"],"itemData":{"id":3721,"type":"article-journal","title":"MALDI mass spectrometric imaging of biological tissue sections","container-title":"Mechanisms of Ageing and Development","page":"177-185","volume":"126","issue":"1","source":"PubMed","abstract":"In biomedical research, the discovery of new biomarkers and new drugs demands analytical techniques with high sensitivity together with increased throughput. The possibility to localize or to follow changes in organisms at the molecular level by imaging component distributions of specific tissues, is of prime importance to unravel biochemical pathways and develop new treatments and drugs. Established molecular imaging techniques such as MRI and PET are already widely used, however their need for molecular probes to report the presence of the analytes of interest precludes the simultaneous exploration of different biomolecules. Matrix-assisted laser desorption/ionization mass spectrometric imaging (MALDI MSI) takes full advantage of the high sensitivity of mass spectrometry instrumentation but also of the ability of the latter to simultaneously detect a wide range of compounds, almost regardless from their nature and mass. To perform MALDI MSI, sections of biological tissues are introduced in an MALDI MS instrument, where the UV pulsed laser of the MALDI source is used to raster over a selected area while acquiring mass spectra of the ablated ions at every image point. From this array of spectra, hundreds of analyte-specific images can be generated based on the selected masses. MALDI MSI can be used to track biomarkers such as peptides or proteins but also to map drug/tissue interactions. In this paper, an overview of the possibilities of MSI will be given. As an example, MSI on brain tissue sections for the study of Alzheimer's disease (AD) will be shown. Mapping of amyloid peptides as a new approach for drug lead optimization will be presented. Target identification thanks to MSI will be introduced and the last part will be dedicated to the molecular scanner approach, which gives access to high-mass range by combining tissue blotting and digestion in a one-step process.","DOI":"10.1016/j.mad.2004.09.032","ISSN":"0047-6374","note":"PMID: 15610777","journalAbbreviation":"Mech. Ageing Dev.","language":"eng","author":[{"family":"Rohner","given":"Tatiana C."},{"family":"Staab","given":"Dieter"},{"family":"Stoeckli","given":"Markus"}],"issued":{"date-parts":[["2005",1]]}}},{"id":3726,"uris":["http://zotero.org/users/2628971/items/LQYIVX4B"],"uri":["http://zotero.org/users/2628971/items/LQYIVX4B"],"itemData":{"id":3726,"type":"article-journal","title":"Qualitative and Quantitative Analysis of Pharmaceutical Compounds by MALDI-TOF Mass Spectrometry","container-title":"Analytical Chemistry","page":"5403-5411","volume":"78","issue":"15","source":"ACS Publications","abstract":"In this report, we discuss key issues for the successful application of MALDI-TOF mass spectrometry to quantify drugs. These include choice and preparation of matrix, nature of cationization agent, automation, and data analysis procedures. The high molecular weight matrix meso-tetrakis(pentafluorophenyl)porphyrin eliminates chemical noise in the low-mass range, a “brushing” spotting technique in combination with prestructured target plates enables fast preparation of homogeneous matrix crystals, and addition of Li+ leads to intense cationized drug species. Complex biological samples were cleaned up using a 96-well solid-phase extraction plate, and the purified samples were automatically spotted by a pipetting robot. To obtain a suitable data analysis procedure for the quantitative analysis of drugs by MALDI-TOF mass spectrometry, various data processing parameters were evaluated on our two model drugs lopinavir and ritonavir. Finally, and most importantly, it is shown that the above-described procedure can be successfully applied to quantify clinically relevant concentrations of lopinavir, an HIV protease inhibitor, in extracts of small numbers of peripheral blood mononuclear cells (1 × 106).","DOI":"10.1021/ac060436i","ISSN":"0003-2700","journalAbbreviation":"Anal. Chem.","author":[{"family":"Kampen","given":"Jeroen J. A.","non-dropping-particle":"van"},{"family":"Burgers","given":"Peter C."},{"family":"Groot","given":"Ronald","non-dropping-particle":"de"},{"family":"Luider","given":"Theo M."}],"issued":{"date-parts":[["2006",8,1]]}}},{"id":3723,"uris":["http://zotero.org/users/2628971/items/Q5Y6XSN4"],"uri":["http://zotero.org/users/2628971/items/Q5Y6XSN4"],"itemData":{"id":3723,"type":"article-journal","title":"Image Guided Biodistribution and Pharmacokinetic Studies of Theranostics","container-title":"Theranostics","page":"1040-1053","volume":"2","issue":"11","source":"PubMed Central","abstract":"Image guided technique is playing an increasingly important role in the investigation of the biodistribution and pharmacokinetics of drugs or drug delivery systems in various diseases, especially cancers. Besides anatomical imaging modalities such as computed tomography (CT), magnetic resonance imaging (MRI), molecular imaging strategy including optical imaging, positron emission tomography (PET) and single-photon emission computed tomography (SPECT) will facilitate the localization and quantization of radioisotope or optical probe labeled nanoparticle delivery systems in the category of theranostics. The quantitative measurement of the bio-distribution and pharmacokinetics of theranostics in the fields of new drug/probe development, diagnosis and treatment process monitoring as well as tracking the brain-blood-barrier (BBB) breaking through by high sensitive imaging method, and the applications of the representative imaging modalities are summarized in this review.","DOI":"10.7150/thno.4652","ISSN":"1838-7640","note":"PMID: 23227121\nPMCID: PMC3516836","journalAbbreviation":"Theranostics","author":[{"family":"Ding","given":"Hong"},{"family":"Wu","given":"Fang"}],"issued":{"date-parts":[["2012",11,5]]}}}],"schema":"https://github.com/citation-style-language/schema/raw/master/csl-citation.json"} </w:instrText>
      </w:r>
      <w:r w:rsidR="001E4087" w:rsidRPr="008B3AD6">
        <w:fldChar w:fldCharType="separate"/>
      </w:r>
      <w:r w:rsidR="007A6EED" w:rsidRPr="007A6EED">
        <w:rPr>
          <w:lang w:val="en-US"/>
        </w:rPr>
        <w:t>(Rohner, Staab, and Stoeckli 2005; van Kampen et al. 2006; Ding and Wu 2012)</w:t>
      </w:r>
      <w:r w:rsidR="001E4087" w:rsidRPr="008B3AD6">
        <w:fldChar w:fldCharType="end"/>
      </w:r>
      <w:r w:rsidRPr="008B3AD6">
        <w:t xml:space="preserve"> however this has not yet been highly utilised for anti-leishmanial research.</w:t>
      </w:r>
    </w:p>
    <w:p w14:paraId="7950C2BF" w14:textId="77777777" w:rsidR="00193B35" w:rsidRPr="008B3AD6" w:rsidRDefault="00193B35" w:rsidP="001E4087">
      <w:pPr>
        <w:spacing w:line="360" w:lineRule="auto"/>
        <w:jc w:val="both"/>
      </w:pPr>
    </w:p>
    <w:p w14:paraId="2A4C06DC" w14:textId="2C4EC819" w:rsidR="00193B35" w:rsidRPr="0018136B" w:rsidRDefault="00193B35" w:rsidP="001E4087">
      <w:pPr>
        <w:spacing w:line="360" w:lineRule="auto"/>
        <w:jc w:val="both"/>
      </w:pPr>
      <w:r w:rsidRPr="008B3AD6">
        <w:t xml:space="preserve">Pharmacokinetic evaluations tend to </w:t>
      </w:r>
      <w:r w:rsidR="0047740A" w:rsidRPr="008B3AD6">
        <w:t>be preceded</w:t>
      </w:r>
      <w:r w:rsidRPr="008B3AD6">
        <w:t xml:space="preserve"> </w:t>
      </w:r>
      <w:r w:rsidR="0047740A" w:rsidRPr="008B3AD6">
        <w:t xml:space="preserve">by </w:t>
      </w:r>
      <w:r w:rsidRPr="008B3AD6">
        <w:t xml:space="preserve">pharmacodynamic investigations. Compounds of interest are typically administered at a range of dilutions to </w:t>
      </w:r>
      <w:r w:rsidRPr="008B3AD6">
        <w:rPr>
          <w:i/>
        </w:rPr>
        <w:t xml:space="preserve">Leishmania </w:t>
      </w:r>
      <w:r w:rsidRPr="008B3AD6">
        <w:t>infected macrophages (either primary cells or cell lines) and pharmacodynamic parameters are derived such as the IC</w:t>
      </w:r>
      <w:r w:rsidRPr="008B3AD6">
        <w:rPr>
          <w:vertAlign w:val="subscript"/>
        </w:rPr>
        <w:t>50</w:t>
      </w:r>
      <w:r w:rsidRPr="008B3AD6">
        <w:t xml:space="preserve"> </w:t>
      </w:r>
      <w:r w:rsidR="00F97C62" w:rsidRPr="008B3AD6">
        <w:fldChar w:fldCharType="begin"/>
      </w:r>
      <w:r w:rsidR="007A6EED">
        <w:instrText xml:space="preserve"> ADDIN ZOTERO_ITEM CSL_CITATION {"citationID":"z1ehbOwg","properties":{"formattedCitation":"(Manandhar et al. 2008; Prajapati et al. 2011)","plainCitation":"(Manandhar et al. 2008; Prajapati et al. 2011)","noteIndex":0},"citationItems":[{"id":2525,"uris":["http://zotero.org/users/2628971/items/MPH2B93V"],"uri":["http://zotero.org/users/2628971/items/MPH2B93V"],"itemData":{"id":2525,"type":"article-journal","title":"Antileishmanial activity of nano-amphotericin B deoxycholate","container-title":"The Journal of Antimicrobial Chemotherapy","page":"376-380","volume":"62","issue":"2","source":"PubMed","abstract":"OBJECTIVES: The aim of the present study was to compare the efficacy of a nano form of amphotericin B deoxycholate with that of conventional amphotericin B deoxycholate for the treatment of visceral leishmaniasis.\nMETHODS: We have formulated nanoparticles (10-20 nM) from amphotericin B deoxycholate (1-2 microM) by applying high-pressure (150 argon) milling homogenization and have tested their efficacy in a J774A cell line and in hamsters. Parasite survival and tissue burden in spleen were evaluated for nano-amphotericin B and conventional amphotericin B. Both nano-amphotericin B and conventional amphotericin B were injected intraperitoneally at 5 mg/kg per day for 5 days.\nRESULTS: The inhibition of amastigotes in the splenic tissue with nano-amphotericin B was significantly more than with conventional amphotericin B (92.18% versus 74.57%, P = 0.005). Similarly, the suppression of parasite replication in the spleen was also found to be significant (99.18% versus 97.17%, P = 0.05). In a cytotoxicity test, nano-amphotericin B against the J774A cell line had a CC(50) of 12.67 mg/L in comparison with 10.61 mg/L for amphotericin B, far higher than the doses used for ED(50).\nCONCLUSIONS: Nanoparticles of amphotericin B had significantly greater efficacy than conventional amphotericin B. This formulation may have a favourable safety profile, and if production costs are low, it may prove to be a feasible alternative to conventional amphotericin B.","DOI":"10.1093/jac/dkn189","ISSN":"1460-2091","note":"PMID: 18453526","journalAbbreviation":"J. Antimicrob. Chemother.","language":"eng","author":[{"family":"Manandhar","given":"Krishna Das"},{"family":"Yadav","given":"Thakur Prasad"},{"family":"Prajapati","given":"Vijay Kumar"},{"family":"Kumar","given":"Subodh"},{"family":"Rai","given":"Madhukar"},{"family":"Dube","given":"Anuradha"},{"family":"Srivastava","given":"Onkar Nath"},{"family":"Sundar","given":"Shyam"}],"issued":{"date-parts":[["2008",8]]}}},{"id":2522,"uris":["http://zotero.org/users/2628971/items/I2TMMGI9"],"uri":["http://zotero.org/users/2628971/items/I2TMMGI9"],"itemData":{"id":2522,"type":"article-journal","title":"Targeted killing of Leishmania donovani in vivo and in vitro with amphotericin B attached to functionalized carbon nanotubes","container-title":"Journal of Antimicrobial Chemotherapy","page":"874-879","volume":"66","issue":"4","source":"PubMed Central","abstract":"Objectives\nThis study describes the antileishmanial efficacy of the novel drug formulation of amphotericin B (AmB) attached to functionalized carbon nanotubes (f-CNTs) and compares it with AmB.\n\nMethods\nf-CNTs were prepared in a two-step chemical carboxylation and amidation process. The AmB was then attached to make f-CNT–AmB and its construction was confirmed by Fourier transform infrared (FTIR) spectroscopy and transmission electron microscopy (TEM). The cytotoxicity of the constructed compound, f-CNT–AmB, was assessed in vitro using the J774A.1 macrophage cell line and in vivo using healthy BALB/c mice. Antileishmanial activity of AmB and f-CNT–AmB was assessed in vitro using a macrophage (J774A.1 cell line) model of Leishmania donovani infection. Antileishmanial activity was assessed in vivo by comparing the parasite load of hamsters treated with a 5 day course of AmB, f-CNTs or f-CNT–AmB initiated at 30 days after infection with L. donovani parasites.\n\nResults\nThe FTIR spectroscopy and TEM data demonstrate the successful attachment of AmB to f-CNTs. The in vitro cytotoxicity of AmB, f-CNTs and f-CNT–AmB was measured by the cytotoxic concentration required to kill 50% of the cells: 0.48 ± 0.06 μg/mL; 7.31 ± 1.16 μg/mL; 0.66 ± 0.17 μg/mL, respectively, in the J774A.1 cell line. The in vivo toxicity assessment of the compounds in BALB/c mice revealed no hepatic or renal toxicity. Against intracellular amastigotes the in vitro antileishmanial efficacy of f-CNT–AmB was significantly higher than that of AmB (IC50 0.00234 ± 0.00075 μg/mL versus 0.03263 ± 0.00123 μg/mL; P ≤ 0.0001). The percentage inhibition of amastigote replication in hamsters treated with f-CNT–AmB was significantly more than that with AmB (89.85% ± 2.93% versus 68.97% ± 1.84%; P = 0.0004).\n\nConclusions\nThe results of these experiments clearly demonstrate that f-CNT–AmB has significantly greater antileishmanial efficacy than AmB and had no significant cytotoxic effects.","DOI":"10.1093/jac/dkr002","ISSN":"0305-7453","note":"PMID: 21393222\nPMCID: PMC3307040","journalAbbreviation":"J Antimicrob Chemother","author":[{"family":"Prajapati","given":"Vijay Kumar"},{"family":"Awasthi","given":"Kalpana"},{"family":"Gautam","given":"Shalini"},{"family":"Yadav","given":"Thakur Prasad"},{"family":"Rai","given":"Madhukar"},{"family":"Srivastava","given":"Onkar Nath"},{"family":"Sundar","given":"Shyam"}],"issued":{"date-parts":[["2011",4]]}}}],"schema":"https://github.com/citation-style-language/schema/raw/master/csl-citation.json"} </w:instrText>
      </w:r>
      <w:r w:rsidR="00F97C62" w:rsidRPr="008B3AD6">
        <w:fldChar w:fldCharType="separate"/>
      </w:r>
      <w:r w:rsidR="007A6EED" w:rsidRPr="007A6EED">
        <w:rPr>
          <w:lang w:val="en-US"/>
        </w:rPr>
        <w:t>(Manandhar et al. 2008; Prajapati et al. 2011)</w:t>
      </w:r>
      <w:r w:rsidR="00F97C62" w:rsidRPr="008B3AD6">
        <w:fldChar w:fldCharType="end"/>
      </w:r>
      <w:r w:rsidRPr="008B3AD6">
        <w:t xml:space="preserve">. The compounds may be progressed into </w:t>
      </w:r>
      <w:r w:rsidRPr="008B3AD6">
        <w:rPr>
          <w:i/>
        </w:rPr>
        <w:t>in vivo</w:t>
      </w:r>
      <w:r w:rsidRPr="008B3AD6">
        <w:t xml:space="preserve"> pharmacodynamic investigations where parasite burdens are monitored at </w:t>
      </w:r>
      <w:r w:rsidR="004E315A" w:rsidRPr="008B3AD6">
        <w:t xml:space="preserve">different times post-treatment </w:t>
      </w:r>
      <w:r w:rsidR="004E315A" w:rsidRPr="008B3AD6">
        <w:fldChar w:fldCharType="begin"/>
      </w:r>
      <w:r w:rsidR="007A6EED">
        <w:instrText xml:space="preserve"> ADDIN ZOTERO_ITEM CSL_CITATION {"citationID":"IZzLiJEv","properties":{"formattedCitation":"(Mohamed-Ahmed et al. 2013; Van den Kerkhof et al. 2018)","plainCitation":"(Mohamed-Ahmed et al. 2013; Van den Kerkhof et al. 2018)","noteIndex":0},"citationItems":[{"id":3734,"uris":["http://zotero.org/users/2628971/items/TRGP79KX"],"uri":["http://zotero.org/users/2628971/items/TRGP79KX"],"itemData":{"id":3734,"type":"article-journal","title":"Antileishmanial Activity, Uptake, and Biodistribution of an Amphotericin B and Poly(α-Glutamic Acid) Complex","container-title":"Antimicrobial Agents and Chemotherapy","page":"4608-4614","volume":"57","issue":"10","source":"PubMed Central","abstract":"A noncovalent, water-soluble complex of amphotericin B (AMB) and poly(α-glutamic acid) (PGA), with AMB loadings ranging from 25 to 55% (wt/wt) using PGA with a molecular weight range of 50,000 to 70,000, was prepared as a potential new treatment for visceral leishmaniasis (VL). The AMB-PGA complex was shown to be as active as Fungizone (AMB deoxycholate) against intracellular Leishmania donovani amastigotes in differentiated THP-1 cells. The in vitro uptake of the AMB-PGA complex by differentiated THP-1 cells was similar to that of Fungizone and higher than that of AmBisome (liposomal AMB). The AMB-PGA complex also displayed a dose-response profile similar to that of AmBisome in vivo in BALB/c mice against L. donovani, with 50% effective doses (ED50s) of 0.24 ± 0.03 mg/kg of body weight for the AMB-PGA complex and 0.24 ± 0.06 mg/kg for AmBisome. A biodistribution study with mice indicated that the AMB-PGA complex cleared more rapidly from plasma than AmBisome, with a comparable low level of distribution to the kidneys.","DOI":"10.1128/AAC.02343-12","ISSN":"0066-4804","note":"PMID: 23796924\nPMCID: PMC3811429","journalAbbreviation":"Antimicrob Agents Chemother","author":[{"family":"Mohamed-Ahmed","given":"Abeer H. A."},{"family":"Seifert","given":"Karin"},{"family":"Yardley","given":"Vanessa"},{"family":"Burrell-Saward","given":"Hollie"},{"family":"Brocchini","given":"Stephen"},{"family":"Croft","given":"Simon L."}],"issued":{"date-parts":[["2013",10]]}}},{"id":3731,"uris":["http://zotero.org/users/2628971/items/3LMEFS4Y"],"uri":["http://zotero.org/users/2628971/items/3LMEFS4Y"],"itemData":{"id":3731,"type":"article-journal","title":"In vitro and in vivo pharmacodynamics of three novel antileishmanial lead series","container-title":"International Journal for Parasitology: Drugs and Drug Resistance","page":"81-86","volume":"8","issue":"1","source":"ScienceDirect","abstract":"Objectives\nThree new chemical series (bicyclic nitroimidazoles, aminopyrazoles and oxaboroles) were selected by Drugs for Neglected Diseases initiative as potential new drug leads for leishmaniasis. Pharmacodynamics studies included both in vitro and in vivo efficacy, cross-resistance profiling against the current antileishmanial reference drugs and evaluation of their cidal activity potential.\nMethods\nEfficacy against the reference laboratory strains of Leishmania infantum (MHOM/MA(BE)/67/ITMAP263) and L. donovani (MHOM/ET/67/L82) was evaluated in vitro on intracellular amastigotes and in vivo in the early curative hamster model. Cidal activity was assessed over a period of 15 days in an in vitro ‘time-to-kill’ assay. Cross-resistance was assessed in vitro on a panel of L. infantum strains with different degrees of resistance to either antimony, miltefosine or paromomycin.\nResults\nAll lead compounds showed potent and selective in vitro activity against the Leishmania strains tested and no cross-resistance could be demonstrated against any of the current antileishmanial drugs. Cidal activity was obtained in vitro for all series within 15 days of exposure with some differences noted between L. donovani and L. infantum. When evaluated in vivo, all lead compounds showed high efficacy and no adverse effects were observed.\nConclusions\nThe new lead series were shown to have cidal pharmacodynamic activity. The absence of cross-resistance with any of the current antileishmanial drugs opens possibilities for combination treatment to reduce the likelihood of treatment failures and drug resistance.","DOI":"10.1016/j.ijpddr.2018.01.006","ISSN":"2211-3207","journalAbbreviation":"International Journal for Parasitology: Drugs and Drug Resistance","author":[{"family":"Van den Kerkhof","given":"M."},{"family":"Mabille","given":"D."},{"family":"Chatelain","given":"E."},{"family":"Mowbray","given":"C. E."},{"family":"Braillard","given":"S."},{"family":"Hendrickx","given":"S."},{"family":"Maes","given":"L."},{"family":"Caljon","given":"G."}],"issued":{"date-parts":[["2018",4,1]]}}}],"schema":"https://github.com/citation-style-language/schema/raw/master/csl-citation.json"} </w:instrText>
      </w:r>
      <w:r w:rsidR="004E315A" w:rsidRPr="008B3AD6">
        <w:fldChar w:fldCharType="separate"/>
      </w:r>
      <w:r w:rsidR="007A6EED" w:rsidRPr="007A6EED">
        <w:rPr>
          <w:lang w:val="en-US"/>
        </w:rPr>
        <w:t>(Mohamed-Ahmed et al. 2013; Van den Kerkhof et al. 2018)</w:t>
      </w:r>
      <w:r w:rsidR="004E315A" w:rsidRPr="008B3AD6">
        <w:fldChar w:fldCharType="end"/>
      </w:r>
      <w:r w:rsidRPr="008B3AD6">
        <w:t xml:space="preserve">. Dosing studies may form the basis for treatment regimes in these </w:t>
      </w:r>
      <w:r w:rsidRPr="008B3AD6">
        <w:rPr>
          <w:i/>
        </w:rPr>
        <w:t>in vivo</w:t>
      </w:r>
      <w:r w:rsidRPr="008B3AD6">
        <w:t xml:space="preserve"> </w:t>
      </w:r>
      <w:r w:rsidRPr="0018136B">
        <w:t>inves</w:t>
      </w:r>
      <w:r w:rsidR="004E315A" w:rsidRPr="0018136B">
        <w:t>tigations</w:t>
      </w:r>
      <w:r w:rsidRPr="0018136B">
        <w:t>.</w:t>
      </w:r>
    </w:p>
    <w:p w14:paraId="41AFE7EF" w14:textId="77777777" w:rsidR="00193B35" w:rsidRPr="0018136B" w:rsidRDefault="00193B35" w:rsidP="001E4087">
      <w:pPr>
        <w:spacing w:line="360" w:lineRule="auto"/>
        <w:jc w:val="both"/>
      </w:pPr>
    </w:p>
    <w:p w14:paraId="146196A4" w14:textId="394CA4A9" w:rsidR="00193B35" w:rsidRPr="008B3AD6" w:rsidRDefault="00193B35" w:rsidP="001E4087">
      <w:pPr>
        <w:spacing w:line="360" w:lineRule="auto"/>
        <w:jc w:val="both"/>
      </w:pPr>
      <w:r w:rsidRPr="0018136B">
        <w:t xml:space="preserve">Our work has provided, to the best of our knowledge, the first sub-tissue level description of </w:t>
      </w:r>
      <w:r w:rsidR="00A32111" w:rsidRPr="0018136B">
        <w:t>AmB</w:t>
      </w:r>
      <w:r w:rsidRPr="0018136B">
        <w:t xml:space="preserve"> post-treatment with AmBisome in hepatic leukocytes and leukocyte subsets</w:t>
      </w:r>
      <w:r w:rsidR="0018136B" w:rsidRPr="0018136B">
        <w:t xml:space="preserve"> (</w:t>
      </w:r>
      <w:r w:rsidR="0018136B" w:rsidRPr="0018136B">
        <w:fldChar w:fldCharType="begin"/>
      </w:r>
      <w:r w:rsidR="0018136B" w:rsidRPr="0018136B">
        <w:instrText xml:space="preserve"> REF _Ref518932911 </w:instrText>
      </w:r>
      <w:r w:rsidR="0018136B">
        <w:instrText xml:space="preserve"> \* MERGEFORMAT </w:instrText>
      </w:r>
      <w:r w:rsidR="0018136B" w:rsidRPr="0018136B">
        <w:fldChar w:fldCharType="separate"/>
      </w:r>
      <w:r w:rsidR="00921CAF" w:rsidRPr="00921CAF">
        <w:rPr>
          <w:b/>
        </w:rPr>
        <w:t xml:space="preserve">Figure </w:t>
      </w:r>
      <w:r w:rsidR="00921CAF" w:rsidRPr="00921CAF">
        <w:rPr>
          <w:b/>
          <w:noProof/>
        </w:rPr>
        <w:t>3.14</w:t>
      </w:r>
      <w:r w:rsidR="0018136B" w:rsidRPr="0018136B">
        <w:fldChar w:fldCharType="end"/>
      </w:r>
      <w:r w:rsidR="0018136B" w:rsidRPr="0018136B">
        <w:t>)</w:t>
      </w:r>
      <w:r w:rsidRPr="0018136B">
        <w:t xml:space="preserve">. In agreement with previous literature </w:t>
      </w:r>
      <w:r w:rsidR="004E315A" w:rsidRPr="0018136B">
        <w:rPr>
          <w:b/>
        </w:rPr>
        <w:fldChar w:fldCharType="begin"/>
      </w:r>
      <w:r w:rsidR="007A6EED" w:rsidRPr="0018136B">
        <w:rPr>
          <w:b/>
        </w:rPr>
        <w:instrText xml:space="preserve"> ADDIN ZOTERO_ITEM CSL_CITATION {"citationID":"74C9mkee","properties":{"formattedCitation":"(Gershkovich et al. 2010; Voak et al. 2017c)","plainCitation":"(Gershkovich et al. 2010; Voak et al. 2017c)","noteIndex":0},"citationItems":[{"id":2489,"uris":["http://zotero.org/users/2628971/items/XXSTPFCD"],"uri":["http://zotero.org/users/2628971/items/XXSTPFCD"],"itemData":{"id":2489,"type":"article-journal","title":"Visceral leishmaniasis affects liver and spleen concentrations of amphotericin B following administration to mice","container-title":"The Journal of Antimicrobial Chemotherapy","page":"535-537","volume":"65","issue":"3","source":"PubMed","abstract":"OBJECTIVES: To assess the impact of visceral leishmaniasis (VL) on the concentration of amphotericin B (AmB) recovered in the liver and spleen following either intravenous (AmBisome) or oral (iCo-009) AmB administration to mice.\nMETHODS: Livers and spleens previously obtained from VL-infected BALB/c mice (following intravenous AmBisome or oral AmB treatments) were analysed for AmB concentrations. Then, non-infected BALB/c mice were divided into three treatment groups: a single dose of intravenous AmBisome (2 mg/kg, n = 5); and oral AmB every 12 h for 5 days (10 mg/kg, n = 6 and 20 mg/kg, n = 6). The animals were sacrificed 7 days after the initiation of the treatment and the livers and spleens were harvested for drug analysis by HPLC.\nRESULTS: The single intravenous injection of AmBisome resulted in a 77-fold lower concentration of AmB in infected compared with non-infected liver tissue, while the difference in AmB concentration in the spleen was only 5-fold. The multiple dose oral administration of AmB resulted in a 3-fold lower concentration of AmB in infected compared with non-infected livers for both oral doses, while the differences in AmB concentrations in the spleen were not statistically different for the oral treatment groups.\nCONCLUSIONS: VL significantly lowered the concentration of AmB in the liver and the spleen when compared with uninfected animals. This effect seems to correlate with the degree of infection of the tissue. In the case of the intravenous liposomal formulation (AmBisome), the differences between the infected and non-infected tissues are of a higher magnitude than in the case of orally administered AmB (iCo-009).","DOI":"10.1093/jac/dkp465","ISSN":"1460-2091","note":"PMID: 20026611","journalAbbreviation":"J. Antimicrob. Chemother.","language":"eng","author":[{"family":"Gershkovich","given":"Pavel"},{"family":"Wasan","given":"Ellen K."},{"family":"Sivak","given":"Olena"},{"family":"Li","given":"Raymond"},{"family":"Zhu","given":"Xiaohua"},{"family":"Werbovetz","given":"Karl A."},{"family":"Tidwell","given":"Richard R."},{"family":"Clement","given":"John G."},{"family":"Thornton","given":"Sheila J."},{"family":"Wasan","given":"Kishor M."}],"issued":{"date-parts":[["2010",3]]}}},{"id":2507,"uris":["http://zotero.org/users/2628971/items/W2SGM4SR"],"uri":["http://zotero.org/users/2628971/items/W2SGM4SR"],"itemData":{"id":2507,"type":"article-journal","title":"Pharmacodynamics and Biodistribution of Single-Dose Liposomal Amphotericin B at Different Stages of Experimental Visceral Leishmaniasis","container-title":"Antimicrobial Agents and Chemotherapy","volume":"61","issue":"9","source":"PubMed","abstract":"Visceral leishmaniasis is a neglected tropical disease that causes significant morbidity and mortality worldwide. Characterization of the pharmacokinetics and pharmacodynamics of antileishmanial drugs in preclinical models is important for drug development and use. Here we investigated the pharmacodynamics and drug distribution of liposomal amphotericin B (AmBisome) inLeishmania donovani-infected BALB/c mice at three different dose levels and two different time points after infection. We additionally compared drug levels in plasma, liver, and spleen in infected and uninfected BALB/c mice over time. At the highest administered dose of 10 mg/kg AmBisome, &gt;90% parasite inhibition was observed within 2 days after drug administration, consistent with drug distribution from blood to tissue within 24 h and a fast rate of kill. Decreased drug potency was observed in the spleen when AmBisome was administered on day 35 after infection, compared to day 14 after infection. Amphotericin B concentrations and total drug amounts per organ were lower in liver and spleen when AmBisome was administered at the advanced stage of infection and compared to those in uninfected BALB/c mice. However, the magnitude of difference was lower when total drug amounts per organ were estimated. Differences were also noted in drug distribution toL. donovani-infected livers and spleens. Taken together, our data suggest that organ enlargement and other pathophysiological factors cause infection- and organ-specific drug distribution and elimination after administration of single-dose AmBisome toL. donovani-infected mice. Plasma drug levels were not reflective of changes in drug levels in tissues.","DOI":"10.1128/AAC.00497-17","ISSN":"1098-6596","note":"PMID: 28630200\nPMCID: PMC5571318","journalAbbreviation":"Antimicrob. Agents Chemother.","language":"eng","author":[{"family":"Voak","given":"Andrew A."},{"family":"Harris","given":"Andy"},{"family":"Qaiser","given":"Zeeshan"},{"family":"Croft","given":"Simon L."},{"family":"Seifert","given":"Karin"}],"issued":{"date-parts":[["2017",9]]}}}],"schema":"https://github.com/citation-style-language/schema/raw/master/csl-citation.json"} </w:instrText>
      </w:r>
      <w:r w:rsidR="004E315A" w:rsidRPr="0018136B">
        <w:rPr>
          <w:b/>
        </w:rPr>
        <w:fldChar w:fldCharType="separate"/>
      </w:r>
      <w:r w:rsidR="007A6EED" w:rsidRPr="0018136B">
        <w:rPr>
          <w:lang w:val="en-US"/>
        </w:rPr>
        <w:t>(Gershkovich et al. 2010; Voak et al. 2017)</w:t>
      </w:r>
      <w:r w:rsidR="004E315A" w:rsidRPr="0018136B">
        <w:rPr>
          <w:b/>
        </w:rPr>
        <w:fldChar w:fldCharType="end"/>
      </w:r>
      <w:r w:rsidRPr="0018136B">
        <w:t xml:space="preserve"> we found the liver to be an effective accumulator of </w:t>
      </w:r>
      <w:r w:rsidR="00A32111" w:rsidRPr="0018136B">
        <w:t>AmB</w:t>
      </w:r>
      <w:r w:rsidRPr="0018136B">
        <w:t xml:space="preserve"> with rapid decreases in parasite burden observed post-treatment</w:t>
      </w:r>
      <w:r w:rsidR="0018136B" w:rsidRPr="0018136B">
        <w:t xml:space="preserve"> (</w:t>
      </w:r>
      <w:r w:rsidR="0018136B" w:rsidRPr="0018136B">
        <w:fldChar w:fldCharType="begin"/>
      </w:r>
      <w:r w:rsidR="0018136B" w:rsidRPr="0018136B">
        <w:instrText xml:space="preserve"> REF _Ref518932550 </w:instrText>
      </w:r>
      <w:r w:rsidR="0018136B">
        <w:instrText xml:space="preserve"> \* MERGEFORMAT </w:instrText>
      </w:r>
      <w:r w:rsidR="0018136B" w:rsidRPr="0018136B">
        <w:fldChar w:fldCharType="separate"/>
      </w:r>
      <w:r w:rsidR="00921CAF" w:rsidRPr="00921CAF">
        <w:rPr>
          <w:b/>
        </w:rPr>
        <w:t xml:space="preserve">Figure </w:t>
      </w:r>
      <w:r w:rsidR="00921CAF" w:rsidRPr="00921CAF">
        <w:rPr>
          <w:b/>
          <w:noProof/>
        </w:rPr>
        <w:t>3.12</w:t>
      </w:r>
      <w:r w:rsidR="0018136B" w:rsidRPr="0018136B">
        <w:fldChar w:fldCharType="end"/>
      </w:r>
      <w:r w:rsidR="0018136B" w:rsidRPr="0018136B">
        <w:t>)</w:t>
      </w:r>
      <w:r w:rsidRPr="0018136B">
        <w:t>. We opted to further analyse cell populations using traditional immunological</w:t>
      </w:r>
      <w:r w:rsidRPr="008B3AD6">
        <w:t xml:space="preserve"> techniques including </w:t>
      </w:r>
      <w:r w:rsidRPr="0018136B">
        <w:t>FACS</w:t>
      </w:r>
      <w:r w:rsidR="0018136B" w:rsidRPr="0018136B">
        <w:t xml:space="preserve"> (</w:t>
      </w:r>
      <w:r w:rsidR="0018136B" w:rsidRPr="0018136B">
        <w:fldChar w:fldCharType="begin"/>
      </w:r>
      <w:r w:rsidR="0018136B" w:rsidRPr="0018136B">
        <w:instrText xml:space="preserve"> REF _Ref518932073 </w:instrText>
      </w:r>
      <w:r w:rsidR="0018136B">
        <w:instrText xml:space="preserve"> \* MERGEFORMAT </w:instrText>
      </w:r>
      <w:r w:rsidR="0018136B" w:rsidRPr="0018136B">
        <w:fldChar w:fldCharType="separate"/>
      </w:r>
      <w:r w:rsidR="00921CAF" w:rsidRPr="00921CAF">
        <w:rPr>
          <w:b/>
        </w:rPr>
        <w:t xml:space="preserve">Figure </w:t>
      </w:r>
      <w:r w:rsidR="00921CAF" w:rsidRPr="00921CAF">
        <w:rPr>
          <w:b/>
          <w:noProof/>
        </w:rPr>
        <w:t>3.8</w:t>
      </w:r>
      <w:r w:rsidR="0018136B" w:rsidRPr="0018136B">
        <w:fldChar w:fldCharType="end"/>
      </w:r>
      <w:r w:rsidR="0018136B" w:rsidRPr="0018136B">
        <w:t xml:space="preserve"> and</w:t>
      </w:r>
      <w:r w:rsidR="0018136B" w:rsidRPr="0018136B">
        <w:rPr>
          <w:b/>
        </w:rPr>
        <w:t xml:space="preserve"> </w:t>
      </w:r>
      <w:r w:rsidR="0018136B" w:rsidRPr="0018136B">
        <w:fldChar w:fldCharType="begin"/>
      </w:r>
      <w:r w:rsidR="0018136B" w:rsidRPr="0018136B">
        <w:instrText xml:space="preserve"> REF _Ref518932440 </w:instrText>
      </w:r>
      <w:r w:rsidR="0018136B">
        <w:instrText xml:space="preserve"> \* MERGEFORMAT </w:instrText>
      </w:r>
      <w:r w:rsidR="0018136B" w:rsidRPr="0018136B">
        <w:fldChar w:fldCharType="separate"/>
      </w:r>
      <w:r w:rsidR="00921CAF" w:rsidRPr="00921CAF">
        <w:rPr>
          <w:b/>
        </w:rPr>
        <w:t xml:space="preserve">Figure </w:t>
      </w:r>
      <w:r w:rsidR="00921CAF" w:rsidRPr="00921CAF">
        <w:rPr>
          <w:b/>
          <w:noProof/>
        </w:rPr>
        <w:t>3.11</w:t>
      </w:r>
      <w:r w:rsidR="0018136B" w:rsidRPr="0018136B">
        <w:fldChar w:fldCharType="end"/>
      </w:r>
      <w:r w:rsidR="0018136B" w:rsidRPr="0018136B">
        <w:t>)</w:t>
      </w:r>
      <w:r w:rsidRPr="0018136B">
        <w:t>, as</w:t>
      </w:r>
      <w:r w:rsidRPr="008B3AD6">
        <w:t xml:space="preserve"> opposed to imaging approaches, as it allowed us to directly attribute drug accumulation to cellular populations involved in granulomatous inflammation (a feat not possible with imaging mass spectroscopy due to the low resolution of analysis and its incompatibility with immunofluorescent and immunohistochemical techniques for cell identification). One of our first findings was that the majority of </w:t>
      </w:r>
      <w:r w:rsidR="00A32111">
        <w:t>AmB</w:t>
      </w:r>
      <w:r w:rsidRPr="008B3AD6">
        <w:t xml:space="preserve"> tended to accumulate outside of the hepatic leukocyte </w:t>
      </w:r>
      <w:r w:rsidRPr="0018136B">
        <w:t>population</w:t>
      </w:r>
      <w:r w:rsidR="0018136B" w:rsidRPr="0018136B">
        <w:t xml:space="preserve"> (</w:t>
      </w:r>
      <w:r w:rsidR="0018136B" w:rsidRPr="0018136B">
        <w:fldChar w:fldCharType="begin"/>
      </w:r>
      <w:r w:rsidR="0018136B" w:rsidRPr="0018136B">
        <w:instrText xml:space="preserve"> REF _Ref518932093 </w:instrText>
      </w:r>
      <w:r w:rsidR="0018136B">
        <w:instrText xml:space="preserve"> \* MERGEFORMAT </w:instrText>
      </w:r>
      <w:r w:rsidR="0018136B" w:rsidRPr="0018136B">
        <w:fldChar w:fldCharType="separate"/>
      </w:r>
      <w:r w:rsidR="00921CAF" w:rsidRPr="00921CAF">
        <w:rPr>
          <w:b/>
        </w:rPr>
        <w:t xml:space="preserve">Figure </w:t>
      </w:r>
      <w:r w:rsidR="00921CAF" w:rsidRPr="00921CAF">
        <w:rPr>
          <w:b/>
          <w:noProof/>
        </w:rPr>
        <w:t>3.9</w:t>
      </w:r>
      <w:r w:rsidR="0018136B" w:rsidRPr="0018136B">
        <w:fldChar w:fldCharType="end"/>
      </w:r>
      <w:r w:rsidR="0018136B" w:rsidRPr="0018136B">
        <w:t xml:space="preserve"> and </w:t>
      </w:r>
      <w:r w:rsidR="0018136B" w:rsidRPr="0018136B">
        <w:fldChar w:fldCharType="begin"/>
      </w:r>
      <w:r w:rsidR="0018136B" w:rsidRPr="0018136B">
        <w:instrText xml:space="preserve"> REF _Ref518932772 </w:instrText>
      </w:r>
      <w:r w:rsidR="0018136B">
        <w:instrText xml:space="preserve"> \* MERGEFORMAT </w:instrText>
      </w:r>
      <w:r w:rsidR="0018136B" w:rsidRPr="0018136B">
        <w:fldChar w:fldCharType="separate"/>
      </w:r>
      <w:r w:rsidR="00921CAF" w:rsidRPr="00921CAF">
        <w:rPr>
          <w:b/>
        </w:rPr>
        <w:t xml:space="preserve">Figure </w:t>
      </w:r>
      <w:r w:rsidR="00921CAF" w:rsidRPr="00921CAF">
        <w:rPr>
          <w:b/>
          <w:noProof/>
        </w:rPr>
        <w:t>3.13</w:t>
      </w:r>
      <w:r w:rsidR="0018136B" w:rsidRPr="0018136B">
        <w:fldChar w:fldCharType="end"/>
      </w:r>
      <w:r w:rsidR="0018136B" w:rsidRPr="0018136B">
        <w:t>)</w:t>
      </w:r>
      <w:r w:rsidRPr="0018136B">
        <w:t>.</w:t>
      </w:r>
      <w:r w:rsidRPr="008B3AD6">
        <w:t xml:space="preserve"> This finding highlighted two key features of hepatic drug distribution, that there were high levels of off-target accumulation, as </w:t>
      </w:r>
      <w:r w:rsidRPr="008B3AD6">
        <w:rPr>
          <w:i/>
        </w:rPr>
        <w:t>L. donovani</w:t>
      </w:r>
      <w:r w:rsidRPr="008B3AD6">
        <w:t xml:space="preserve"> resides within a subset of hepatic leukocytes, and that the low levels of accumulation achieved by leukocytes were still sufficient to induce significant reductions in </w:t>
      </w:r>
      <w:r w:rsidRPr="008B3AD6">
        <w:lastRenderedPageBreak/>
        <w:t xml:space="preserve">parasite burden over time. Further investigation into leukocyte subsets showed that of the subsets analysed lymphoid cells (mainly compromising T cells, B cells and NK cells), which are key components of the immune response to infection but not significant reservoirs of intracellular parasites themselves, </w:t>
      </w:r>
      <w:r w:rsidR="004F142F">
        <w:t xml:space="preserve">whilst displaying low cell-for-cell AmB accumulation at a total population level </w:t>
      </w:r>
      <w:r w:rsidRPr="008B3AD6">
        <w:t>displayed high levels of accumulation, thus serving as an additional source of off-target accumulation</w:t>
      </w:r>
      <w:r w:rsidR="0018136B">
        <w:t xml:space="preserve"> (</w:t>
      </w:r>
      <w:r w:rsidR="0018136B" w:rsidRPr="0018136B">
        <w:rPr>
          <w:b/>
        </w:rPr>
        <w:fldChar w:fldCharType="begin"/>
      </w:r>
      <w:r w:rsidR="0018136B" w:rsidRPr="0018136B">
        <w:rPr>
          <w:b/>
        </w:rPr>
        <w:instrText xml:space="preserve"> REF _Ref518932911  \* MERGEFORMAT </w:instrText>
      </w:r>
      <w:r w:rsidR="0018136B" w:rsidRPr="0018136B">
        <w:rPr>
          <w:b/>
        </w:rPr>
        <w:fldChar w:fldCharType="separate"/>
      </w:r>
      <w:r w:rsidR="00921CAF" w:rsidRPr="00921CAF">
        <w:rPr>
          <w:b/>
        </w:rPr>
        <w:t xml:space="preserve">Figure </w:t>
      </w:r>
      <w:r w:rsidR="00921CAF" w:rsidRPr="00921CAF">
        <w:rPr>
          <w:b/>
          <w:noProof/>
        </w:rPr>
        <w:t>3.14</w:t>
      </w:r>
      <w:r w:rsidR="0018136B" w:rsidRPr="0018136B">
        <w:rPr>
          <w:b/>
        </w:rPr>
        <w:fldChar w:fldCharType="end"/>
      </w:r>
      <w:r w:rsidR="0018136B" w:rsidRPr="0018136B">
        <w:rPr>
          <w:b/>
        </w:rPr>
        <w:t>Dii</w:t>
      </w:r>
      <w:r w:rsidR="0018136B">
        <w:t>)</w:t>
      </w:r>
      <w:r w:rsidRPr="008B3AD6">
        <w:t>.</w:t>
      </w:r>
    </w:p>
    <w:p w14:paraId="7EDCCABF" w14:textId="77777777" w:rsidR="00193B35" w:rsidRPr="008B3AD6" w:rsidRDefault="00193B35" w:rsidP="001E4087">
      <w:pPr>
        <w:spacing w:line="360" w:lineRule="auto"/>
        <w:jc w:val="both"/>
      </w:pPr>
    </w:p>
    <w:p w14:paraId="3FCE4DF3" w14:textId="64FEC188" w:rsidR="000B06EB" w:rsidRPr="008B3AD6" w:rsidRDefault="00193B35" w:rsidP="001E4087">
      <w:pPr>
        <w:spacing w:line="360" w:lineRule="auto"/>
        <w:jc w:val="both"/>
      </w:pPr>
      <w:r w:rsidRPr="008B3AD6">
        <w:t xml:space="preserve">These findings can be applied to our understanding of therapeutics for anti-leishmanials in two main ways. Firstly, the data presented here would suggest that a whole tissue level of accumulation is insufficient to fully understand the availability of therapeutic agents to </w:t>
      </w:r>
      <w:r w:rsidRPr="008B3AD6">
        <w:rPr>
          <w:i/>
        </w:rPr>
        <w:t>Leishmania</w:t>
      </w:r>
      <w:r w:rsidRPr="008B3AD6">
        <w:t xml:space="preserve"> amastigotes, especially those within granulomas. Our work has demonstrated a simple approach, using density-centrifugation, for the separation and LC-MS/MS analysis of leukocytes of the liver is </w:t>
      </w:r>
      <w:r w:rsidR="0018136B">
        <w:t>able</w:t>
      </w:r>
      <w:r w:rsidRPr="008B3AD6">
        <w:t xml:space="preserve"> to highlight substantial differences in drug accumulation between </w:t>
      </w:r>
      <w:r w:rsidR="0018136B">
        <w:t>the leukocyte</w:t>
      </w:r>
      <w:r w:rsidRPr="008B3AD6">
        <w:t xml:space="preserve"> fraction and the total liver. An approach which could easily be incorporated into </w:t>
      </w:r>
      <w:r w:rsidRPr="008B3AD6">
        <w:rPr>
          <w:i/>
        </w:rPr>
        <w:t>in vivo</w:t>
      </w:r>
      <w:r w:rsidRPr="008B3AD6">
        <w:t xml:space="preserve"> investigations. Additionally, drug targeting has been discussed, </w:t>
      </w:r>
      <w:r w:rsidR="000B06EB" w:rsidRPr="008B3AD6">
        <w:fldChar w:fldCharType="begin"/>
      </w:r>
      <w:r w:rsidR="007A6EED">
        <w:instrText xml:space="preserve"> ADDIN ZOTERO_ITEM CSL_CITATION {"citationID":"4XQp0sAG","properties":{"formattedCitation":"(Mukherjee et al. 2004; Longmuir et al. 2009; Kelly, Jefferies, and Cryan 2011; Pawar et al. 2014)","plainCitation":"(Mukherjee et al. 2004; Longmuir et al. 2009; Kelly, Jefferies, and Cryan 2011; Pawar et al. 2014)","noteIndex":0},"citationItems":[{"id":1068,"uris":["http://zotero.org/users/2628971/items/W67BVDNJ"],"uri":["http://zotero.org/users/2628971/items/W67BVDNJ"],"itemData":{"id":1068,"type":"webpage","title":"Targeting of Parasite-Specific Immunoliposome-Encapsulated Doxorubicin in the Treatment of Experimental Visceral Leishmaniasis.","container-title":"J. infect. dis.","abstract":": A parasite-specific 51-kDa protein has been isolated from the membrane of macrophages infected with Leishmania donovani, the causative agent of visceral leishmaniasis. Active targeting of doxorubicin to infected macrophages was studied by incorporating it in immunoliposomes prepared by grafting F(ab)'2 of anti-51- kDa antibody onto the liposomal surface. In a 45-day mouse model of visceral leishmaniasis, complete elimination of spleen parasite burden was achieved by doxorubicin incorporated in immunoliposome (immunodoxosome) at a dose of 250 [mu]g/kg/day that was given for 4 consecutive days. A similar dose of free and liposomal drug (doxosome) had 45% and 84% parasite suppressive effects, respectively. Immunodoxosome and doxosome were generally less toxic than the free drug, as determined by several clinical parameters of cardiotoxicity and liver toxicity. These results not only indicate the potential of doxorubicin as an effective chemotherapeutic agent but also establish the use of immunoliposomes as drug carrier in the therapy of leishmaniasis., (C) Copyright Oxford University Press 2004.","author":[{"family":"Mukherjee","given":"Snigdha"},{"family":"Das","given":"Lopamudra"},{"family":"Kole","given":"Labanyamoy"},{"family":"Karmakar","given":"Sudipan"},{"family":"Datta","given":"Neeta"},{"family":"Das","given":"Pijush"}],"issued":{"date-parts":[["2004"]]},"accessed":{"date-parts":[["189",1,1]]}}},{"id":2913,"uris":["http://zotero.org/users/2628971/items/KSHY27CH"],"uri":["http://zotero.org/users/2628971/items/KSHY27CH"],"itemData":{"id":2913,"type":"article-journal","title":"Liposomal delivery of doxorubicin to hepatocytes in vivo by targeting heparan sulfate","container-title":"International journal of pharmaceutics","page":"222-233","volume":"382","issue":"1-2","source":"PubMed Central","abstract":"Previous work demonstrated that liposomes, containing an amino acid sequence that binds to hepatic heparan sulfate glycosaminoglycan, show effective targeting to liver hepatocytes. These liposomes were tested to determine whether they can deliver doxorubicin selectively to liver and hepatocytes in vivo. Fluid-phase liposomes contained a lipid-anchored 19-amino acid glycosaminoglycan targeting peptide. Liposomes were loaded with doxorubicin and were non-leaky in the presence of serum. After intravenous administration to mice, organs were harvested and the doxorubicin content extracted and measured by fluorescence intensity and by fluorescence microscopy. The liposomal doxorubicin was recovered almost entirely from liver, with only trace amounts detectable in heart, lung, and kidney. Fluorescence microscopy demonstrated doxorubicin preferentially in hepatocytes, also in non-parenchymal cells of the liver, but not in cells of heart, lung or kidney. The doxorubicin was localized within liver cell nuclei within five minutes after intravenous injection. These studies demonstrated that liposomal doxorubicin can be effectively delivered to hepatocytes by targeting the heparan sulfate glycosaminoglycan of liver tissue. With the composition described here, the doxorubicin was rapidly released from the liposomes without the need for an externally supplied stimulus.","DOI":"10.1016/j.ijpharm.2009.07.030","ISSN":"0378-5173","note":"PMID: 19664697\nPMCID: PMC2784200","journalAbbreviation":"Int J Pharm","author":[{"family":"Longmuir","given":"Kenneth J."},{"family":"Haynes","given":"Sherry M."},{"family":"Baratta","given":"Janie L."},{"family":"Kasabwalla","given":"Natasha"},{"family":"Robertson","given":"Richard T."}],"issued":{"date-parts":[["2009",12,1]]}}},{"id":2483,"uris":["http://zotero.org/users/2628971/items/3H5667H9"],"uri":["http://zotero.org/users/2628971/items/3H5667H9"],"itemData":{"id":2483,"type":"article-journal","title":"Targeted liposomal drug delivery to monocytes and macrophages","container-title":"Journal of Drug Delivery","page":"727241","volume":"2011","source":"PubMed","abstract":"As the role of monocytes and macrophages in a range of diseases is better understood, strategies to target these cell types are of growing importance both scientifically and therapeutically. As particulate carriers, liposomes naturally target cells of the mononuclear phagocytic system (MPS), particularly macrophages. Loading drugs into liposomes can therefore offer an efficient means of drug targeting to MPS cells. Physicochemical properties including size, charge and lipid composition can have a very significant effect on the efficiency with which liposomes target MPS cells. MPS cells express a range of receptors including scavenger receptors, integrins, mannose receptors and Fc-receptors that can be targeted by the addition of ligands to liposome surfaces. These ligands include peptides, antibodies and lectins and have the advantages of increasing target specificity and avoiding the need for cationic lipids to trigger intracellular delivery. The goal for targeting monocytes/macrophages using liposomes includes not only drug delivery but also potentially a role in cell ablation and cell activation for the treatment of conditions including cancer, atherosclerosis, HIV, and chronic inflammation.","DOI":"10.1155/2011/727241","ISSN":"2090-3022","note":"PMID: 21512579\nPMCID: PMC3065850","journalAbbreviation":"J Drug Deliv","language":"eng","author":[{"family":"Kelly","given":"Ciara"},{"family":"Jefferies","given":"Caroline"},{"family":"Cryan","given":"Sally-Ann"}],"issued":{"date-parts":[["2011"]]}}},{"id":1978,"uris":["http://zotero.org/users/2628971/items/CIXUQVVV"],"uri":["http://zotero.org/users/2628971/items/CIXUQVVV"],"itemData":{"id":1978,"type":"webpage","title":"Targeting of gastrointestinal tract for amended delivery of protein/peptide therapeutics: Strategies and industrial perspectives.","container-title":"J. control. release","abstract":"Delivery of proteins/peptides to the gastrointestinal (GI) tract via peroral/oral route involves tremendous challenges due to unfavorable environmental conditions like harsh pH, presence of proteolytic enzymes and absorption barriers. Detailed research is being conducted at the academic and industrial levels to diminish these troubles and various products are under clinical trials. Several approaches have been established to optimize oral delivery of proteins and peptides and can be broadly categorized into chemical and physical strategies. Chemical strategies include site specific mutagenesis, proteinylation, glycosylation, PEGylation and prodrug approaches, whereas physical strategies comprise formulation based approaches including application of absorption enhancers and metabolism modifiers along with delivering them via colloidal carrier systems such as nanoparticles, liposomes, microparticles, and micro- and nano-emulsions. This review stands to accomplish the diverse aspects of oral delivery of proteins/peptides and summarizes the key concepts involved in targeting the biodrugs to specific sites of the GI tract such as the intestine and colon. Furthermore some light has also been shed on the current industrial practices followed in developing oral formulations of such bioactives., (C) 2014Elsevier, Inc.","author":[{"family":"Pawar","given":"Vivek"},{"family":"Meher","given":"Jaya"},{"family":"Singh","given":"Yuvraj"},{"family":"Chaurasia","given":"Mohini"},{"family":"Surendar Reddy","given":"B."},{"family":"Chourasia","given":"Manish"}],"issued":{"date-parts":[["2014"]]},"accessed":{"date-parts":[["196",1,1]]}}}],"schema":"https://github.com/citation-style-language/schema/raw/master/csl-citation.json"} </w:instrText>
      </w:r>
      <w:r w:rsidR="000B06EB" w:rsidRPr="008B3AD6">
        <w:fldChar w:fldCharType="separate"/>
      </w:r>
      <w:r w:rsidR="007A6EED" w:rsidRPr="007A6EED">
        <w:rPr>
          <w:lang w:val="en-US"/>
        </w:rPr>
        <w:t>(Mukherjee et al. 2004; Longmuir et al. 2009; Kelly, Jefferies, and Cryan 2011; Pawar et al. 2014)</w:t>
      </w:r>
      <w:r w:rsidR="000B06EB" w:rsidRPr="008B3AD6">
        <w:fldChar w:fldCharType="end"/>
      </w:r>
      <w:r w:rsidRPr="008B3AD6">
        <w:t xml:space="preserve">, </w:t>
      </w:r>
      <w:r w:rsidR="000B06EB" w:rsidRPr="008B3AD6">
        <w:t>such as using</w:t>
      </w:r>
      <w:r w:rsidRPr="008B3AD6">
        <w:t xml:space="preserve"> liposomes incorporating components which target specific cells for their uptake to maximise target uptake of drug and our work suggests that due to off-target accumulation targeting would be a valid consideration for</w:t>
      </w:r>
      <w:r w:rsidR="0018136B">
        <w:t xml:space="preserve"> bolstering the efficacy of</w:t>
      </w:r>
      <w:r w:rsidRPr="008B3AD6">
        <w:t xml:space="preserve"> </w:t>
      </w:r>
      <w:r w:rsidR="00A32111">
        <w:t>LAm</w:t>
      </w:r>
      <w:r w:rsidRPr="008B3AD6">
        <w:t xml:space="preserve">B. </w:t>
      </w:r>
    </w:p>
    <w:p w14:paraId="27D9AE73" w14:textId="237A0AFE" w:rsidR="000B06EB" w:rsidRDefault="000B06EB" w:rsidP="001E4087">
      <w:pPr>
        <w:spacing w:line="360" w:lineRule="auto"/>
        <w:jc w:val="both"/>
      </w:pPr>
    </w:p>
    <w:p w14:paraId="1C046F6B" w14:textId="012FDC4C" w:rsidR="0049614A" w:rsidRDefault="0049614A" w:rsidP="001E4087">
      <w:pPr>
        <w:spacing w:line="360" w:lineRule="auto"/>
        <w:jc w:val="both"/>
      </w:pPr>
      <w:r w:rsidRPr="0049614A">
        <w:t xml:space="preserve">It is worth considering, however, that the implementation of fluorescence activated cell sorting used to discern these results focuses on total leukocyte populations and/or sub-populations. This is due to the nature of FACS requiring disassembly of tissue which results in the loss of spatial data for samples. Here an almost inherent assumption is that the leukocyte populations we isolated have some involvement in the immune response raised against L. donovani in the liver, namely in the formation and maintenance of granulomas. Various studies employing histopathological, immunohistochemical and/or immunofluorescent characterisations of leukocytes within the livers of L. donovani infected mice have shown some leukocyte populations, including neutrophils (Sacramento et al., 2015; Salguero et al., 2018), CD4+Foxp3+Regulatory T Cells (Tiwananthagorn et al., 2012), macrophages and B cells (Salguero et al., 2018), that are not forming part of the granuloma. Thus, whilst our results focus on AmB accumulation within leukocytes it should be considered that these leukocytes may not themselves be associated with the granulomatous response. There is potential to employ imaging techniques to further investigate granuloma-associated and non-associated leukocytes however the lack of resolution in mass </w:t>
      </w:r>
      <w:r w:rsidRPr="0049614A">
        <w:lastRenderedPageBreak/>
        <w:t>spectrometry imaging and lack of an Amphotericin B antibody has hampered their implementation.</w:t>
      </w:r>
    </w:p>
    <w:p w14:paraId="50228C85" w14:textId="77777777" w:rsidR="0049614A" w:rsidRPr="008B3AD6" w:rsidRDefault="0049614A" w:rsidP="001E4087">
      <w:pPr>
        <w:spacing w:line="360" w:lineRule="auto"/>
        <w:jc w:val="both"/>
      </w:pPr>
    </w:p>
    <w:p w14:paraId="775AF1ED" w14:textId="284697CD" w:rsidR="00193B35" w:rsidRPr="008B3AD6" w:rsidRDefault="00193B35" w:rsidP="001E4087">
      <w:pPr>
        <w:spacing w:line="360" w:lineRule="auto"/>
        <w:jc w:val="both"/>
      </w:pPr>
      <w:r w:rsidRPr="008B3AD6">
        <w:t xml:space="preserve">Secondly, our work would indirectly point to a need for better understanding of the mechanisms of action for anti-leishmanial therapeutics. Some of the frontline therapeutics utilised in the treatment of </w:t>
      </w:r>
      <w:r w:rsidRPr="008B3AD6">
        <w:rPr>
          <w:i/>
        </w:rPr>
        <w:t xml:space="preserve">Leishmaniasis </w:t>
      </w:r>
      <w:r w:rsidRPr="008B3AD6">
        <w:t xml:space="preserve">were introduced at the beginning of this thesis (see Section </w:t>
      </w:r>
      <w:fldSimple w:instr=" REF _Ref523316869 \r  \* MERGEFORMAT ">
        <w:r w:rsidR="00031DCA">
          <w:t>1.2.6</w:t>
        </w:r>
      </w:fldSimple>
      <w:r w:rsidRPr="008B3AD6">
        <w:t xml:space="preserve">) and a common feature is that the way(s) in which this drugs control parasite burden are not fully understood. </w:t>
      </w:r>
      <w:r w:rsidR="00A32111">
        <w:t>AmB</w:t>
      </w:r>
      <w:r w:rsidRPr="008B3AD6">
        <w:t xml:space="preserve"> studies have described the formation of membrane pores </w:t>
      </w:r>
      <w:r w:rsidR="000B06EB" w:rsidRPr="008B3AD6">
        <w:fldChar w:fldCharType="begin"/>
      </w:r>
      <w:r w:rsidR="007A6EED">
        <w:instrText xml:space="preserve"> ADDIN ZOTERO_ITEM CSL_CITATION {"citationID":"YXbyuT0I","properties":{"formattedCitation":"(Baginski, Czub, and Sternal 2006; Czub and Baginski 2006)","plainCitation":"(Baginski, Czub, and Sternal 2006; Czub and Baginski 2006)","noteIndex":0},"citationItems":[{"id":2527,"uris":["http://zotero.org/users/2628971/items/BFTNB3FG"],"uri":["http://zotero.org/users/2628971/items/BFTNB3FG"],"itemData":{"id":2527,"type":"article-journal","title":"Interaction of amphotericin B and its selected derivatives with membranes: molecular modeling studies","container-title":"Chemical Record (New York, N.Y.)","page":"320-332","volume":"6","issue":"6","source":"PubMed","abstract":"Amphotericin B (AmB) is a well-known antifungal antibiotic that has been used in the clinic for about five decades. Despite its chemotherapeutic importance, AmB is quite toxic and many efforts have been made to improve its pharmacological properties, e.g., by chemical modifications. The lipid membrane is a molecular target for AmB, however, due to heterogeneity of its components, the molecular mechanism of AmB action is still unclear. The lack of this knowledge hinders rational designing of new and less toxic AmB derivatives. Our review is a critical presentation of the current understanding of AmB molecular mechanism of action at the membrane level. Except the experimental approach, the extensive overview of molecular modeling studies, performed mostly in our lab, is presented. The results of interactions between AmB or some of its derivatives and lipid model membranes are discussed. In our studies, different biomembrane models and different associate states of the antibiotic were included. Presented molecular modeling approach is especially valuable with regard to a new paradigm of the structure of lipid membrane containing liquid-ordered domains. Hopefully, all these complementary experimental/computational approaches are going to reach the point at which a new hypothesis about molecular mechanism of AmB activity and selectivity will be put forward.","DOI":"10.1002/tcr.20096","ISSN":"1527-8999","note":"PMID: 17304519","shortTitle":"Interaction of amphotericin B and its selected derivatives with membranes","journalAbbreviation":"Chem Rec","language":"eng","author":[{"family":"Baginski","given":"Maciej"},{"family":"Czub","given":"Jacek"},{"family":"Sternal","given":"Kamil"}],"issued":{"date-parts":[["2006"]]}}},{"id":3542,"uris":["http://zotero.org/users/2628971/items/4VTMV97Y"],"uri":["http://zotero.org/users/2628971/items/4VTMV97Y"],"itemData":{"id":3542,"type":"article-journal","title":"Modulation of Amphotericin B Membrane Interaction by Cholesterol and ErgosterolA Molecular Dynamics Study","container-title":"The Journal of Physical Chemistry B","page":"16743-16753","volume":"110","issue":"33","source":"ACS Publications","abstract":"Amphotericin B (AmB) is a well-known polyene macrolide antibiotic used to treat systemic fungal infections. According to a well-documented hypothesis, molecules of AmB form ionic membrane channels that are responsible for chemotherapeutic action. These channels disturb the barrier function of the cell membrane which, in consequence, leads to cell death. The presence of sterols in the cell membrane is necessary for full manifestation of the antibiotic's ionophoric activity, at least in vivo. Ergosterol-containing fungal membranes are targeted more efficiently by AmB than mammalian membranes containing cholesterol. However, a similar level of disturbance of fungal and mammalian membranes is responsible for serious toxicity of the antibiotic. Due to the importance of AmB and lack of better antifungal alternatives, the search for new less toxic derivatives of this antibiotic still continues. Therefore, studies of the AmB−membrane interaction are very important. The present work constitutes a continuation of a broad program of study on AmB mode of action in our group. In particular, molecular dynamics simulations of AmB monomers inside the bilayers of three different compositions (pure dimiristoylphosphatidylcholine (DMPC) and DMPC bilayer containing </w:instrText>
      </w:r>
      <w:r w:rsidR="007A6EED">
        <w:rPr>
          <w:rFonts w:ascii="Cambria Math" w:hAnsi="Cambria Math" w:cs="Cambria Math"/>
        </w:rPr>
        <w:instrText>∼</w:instrText>
      </w:r>
      <w:r w:rsidR="007A6EED">
        <w:instrText xml:space="preserve">25 mol % of cholesterol or ergosterol) were carried out. In general, analysis of generated trajectories resulted in identifying many significant differences in the behavior of AmB monomers depending on the membrane environment. In particular, it was established that the antibiotic increases the internal order of DMPC bilayer containing 25 mol % of cholesterol, while it has no effect on the order of the bilayer with the same amount of ergosterol. Performed calculations also revealed that relatively rigid and elongated AmB molecules exhibit higher affinity toward the sterol-containing lo phases and, therefore, may be cumulated in ordered membrane domains (e.g., lipid rafts). Since the partition coefficient between the ld and lo phase appears to be greater in the case of the ergosterol- compared to cholesterol-containing membrane, this effect can be also discussed as the possible origin of AmB-selective toxicity and indirect sterol involvement in expression of AmB activity.","DOI":"10.1021/jp061916g","ISSN":"1520-6106","journalAbbreviation":"J. Phys. Chem. B","author":[{"family":"Czub","given":"Jacek"},{"family":"Baginski","given":"Maciej"}],"issued":{"date-parts":[["2006",8,1]]}}}],"schema":"https://github.com/citation-style-language/schema/raw/master/csl-citation.json"} </w:instrText>
      </w:r>
      <w:r w:rsidR="000B06EB" w:rsidRPr="008B3AD6">
        <w:fldChar w:fldCharType="separate"/>
      </w:r>
      <w:r w:rsidR="007A6EED" w:rsidRPr="007A6EED">
        <w:rPr>
          <w:lang w:val="en-US"/>
        </w:rPr>
        <w:t>(Baginski, Czub, and Sternal 2006; Czub and Baginski 2006)</w:t>
      </w:r>
      <w:r w:rsidR="000B06EB" w:rsidRPr="008B3AD6">
        <w:fldChar w:fldCharType="end"/>
      </w:r>
      <w:r w:rsidRPr="008B3AD6">
        <w:t xml:space="preserve"> which kill the parasite through leakage of intracellular contents however there are a few studies that have suggested additional mechanisms including immunomodulation </w:t>
      </w:r>
      <w:r w:rsidR="000B06EB" w:rsidRPr="008B3AD6">
        <w:fldChar w:fldCharType="begin"/>
      </w:r>
      <w:r w:rsidR="007A6EED">
        <w:instrText xml:space="preserve"> ADDIN ZOTERO_ITEM CSL_CITATION {"citationID":"S81NglYl","properties":{"formattedCitation":"(Mesa-Arango, Scorzoni, and Zaragoza 2012)","plainCitation":"(Mesa-Arango, Scorzoni, and Zaragoza 2012)","noteIndex":0},"citationItems":[{"id":3556,"uris":["http://zotero.org/users/2628971/items/TYADJU4G"],"uri":["http://zotero.org/users/2628971/items/TYADJU4G"],"itemData":{"id":3556,"type":"article-journal","title":"It only takes one to do many jobs: Amphotericin B as antifungal and immunomodulatory drug","container-title":"Frontiers in Microbiology","volume":"3","source":"Frontiers","abstract":"“Amphotericin B acts through pore formation at the cell membrane after binding to ergosterol” is an accepted dogma about the action mechanism of this antifungal, and this sentence is widely found in the literature. But after 60 years of investigation, the action mechanism of AmB is not fully elucidated. Amphotericin B is a polyene substance that is one of the most effective drugs for the treatment of fungal and parasite infections. As stated above, the first mechanism of action described was pore formation after binding to the ergosterol present in the membrane. But it has also been demonstrated that AmB induces oxidative damage in the cells. Moreover, amphotericin B modulates the immune system, and this activity has been related to the protective effect of the molecule, but also to its toxicity in the host. This review tries to provide a general overview of the main aspects of this molecule, and highlight the multiple effects that this molecule has on both the fungal and host cells.","URL":"https://www.frontiersin.org/articles/10.3389/fmicb.2012.00286/full","DOI":"10.3389/fmicb.2012.00286","ISSN":"1664-302X","shortTitle":"It only takes one to do many jobs","journalAbbreviation":"Front. Microbiol.","language":"English","author":[{"family":"Mesa-Arango","given":"Ana Cecilia"},{"family":"Scorzoni","given":"Liliana"},{"family":"Zaragoza","given":"Oscar"}],"issued":{"date-parts":[["2012"]]},"accessed":{"date-parts":[["2018",8,27]]}}}],"schema":"https://github.com/citation-style-language/schema/raw/master/csl-citation.json"} </w:instrText>
      </w:r>
      <w:r w:rsidR="000B06EB" w:rsidRPr="008B3AD6">
        <w:fldChar w:fldCharType="separate"/>
      </w:r>
      <w:r w:rsidR="007A6EED" w:rsidRPr="007A6EED">
        <w:rPr>
          <w:lang w:val="en-US"/>
        </w:rPr>
        <w:t>(Mesa-Arango, Scorzoni, and Zaragoza 2012)</w:t>
      </w:r>
      <w:r w:rsidR="000B06EB" w:rsidRPr="008B3AD6">
        <w:fldChar w:fldCharType="end"/>
      </w:r>
      <w:r w:rsidRPr="008B3AD6">
        <w:t xml:space="preserve"> and alteration of membranes inhibiting parasite phagocytosis </w:t>
      </w:r>
      <w:r w:rsidR="000B06EB" w:rsidRPr="008B3AD6">
        <w:rPr>
          <w:b/>
        </w:rPr>
        <w:fldChar w:fldCharType="begin"/>
      </w:r>
      <w:r w:rsidR="007A6EED">
        <w:rPr>
          <w:b/>
        </w:rPr>
        <w:instrText xml:space="preserve"> ADDIN ZOTERO_ITEM CSL_CITATION {"citationID":"HqE96QOr","properties":{"formattedCitation":"(Chattopadhyay and Jafurulla 2011)","plainCitation":"(Chattopadhyay and Jafurulla 2011)","noteIndex":0},"citationItems":[{"id":3554,"uris":["http://zotero.org/users/2628971/items/GXPRZJCE"],"uri":["http://zotero.org/users/2628971/items/GXPRZJCE"],"itemData":{"id":3554,"type":"article-journal","title":"A novel mechanism for an old drug: amphotericin B in the treatment of visceral leishmaniasis","container-title":"Biochemical and Biophysical Research Communications","page":"7-12","volume":"416","issue":"1-2","source":"PubMed","abstract":"Visceral leishmaniasis (VL) is caused by various species of the genus Leishmania. Internalization of Leishmania into host cells is facilitated by a large number of receptors, and therefore no panacea is available for the treatment of leishmaniasis. We previously demonstrated the requirement of host membrane cholesterol in the entry of Leishmania into macrophages by cholesterol depletion using methyl-β-cyclodextrin (MβCD). We recently showed that leishmanial infection is inhibited upon sequestration of host membrane cholesterol using amphotericin B (AmB), considered as the best existing drug against VL. The reason for the antileishmanial activity of AmB is generally believed to be its ability to bind ergosterol in parasite membranes. Our recent results offer the opportunity to reexamine the mechanism behind the effectiveness of current AmB-based therapeutic strategies to treat leishmaniasis. We propose here a novel mechanism in which the effectiveness of AmB treatment could be partly based on its ability to sequester cholesterol in the host membrane, thereby abrogating macrophage-parasite interaction.","DOI":"10.1016/j.bbrc.2011.11.023","ISSN":"1090-2104","note":"PMID: 22100811","shortTitle":"A novel mechanism for an old drug","journalAbbreviation":"Biochem. Biophys. Res. Commun.","language":"eng","author":[{"family":"Chattopadhyay","given":"Amitabha"},{"family":"Jafurulla","given":"Md"}],"issued":{"date-parts":[["2011",12,9]]}}}],"schema":"https://github.com/citation-style-language/schema/raw/master/csl-citation.json"} </w:instrText>
      </w:r>
      <w:r w:rsidR="000B06EB" w:rsidRPr="008B3AD6">
        <w:rPr>
          <w:b/>
        </w:rPr>
        <w:fldChar w:fldCharType="separate"/>
      </w:r>
      <w:r w:rsidR="007A6EED" w:rsidRPr="007A6EED">
        <w:rPr>
          <w:lang w:val="en-US"/>
        </w:rPr>
        <w:t>(Chattopadhyay and Jafurulla 2011)</w:t>
      </w:r>
      <w:r w:rsidR="000B06EB" w:rsidRPr="008B3AD6">
        <w:rPr>
          <w:b/>
        </w:rPr>
        <w:fldChar w:fldCharType="end"/>
      </w:r>
      <w:r w:rsidRPr="008B3AD6">
        <w:t>. In this instance these mechanisms would all indicate parasite hosts (including Kupffer cells, dendritic cells and monocytes) and not non-host cell groups, such as T cells, as</w:t>
      </w:r>
      <w:r w:rsidR="0018136B">
        <w:t xml:space="preserve"> they key</w:t>
      </w:r>
      <w:r w:rsidRPr="008B3AD6">
        <w:t xml:space="preserve"> target</w:t>
      </w:r>
      <w:r w:rsidR="000B06EB" w:rsidRPr="008B3AD6">
        <w:t>s</w:t>
      </w:r>
      <w:r w:rsidRPr="008B3AD6">
        <w:t xml:space="preserve"> for </w:t>
      </w:r>
      <w:r w:rsidR="0018136B">
        <w:t>AmB</w:t>
      </w:r>
      <w:r w:rsidR="00064AB4">
        <w:t>. However, for sodium s</w:t>
      </w:r>
      <w:r w:rsidRPr="008B3AD6">
        <w:t xml:space="preserve">tibogluconate </w:t>
      </w:r>
      <w:r w:rsidR="000B06EB" w:rsidRPr="008B3AD6">
        <w:t xml:space="preserve">one of </w:t>
      </w:r>
      <w:r w:rsidRPr="008B3AD6">
        <w:t>the mechanism</w:t>
      </w:r>
      <w:r w:rsidR="000B06EB" w:rsidRPr="008B3AD6">
        <w:t>s</w:t>
      </w:r>
      <w:r w:rsidRPr="008B3AD6">
        <w:t xml:space="preserve"> of action proposed </w:t>
      </w:r>
      <w:r w:rsidR="000B06EB" w:rsidRPr="008B3AD6">
        <w:t>is</w:t>
      </w:r>
      <w:r w:rsidRPr="008B3AD6">
        <w:t xml:space="preserve"> </w:t>
      </w:r>
      <w:r w:rsidR="000B06EB" w:rsidRPr="008B3AD6">
        <w:t xml:space="preserve">to induce proliferation of T cells </w:t>
      </w:r>
      <w:r w:rsidR="000B06EB" w:rsidRPr="008B3AD6">
        <w:fldChar w:fldCharType="begin"/>
      </w:r>
      <w:r w:rsidR="007A6EED">
        <w:instrText xml:space="preserve"> ADDIN ZOTERO_ITEM CSL_CITATION {"citationID":"5qW7213h","properties":{"formattedCitation":"(Haldar, Sen, and Roy 2011)","plainCitation":"(Haldar, Sen, and Roy 2011)","noteIndex":0},"citationItems":[{"id":3626,"uris":["http://zotero.org/users/2628971/items/7FWJBQ37"],"uri":["http://zotero.org/users/2628971/items/7FWJBQ37"],"itemData":{"id":3626,"type":"webpage","title":"Use of Antimony in the Treatment of Leishmaniasis: Current Status and Future Directions","container-title":"Molecular Biology International","genre":"Research article","abstract":"In the recent past the standard treatment of kala-azar involved the use of pentavalent antimonials Sb(V). Because of progressive rise in treatment failure to Sb(V) was limited its use in the treatment program in the Indian subcontinent. Until now the mechanism of action of Sb(V) is not very clear. Recent studies indicated that both parasite and hosts contribute to the antimony efflux mechanism. Interestingly, antimonials show strong immunostimulatory abilities as evident from the upregulation of transplantation antigens and enhanced T cell stimulating ability of normal antigen presenting cells when treated with Sb(V) in vitro. Recently, it has been shown that some of the peroxovanadium compounds have Sb(V)-resistance modifying ability in experimental infection with Sb(V) resistant Leishmania donovani isolates in murine model. Thus, vanadium compounds may be used in combination with Sb(V) in the treatment of Sb(V) resistance cases of kala-azar.","URL":"https://www.hindawi.com/journals/mbi/2011/571242/","note":"PMID: 22091408\nDOI: 10.4061/2011/571242","shortTitle":"Use of Antimony in the Treatment of Leishmaniasis","language":"en","author":[{"family":"Haldar","given":"Arun Kumar"},{"family":"Sen","given":"Pradip"},{"family":"Roy","given":"Syamal"}],"issued":{"date-parts":[["2011"]]},"accessed":{"date-parts":[["2018",8,27]]}}}],"schema":"https://github.com/citation-style-language/schema/raw/master/csl-citation.json"} </w:instrText>
      </w:r>
      <w:r w:rsidR="000B06EB" w:rsidRPr="008B3AD6">
        <w:fldChar w:fldCharType="separate"/>
      </w:r>
      <w:r w:rsidR="007A6EED" w:rsidRPr="007A6EED">
        <w:rPr>
          <w:lang w:val="en-US"/>
        </w:rPr>
        <w:t>(Haldar, Sen, and Roy 2011)</w:t>
      </w:r>
      <w:r w:rsidR="000B06EB" w:rsidRPr="008B3AD6">
        <w:fldChar w:fldCharType="end"/>
      </w:r>
      <w:r w:rsidRPr="008B3AD6">
        <w:t xml:space="preserve"> which conversely would necessitate accumulation in T cells but not necessarily parasite host cell groups. </w:t>
      </w:r>
      <w:r w:rsidR="0018136B">
        <w:t xml:space="preserve">Thus, here our understanding of whether AmB accumulates within the ‘right’ cell groups could be furthered by a more comprehensive knowledge of which leukocyte subsets should be the focus for drug accumulation. </w:t>
      </w:r>
    </w:p>
    <w:p w14:paraId="77000AB4" w14:textId="77777777" w:rsidR="00193B35" w:rsidRPr="008B3AD6" w:rsidRDefault="00193B35" w:rsidP="001E4087">
      <w:pPr>
        <w:spacing w:line="360" w:lineRule="auto"/>
        <w:jc w:val="both"/>
      </w:pPr>
    </w:p>
    <w:p w14:paraId="57A79419" w14:textId="441DC885" w:rsidR="00193B35" w:rsidRPr="008B3AD6" w:rsidRDefault="00F62B64" w:rsidP="001E4087">
      <w:pPr>
        <w:pStyle w:val="Heading2"/>
        <w:jc w:val="both"/>
      </w:pPr>
      <w:bookmarkStart w:id="675" w:name="_Toc3716121"/>
      <w:r w:rsidRPr="008B3AD6">
        <w:t>Immune system processes</w:t>
      </w:r>
      <w:r w:rsidR="00193B35" w:rsidRPr="008B3AD6">
        <w:t xml:space="preserve"> that influence drug accumulation during EVL</w:t>
      </w:r>
      <w:bookmarkEnd w:id="675"/>
    </w:p>
    <w:p w14:paraId="52E974E6" w14:textId="5A9A41DD" w:rsidR="00193B35" w:rsidRPr="008B3AD6" w:rsidRDefault="00193B35" w:rsidP="001E4087">
      <w:pPr>
        <w:spacing w:line="360" w:lineRule="auto"/>
        <w:jc w:val="both"/>
      </w:pPr>
      <w:r w:rsidRPr="008B3AD6">
        <w:t xml:space="preserve">To determine the immune system processes that influence drug accumulation during </w:t>
      </w:r>
      <w:r w:rsidR="0018136B">
        <w:t xml:space="preserve">infection with </w:t>
      </w:r>
      <w:r w:rsidR="0018136B">
        <w:rPr>
          <w:i/>
        </w:rPr>
        <w:t>L. donovani</w:t>
      </w:r>
      <w:r w:rsidRPr="008B3AD6">
        <w:t xml:space="preserve"> a two-step approach was needed. As the addition of </w:t>
      </w:r>
      <w:r w:rsidR="00A32111">
        <w:t>LAmB</w:t>
      </w:r>
      <w:r w:rsidRPr="008B3AD6">
        <w:t xml:space="preserve"> into a system during </w:t>
      </w:r>
      <w:r w:rsidR="00F85593">
        <w:t>infection</w:t>
      </w:r>
      <w:r w:rsidRPr="008B3AD6">
        <w:t xml:space="preserve"> represents a perturbation the system can be divided into segments: the basal infection and the consequential effects of treatment. To address the overarching research question, we thus devised an approach to derive a mathematical model of a simplified hepatic immune response to </w:t>
      </w:r>
      <w:r w:rsidRPr="008B3AD6">
        <w:rPr>
          <w:i/>
        </w:rPr>
        <w:t>L. donovani</w:t>
      </w:r>
      <w:r w:rsidRPr="008B3AD6">
        <w:t xml:space="preserve"> infection (</w:t>
      </w:r>
      <w:r w:rsidR="008B3AD6" w:rsidRPr="008B3AD6">
        <w:fldChar w:fldCharType="begin"/>
      </w:r>
      <w:r w:rsidR="008B3AD6" w:rsidRPr="008B3AD6">
        <w:instrText xml:space="preserve"> REF _Ref519000859 \r </w:instrText>
      </w:r>
      <w:r w:rsidR="008B3AD6">
        <w:instrText xml:space="preserve"> \* MERGEFORMAT </w:instrText>
      </w:r>
      <w:r w:rsidR="008B3AD6" w:rsidRPr="008B3AD6">
        <w:fldChar w:fldCharType="separate"/>
      </w:r>
      <w:r w:rsidR="00031DCA">
        <w:t>Chapter 4</w:t>
      </w:r>
      <w:r w:rsidR="008B3AD6" w:rsidRPr="008B3AD6">
        <w:fldChar w:fldCharType="end"/>
      </w:r>
      <w:r w:rsidRPr="008B3AD6">
        <w:t>); the derived model could then be expanded to include pharmacological processes, including cellular drug distribution, for investigation of processes affecting drug accumulation (</w:t>
      </w:r>
      <w:r w:rsidR="008B3AD6" w:rsidRPr="008B3AD6">
        <w:fldChar w:fldCharType="begin"/>
      </w:r>
      <w:r w:rsidR="008B3AD6" w:rsidRPr="008B3AD6">
        <w:instrText xml:space="preserve"> REF _Ref518937182 \r </w:instrText>
      </w:r>
      <w:r w:rsidR="008B3AD6">
        <w:instrText xml:space="preserve"> \* MERGEFORMAT </w:instrText>
      </w:r>
      <w:r w:rsidR="008B3AD6" w:rsidRPr="008B3AD6">
        <w:fldChar w:fldCharType="separate"/>
      </w:r>
      <w:r w:rsidR="00031DCA">
        <w:t>Chapter 5</w:t>
      </w:r>
      <w:r w:rsidR="008B3AD6" w:rsidRPr="008B3AD6">
        <w:fldChar w:fldCharType="end"/>
      </w:r>
      <w:r w:rsidRPr="008B3AD6">
        <w:t>).</w:t>
      </w:r>
    </w:p>
    <w:p w14:paraId="61367205" w14:textId="77777777" w:rsidR="00193B35" w:rsidRPr="008B3AD6" w:rsidRDefault="00193B35" w:rsidP="001E4087">
      <w:pPr>
        <w:spacing w:line="360" w:lineRule="auto"/>
        <w:jc w:val="both"/>
      </w:pPr>
    </w:p>
    <w:p w14:paraId="6FEB5DBC" w14:textId="5313DAB0" w:rsidR="0090645F" w:rsidRDefault="00193B35" w:rsidP="001E4087">
      <w:pPr>
        <w:spacing w:line="360" w:lineRule="auto"/>
        <w:jc w:val="both"/>
      </w:pPr>
      <w:r w:rsidRPr="008B3AD6">
        <w:t>A selection of mathematical and computational models were introduced in</w:t>
      </w:r>
      <w:r w:rsidR="0018136B">
        <w:t xml:space="preserve"> Section</w:t>
      </w:r>
      <w:r w:rsidRPr="008B3AD6">
        <w:t xml:space="preserve"> </w:t>
      </w:r>
      <w:fldSimple w:instr=" REF _Ref525220674 \n ">
        <w:r w:rsidR="0018136B">
          <w:t>1.2.7</w:t>
        </w:r>
      </w:fldSimple>
      <w:r w:rsidRPr="008B3AD6">
        <w:t xml:space="preserve"> as tools for investigations into immunological features of </w:t>
      </w:r>
      <w:r w:rsidR="004F142F">
        <w:t>l</w:t>
      </w:r>
      <w:r w:rsidR="004F142F" w:rsidRPr="0018136B">
        <w:t>eishmaniasis</w:t>
      </w:r>
      <w:r w:rsidR="004F142F" w:rsidRPr="008B3AD6">
        <w:rPr>
          <w:i/>
        </w:rPr>
        <w:t xml:space="preserve"> </w:t>
      </w:r>
      <w:r w:rsidRPr="008B3AD6">
        <w:t xml:space="preserve">infections. In this thesis we opted to create a novel implementation for multiple reasons. Whilst there are a variety of mathematical and computational models available our choice was limited by a small number </w:t>
      </w:r>
      <w:r w:rsidRPr="008B3AD6">
        <w:lastRenderedPageBreak/>
        <w:t xml:space="preserve">of these describing a </w:t>
      </w:r>
      <w:r w:rsidR="00F85593">
        <w:t>VL</w:t>
      </w:r>
      <w:r w:rsidR="0090645F">
        <w:t xml:space="preserve"> infection.</w:t>
      </w:r>
      <w:r w:rsidRPr="008B3AD6">
        <w:t xml:space="preserve"> </w:t>
      </w:r>
      <w:r w:rsidR="0090645F">
        <w:t xml:space="preserve">Of </w:t>
      </w:r>
      <w:r w:rsidRPr="008B3AD6">
        <w:t>the models</w:t>
      </w:r>
      <w:r w:rsidR="0090645F">
        <w:t xml:space="preserve"> describing VL</w:t>
      </w:r>
      <w:r w:rsidRPr="008B3AD6">
        <w:t xml:space="preserve"> none fully matched the scope we had planned by either being tailored for specific investigative scenarios or </w:t>
      </w:r>
      <w:r w:rsidR="00F85593">
        <w:t>capturing</w:t>
      </w:r>
      <w:r w:rsidRPr="008B3AD6">
        <w:t xml:space="preserve"> high levels of complexity which hampered redeployment. A strength of these published models for </w:t>
      </w:r>
      <w:r w:rsidR="00F85593">
        <w:t>VL</w:t>
      </w:r>
      <w:r w:rsidRPr="008B3AD6">
        <w:t xml:space="preserve"> was their tractability to qualitative validation and confidence in the concepts they simulated due to employment of structured frameworks for development, namely the CoSMoS process (see Section </w:t>
      </w:r>
      <w:r w:rsidR="008B3AD6" w:rsidRPr="008B3AD6">
        <w:fldChar w:fldCharType="begin"/>
      </w:r>
      <w:r w:rsidR="008B3AD6" w:rsidRPr="008B3AD6">
        <w:instrText xml:space="preserve"> REF _Ref522488036 \r </w:instrText>
      </w:r>
      <w:r w:rsidR="008B3AD6">
        <w:instrText xml:space="preserve"> \* MERGEFORMAT </w:instrText>
      </w:r>
      <w:r w:rsidR="008B3AD6" w:rsidRPr="008B3AD6">
        <w:fldChar w:fldCharType="separate"/>
      </w:r>
      <w:r w:rsidR="00031DCA">
        <w:t>1.3.2</w:t>
      </w:r>
      <w:r w:rsidR="008B3AD6" w:rsidRPr="008B3AD6">
        <w:fldChar w:fldCharType="end"/>
      </w:r>
      <w:r w:rsidRPr="008B3AD6">
        <w:t xml:space="preserve">). From this we </w:t>
      </w:r>
      <w:r w:rsidR="00F85593">
        <w:t>decided</w:t>
      </w:r>
      <w:r w:rsidR="0090645F">
        <w:t xml:space="preserve"> to utilise</w:t>
      </w:r>
      <w:r w:rsidR="000B06EB" w:rsidRPr="008B3AD6">
        <w:t xml:space="preserve"> the CoSMoS process</w:t>
      </w:r>
      <w:r w:rsidR="0090645F">
        <w:t xml:space="preserve"> for </w:t>
      </w:r>
      <w:r w:rsidR="0090645F">
        <w:rPr>
          <w:i/>
        </w:rPr>
        <w:t xml:space="preserve">in silico </w:t>
      </w:r>
      <w:r w:rsidR="0090645F">
        <w:t>model development</w:t>
      </w:r>
      <w:r w:rsidRPr="008B3AD6">
        <w:t>.</w:t>
      </w:r>
      <w:r w:rsidR="0090645F">
        <w:t xml:space="preserve"> </w:t>
      </w:r>
    </w:p>
    <w:p w14:paraId="18F8A4F2" w14:textId="77777777" w:rsidR="0090645F" w:rsidRDefault="0090645F" w:rsidP="001E4087">
      <w:pPr>
        <w:spacing w:line="360" w:lineRule="auto"/>
        <w:jc w:val="both"/>
      </w:pPr>
    </w:p>
    <w:p w14:paraId="00C11B30" w14:textId="7F22DCF4" w:rsidR="00193B35" w:rsidRPr="008B3AD6" w:rsidRDefault="0090645F" w:rsidP="001E4087">
      <w:pPr>
        <w:spacing w:line="360" w:lineRule="auto"/>
        <w:jc w:val="both"/>
      </w:pPr>
      <w:r>
        <w:t>Utilisation of CoSMoS process in the</w:t>
      </w:r>
      <w:r w:rsidRPr="008B3AD6">
        <w:t xml:space="preserve"> creation of </w:t>
      </w:r>
      <w:r>
        <w:t>our ODE</w:t>
      </w:r>
      <w:r w:rsidRPr="008B3AD6">
        <w:t xml:space="preserve"> model</w:t>
      </w:r>
      <w:r w:rsidR="00AB6F75">
        <w:t xml:space="preserve"> (see Sections </w:t>
      </w:r>
      <w:fldSimple w:instr=" REF _Ref525222143 \n ">
        <w:r w:rsidR="00AB6F75">
          <w:t>4.3.2</w:t>
        </w:r>
      </w:fldSimple>
      <w:r w:rsidR="00AB6F75">
        <w:t xml:space="preserve"> - </w:t>
      </w:r>
      <w:fldSimple w:instr=" REF _Ref525222145 \n ">
        <w:r w:rsidR="00AB6F75">
          <w:t>4.3.4</w:t>
        </w:r>
      </w:fldSimple>
      <w:r w:rsidR="00AB6F75">
        <w:t xml:space="preserve"> and Sections </w:t>
      </w:r>
      <w:fldSimple w:instr=" REF _Ref523784587 \n ">
        <w:r w:rsidR="00AB6F75">
          <w:t>5.3.1</w:t>
        </w:r>
      </w:fldSimple>
      <w:r w:rsidR="00AB6F75">
        <w:t xml:space="preserve"> - </w:t>
      </w:r>
      <w:fldSimple w:instr=" REF _Ref525222153 \n ">
        <w:r w:rsidR="00AB6F75">
          <w:t>5.3.2</w:t>
        </w:r>
      </w:fldSimple>
      <w:r w:rsidR="00AB6F75">
        <w:t>)</w:t>
      </w:r>
      <w:r w:rsidRPr="008B3AD6">
        <w:t xml:space="preserve"> has resulted in a simulation model for which processes are easily traced through to their biological origin, the diagrams produced at each stage provide easily interpretable representations of our understanding of biological phenomena and how these were translated into a mathematical model allowing for an end user to be confident in the model’s foundations. However, if new knowledge, data and perspectives arise, the iterative nature of the CoSMoS process means that the model</w:t>
      </w:r>
      <w:r>
        <w:t xml:space="preserve"> can be updated. This provides a great deal of</w:t>
      </w:r>
      <w:r w:rsidRPr="008B3AD6">
        <w:t xml:space="preserve"> flexibility </w:t>
      </w:r>
      <w:r>
        <w:t xml:space="preserve">for our model which is beneficial as it allows for continued improvement of the </w:t>
      </w:r>
      <w:r>
        <w:rPr>
          <w:i/>
        </w:rPr>
        <w:t>in silico</w:t>
      </w:r>
      <w:r>
        <w:t xml:space="preserve"> model and call allow for</w:t>
      </w:r>
      <w:r w:rsidRPr="008B3AD6">
        <w:t xml:space="preserve"> </w:t>
      </w:r>
      <w:r>
        <w:t>redeployment in other scenarios, such as</w:t>
      </w:r>
      <w:r w:rsidR="00AB6F75">
        <w:t xml:space="preserve"> in</w:t>
      </w:r>
      <w:r>
        <w:t xml:space="preserve"> HIV whereby </w:t>
      </w:r>
      <w:r w:rsidR="00AB6F75">
        <w:t xml:space="preserve">an initial model </w:t>
      </w:r>
      <w:r w:rsidR="00FC23A0">
        <w:t xml:space="preserve">was </w:t>
      </w:r>
      <w:r w:rsidR="00AB6F75">
        <w:t xml:space="preserve">adapted for multiple investigative scenarios </w:t>
      </w:r>
      <w:r w:rsidR="00AB6F75">
        <w:fldChar w:fldCharType="begin"/>
      </w:r>
      <w:r w:rsidR="001E0E9E">
        <w:instrText xml:space="preserve"> ADDIN ZOTERO_ITEM CSL_CITATION {"citationID":"X6OgUv7V","properties":{"formattedCitation":"(Dorratoltaj et al. 2017b)","plainCitation":"(Dorratoltaj et al. 2017b)","noteIndex":0},"citationItems":[{"id":3418,"uris":["http://zotero.org/users/2628971/items/P9ITPRBL"],"uri":["http://zotero.org/users/2628971/items/P9ITPRBL"],"itemData":{"id":3418,"type":"article-journal","title":"Multi-scale immunoepidemiological modeling of within-host and between-host HIV dynamics: systematic review of mathematical models","container-title":"PeerJ","volume":"5","source":"PubMed Central","abstract":"Objective\nThe objective of this study is to conduct a systematic review of multi-scale HIV immunoepidemiological models to improve our understanding of the synergistic impact between the HIV viral-immune dynamics at the individual level and HIV transmission dynamics at the population level.\n\nBackground\nWhile within-host and between-host models of HIV dynamics have been well studied at a single scale, connecting the immunological and epidemiological scales through multi-scale models is an emerging method to infer the synergistic dynamics of HIV at the individual and population levels.\n\nMethods\nWe reviewed nine articles using the PRISMA (Preferred Reporting Items for Systematic Reviews and Meta-Analyses) framework that focused on the synergistic dynamics of HIV immunoepidemiological models at the individual and population levels.\n\nResults\nHIV immunoepidemiological models simulate viral immune dynamics at the within-host scale and the epidemiological transmission dynamics at the between-host scale. They account for longitudinal changes in the immune viral dynamics of HIV+ individuals, and their corresponding impact on the transmission dynamics in the population. They are useful to analyze the dynamics of HIV super-infection, co-infection, drug resistance, evolution, and treatment in HIV+ individuals, and their impact on the epidemic pathways in the population. We illustrate the coupling mechanisms of the within-host and between-host scales, their mathematical implementation, and the clinical and public health problems that are appropriate for analysis using HIV immunoepidemiological models.\n\nConclusion\nHIV immunoepidemiological models connect the within-host immune dynamics at the individual level and the epidemiological transmission dynamics at the population level. While multi-scale models add complexity over a single-scale model, they account for the time varying immune viral response of HIV+ individuals, and the corresponding impact on the time-varying risk of transmission of HIV+ individuals to other susceptibles in the population.","URL":"https://www.ncbi.nlm.nih.gov/pmc/articles/PMC5623312/","DOI":"10.7717/peerj.3877","ISSN":"2167-8359","note":"PMID: 28970973\nPMCID: PMC5623312","shortTitle":"Multi-scale immunoepidemiological modeling of within-host and between-host HIV dynamics","journalAbbreviation":"PeerJ","author":[{"family":"Dorratoltaj","given":"Nargesalsadat"},{"family":"Nikin-Beers","given":"Ryan"},{"family":"Ciupe","given":"Stanca M."},{"family":"Eubank","given":"Stephen G."},{"family":"Abbas","given":"Kaja M."}],"issued":{"date-parts":[["2017",9,28]]},"accessed":{"date-parts":[["2018",8,17]]}}}],"schema":"https://github.com/citation-style-language/schema/raw/master/csl-citation.json"} </w:instrText>
      </w:r>
      <w:r w:rsidR="00AB6F75">
        <w:fldChar w:fldCharType="separate"/>
      </w:r>
      <w:r w:rsidR="001E0E9E" w:rsidRPr="001E0E9E">
        <w:rPr>
          <w:lang w:val="en-US"/>
        </w:rPr>
        <w:t>(Dorratoltaj et al. 2017)</w:t>
      </w:r>
      <w:r w:rsidR="00AB6F75">
        <w:fldChar w:fldCharType="end"/>
      </w:r>
      <w:r w:rsidRPr="008B3AD6">
        <w:t xml:space="preserve">. Alternatively, mathematical investigations can utilise </w:t>
      </w:r>
      <w:r w:rsidR="00AB6F75">
        <w:t>our</w:t>
      </w:r>
      <w:r w:rsidR="004F142F">
        <w:t xml:space="preserve"> foundation</w:t>
      </w:r>
      <w:r w:rsidR="00AB6F75">
        <w:t xml:space="preserve"> simulation</w:t>
      </w:r>
      <w:r w:rsidRPr="008B3AD6">
        <w:t xml:space="preserve"> model</w:t>
      </w:r>
      <w:r w:rsidR="004F142F">
        <w:t>, capturing the kinetics of immune entities during inflammation,</w:t>
      </w:r>
      <w:r w:rsidRPr="008B3AD6">
        <w:t xml:space="preserve"> to derive novel information for the system at hand</w:t>
      </w:r>
      <w:r w:rsidR="00AB6F75">
        <w:t xml:space="preserve"> allowing insights that may not be obtainable from traditional wet-lab investigations</w:t>
      </w:r>
      <w:r w:rsidRPr="008B3AD6">
        <w:t>, examples for previous models include the simple epidemiological models allowing for the R</w:t>
      </w:r>
      <w:r w:rsidRPr="008B3AD6">
        <w:rPr>
          <w:vertAlign w:val="subscript"/>
        </w:rPr>
        <w:t>0</w:t>
      </w:r>
      <w:r w:rsidRPr="008B3AD6">
        <w:t xml:space="preserve">, the value denoting whether an epidemic will occur, to be derived </w:t>
      </w:r>
      <w:r w:rsidRPr="008B3AD6">
        <w:fldChar w:fldCharType="begin"/>
      </w:r>
      <w:r>
        <w:instrText xml:space="preserve"> ADDIN ZOTERO_ITEM CSL_CITATION {"citationID":"2c0wo9Nl","properties":{"formattedCitation":"(Kermack and McKendrick 1927)","plainCitation":"(Kermack and McKendrick 1927)","noteIndex":0},"citationItems":[{"id":5,"uris":["http://zotero.org/users/2628971/items/JANDEVG8"],"uri":["http://zotero.org/users/2628971/items/JANDEVG8"],"itemData":{"id":5,"type":"article-journal","title":"Contributions to the mathematical theory of epidemics","container-title":"Bulletin of Mathematical Biology","page":"33-55","volume":"53","issue":"1-2","source":"PubMed","abstract":"(1) A mathematical investigation has been made of the progress of an epidemic in a homogeneous population. It has been assumed that complete immunity is conferred by a single attack, and that an individual is not infective at the moment at which he receives infection. With these reservations the problem has been investigated in its most general aspects, and the following conclusions have been arrived at. (2) In general a threshold density of population is found to exist, which depends upon the infectivity, recovery and death rates peculiar to the epidemic. No epidemic can occur if the population density is below this threshold value. (3) Small increases of the infectivity rate may lead to large epidemics; also, if the population density slightly exceeds its threshold value the effect of an epidemic will be to reduce the density as far below the threshold value as initially it was above it. (4) An epidemic, in general, comes to an end, before the susceptible population has been exhausted. (5) Similar results are indicated for the case in which transmission is through an intermediate host.","ISSN":"0092-8240","note":"PMID: 2059741","journalAbbreviation":"Bull. Math. Biol.","language":"eng","author":[{"family":"Kermack","given":"W. O."},{"family":"McKendrick","given":"A. G."}],"issued":{"date-parts":[["1927"]]}}}],"schema":"https://github.com/citation-style-language/schema/raw/master/csl-citation.json"} </w:instrText>
      </w:r>
      <w:r w:rsidRPr="008B3AD6">
        <w:fldChar w:fldCharType="separate"/>
      </w:r>
      <w:r w:rsidRPr="007A6EED">
        <w:rPr>
          <w:lang w:val="en-US"/>
        </w:rPr>
        <w:t>(Kermack and McKendrick 1927)</w:t>
      </w:r>
      <w:r w:rsidRPr="008B3AD6">
        <w:fldChar w:fldCharType="end"/>
      </w:r>
      <w:r w:rsidRPr="008B3AD6">
        <w:t xml:space="preserve"> or in HIV modelling, the new infection events per generation </w:t>
      </w:r>
      <w:r w:rsidRPr="008B3AD6">
        <w:fldChar w:fldCharType="begin"/>
      </w:r>
      <w:r>
        <w:instrText xml:space="preserve"> ADDIN ZOTERO_ITEM CSL_CITATION {"citationID":"ERE9xi8i","properties":{"formattedCitation":"(L. Shen, Rabi, and Siliciano 2009)","plainCitation":"(L. Shen, Rabi, and Siliciano 2009)","noteIndex":0},"citationItems":[{"id":153,"uris":["http://zotero.org/users/2628971/items/TSEJ3A7I"],"uri":["http://zotero.org/users/2628971/items/TSEJ3A7I"],"itemData":{"id":153,"type":"article-journal","title":"A novel method for determining the inhibitory potential of anti-HIV drugs","container-title":"Trends in Pharmacological Sciences","page":"610-616","volume":"30","issue":"12","source":"PubMed","abstract":"In the absence of cure, most HIV-1-infected individuals will require lifelong treatment. It is therefore essential to optimize highly active antiretroviral therapy. Recent research has shown that the slope parameter or Hill coefficient, which describes the steepness of a dose-response curve, is a critical missing dimension in the evaluation of the activity of antiviral drugs. Based on this finding, instantaneous inhibitory potential (IIP) has been derived as a new measure of antiviral drug activity. IIP incorporates the slope parameter and thus is a more accurate pharmacodynamic measure of antiviral activity than current measures such as IC(50) and inhibitory quotient. Determining how to use IIP to predict the in vivo efficacy of anti-HIV-1 drugs is nevertheless important. This article discusses recent advances in in vitro measures of antiviral activity and the therapeutic implications of the dose-response curve slope and IIP.","DOI":"10.1016/j.tips.2009.09.003","ISSN":"1873-3735","note":"PMID: 19837466\nPMCID: PMC3385974","journalAbbreviation":"Trends Pharmacol. Sci.","language":"eng","author":[{"family":"Shen","given":"Lin"},{"family":"Rabi","given":"S. Alireza"},{"family":"Siliciano","given":"Robert F."}],"issued":{"date-parts":[["2009",12]]}}}],"schema":"https://github.com/citation-style-language/schema/raw/master/csl-citation.json"} </w:instrText>
      </w:r>
      <w:r w:rsidRPr="008B3AD6">
        <w:fldChar w:fldCharType="separate"/>
      </w:r>
      <w:r w:rsidR="00921CAF">
        <w:rPr>
          <w:lang w:val="en-US"/>
        </w:rPr>
        <w:t>(</w:t>
      </w:r>
      <w:r w:rsidRPr="007A6EED">
        <w:rPr>
          <w:lang w:val="en-US"/>
        </w:rPr>
        <w:t>Shen, Rabi, and Siliciano 2009)</w:t>
      </w:r>
      <w:r w:rsidRPr="008B3AD6">
        <w:fldChar w:fldCharType="end"/>
      </w:r>
      <w:r w:rsidR="00AB6F75">
        <w:t xml:space="preserve"> can be determined.</w:t>
      </w:r>
    </w:p>
    <w:p w14:paraId="0B3CAD19" w14:textId="77777777" w:rsidR="00193B35" w:rsidRPr="008B3AD6" w:rsidRDefault="00193B35" w:rsidP="001E4087">
      <w:pPr>
        <w:spacing w:line="360" w:lineRule="auto"/>
        <w:jc w:val="both"/>
      </w:pPr>
    </w:p>
    <w:p w14:paraId="126248DF" w14:textId="1B37847A" w:rsidR="00193B35" w:rsidRPr="008B3AD6" w:rsidRDefault="00193B35" w:rsidP="001E4087">
      <w:pPr>
        <w:spacing w:line="360" w:lineRule="auto"/>
        <w:jc w:val="both"/>
      </w:pPr>
      <w:r w:rsidRPr="008B3AD6">
        <w:t>The conceived</w:t>
      </w:r>
      <w:r w:rsidR="0090645F">
        <w:t xml:space="preserve"> final</w:t>
      </w:r>
      <w:r w:rsidRPr="008B3AD6">
        <w:t xml:space="preserve"> model took the form of a non-spatial set of </w:t>
      </w:r>
      <w:r w:rsidR="0090645F">
        <w:t>ODEs</w:t>
      </w:r>
      <w:r w:rsidRPr="008B3AD6">
        <w:t xml:space="preserve"> representing T cells, susceptible myeloid cells, infected myeloid cells, extracellular </w:t>
      </w:r>
      <w:r w:rsidRPr="008B3AD6">
        <w:rPr>
          <w:i/>
        </w:rPr>
        <w:t>L. donovani</w:t>
      </w:r>
      <w:r w:rsidRPr="008B3AD6">
        <w:t xml:space="preserve"> and intracellular </w:t>
      </w:r>
      <w:r w:rsidRPr="008B3AD6">
        <w:rPr>
          <w:i/>
        </w:rPr>
        <w:t xml:space="preserve">L. donovani </w:t>
      </w:r>
      <w:r w:rsidRPr="008B3AD6">
        <w:t xml:space="preserve">(see Sections </w:t>
      </w:r>
      <w:fldSimple w:instr=" REF _Ref518744288 \r  \* MERGEFORMAT ">
        <w:r w:rsidR="00031DCA">
          <w:t>4.3.4</w:t>
        </w:r>
      </w:fldSimple>
      <w:r w:rsidRPr="008B3AD6">
        <w:t xml:space="preserve"> &amp; </w:t>
      </w:r>
      <w:fldSimple w:instr=" REF _Ref523784587 \r  \* MERGEFORMAT ">
        <w:r w:rsidR="00031DCA">
          <w:t>5.3.1</w:t>
        </w:r>
      </w:fldSimple>
      <w:r w:rsidR="0090645F">
        <w:t>). A</w:t>
      </w:r>
      <w:r w:rsidRPr="008B3AD6">
        <w:t xml:space="preserve"> key distinction from published models was </w:t>
      </w:r>
      <w:r w:rsidR="0090645F">
        <w:t>the</w:t>
      </w:r>
      <w:r w:rsidRPr="008B3AD6">
        <w:t xml:space="preserve"> simulation of distinct intracellular and extracellular parasite populations and their infective processes which has not currently been covered by published models. This is a key feature for pharmacological modelling as it allows investigations into how cellular accumulation of drug effects the parasites those cells harbour with more confidence than a single abstracted population of liver localised parasite. An alternative way that this could have been implemented was as an agent based model which would have additionally captured spatial </w:t>
      </w:r>
      <w:r w:rsidRPr="008B3AD6">
        <w:lastRenderedPageBreak/>
        <w:t>features of the granuloma and as stochasticity is easily implemented could have furthered provided some attempt to recapitulate biological v</w:t>
      </w:r>
      <w:r w:rsidR="000B06EB" w:rsidRPr="008B3AD6">
        <w:t xml:space="preserve">ariability. GranSim </w:t>
      </w:r>
      <w:r w:rsidR="000B06EB" w:rsidRPr="008B3AD6">
        <w:fldChar w:fldCharType="begin"/>
      </w:r>
      <w:r w:rsidR="007A6EED">
        <w:instrText xml:space="preserve"> ADDIN ZOTERO_ITEM CSL_CITATION {"citationID":"KglVOOBi","properties":{"formattedCitation":"(Segovia-Juarez, Ganguli, and Kirschner 2004)","plainCitation":"(Segovia-Juarez, Ganguli, and Kirschner 2004)","noteIndex":0},"citationItems":[{"id":3737,"uris":["http://zotero.org/users/2628971/items/QZSYWEUI"],"uri":["http://zotero.org/users/2628971/items/QZSYWEUI"],"itemData":{"id":3737,"type":"article-journal","title":"Identifying control mechanisms of granuloma formation during M. tuberculosis infection using an agent-based model","container-title":"Journal of Theoretical Biology","page":"357-376","volume":"231","issue":"3","source":"PubMed","abstract":"Infection with Mycobacterium tuberculosis is a major world health problem. An estimated 2 billion people are presently infected and the disease causes approximately 3 million deaths per year. After bacteria are inhaled into the lung, a complex immune response is triggered leading to the formation of multicellular structures termed granulomas. It is believed that the collection of host granulomas either contain bacteria resulting in a latent infection or are unable to do so, leading to active disease. Thus, understanding granuloma formation and function is essential for improving both diagnosis and treatment of tuberculosis. Granuloma formation is a complex spatio-temporal system involving interactions of bacteria, specific immune cells, including macrophages, CD4+ and CD8+ T cells, as well as immune effectors such as chemokine and cytokines. To study this complex dynamical system we have developed an agent-based model of granuloma formation in the lung. This model combines continuous representations of chemokines with discrete agent representations of macrophages and T cells in a cellular automata-like environment. Our results indicate that key host elements involved in granuloma formation are chemokine diffusion, prevention of macrophage overcrowding within the granuloma, arrival time, location and number of T cells within the granuloma, and an overall host ability to activate macrophages. Interestingly, a key bacterial factor is its intracellular growth rate, whereby slow growth actually facilitates survival.","DOI":"10.1016/j.jtbi.2004.06.031","ISSN":"0022-5193","note":"PMID: 15501468","journalAbbreviation":"J. Theor. Biol.","language":"eng","author":[{"family":"Segovia-Juarez","given":"Jose L."},{"family":"Ganguli","given":"Suman"},{"family":"Kirschner","given":"Denise"}],"issued":{"date-parts":[["2004",12,7]]}}}],"schema":"https://github.com/citation-style-language/schema/raw/master/csl-citation.json"} </w:instrText>
      </w:r>
      <w:r w:rsidR="000B06EB" w:rsidRPr="008B3AD6">
        <w:fldChar w:fldCharType="separate"/>
      </w:r>
      <w:r w:rsidR="007A6EED" w:rsidRPr="007A6EED">
        <w:rPr>
          <w:lang w:val="en-US"/>
        </w:rPr>
        <w:t>(Segovia-Juarez, Ganguli, and Kirschner 2004)</w:t>
      </w:r>
      <w:r w:rsidR="000B06EB" w:rsidRPr="008B3AD6">
        <w:fldChar w:fldCharType="end"/>
      </w:r>
      <w:r w:rsidRPr="008B3AD6">
        <w:t xml:space="preserve"> is a good example of the implementation of an agent base model whereby a tuberculosis granuloma is simulated which was extended to include pharmacokinetic and </w:t>
      </w:r>
      <w:r w:rsidR="000B06EB" w:rsidRPr="008B3AD6">
        <w:t xml:space="preserve">pharmacodynamic considerations </w:t>
      </w:r>
      <w:r w:rsidR="000B06EB" w:rsidRPr="008B3AD6">
        <w:fldChar w:fldCharType="begin"/>
      </w:r>
      <w:r w:rsidR="007A6EED">
        <w:instrText xml:space="preserve"> ADDIN ZOTERO_ITEM CSL_CITATION {"citationID":"3ZCJLv11","properties":{"formattedCitation":"(Pienaar, Cilfone, et al. 2015)","plainCitation":"(Pienaar, Cilfone, et al. 2015)","noteIndex":0},"citationItems":[{"id":3739,"uris":["http://zotero.org/users/2628971/items/NKK8UGZX"],"uri":["http://zotero.org/users/2628971/items/NKK8UGZX"],"itemData":{"id":3739,"type":"article-journal","title":"A computational tool integrating host immunity with antibiotic dynamics to study tuberculosis treatment","container-title":"Journal of Theoretical Biology","page":"166-179","volume":"367","source":"ScienceDirect","abstract":"While active tuberculosis (TB) is a treatable disease, many complex factors prevent its global elimination. Part of the difficulty in developing optimal therapies is the large design space of antibiotic doses, regimens and combinations. Computational models that capture the spatial and temporal dynamics of antibiotics at the site of infection can aid in reducing the design space of costly and time-consuming animal pre-clinical and human clinical trials. The site of infection in TB is the granuloma, a collection of immune cells and bacteria that form in the lung, and new data suggest that penetration of drugs throughout granulomas is problematic. Here we integrate our computational model of granuloma formation and function with models for plasma pharmacokinetics, lung tissue pharmacokinetics and pharmacodynamics for two first line anti-TB antibiotics. The integrated model is calibrated to animal data. We make four predictions. First, antibiotics are frequently below effective concentrations inside granulomas, leading to bacterial growth between doses and contributing to the long treatment periods required for TB. Second, antibiotic concentration gradients form within granulomas, with lower concentrations toward their centers. Third, during antibiotic treatment, bacterial subpopulations are similar for INH and RIF treatment: mostly intracellular with extracellular bacteria located in areas non-permissive for replication (hypoxic areas), presenting a slowly increasing target population over time. Finally, we find that on an individual granuloma basis, pre-treatment infection severity (including bacterial burden, host cell activation and host cell death) is predictive of treatment outcome.","DOI":"10.1016/j.jtbi.2014.11.021","ISSN":"0022-5193","journalAbbreviation":"Journal of Theoretical Biology","author":[{"family":"Pienaar","given":"Elsje"},{"family":"Cilfone","given":"Nicholas A."},{"family":"Lin","given":"Philana Ling"},{"family":"Dartois","given":"Véronique"},{"family":"Mattila","given":"Joshua T."},{"family":"Butler","given":"J. Russell"},{"family":"Flynn","given":"JoAnne L."},{"family":"Kirschner","given":"Denise E."},{"family":"Linderman","given":"Jennifer J."}],"issued":{"date-parts":[["2015",2,21]]}}}],"schema":"https://github.com/citation-style-language/schema/raw/master/csl-citation.json"} </w:instrText>
      </w:r>
      <w:r w:rsidR="000B06EB" w:rsidRPr="008B3AD6">
        <w:fldChar w:fldCharType="separate"/>
      </w:r>
      <w:r w:rsidR="00921CAF">
        <w:rPr>
          <w:lang w:val="en-US"/>
        </w:rPr>
        <w:t>(Pienaar</w:t>
      </w:r>
      <w:r w:rsidR="007A6EED" w:rsidRPr="007A6EED">
        <w:rPr>
          <w:lang w:val="en-US"/>
        </w:rPr>
        <w:t xml:space="preserve"> et al. 2015)</w:t>
      </w:r>
      <w:r w:rsidR="000B06EB" w:rsidRPr="008B3AD6">
        <w:fldChar w:fldCharType="end"/>
      </w:r>
      <w:r w:rsidRPr="008B3AD6">
        <w:t xml:space="preserve">. However, unlike tuberculosis, leishmaniasis hepatic granulomas do not show a strict ‘layered’ organisation </w:t>
      </w:r>
      <w:r w:rsidR="00A21C57" w:rsidRPr="008B3AD6">
        <w:t xml:space="preserve">of cells around infection foci </w:t>
      </w:r>
      <w:r w:rsidRPr="008B3AD6">
        <w:t>and so this spatial organisation is not as critical, and we do not regard spatial considerations as a strictly necessary requirement. The system we propose is loosely based upon HIV mathematical modelling whereby a simplified version of infection is modelling by naïve T cells, infected T cells and infectious virion particles, a good example of this being the model proposed by Pe</w:t>
      </w:r>
      <w:r w:rsidR="00A21C57" w:rsidRPr="008B3AD6">
        <w:t xml:space="preserve">relson and colleagues </w:t>
      </w:r>
      <w:r w:rsidR="00A21C57" w:rsidRPr="008B3AD6">
        <w:fldChar w:fldCharType="begin"/>
      </w:r>
      <w:r w:rsidR="007A6EED">
        <w:instrText xml:space="preserve"> ADDIN ZOTERO_ITEM CSL_CITATION {"citationID":"EfhntAvI","properties":{"formattedCitation":"(A. S. Perelson, Kirschner, and De Boer 1993b)","plainCitation":"(A. S. Perelson, Kirschner, and De Boer 1993b)","noteIndex":0},"citationItems":[{"id":3410,"uris":["http://zotero.org/users/2628971/items/HU9JYDTE"],"uri":["http://zotero.org/users/2628971/items/HU9JYDTE"],"itemData":{"id":3410,"type":"article-journal","title":"Dynamics of HIV infection of CD4+ T cells","container-title":"Mathematical Biosciences","page":"81-125","volume":"114","issue":"1","source":"PubMed","abstract":"We examine a model for the interaction of HIV with CD4+ T cells that considers four populations: uninfected T cells, latently infected T cells, actively infected T cells, and free virus. Using this model we show that many of the puzzling quantitative features of HIV infection can be explained simply. We also consider effects of AZT on viral growth and T-cell population dynamics. The model exhibits two steady states, an uninfected state in which no virus is present and an endemically infected state, in which virus and infected T cells are present. We show that if N, the number of infectious virions produced per actively infected T cell, is less a critical value, Ncrit, then the uninfected state is the only steady state in the nonnegative orthant, and this state is stable. For N &gt; Ncrit, the uninfected state is unstable, and the endemically infected state can be either stable, or unstable and surrounded by a stable limit cycle. Using numerical bifurcation techniques we map out the parameter regimes of these various behaviors. oscillatory behavior seems to lie outside the region of biologically realistic parameter values. When the endemically infected state is stable, it is characterized by a reduced number of T cells compared with the uninfected state. Thus T-cell depletion occurs through the establishment of a new steady state. The dynamics of the establishment of this new steady state are examined both numerically and via the quasi-steady-state approximation. We develop approximations for the dynamics at early times in which the free virus rapidly binds to T cells, during an intermediate time scale in which the virus grows exponentially, and a third time scale on which viral growth slows and the endemically infected steady state is approached. Using the quasi-steady-state approximation the model can be simplified to two ordinary differential equations the summarize much of the dynamical behavior. We compute the level of T cells in the endemically infected state and show how that level varies with the parameters in the model. The model predicts that different viral strains, characterized by generating differing numbers of infective virions within infected T cells, can cause different amounts of T-cell depletion and generate depletion at different rates. Two versions of the model are studied. In one the source of T cells from precursors is constant, whereas in the other the source of T cells decreases with viral load, mimicking the infection and killing of T-cell precursors.(ABSTRACT TRUNCATED AT 400 WORDS)","ISSN":"0025-5564","note":"PMID: 8096155","journalAbbreviation":"Math Biosci","language":"eng","author":[{"family":"Perelson","given":"A. S."},{"family":"Kirschner","given":"D. E."},{"family":"De Boer","given":"R."}],"issued":{"date-parts":[["1993",3]]}}}],"schema":"https://github.com/citation-style-language/schema/raw/master/csl-citation.json"} </w:instrText>
      </w:r>
      <w:r w:rsidR="00A21C57" w:rsidRPr="008B3AD6">
        <w:fldChar w:fldCharType="separate"/>
      </w:r>
      <w:r w:rsidR="00921CAF">
        <w:t>(</w:t>
      </w:r>
      <w:r w:rsidR="007A6EED" w:rsidRPr="007A6EED">
        <w:rPr>
          <w:lang w:val="en-US"/>
        </w:rPr>
        <w:t>Perelson, Kirschner, and De Boer 1993)</w:t>
      </w:r>
      <w:r w:rsidR="00A21C57" w:rsidRPr="008B3AD6">
        <w:fldChar w:fldCharType="end"/>
      </w:r>
      <w:r w:rsidRPr="008B3AD6">
        <w:t xml:space="preserve">. Whilst we utilised </w:t>
      </w:r>
      <w:r w:rsidR="0090645F">
        <w:t xml:space="preserve">the finalised </w:t>
      </w:r>
      <w:r w:rsidRPr="008B3AD6">
        <w:t>model</w:t>
      </w:r>
      <w:r w:rsidR="00A21C57" w:rsidRPr="008B3AD6">
        <w:t xml:space="preserve"> of the hepatic immune response to </w:t>
      </w:r>
      <w:r w:rsidR="00A21C57" w:rsidRPr="008B3AD6">
        <w:rPr>
          <w:i/>
        </w:rPr>
        <w:t>L. donovani</w:t>
      </w:r>
      <w:r w:rsidR="00A21C57" w:rsidRPr="008B3AD6">
        <w:t xml:space="preserve"> infection</w:t>
      </w:r>
      <w:r w:rsidR="0090645F">
        <w:t xml:space="preserve"> (see Section </w:t>
      </w:r>
      <w:fldSimple w:instr=" REF _Ref523784587 \n ">
        <w:r w:rsidR="0090645F">
          <w:t>5.3.1</w:t>
        </w:r>
      </w:fldSimple>
      <w:r w:rsidR="0090645F">
        <w:t>)</w:t>
      </w:r>
      <w:r w:rsidRPr="008B3AD6">
        <w:t xml:space="preserve"> as a foundation for further investigation into pharmacological processes, the </w:t>
      </w:r>
      <w:r w:rsidR="0090645F">
        <w:t xml:space="preserve">finalised </w:t>
      </w:r>
      <w:r w:rsidRPr="008B3AD6">
        <w:t xml:space="preserve">model itself can be a useful tool for expanding our understanding of </w:t>
      </w:r>
      <w:r w:rsidR="0090645F">
        <w:t>EVL</w:t>
      </w:r>
      <w:r w:rsidRPr="008B3AD6">
        <w:t xml:space="preserve">. </w:t>
      </w:r>
    </w:p>
    <w:p w14:paraId="5F924660" w14:textId="77777777" w:rsidR="00193B35" w:rsidRPr="008B3AD6" w:rsidRDefault="00193B35" w:rsidP="001E4087">
      <w:pPr>
        <w:spacing w:line="360" w:lineRule="auto"/>
        <w:jc w:val="both"/>
      </w:pPr>
    </w:p>
    <w:p w14:paraId="09A2AB48" w14:textId="6206DAA7" w:rsidR="00193B35" w:rsidRPr="008B3AD6" w:rsidRDefault="00193B35" w:rsidP="001E4087">
      <w:pPr>
        <w:spacing w:line="360" w:lineRule="auto"/>
        <w:jc w:val="both"/>
      </w:pPr>
      <w:r w:rsidRPr="008B3AD6">
        <w:t xml:space="preserve">Additionally, to aid in our calibration of this model we derived time series data describing hepatic leukocyte population abundances post-infection (see Section </w:t>
      </w:r>
      <w:r w:rsidR="008B3AD6" w:rsidRPr="008B3AD6">
        <w:fldChar w:fldCharType="begin"/>
      </w:r>
      <w:r w:rsidR="008B3AD6" w:rsidRPr="008B3AD6">
        <w:instrText xml:space="preserve"> REF _Ref523511938 \r </w:instrText>
      </w:r>
      <w:r w:rsidR="008B3AD6">
        <w:instrText xml:space="preserve"> \* MERGEFORMAT </w:instrText>
      </w:r>
      <w:r w:rsidR="008B3AD6" w:rsidRPr="008B3AD6">
        <w:fldChar w:fldCharType="separate"/>
      </w:r>
      <w:r w:rsidR="00031DCA">
        <w:t>4.3.1</w:t>
      </w:r>
      <w:r w:rsidR="008B3AD6" w:rsidRPr="008B3AD6">
        <w:fldChar w:fldCharType="end"/>
      </w:r>
      <w:r w:rsidRPr="008B3AD6">
        <w:t>). Quantitative data for the populations analysed on the time scale we employed is scar</w:t>
      </w:r>
      <w:r w:rsidR="00F53553">
        <w:t>c</w:t>
      </w:r>
      <w:r w:rsidRPr="008B3AD6">
        <w:t xml:space="preserve">e within published literature. This data can form the foundation or be used in combination with further data for modelling projects as it was utilised here and thus as a standalone dataset can be employed independently of our modelling approach.    </w:t>
      </w:r>
    </w:p>
    <w:p w14:paraId="40918F38" w14:textId="77777777" w:rsidR="00193B35" w:rsidRPr="008B3AD6" w:rsidRDefault="00193B35" w:rsidP="001E4087">
      <w:pPr>
        <w:spacing w:line="360" w:lineRule="auto"/>
        <w:jc w:val="both"/>
      </w:pPr>
    </w:p>
    <w:p w14:paraId="2B303BAD" w14:textId="0D1018BF" w:rsidR="00193B35" w:rsidRPr="008B3AD6" w:rsidRDefault="00193B35" w:rsidP="001E4087">
      <w:pPr>
        <w:spacing w:line="360" w:lineRule="auto"/>
        <w:jc w:val="both"/>
      </w:pPr>
      <w:r w:rsidRPr="008B3AD6">
        <w:t>Once we had established our</w:t>
      </w:r>
      <w:r w:rsidR="00F14D25">
        <w:t xml:space="preserve"> final</w:t>
      </w:r>
      <w:r w:rsidRPr="008B3AD6">
        <w:t xml:space="preserve"> mathematical model of the hepatic immune response </w:t>
      </w:r>
      <w:r w:rsidR="00F14D25">
        <w:t xml:space="preserve">(Section </w:t>
      </w:r>
      <w:fldSimple w:instr=" REF _Ref523784587 \n ">
        <w:r w:rsidR="00F14D25">
          <w:t>5.3.1</w:t>
        </w:r>
      </w:fldSimple>
      <w:r w:rsidR="00F14D25">
        <w:t xml:space="preserve">) </w:t>
      </w:r>
      <w:r w:rsidRPr="008B3AD6">
        <w:t>we further sought to include pharmacokin</w:t>
      </w:r>
      <w:r w:rsidR="00A21C57" w:rsidRPr="008B3AD6">
        <w:t>etic/pharmacodynamic processes</w:t>
      </w:r>
      <w:r w:rsidRPr="008B3AD6">
        <w:t xml:space="preserve">. Again, through implementation of the CoSMoS process we generated diagrammatic evidence as to the biological concepts that were modelled and their transition into a simulation model. Our research into </w:t>
      </w:r>
      <w:r w:rsidR="00A32111">
        <w:t>AmB</w:t>
      </w:r>
      <w:r w:rsidRPr="008B3AD6">
        <w:t xml:space="preserve"> and its pharmacokinetics/pharmacodynamics during the CoSMoS process highlighted a deficiency in data regarding the pharmacokinetics observed during infection with </w:t>
      </w:r>
      <w:r w:rsidR="00F14D25">
        <w:t>VL</w:t>
      </w:r>
      <w:r w:rsidRPr="008B3AD6">
        <w:t xml:space="preserve">. </w:t>
      </w:r>
      <w:r w:rsidR="00A21C57" w:rsidRPr="008B3AD6">
        <w:t>As discussed above, w</w:t>
      </w:r>
      <w:r w:rsidRPr="008B3AD6">
        <w:t xml:space="preserve">hilst there is a plethora of pharmacokinetic studies that utilise naïve mice and/or mice </w:t>
      </w:r>
      <w:r w:rsidR="00A21C57" w:rsidRPr="008B3AD6">
        <w:t xml:space="preserve">infected with fungal pathogens </w:t>
      </w:r>
      <w:r w:rsidRPr="008B3AD6">
        <w:t xml:space="preserve">only a few studies employed models of </w:t>
      </w:r>
      <w:r w:rsidR="007F39D6">
        <w:t>VL</w:t>
      </w:r>
      <w:r w:rsidRPr="008B3AD6">
        <w:t xml:space="preserve"> when observing </w:t>
      </w:r>
      <w:r w:rsidR="00A32111">
        <w:t>AmB</w:t>
      </w:r>
      <w:r w:rsidRPr="008B3AD6">
        <w:t xml:space="preserve"> absorption, distribu</w:t>
      </w:r>
      <w:r w:rsidR="00A21C57" w:rsidRPr="008B3AD6">
        <w:t>tion, metabolism and excretion</w:t>
      </w:r>
      <w:r w:rsidRPr="008B3AD6">
        <w:t xml:space="preserve">. The pharmacokinetic data we generated adds to the currently available data of liver distribution and further develops this with sub-tissue distribution however we did not account for investigations into mechanistic processes. The interaction </w:t>
      </w:r>
      <w:r w:rsidRPr="008B3AD6">
        <w:lastRenderedPageBreak/>
        <w:t xml:space="preserve">of </w:t>
      </w:r>
      <w:r w:rsidR="00A32111">
        <w:t>AmB</w:t>
      </w:r>
      <w:r w:rsidRPr="008B3AD6">
        <w:t xml:space="preserve"> with </w:t>
      </w:r>
      <w:r w:rsidRPr="008B3AD6">
        <w:rPr>
          <w:i/>
        </w:rPr>
        <w:t>Leishmania</w:t>
      </w:r>
      <w:r w:rsidRPr="008B3AD6">
        <w:t xml:space="preserve"> species has been studied in traditional ‘top down</w:t>
      </w:r>
      <w:r w:rsidR="00A21C57" w:rsidRPr="008B3AD6">
        <w:t xml:space="preserve">’ studies of dose and response </w:t>
      </w:r>
      <w:r w:rsidRPr="008B3AD6">
        <w:t xml:space="preserve">and there are further studies which broadly describe the biophysical interactions of </w:t>
      </w:r>
      <w:r w:rsidR="00A32111">
        <w:t>AmB</w:t>
      </w:r>
      <w:r w:rsidR="00A21C57" w:rsidRPr="008B3AD6">
        <w:t xml:space="preserve"> with cell membranes</w:t>
      </w:r>
      <w:r w:rsidRPr="008B3AD6">
        <w:t xml:space="preserve"> however immunomodulation and modulation of cellular processes have </w:t>
      </w:r>
      <w:r w:rsidR="00A21C57" w:rsidRPr="008B3AD6">
        <w:t>been only fleetingly described</w:t>
      </w:r>
      <w:r w:rsidRPr="008B3AD6">
        <w:t xml:space="preserve">. </w:t>
      </w:r>
    </w:p>
    <w:p w14:paraId="746E17A3" w14:textId="77777777" w:rsidR="00193B35" w:rsidRPr="008B3AD6" w:rsidRDefault="00193B35" w:rsidP="001E4087">
      <w:pPr>
        <w:spacing w:line="360" w:lineRule="auto"/>
        <w:jc w:val="both"/>
      </w:pPr>
    </w:p>
    <w:p w14:paraId="3E8DC678" w14:textId="490879D2" w:rsidR="00193B35" w:rsidRPr="008B3AD6" w:rsidRDefault="00193B35" w:rsidP="001E4087">
      <w:pPr>
        <w:spacing w:line="360" w:lineRule="auto"/>
        <w:jc w:val="both"/>
      </w:pPr>
      <w:r w:rsidRPr="008B3AD6">
        <w:t xml:space="preserve">The limited amount of studies available on immunomodulation and modulation of cellular processes by </w:t>
      </w:r>
      <w:r w:rsidR="00A32111">
        <w:t>AmB</w:t>
      </w:r>
      <w:r w:rsidRPr="008B3AD6">
        <w:t xml:space="preserve"> do suggest that there are additional roles for </w:t>
      </w:r>
      <w:r w:rsidR="00A32111">
        <w:t>AmB</w:t>
      </w:r>
      <w:r w:rsidRPr="008B3AD6">
        <w:t xml:space="preserve"> besides direct leishmanicidal action however as there has not been a high level of recapitulations or corroboration of these published results there is insufficient confidence in the findings to implement these into the model. Unfortunately, if these do prove to be true then the model is missing a valuable mechanism and that would further add to our understanding of how cellular distribution of </w:t>
      </w:r>
      <w:r w:rsidR="00A32111">
        <w:t>AmB</w:t>
      </w:r>
      <w:r w:rsidRPr="008B3AD6">
        <w:t xml:space="preserve"> affects the parasite load. A potential way the model could address this is the introduction of hypothetical systems where </w:t>
      </w:r>
      <w:r w:rsidR="00A32111">
        <w:t>AmB</w:t>
      </w:r>
      <w:r w:rsidRPr="008B3AD6">
        <w:t xml:space="preserve"> has leishmanicidal action, i.e. the model we proposed, and models that incorporate additional activities of </w:t>
      </w:r>
      <w:r w:rsidR="00A32111">
        <w:t>AmB</w:t>
      </w:r>
      <w:r w:rsidRPr="008B3AD6">
        <w:t xml:space="preserve"> to either compare results analytically, such as through the use of the Akaike Information Criterion as Hogan and colleagues did for investigating CTL-mediated death </w:t>
      </w:r>
      <w:r w:rsidR="00A21C57" w:rsidRPr="008B3AD6">
        <w:rPr>
          <w:b/>
        </w:rPr>
        <w:fldChar w:fldCharType="begin"/>
      </w:r>
      <w:r w:rsidR="007A6EED">
        <w:rPr>
          <w:b/>
        </w:rPr>
        <w:instrText xml:space="preserve"> ADDIN ZOTERO_ITEM CSL_CITATION {"citationID":"4nuUvZAx","properties":{"formattedCitation":"(Hogan et al. 2014)","plainCitation":"(Hogan et al. 2014)","noteIndex":0},"citationItems":[{"id":2620,"uris":["http://zotero.org/users/2628971/items/Z2XWDERH"],"uri":["http://zotero.org/users/2628971/items/Z2XWDERH"],"itemData":{"id":2620,"type":"article-journal","title":"Spatial heterogeneity and peptide availability determine CTL killing efficiency in vivo","container-title":"PLoS computational biology","page":"e1003805","volume":"10","issue":"9","source":"PubMed","abstract":"The rate at which a cytotoxic T lymphocyte (CTL) can survey for infected cells is a key ingredient of models of vertebrate immune responses to intracellular pathogens. Estimates have been obtained using in vivo cytotoxicity assays in which peptide-pulsed splenocytes are killed by CTL in the spleens of immunised mice. However the spleen is a heterogeneous environment and splenocytes comprise multiple cell types. Are some cell types intrinsically more susceptible to lysis than others? Quantitatively, what impacts are made by the spatial distribution of targets and effectors, and the level of peptide-MHC on the target cell surface? To address these questions we revisited the splenocyte killing assay, using CTL specific for an epitope of influenza virus. We found that at the cell population level T cell targets were killed more rapidly than B cells. Using modeling, quantitative imaging and in vitro killing assays we conclude that this difference in vivo likely reflects different migratory patterns of targets within the spleen and a heterogeneous distribution of CTL, with no detectable difference in the intrinsic susceptibilities of the two populations to lysis. Modeling of the stages involved in the detection and killing of peptide-pulsed targets in vitro revealed that peptide dose influenced the ability of CTL to form conjugates with targets but had no detectable effect on the probability that conjugation resulted in lysis, and that T cell targets took longer to lyse than B cells. We also infer that incomplete killing in vivo of cells pulsed with low doses of peptide may be due to a combination of heterogeneity in peptide uptake and the dissociation, but not internalisation, of peptide-MHC complexes. Our analyses demonstrate how population-averaged parameters in models of immune responses can be dissected to account for both spatial and cellular heterogeneity.","DOI":"10.1371/journal.pcbi.1003805","ISSN":"1553-7358","note":"PMID: 25233372\nPMCID: PMC4168979","journalAbbreviation":"PLoS Comput. Biol.","language":"eng","author":[{"family":"Hogan","given":"Thea"},{"family":"Kadolsky","given":"Ulrich"},{"family":"Tung","given":"Sim"},{"family":"Seddon","given":"Benedict"},{"family":"Yates","given":"Andrew"}],"issued":{"date-parts":[["2014",9]]}}}],"schema":"https://github.com/citation-style-language/schema/raw/master/csl-citation.json"} </w:instrText>
      </w:r>
      <w:r w:rsidR="00A21C57" w:rsidRPr="008B3AD6">
        <w:rPr>
          <w:b/>
        </w:rPr>
        <w:fldChar w:fldCharType="separate"/>
      </w:r>
      <w:r w:rsidR="007A6EED" w:rsidRPr="007A6EED">
        <w:rPr>
          <w:lang w:val="en-US"/>
        </w:rPr>
        <w:t>(Hogan et al. 2014)</w:t>
      </w:r>
      <w:r w:rsidR="00A21C57" w:rsidRPr="008B3AD6">
        <w:rPr>
          <w:b/>
        </w:rPr>
        <w:fldChar w:fldCharType="end"/>
      </w:r>
      <w:r w:rsidRPr="008B3AD6">
        <w:t>, or qualitatively,</w:t>
      </w:r>
      <w:r w:rsidR="00A21C57" w:rsidRPr="008B3AD6">
        <w:t xml:space="preserve"> such as Flugge and colleagues </w:t>
      </w:r>
      <w:r w:rsidR="00A21C57" w:rsidRPr="008B3AD6">
        <w:fldChar w:fldCharType="begin"/>
      </w:r>
      <w:r w:rsidR="007A6EED">
        <w:instrText xml:space="preserve"> ADDIN ZOTERO_ITEM CSL_CITATION {"citationID":"7mnzRauu","properties":{"formattedCitation":"(Flugge et al. 2009)","plainCitation":"(Flugge et al. 2009)","noteIndex":0},"citationItems":[{"id":303,"uris":["http://zotero.org/users/2628971/items/I4Q6N5IX"],"uri":["http://zotero.org/users/2628971/items/I4Q6N5IX"],"itemData":{"id":303,"type":"paper-conference","title":"Modelling and simulation of granuloma formation in visceral leishmaniasis","container-title":"IEEE Congress on Evolutionary Computation, 2009. CEC '09","page":"3052-3059","source":"IEEE Xplore","event":"IEEE Congress on Evolutionary Computation, 2009. CEC '09","abstract":"Visceral leishmaniasis is a parasitic disease that is usually fatal if untreated. Host resistance is thought to involve the accumulation of inflammatory cells into structures called granulomas. To date, the possible processes underlying granuloma formation are not fully understood. The importance of modelling in immunology is increasing particularly for dynamic processes that are hard to study in vivo over extended periods of time. Appropriate modelling can provide novel insights that might help deepen the understanding of phenomena and/or help guide experimental work. This paper discusses initial studies on the regulation of granuloma using a combination of UML like modelling and agent based simulation.","DOI":"10.1109/CEC.2009.4983329","author":[{"family":"Flugge","given":"A.J."},{"family":"Timmis","given":"J."},{"family":"Andrews","given":"P."},{"family":"Moore","given":"J."},{"family":"Kaye","given":"P."}],"issued":{"date-parts":[["2009",5]]}}}],"schema":"https://github.com/citation-style-language/schema/raw/master/csl-citation.json"} </w:instrText>
      </w:r>
      <w:r w:rsidR="00A21C57" w:rsidRPr="008B3AD6">
        <w:fldChar w:fldCharType="separate"/>
      </w:r>
      <w:r w:rsidR="007A6EED" w:rsidRPr="007A6EED">
        <w:rPr>
          <w:lang w:val="en-US"/>
        </w:rPr>
        <w:t>(Flugge et al. 2009)</w:t>
      </w:r>
      <w:r w:rsidR="00A21C57" w:rsidRPr="008B3AD6">
        <w:fldChar w:fldCharType="end"/>
      </w:r>
      <w:r w:rsidRPr="008B3AD6">
        <w:t xml:space="preserve"> for granuloma formation. </w:t>
      </w:r>
    </w:p>
    <w:p w14:paraId="6003C5FB" w14:textId="77777777" w:rsidR="00193B35" w:rsidRPr="008B3AD6" w:rsidRDefault="00193B35" w:rsidP="001E4087">
      <w:pPr>
        <w:spacing w:line="360" w:lineRule="auto"/>
        <w:jc w:val="both"/>
      </w:pPr>
    </w:p>
    <w:p w14:paraId="6A40E662" w14:textId="77777777" w:rsidR="00722DED" w:rsidRPr="00B23FF8" w:rsidRDefault="00722DED" w:rsidP="00722DED">
      <w:pPr>
        <w:spacing w:line="360" w:lineRule="auto"/>
        <w:jc w:val="both"/>
        <w:rPr>
          <w:color w:val="000000" w:themeColor="text1"/>
        </w:rPr>
      </w:pPr>
      <w:r w:rsidRPr="00B23FF8">
        <w:rPr>
          <w:color w:val="000000" w:themeColor="text1"/>
        </w:rPr>
        <w:t>Ultimately the final simulation model we proposed (</w:t>
      </w:r>
      <w:r w:rsidRPr="00B23FF8">
        <w:rPr>
          <w:color w:val="000000" w:themeColor="text1"/>
        </w:rPr>
        <w:fldChar w:fldCharType="begin"/>
      </w:r>
      <w:r w:rsidRPr="00B23FF8">
        <w:rPr>
          <w:color w:val="000000" w:themeColor="text1"/>
        </w:rPr>
        <w:instrText xml:space="preserve"> REF _Ref522633684  \* MERGEFORMAT </w:instrText>
      </w:r>
      <w:r w:rsidRPr="00B23FF8">
        <w:rPr>
          <w:color w:val="000000" w:themeColor="text1"/>
        </w:rPr>
        <w:fldChar w:fldCharType="separate"/>
      </w:r>
      <w:r w:rsidRPr="00B23FF8">
        <w:rPr>
          <w:b/>
          <w:color w:val="000000" w:themeColor="text1"/>
        </w:rPr>
        <w:t xml:space="preserve">Figure </w:t>
      </w:r>
      <w:r w:rsidRPr="00B23FF8">
        <w:rPr>
          <w:b/>
          <w:noProof/>
          <w:color w:val="000000" w:themeColor="text1"/>
        </w:rPr>
        <w:t>5.2</w:t>
      </w:r>
      <w:r w:rsidRPr="00B23FF8">
        <w:rPr>
          <w:color w:val="000000" w:themeColor="text1"/>
        </w:rPr>
        <w:fldChar w:fldCharType="end"/>
      </w:r>
      <w:r w:rsidRPr="00B23FF8">
        <w:rPr>
          <w:color w:val="000000" w:themeColor="text1"/>
        </w:rPr>
        <w:t>) was not successfully calibrated (</w:t>
      </w:r>
      <w:r w:rsidRPr="00B23FF8">
        <w:rPr>
          <w:color w:val="000000" w:themeColor="text1"/>
        </w:rPr>
        <w:fldChar w:fldCharType="begin"/>
      </w:r>
      <w:r w:rsidRPr="00B23FF8">
        <w:rPr>
          <w:color w:val="000000" w:themeColor="text1"/>
        </w:rPr>
        <w:instrText xml:space="preserve"> REF _Ref523071071  \* MERGEFORMAT </w:instrText>
      </w:r>
      <w:r w:rsidRPr="00B23FF8">
        <w:rPr>
          <w:color w:val="000000" w:themeColor="text1"/>
        </w:rPr>
        <w:fldChar w:fldCharType="separate"/>
      </w:r>
      <w:r w:rsidRPr="00B23FF8">
        <w:rPr>
          <w:b/>
          <w:color w:val="000000" w:themeColor="text1"/>
        </w:rPr>
        <w:t xml:space="preserve">Figure </w:t>
      </w:r>
      <w:r w:rsidRPr="00B23FF8">
        <w:rPr>
          <w:b/>
          <w:noProof/>
          <w:color w:val="000000" w:themeColor="text1"/>
        </w:rPr>
        <w:t>5.18</w:t>
      </w:r>
      <w:r w:rsidRPr="00B23FF8">
        <w:rPr>
          <w:color w:val="000000" w:themeColor="text1"/>
        </w:rPr>
        <w:fldChar w:fldCharType="end"/>
      </w:r>
      <w:r w:rsidRPr="00B23FF8">
        <w:rPr>
          <w:color w:val="000000" w:themeColor="text1"/>
        </w:rPr>
        <w:t xml:space="preserve">) and we were unable to fully investigate which processes involving immune system entities, i.e. migration, influence drug accumulation during EVL. </w:t>
      </w:r>
    </w:p>
    <w:p w14:paraId="56D33629" w14:textId="77777777" w:rsidR="00722DED" w:rsidRPr="00B23FF8" w:rsidRDefault="00722DED" w:rsidP="00722DED">
      <w:pPr>
        <w:spacing w:line="360" w:lineRule="auto"/>
        <w:jc w:val="both"/>
        <w:rPr>
          <w:color w:val="000000" w:themeColor="text1"/>
        </w:rPr>
      </w:pPr>
    </w:p>
    <w:p w14:paraId="7FD1A6B2" w14:textId="1E1A8F53" w:rsidR="00722DED" w:rsidRPr="00B23FF8" w:rsidRDefault="00722DED" w:rsidP="00722DED">
      <w:pPr>
        <w:spacing w:line="360" w:lineRule="auto"/>
        <w:jc w:val="both"/>
        <w:rPr>
          <w:color w:val="000000" w:themeColor="text1"/>
        </w:rPr>
      </w:pPr>
      <w:r w:rsidRPr="00B23FF8">
        <w:rPr>
          <w:color w:val="000000" w:themeColor="text1"/>
        </w:rPr>
        <w:t xml:space="preserve">When considering the inability to validate the baseline immune response model to </w:t>
      </w:r>
      <w:r w:rsidRPr="00B23FF8">
        <w:rPr>
          <w:i/>
          <w:color w:val="000000" w:themeColor="text1"/>
        </w:rPr>
        <w:t>in vitro</w:t>
      </w:r>
      <w:r w:rsidRPr="00B23FF8">
        <w:rPr>
          <w:color w:val="000000" w:themeColor="text1"/>
        </w:rPr>
        <w:t xml:space="preserve"> data (</w:t>
      </w:r>
      <w:r w:rsidRPr="00B23FF8">
        <w:rPr>
          <w:b/>
          <w:color w:val="000000" w:themeColor="text1"/>
        </w:rPr>
        <w:t xml:space="preserve">Figure 4.30 </w:t>
      </w:r>
      <w:r w:rsidRPr="00B23FF8">
        <w:rPr>
          <w:color w:val="000000" w:themeColor="text1"/>
        </w:rPr>
        <w:t xml:space="preserve">and </w:t>
      </w:r>
      <w:r w:rsidRPr="00B23FF8">
        <w:rPr>
          <w:b/>
          <w:color w:val="000000" w:themeColor="text1"/>
        </w:rPr>
        <w:t>Figure 5.8</w:t>
      </w:r>
      <w:r w:rsidRPr="00B23FF8">
        <w:rPr>
          <w:color w:val="000000" w:themeColor="text1"/>
        </w:rPr>
        <w:t>) and to calibrate the final model containing pharmacological processes to biological data (</w:t>
      </w:r>
      <w:r w:rsidRPr="00B23FF8">
        <w:rPr>
          <w:b/>
          <w:color w:val="000000" w:themeColor="text1"/>
        </w:rPr>
        <w:t>Figure 5.18</w:t>
      </w:r>
      <w:r w:rsidRPr="00B23FF8">
        <w:rPr>
          <w:color w:val="000000" w:themeColor="text1"/>
        </w:rPr>
        <w:t>) it is worth assessing the areas that may have contributed to this outcome. Evaluating the development of the immunological processes that were defined for the domain model of the CoSMoS process through to their final simulation model implementation (</w:t>
      </w:r>
      <w:r w:rsidR="00C45E9F" w:rsidRPr="000C4EF7">
        <w:rPr>
          <w:b/>
          <w:color w:val="000000" w:themeColor="text1"/>
        </w:rPr>
        <w:fldChar w:fldCharType="begin"/>
      </w:r>
      <w:r w:rsidR="00C45E9F" w:rsidRPr="00C45E9F">
        <w:rPr>
          <w:color w:val="000000" w:themeColor="text1"/>
        </w:rPr>
        <w:instrText xml:space="preserve"> REF _Ref536814011 </w:instrText>
      </w:r>
      <w:r w:rsidR="00C45E9F">
        <w:rPr>
          <w:color w:val="000000" w:themeColor="text1"/>
        </w:rPr>
        <w:instrText xml:space="preserve"> \* MERGEFORMAT </w:instrText>
      </w:r>
      <w:r w:rsidR="00C45E9F" w:rsidRPr="000C4EF7">
        <w:rPr>
          <w:b/>
          <w:color w:val="000000" w:themeColor="text1"/>
        </w:rPr>
        <w:fldChar w:fldCharType="separate"/>
      </w:r>
      <w:r w:rsidR="00C45E9F" w:rsidRPr="00B23FF8">
        <w:rPr>
          <w:b/>
        </w:rPr>
        <w:t xml:space="preserve">Table </w:t>
      </w:r>
      <w:r w:rsidR="00C45E9F" w:rsidRPr="00B23FF8">
        <w:rPr>
          <w:b/>
          <w:noProof/>
        </w:rPr>
        <w:t>7</w:t>
      </w:r>
      <w:r w:rsidR="00C45E9F" w:rsidRPr="00B23FF8">
        <w:rPr>
          <w:b/>
        </w:rPr>
        <w:t>.</w:t>
      </w:r>
      <w:r w:rsidR="00C45E9F" w:rsidRPr="00B23FF8">
        <w:rPr>
          <w:b/>
          <w:noProof/>
        </w:rPr>
        <w:t>2</w:t>
      </w:r>
      <w:r w:rsidR="00C45E9F" w:rsidRPr="000C4EF7">
        <w:rPr>
          <w:b/>
          <w:color w:val="000000" w:themeColor="text1"/>
        </w:rPr>
        <w:fldChar w:fldCharType="end"/>
      </w:r>
      <w:r w:rsidRPr="00B23FF8">
        <w:rPr>
          <w:color w:val="000000" w:themeColor="text1"/>
        </w:rPr>
        <w:t>) it is possible to see that a large range of abstractions and simplifications were used to refine these domain processes. Whilst these abstractions and simplifications were justified it can be considered that each has an effect, of varying magnitude, on the ability of the model to simulate the biological data. It is possible that the accumulation of these abstractions into a single model has led to an oversimplified simulation model that is not robust enough to capture both the calibration and validation data.</w:t>
      </w:r>
    </w:p>
    <w:p w14:paraId="28F4F8C5" w14:textId="77777777" w:rsidR="00722DED" w:rsidRPr="00B23FF8" w:rsidRDefault="00722DED" w:rsidP="00722DED">
      <w:pPr>
        <w:spacing w:line="360" w:lineRule="auto"/>
        <w:jc w:val="both"/>
        <w:rPr>
          <w:color w:val="000000" w:themeColor="text1"/>
        </w:rPr>
      </w:pPr>
    </w:p>
    <w:p w14:paraId="58F86C04" w14:textId="77777777" w:rsidR="00722DED" w:rsidRPr="00B23FF8" w:rsidRDefault="00722DED" w:rsidP="00722DED">
      <w:pPr>
        <w:spacing w:line="360" w:lineRule="auto"/>
        <w:jc w:val="both"/>
        <w:rPr>
          <w:color w:val="000000" w:themeColor="text1"/>
        </w:rPr>
      </w:pPr>
      <w:r w:rsidRPr="00B23FF8">
        <w:rPr>
          <w:color w:val="000000" w:themeColor="text1"/>
        </w:rPr>
        <w:t xml:space="preserve">Further to the development of simulated processes, we should also consider the prior ranges for the parameters that were derived through the development of the platform and simulation models. Retrospectively it can be seen that these priors were not as strongly evidenced as they could have been, which has resulted in the implementation of prior distributions or upper/lower bounds that resemble ‘non-informative prior distributions’ for all parameters calibrated and thus introduces significant uncertainty around likely values for our parameters. The combination of a potentially oversimplified model combined with uncertain parameter ranges may have impacted the ability of the model to replicate biological data. For example, if we examine </w:t>
      </w:r>
      <w:r w:rsidRPr="00B23FF8">
        <w:rPr>
          <w:b/>
          <w:color w:val="000000" w:themeColor="text1"/>
        </w:rPr>
        <w:t>Figure 5.5C</w:t>
      </w:r>
      <w:r w:rsidRPr="00B23FF8">
        <w:rPr>
          <w:color w:val="000000" w:themeColor="text1"/>
        </w:rPr>
        <w:t xml:space="preserve"> and </w:t>
      </w:r>
      <w:r w:rsidRPr="00B23FF8">
        <w:rPr>
          <w:b/>
          <w:color w:val="000000" w:themeColor="text1"/>
        </w:rPr>
        <w:t xml:space="preserve">Figure 5.18B </w:t>
      </w:r>
      <w:r w:rsidRPr="00B23FF8">
        <w:rPr>
          <w:color w:val="000000" w:themeColor="text1"/>
        </w:rPr>
        <w:t>we can see that the 95% confidence interval ranges for the model outputs for the calibrated parameters does not align with the average biological data points, which could suggest that either there is an insufficiency in the parameter ranges or modelled processes or both.</w:t>
      </w:r>
    </w:p>
    <w:p w14:paraId="4D54B61C" w14:textId="77777777" w:rsidR="00722DED" w:rsidRPr="00B23FF8" w:rsidRDefault="00722DED" w:rsidP="00722DED">
      <w:pPr>
        <w:spacing w:line="360" w:lineRule="auto"/>
        <w:jc w:val="both"/>
        <w:rPr>
          <w:b/>
          <w:color w:val="000000" w:themeColor="text1"/>
        </w:rPr>
      </w:pPr>
    </w:p>
    <w:p w14:paraId="45DB3626" w14:textId="0EBB221D" w:rsidR="00722DED" w:rsidRPr="00B23FF8" w:rsidRDefault="00722DED" w:rsidP="00722DED">
      <w:pPr>
        <w:spacing w:line="360" w:lineRule="auto"/>
        <w:jc w:val="both"/>
        <w:rPr>
          <w:color w:val="000000" w:themeColor="text1"/>
        </w:rPr>
      </w:pPr>
      <w:r w:rsidRPr="00B23FF8">
        <w:rPr>
          <w:color w:val="000000" w:themeColor="text1"/>
        </w:rPr>
        <w:t xml:space="preserve">Combining the evaluation of the implementation of the biological processes into a simulation model and the selection of prior ranges or upper/lower bounds for parameter values, another consideration is the implemented parameters themselves. Whilst the parameters have biological justification for their implementation this should be followed by a mathematical justification. For instance, in </w:t>
      </w:r>
      <w:r w:rsidRPr="00B23FF8">
        <w:rPr>
          <w:b/>
          <w:color w:val="000000" w:themeColor="text1"/>
        </w:rPr>
        <w:t xml:space="preserve">Figure 4.23 </w:t>
      </w:r>
      <w:r w:rsidRPr="00B23FF8">
        <w:rPr>
          <w:color w:val="000000" w:themeColor="text1"/>
        </w:rPr>
        <w:t xml:space="preserve">and </w:t>
      </w:r>
      <w:r w:rsidRPr="00B23FF8">
        <w:rPr>
          <w:b/>
          <w:color w:val="000000" w:themeColor="text1"/>
        </w:rPr>
        <w:t>Figure 5.2</w:t>
      </w:r>
      <w:r w:rsidRPr="00B23FF8">
        <w:rPr>
          <w:color w:val="000000" w:themeColor="text1"/>
        </w:rPr>
        <w:t xml:space="preserve"> the parameter</w:t>
      </w:r>
      <w:r w:rsidRPr="00B23FF8">
        <w:rPr>
          <w:color w:val="000000" w:themeColor="text1"/>
        </w:rPr>
        <w:sym w:font="Symbol" w:char="F020"/>
      </w:r>
      <w:r w:rsidRPr="00B23FF8">
        <w:rPr>
          <w:color w:val="000000" w:themeColor="text1"/>
        </w:rPr>
        <w:sym w:font="Symbol" w:char="F074"/>
      </w:r>
      <w:r w:rsidRPr="00B23FF8">
        <w:rPr>
          <w:color w:val="000000" w:themeColor="text1"/>
        </w:rPr>
        <w:t xml:space="preserve"> represents the temporal delay in production of anti-leishmanial compounds however its mathematical implementation does not fully match this description, instead reducing the amount of anti-leishmanial compounds. Erroneous implementation of parameters could also partially explain the inability of the model to be validated if these processes allow for the optimal calibration of the model against calibration data but impede its ability to match validation data.</w:t>
      </w:r>
    </w:p>
    <w:p w14:paraId="05B931D1" w14:textId="77777777" w:rsidR="00722DED" w:rsidRPr="00B23FF8" w:rsidRDefault="00722DED" w:rsidP="00722DED">
      <w:pPr>
        <w:spacing w:line="360" w:lineRule="auto"/>
        <w:jc w:val="both"/>
        <w:rPr>
          <w:color w:val="000000" w:themeColor="text1"/>
        </w:rPr>
      </w:pPr>
    </w:p>
    <w:p w14:paraId="2CB8C285" w14:textId="053CF622" w:rsidR="00722DED" w:rsidRPr="00B23FF8" w:rsidRDefault="00EC360E" w:rsidP="00722DED">
      <w:pPr>
        <w:spacing w:line="360" w:lineRule="auto"/>
        <w:jc w:val="both"/>
        <w:rPr>
          <w:color w:val="000000" w:themeColor="text1"/>
        </w:rPr>
      </w:pPr>
      <w:r w:rsidRPr="00B118F7">
        <w:rPr>
          <w:color w:val="000000" w:themeColor="text1"/>
        </w:rPr>
        <w:t xml:space="preserve">Considering the above points, we are confident in our approach in developing the mathematical model and this has yielded an initial platform upon which further investigation should be performed to determine why calibration was unsuccessful. For this investigation some pertinent first steps would be to re-examine the aforementioned domain model representations and attempt to attach a significance to their implementation, some measure of how important these processes are thought to be within the system considering the scope of the investigation. This would then give a more rigid outline for how ‘much’ processes can be simplified, ideally this could be combined with previously published literature to see how these processes have been previously implemented. If a strong biological link can be </w:t>
      </w:r>
      <w:r w:rsidRPr="00B118F7">
        <w:rPr>
          <w:color w:val="000000" w:themeColor="text1"/>
        </w:rPr>
        <w:lastRenderedPageBreak/>
        <w:t>maintained this would allow a greater confidence in the transition from biological processes to simulation model implementation. An additional benefit of this is that the parameters involved in these processes could undergo investigation to determine if there are known biological values derived through experimentation or what likely values are, thus generating a more informed prior distribution. In combination these first steps would allow for a stronger calibration of the model against the biological data generated in this thesis.</w:t>
      </w:r>
    </w:p>
    <w:p w14:paraId="470B2682" w14:textId="77777777" w:rsidR="00722DED" w:rsidRPr="00B23FF8" w:rsidRDefault="00722DED" w:rsidP="00722DED">
      <w:pPr>
        <w:spacing w:line="360" w:lineRule="auto"/>
        <w:jc w:val="both"/>
        <w:rPr>
          <w:color w:val="000000" w:themeColor="text1"/>
        </w:rPr>
      </w:pPr>
    </w:p>
    <w:p w14:paraId="2B0D2B90" w14:textId="28AC0278" w:rsidR="00722DED" w:rsidRPr="00B23FF8" w:rsidRDefault="00722DED" w:rsidP="00722DED">
      <w:pPr>
        <w:spacing w:line="360" w:lineRule="auto"/>
        <w:jc w:val="both"/>
        <w:rPr>
          <w:color w:val="000000" w:themeColor="text1"/>
        </w:rPr>
      </w:pPr>
      <w:r w:rsidRPr="00B23FF8">
        <w:rPr>
          <w:color w:val="000000" w:themeColor="text1"/>
        </w:rPr>
        <w:t xml:space="preserve">To conclude we have provided the first sub-tissue level of AmB distribution in the liver during EVL, showing that the majority of drug is located outside of hepatic leukocytes at all time points analysed. We have additionally developed a novel model describing a simplified immune response to </w:t>
      </w:r>
      <w:r w:rsidRPr="00B23FF8">
        <w:rPr>
          <w:i/>
          <w:color w:val="000000" w:themeColor="text1"/>
        </w:rPr>
        <w:t>L. donovani</w:t>
      </w:r>
      <w:r w:rsidRPr="00B23FF8">
        <w:rPr>
          <w:color w:val="000000" w:themeColor="text1"/>
        </w:rPr>
        <w:t xml:space="preserve"> in the liver, which is utilisable for different research scenarios. We have provided the foundation for a mechanistic model describing AmB accumulation at a whole tissue and cellular level which will be exploitable upon re-calibration.</w:t>
      </w:r>
    </w:p>
    <w:p w14:paraId="75C51FDD" w14:textId="77777777" w:rsidR="00193B35" w:rsidRPr="00B23FF8" w:rsidRDefault="00193B35" w:rsidP="001E4087">
      <w:pPr>
        <w:spacing w:line="360" w:lineRule="auto"/>
        <w:jc w:val="both"/>
        <w:rPr>
          <w:color w:val="000000" w:themeColor="text1"/>
        </w:rPr>
      </w:pPr>
    </w:p>
    <w:p w14:paraId="26644996" w14:textId="77777777" w:rsidR="00193B35" w:rsidRPr="008B3AD6" w:rsidRDefault="00193B35" w:rsidP="001E4087">
      <w:pPr>
        <w:pStyle w:val="Heading2"/>
        <w:jc w:val="both"/>
      </w:pPr>
      <w:bookmarkStart w:id="676" w:name="_Toc3716122"/>
      <w:r w:rsidRPr="008B3AD6">
        <w:t>Future Work</w:t>
      </w:r>
      <w:bookmarkEnd w:id="676"/>
    </w:p>
    <w:p w14:paraId="1C3BDA83" w14:textId="566C8410" w:rsidR="00193B35" w:rsidRPr="008B3AD6" w:rsidRDefault="00193B35" w:rsidP="001E4087">
      <w:pPr>
        <w:spacing w:line="360" w:lineRule="auto"/>
        <w:jc w:val="both"/>
      </w:pPr>
      <w:r w:rsidRPr="008B3AD6">
        <w:t xml:space="preserve">During our investigation of sub-tissue distribution of </w:t>
      </w:r>
      <w:r w:rsidR="00A32111">
        <w:t>AmB</w:t>
      </w:r>
      <w:r w:rsidRPr="008B3AD6">
        <w:t xml:space="preserve"> we acknowledged that we were as yet unable to exclude the possibility that drug released by dead cells during processing became associated with other cells </w:t>
      </w:r>
      <w:r w:rsidRPr="008B3AD6">
        <w:rPr>
          <w:i/>
        </w:rPr>
        <w:t>in situ</w:t>
      </w:r>
      <w:r w:rsidRPr="008B3AD6">
        <w:t>. This could lead to the possibility of false positive detection. To discount this, we have devised a cross-over experiment using livers from treated</w:t>
      </w:r>
      <w:r w:rsidR="00493B1F">
        <w:t xml:space="preserve"> CD45.1</w:t>
      </w:r>
      <w:r w:rsidRPr="008B3AD6">
        <w:t xml:space="preserve"> and untreated </w:t>
      </w:r>
      <w:r w:rsidR="00493B1F">
        <w:t>CD45.2</w:t>
      </w:r>
      <w:r w:rsidR="00CF68CE" w:rsidRPr="008B3AD6">
        <w:t xml:space="preserve"> </w:t>
      </w:r>
      <w:r w:rsidRPr="008B3AD6">
        <w:t xml:space="preserve">mice, processing of both livers in the same vessels followed by sorting on </w:t>
      </w:r>
      <w:r w:rsidR="00493B1F">
        <w:t xml:space="preserve">the </w:t>
      </w:r>
      <w:r w:rsidR="00B64532">
        <w:t xml:space="preserve">CD45 alleles, </w:t>
      </w:r>
      <w:r w:rsidR="004F142F" w:rsidRPr="008B3AD6">
        <w:t xml:space="preserve"> </w:t>
      </w:r>
      <w:r w:rsidRPr="008B3AD6">
        <w:t xml:space="preserve">and </w:t>
      </w:r>
      <w:r w:rsidR="007F39D6">
        <w:t>LC-MS/MS</w:t>
      </w:r>
      <w:r w:rsidRPr="008B3AD6">
        <w:t xml:space="preserve"> analysis will allow us to quantify any false positivity, if any. This will further add confidence that the detected </w:t>
      </w:r>
      <w:r w:rsidR="00A32111">
        <w:t>AmB</w:t>
      </w:r>
      <w:r w:rsidRPr="008B3AD6">
        <w:t xml:space="preserve"> is a result of </w:t>
      </w:r>
      <w:r w:rsidRPr="008B3AD6">
        <w:rPr>
          <w:i/>
        </w:rPr>
        <w:t>in vivo</w:t>
      </w:r>
      <w:r w:rsidRPr="008B3AD6">
        <w:t xml:space="preserve"> accumulation. Further to this we have as of yet not reproduced the drug accumulation data for our leukocyte and leukocyte subset populations due to sample degradation issues. To remedy this a simple repetition of the experiment is needed to show recapitulation of the observed accumulation in total leukocytes and leukocyte subsets. We do however have population abundance data for leukocyte subsets 72 hours post-treatment which do not significantly differ from the original population abundances obtained. </w:t>
      </w:r>
    </w:p>
    <w:p w14:paraId="3F3A91C8" w14:textId="77777777" w:rsidR="00193B35" w:rsidRPr="008B3AD6" w:rsidRDefault="00193B35" w:rsidP="001E4087">
      <w:pPr>
        <w:spacing w:line="360" w:lineRule="auto"/>
        <w:jc w:val="both"/>
      </w:pPr>
    </w:p>
    <w:p w14:paraId="427AF3EE" w14:textId="5C6B2CF3" w:rsidR="00193B35" w:rsidRPr="008B3AD6" w:rsidRDefault="00193B35" w:rsidP="001E4087">
      <w:pPr>
        <w:spacing w:line="360" w:lineRule="auto"/>
        <w:jc w:val="both"/>
      </w:pPr>
      <w:r w:rsidRPr="008B3AD6">
        <w:t xml:space="preserve">When examining derived mathematical model it was stated that further validation of our model would be needed as we could not repeat </w:t>
      </w:r>
      <w:r w:rsidRPr="008B3AD6">
        <w:rPr>
          <w:i/>
        </w:rPr>
        <w:t>in vitro</w:t>
      </w:r>
      <w:r w:rsidRPr="008B3AD6">
        <w:t xml:space="preserve"> data. To this end novel biological data or qualitative statements regarding immunological processes are needed for validation to attain full confidence in model predictions. Currently, we are optimising an immunofluorescence protocol for the detection of </w:t>
      </w:r>
      <w:r w:rsidRPr="008B3AD6">
        <w:rPr>
          <w:i/>
        </w:rPr>
        <w:t>L. donovani</w:t>
      </w:r>
      <w:r w:rsidRPr="008B3AD6">
        <w:t xml:space="preserve"> and myeloid cells in the liver </w:t>
      </w:r>
      <w:r w:rsidRPr="008B3AD6">
        <w:lastRenderedPageBreak/>
        <w:t xml:space="preserve">of </w:t>
      </w:r>
      <w:r w:rsidRPr="008B3AD6">
        <w:rPr>
          <w:i/>
        </w:rPr>
        <w:t>L. donovani</w:t>
      </w:r>
      <w:r w:rsidRPr="008B3AD6">
        <w:t xml:space="preserve"> infected C57BL/6 mice to generate quantitative data at different time points on the numbers/percentages of infected cells for </w:t>
      </w:r>
      <w:r w:rsidR="00CF68CE">
        <w:t>the</w:t>
      </w:r>
      <w:r w:rsidR="00CF68CE" w:rsidRPr="008B3AD6">
        <w:t xml:space="preserve"> </w:t>
      </w:r>
      <w:r w:rsidRPr="008B3AD6">
        <w:t>purpose</w:t>
      </w:r>
      <w:r w:rsidR="00CF68CE">
        <w:t xml:space="preserve"> of model validation</w:t>
      </w:r>
      <w:r w:rsidRPr="008B3AD6">
        <w:t xml:space="preserve">. </w:t>
      </w:r>
      <w:r w:rsidR="00143E24">
        <w:t xml:space="preserve"> </w:t>
      </w:r>
      <w:r w:rsidRPr="008B3AD6">
        <w:t>Once this</w:t>
      </w:r>
      <w:r w:rsidR="00CF68CE">
        <w:t xml:space="preserve"> validation</w:t>
      </w:r>
      <w:r w:rsidRPr="008B3AD6">
        <w:t xml:space="preserve"> has been completed a further task, although one which is not strictly needed, is the incorporation of variability within our mathematical model. This would allow us to utilise all data from our population abundances, as opposed to summary statistics, strengthening the calibration process. This</w:t>
      </w:r>
      <w:r w:rsidR="00CF68CE" w:rsidRPr="00CF68CE">
        <w:t xml:space="preserve"> </w:t>
      </w:r>
      <w:r w:rsidR="00CF68CE" w:rsidRPr="008B3AD6">
        <w:t>incorporation of variability</w:t>
      </w:r>
      <w:r w:rsidRPr="008B3AD6">
        <w:t xml:space="preserve"> could be potentially achieved by inclusion of fixed and/or random effects within the model that account for biovariability and random factors we cannot control.</w:t>
      </w:r>
    </w:p>
    <w:p w14:paraId="01ECB859" w14:textId="77777777" w:rsidR="00193B35" w:rsidRPr="008B3AD6" w:rsidRDefault="00193B35" w:rsidP="001E4087">
      <w:pPr>
        <w:spacing w:line="360" w:lineRule="auto"/>
        <w:jc w:val="both"/>
      </w:pPr>
    </w:p>
    <w:p w14:paraId="7168DB5C" w14:textId="16A85A58" w:rsidR="00193B35" w:rsidRPr="008B3AD6" w:rsidRDefault="00193B35" w:rsidP="001E4087">
      <w:pPr>
        <w:spacing w:line="360" w:lineRule="auto"/>
        <w:jc w:val="both"/>
      </w:pPr>
      <w:r w:rsidRPr="008B3AD6">
        <w:t>This</w:t>
      </w:r>
      <w:r w:rsidR="00CF68CE">
        <w:t xml:space="preserve"> model accounting for variability</w:t>
      </w:r>
      <w:r w:rsidRPr="008B3AD6">
        <w:t xml:space="preserve"> could then be deployed for the re-calibration of our immunological and pharmacological model of </w:t>
      </w:r>
      <w:r w:rsidR="00A32111">
        <w:t>AmB</w:t>
      </w:r>
      <w:r w:rsidRPr="008B3AD6">
        <w:t xml:space="preserve"> distribution during </w:t>
      </w:r>
      <w:r w:rsidRPr="008B3AD6">
        <w:rPr>
          <w:i/>
        </w:rPr>
        <w:t>L. donovani</w:t>
      </w:r>
      <w:r w:rsidRPr="008B3AD6">
        <w:t xml:space="preserve"> infection. A first step to remedying </w:t>
      </w:r>
      <w:r w:rsidR="00CF68CE">
        <w:t>this calibration</w:t>
      </w:r>
      <w:r w:rsidR="00CF68CE" w:rsidRPr="008B3AD6">
        <w:t xml:space="preserve"> </w:t>
      </w:r>
      <w:r w:rsidRPr="008B3AD6">
        <w:t xml:space="preserve">issue is a further iteration of the CoSMoS process, including a re-evaluation of our confidence in our domain, platform and simulation models and evidence associated with them. It would most likely be prudent to begin by the deconstruction of this </w:t>
      </w:r>
      <w:r w:rsidR="00CF68CE">
        <w:t xml:space="preserve">combined immunological and pharmacological </w:t>
      </w:r>
      <w:r w:rsidRPr="008B3AD6">
        <w:t>model into simpler components, such as a whole liver pharmacokinetic model, and then extend this with simulation models of increasing functionality.</w:t>
      </w:r>
    </w:p>
    <w:p w14:paraId="5E30616B" w14:textId="3667B975" w:rsidR="00E96C8F" w:rsidRPr="008B3AD6" w:rsidRDefault="00E96C8F" w:rsidP="00193B35">
      <w:r w:rsidRPr="008B3AD6">
        <w:br w:type="page"/>
      </w:r>
    </w:p>
    <w:p w14:paraId="393C6281" w14:textId="5ACB48F0" w:rsidR="00E96C8F" w:rsidRPr="008B3AD6" w:rsidRDefault="00E96C8F" w:rsidP="00395F2A">
      <w:pPr>
        <w:pStyle w:val="Heading1"/>
      </w:pPr>
      <w:bookmarkStart w:id="677" w:name="_Ref518740028"/>
      <w:bookmarkStart w:id="678" w:name="_Ref518741587"/>
      <w:bookmarkStart w:id="679" w:name="_Toc3716123"/>
      <w:r w:rsidRPr="008B3AD6">
        <w:lastRenderedPageBreak/>
        <w:t>Appendix</w:t>
      </w:r>
      <w:bookmarkEnd w:id="677"/>
      <w:bookmarkEnd w:id="678"/>
      <w:bookmarkEnd w:id="679"/>
    </w:p>
    <w:p w14:paraId="43B9F654" w14:textId="502BD7DF" w:rsidR="007544FF" w:rsidRPr="008B3AD6" w:rsidRDefault="007544FF">
      <w:pPr>
        <w:spacing w:line="240" w:lineRule="auto"/>
      </w:pPr>
      <w:r w:rsidRPr="008B3AD6">
        <w:br w:type="page"/>
      </w:r>
    </w:p>
    <w:p w14:paraId="5FBC1964" w14:textId="539EA34E" w:rsidR="00395F2A" w:rsidRPr="008B3AD6" w:rsidRDefault="00010FD8" w:rsidP="00395F2A">
      <w:pPr>
        <w:pStyle w:val="Heading2"/>
      </w:pPr>
      <w:bookmarkStart w:id="680" w:name="_Ref519018114"/>
      <w:bookmarkStart w:id="681" w:name="_Toc3716124"/>
      <w:r>
        <w:rPr>
          <w:noProof/>
        </w:rPr>
        <w:lastRenderedPageBreak/>
        <mc:AlternateContent>
          <mc:Choice Requires="wps">
            <w:drawing>
              <wp:anchor distT="0" distB="0" distL="114300" distR="114300" simplePos="0" relativeHeight="251599872" behindDoc="0" locked="0" layoutInCell="1" allowOverlap="1" wp14:anchorId="58EB97A6" wp14:editId="0A0FFEF0">
                <wp:simplePos x="0" y="0"/>
                <wp:positionH relativeFrom="column">
                  <wp:posOffset>219710</wp:posOffset>
                </wp:positionH>
                <wp:positionV relativeFrom="paragraph">
                  <wp:posOffset>8424545</wp:posOffset>
                </wp:positionV>
                <wp:extent cx="5116195" cy="820420"/>
                <wp:effectExtent l="0" t="0" r="1905" b="5080"/>
                <wp:wrapTopAndBottom/>
                <wp:docPr id="218" name="Text Box 218"/>
                <wp:cNvGraphicFramePr/>
                <a:graphic xmlns:a="http://schemas.openxmlformats.org/drawingml/2006/main">
                  <a:graphicData uri="http://schemas.microsoft.com/office/word/2010/wordprocessingShape">
                    <wps:wsp>
                      <wps:cNvSpPr txBox="1"/>
                      <wps:spPr>
                        <a:xfrm>
                          <a:off x="0" y="0"/>
                          <a:ext cx="5116195" cy="820420"/>
                        </a:xfrm>
                        <a:prstGeom prst="rect">
                          <a:avLst/>
                        </a:prstGeom>
                        <a:solidFill>
                          <a:prstClr val="white"/>
                        </a:solidFill>
                        <a:ln>
                          <a:noFill/>
                        </a:ln>
                      </wps:spPr>
                      <wps:txbx>
                        <w:txbxContent>
                          <w:p w14:paraId="01BF1E82" w14:textId="2DE6403B" w:rsidR="00F61130" w:rsidRPr="001A255B" w:rsidRDefault="00F61130" w:rsidP="00C365A3">
                            <w:pPr>
                              <w:pStyle w:val="Caption"/>
                              <w:spacing w:line="360" w:lineRule="auto"/>
                              <w:rPr>
                                <w:sz w:val="20"/>
                              </w:rPr>
                            </w:pPr>
                            <w:bookmarkStart w:id="682" w:name="_Toc536814207"/>
                            <w:r w:rsidRPr="00C365A3">
                              <w:rPr>
                                <w:b/>
                                <w:sz w:val="20"/>
                              </w:rPr>
                              <w:t xml:space="preserve">Table </w:t>
                            </w:r>
                            <w:r>
                              <w:rPr>
                                <w:b/>
                                <w:sz w:val="20"/>
                              </w:rPr>
                              <w:fldChar w:fldCharType="begin"/>
                            </w:r>
                            <w:r>
                              <w:rPr>
                                <w:b/>
                                <w:sz w:val="20"/>
                              </w:rPr>
                              <w:instrText xml:space="preserve"> STYLEREF 1 \s </w:instrText>
                            </w:r>
                            <w:r>
                              <w:rPr>
                                <w:b/>
                                <w:sz w:val="20"/>
                              </w:rPr>
                              <w:fldChar w:fldCharType="separate"/>
                            </w:r>
                            <w:r>
                              <w:rPr>
                                <w:b/>
                                <w:noProof/>
                                <w:sz w:val="20"/>
                              </w:rPr>
                              <w:t>7</w:t>
                            </w:r>
                            <w:r>
                              <w:rPr>
                                <w:b/>
                                <w:sz w:val="20"/>
                              </w:rPr>
                              <w:fldChar w:fldCharType="end"/>
                            </w:r>
                            <w:r>
                              <w:rPr>
                                <w:b/>
                                <w:sz w:val="20"/>
                              </w:rPr>
                              <w:t>.</w:t>
                            </w:r>
                            <w:r>
                              <w:rPr>
                                <w:b/>
                                <w:sz w:val="20"/>
                              </w:rPr>
                              <w:fldChar w:fldCharType="begin"/>
                            </w:r>
                            <w:r>
                              <w:rPr>
                                <w:b/>
                                <w:sz w:val="20"/>
                              </w:rPr>
                              <w:instrText xml:space="preserve"> SEQ Table \* ARABIC \s 1 </w:instrText>
                            </w:r>
                            <w:r>
                              <w:rPr>
                                <w:b/>
                                <w:sz w:val="20"/>
                              </w:rPr>
                              <w:fldChar w:fldCharType="separate"/>
                            </w:r>
                            <w:r>
                              <w:rPr>
                                <w:b/>
                                <w:noProof/>
                                <w:sz w:val="20"/>
                              </w:rPr>
                              <w:t>1</w:t>
                            </w:r>
                            <w:r>
                              <w:rPr>
                                <w:b/>
                                <w:sz w:val="20"/>
                              </w:rPr>
                              <w:fldChar w:fldCharType="end"/>
                            </w:r>
                            <w:r w:rsidRPr="00C365A3">
                              <w:rPr>
                                <w:b/>
                                <w:sz w:val="20"/>
                              </w:rPr>
                              <w:t xml:space="preserve"> - Antibodies</w:t>
                            </w:r>
                            <w:r>
                              <w:rPr>
                                <w:b/>
                                <w:sz w:val="20"/>
                              </w:rPr>
                              <w:t xml:space="preserve"> used to evaluate surface marker expression by either flow cytometry analysis or fluorescence activated cell sorting. </w:t>
                            </w:r>
                            <w:r>
                              <w:rPr>
                                <w:sz w:val="20"/>
                              </w:rPr>
                              <w:t xml:space="preserve">*IgG2a </w:t>
                            </w:r>
                            <w:r>
                              <w:rPr>
                                <w:sz w:val="20"/>
                              </w:rPr>
                              <w:sym w:font="Symbol" w:char="F06B"/>
                            </w:r>
                            <w:r>
                              <w:rPr>
                                <w:sz w:val="20"/>
                              </w:rPr>
                              <w:t xml:space="preserve"> was used in lieu of IgG2c </w:t>
                            </w:r>
                            <w:r>
                              <w:rPr>
                                <w:sz w:val="20"/>
                              </w:rPr>
                              <w:sym w:font="Symbol" w:char="F06B"/>
                            </w:r>
                            <w:r>
                              <w:rPr>
                                <w:sz w:val="20"/>
                              </w:rPr>
                              <w:t xml:space="preserve"> due to lack of availability of an eFluor 450 conjugated isotype.</w:t>
                            </w:r>
                            <w:bookmarkEnd w:id="682"/>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58EB97A6" id="Text Box 218" o:spid="_x0000_s1193" type="#_x0000_t202" style="position:absolute;left:0;text-align:left;margin-left:17.3pt;margin-top:663.35pt;width:402.85pt;height:64.6pt;z-index:2515998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BQKJCNgIAAG0EAAAOAAAAZHJzL2Uyb0RvYy54bWysVFFv2yAQfp+0/4B4XxxHa9ZGcaosVaZJ&#13;&#10;UVspmfpMMMRIwDEgsbNfvwPH6dbtadoLPu6Og+/77jy/74wmJ+GDAlvRcjSmRFgOtbKHin7brT/c&#13;&#10;UhIiszXTYEVFzyLQ+8X7d/PWzcQEGtC18ASL2DBrXUWbGN2sKAJvhGFhBE5YDErwhkXc+kNRe9Zi&#13;&#10;daOLyXg8LVrwtfPARQjofeiDdJHrSyl4fJIyiEh0RfFtMa8+r/u0Fos5mx08c43il2ewf3iFYcri&#13;&#10;pddSDywycvTqj1JGcQ8BZBxxMAVIqbjIGBBNOX6DZtswJzIWJCe4K03h/5Xlj6dnT1Rd0UmJUllm&#13;&#10;UKSd6CL5DB1JPmSodWGGiVuHqbHDACo9+AM6E/BOepO+CIlgHLk+X/lN5Tg6b8pyWt7dUMIxdjsZ&#13;&#10;f5xkAYrX086H+EWAIcmoqEf9Mq3stAkRX4KpQ0q6LIBW9VppnTYpsNKenBhq3TYqivRGPPFblrYp&#13;&#10;10I61YeTp0gQeyjJit2+y6SU008D0D3UZ8Tvoe+h4Pha4Y0bFuIz89g0CBkHIT7hIjW0FYWLRUkD&#13;&#10;/sff/CkftcQoJS02YUXD9yPzghL91aLKqWMHww/GfjDs0awAsZY4Yo5nEw/4qAdTejAvOB/LdAuG&#13;&#10;mOV4V0XjYK5iPwo4X1wslzkJ+9KxuLFbx1Ppgdld98K8u+gSUdFHGNqTzd7I0+f2PC+PEaTK2iVm&#13;&#10;exYvhGNPZ4Eu85eG5td9znr9Syx+AgAA//8DAFBLAwQUAAYACAAAACEAIl7DruQAAAARAQAADwAA&#13;&#10;AGRycy9kb3ducmV2LnhtbExPPU/DMBDdkfgP1iGxIOqQpKGkcSpoYIOhpersxiaJiM+R7TTpv+eY&#13;&#10;YDnp3r17H8VmNj07a+c7iwIeFhEwjbVVHTYCDp9v9ytgPkhUsreoBVy0h015fVXIXNkJd/q8Dw0j&#13;&#10;EfS5FNCGMOSc+7rVRvqFHTTS7cs6IwOtruHKyYnETc/jKMq4kR2SQysHvW11/b0fjYCscuO0w+1d&#13;&#10;dXh9lx9DEx9fLkchbm/mak3jeQ0s6Dn8fcBvB8oPJQU72RGVZ72AJM2ISXgSZ4/AiLFKowTYiaB0&#13;&#10;uXwCXhb8f5PyBwAA//8DAFBLAQItABQABgAIAAAAIQC2gziS/gAAAOEBAAATAAAAAAAAAAAAAAAA&#13;&#10;AAAAAABbQ29udGVudF9UeXBlc10ueG1sUEsBAi0AFAAGAAgAAAAhADj9If/WAAAAlAEAAAsAAAAA&#13;&#10;AAAAAAAAAAAALwEAAF9yZWxzLy5yZWxzUEsBAi0AFAAGAAgAAAAhAEFAokI2AgAAbQQAAA4AAAAA&#13;&#10;AAAAAAAAAAAALgIAAGRycy9lMm9Eb2MueG1sUEsBAi0AFAAGAAgAAAAhACJew67kAAAAEQEAAA8A&#13;&#10;AAAAAAAAAAAAAAAAkAQAAGRycy9kb3ducmV2LnhtbFBLBQYAAAAABAAEAPMAAAChBQAAAAA=&#13;&#10;" stroked="f">
                <v:textbox inset="0,0,0,0">
                  <w:txbxContent>
                    <w:p w14:paraId="01BF1E82" w14:textId="2DE6403B" w:rsidR="00F61130" w:rsidRPr="001A255B" w:rsidRDefault="00F61130" w:rsidP="00C365A3">
                      <w:pPr>
                        <w:pStyle w:val="Caption"/>
                        <w:spacing w:line="360" w:lineRule="auto"/>
                        <w:rPr>
                          <w:sz w:val="20"/>
                        </w:rPr>
                      </w:pPr>
                      <w:bookmarkStart w:id="683" w:name="_Toc536814207"/>
                      <w:r w:rsidRPr="00C365A3">
                        <w:rPr>
                          <w:b/>
                          <w:sz w:val="20"/>
                        </w:rPr>
                        <w:t xml:space="preserve">Table </w:t>
                      </w:r>
                      <w:r>
                        <w:rPr>
                          <w:b/>
                          <w:sz w:val="20"/>
                        </w:rPr>
                        <w:fldChar w:fldCharType="begin"/>
                      </w:r>
                      <w:r>
                        <w:rPr>
                          <w:b/>
                          <w:sz w:val="20"/>
                        </w:rPr>
                        <w:instrText xml:space="preserve"> STYLEREF 1 \s </w:instrText>
                      </w:r>
                      <w:r>
                        <w:rPr>
                          <w:b/>
                          <w:sz w:val="20"/>
                        </w:rPr>
                        <w:fldChar w:fldCharType="separate"/>
                      </w:r>
                      <w:r>
                        <w:rPr>
                          <w:b/>
                          <w:noProof/>
                          <w:sz w:val="20"/>
                        </w:rPr>
                        <w:t>7</w:t>
                      </w:r>
                      <w:r>
                        <w:rPr>
                          <w:b/>
                          <w:sz w:val="20"/>
                        </w:rPr>
                        <w:fldChar w:fldCharType="end"/>
                      </w:r>
                      <w:r>
                        <w:rPr>
                          <w:b/>
                          <w:sz w:val="20"/>
                        </w:rPr>
                        <w:t>.</w:t>
                      </w:r>
                      <w:r>
                        <w:rPr>
                          <w:b/>
                          <w:sz w:val="20"/>
                        </w:rPr>
                        <w:fldChar w:fldCharType="begin"/>
                      </w:r>
                      <w:r>
                        <w:rPr>
                          <w:b/>
                          <w:sz w:val="20"/>
                        </w:rPr>
                        <w:instrText xml:space="preserve"> SEQ Table \* ARABIC \s 1 </w:instrText>
                      </w:r>
                      <w:r>
                        <w:rPr>
                          <w:b/>
                          <w:sz w:val="20"/>
                        </w:rPr>
                        <w:fldChar w:fldCharType="separate"/>
                      </w:r>
                      <w:r>
                        <w:rPr>
                          <w:b/>
                          <w:noProof/>
                          <w:sz w:val="20"/>
                        </w:rPr>
                        <w:t>1</w:t>
                      </w:r>
                      <w:r>
                        <w:rPr>
                          <w:b/>
                          <w:sz w:val="20"/>
                        </w:rPr>
                        <w:fldChar w:fldCharType="end"/>
                      </w:r>
                      <w:r w:rsidRPr="00C365A3">
                        <w:rPr>
                          <w:b/>
                          <w:sz w:val="20"/>
                        </w:rPr>
                        <w:t xml:space="preserve"> - Antibodies</w:t>
                      </w:r>
                      <w:r>
                        <w:rPr>
                          <w:b/>
                          <w:sz w:val="20"/>
                        </w:rPr>
                        <w:t xml:space="preserve"> used to evaluate surface marker expression by either flow cytometry analysis or fluorescence activated cell sorting. </w:t>
                      </w:r>
                      <w:r>
                        <w:rPr>
                          <w:sz w:val="20"/>
                        </w:rPr>
                        <w:t xml:space="preserve">*IgG2a </w:t>
                      </w:r>
                      <w:r>
                        <w:rPr>
                          <w:sz w:val="20"/>
                        </w:rPr>
                        <w:sym w:font="Symbol" w:char="F06B"/>
                      </w:r>
                      <w:r>
                        <w:rPr>
                          <w:sz w:val="20"/>
                        </w:rPr>
                        <w:t xml:space="preserve"> was used in lieu of IgG2c </w:t>
                      </w:r>
                      <w:r>
                        <w:rPr>
                          <w:sz w:val="20"/>
                        </w:rPr>
                        <w:sym w:font="Symbol" w:char="F06B"/>
                      </w:r>
                      <w:r>
                        <w:rPr>
                          <w:sz w:val="20"/>
                        </w:rPr>
                        <w:t xml:space="preserve"> due to lack of availability of an eFluor 450 conjugated isotype.</w:t>
                      </w:r>
                      <w:bookmarkEnd w:id="683"/>
                    </w:p>
                  </w:txbxContent>
                </v:textbox>
                <w10:wrap type="topAndBottom"/>
              </v:shape>
            </w:pict>
          </mc:Fallback>
        </mc:AlternateContent>
      </w:r>
      <w:r>
        <w:rPr>
          <w:noProof/>
        </w:rPr>
        <w:drawing>
          <wp:anchor distT="0" distB="0" distL="114300" distR="114300" simplePos="0" relativeHeight="252164096" behindDoc="0" locked="0" layoutInCell="1" allowOverlap="1" wp14:anchorId="3E131438" wp14:editId="22B40618">
            <wp:simplePos x="0" y="0"/>
            <wp:positionH relativeFrom="column">
              <wp:posOffset>-5080</wp:posOffset>
            </wp:positionH>
            <wp:positionV relativeFrom="paragraph">
              <wp:posOffset>271145</wp:posOffset>
            </wp:positionV>
            <wp:extent cx="5575935" cy="8078470"/>
            <wp:effectExtent l="0" t="0" r="0" b="0"/>
            <wp:wrapTopAndBottom/>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Screenshot 2019-01-07 at 19.00.12.png"/>
                    <pic:cNvPicPr/>
                  </pic:nvPicPr>
                  <pic:blipFill>
                    <a:blip r:embed="rId100">
                      <a:extLst>
                        <a:ext uri="{28A0092B-C50C-407E-A947-70E740481C1C}">
                          <a14:useLocalDpi xmlns:a14="http://schemas.microsoft.com/office/drawing/2010/main" val="0"/>
                        </a:ext>
                      </a:extLst>
                    </a:blip>
                    <a:stretch>
                      <a:fillRect/>
                    </a:stretch>
                  </pic:blipFill>
                  <pic:spPr>
                    <a:xfrm>
                      <a:off x="0" y="0"/>
                      <a:ext cx="5575935" cy="8078470"/>
                    </a:xfrm>
                    <a:prstGeom prst="rect">
                      <a:avLst/>
                    </a:prstGeom>
                  </pic:spPr>
                </pic:pic>
              </a:graphicData>
            </a:graphic>
            <wp14:sizeRelH relativeFrom="page">
              <wp14:pctWidth>0</wp14:pctWidth>
            </wp14:sizeRelH>
            <wp14:sizeRelV relativeFrom="page">
              <wp14:pctHeight>0</wp14:pctHeight>
            </wp14:sizeRelV>
          </wp:anchor>
        </w:drawing>
      </w:r>
      <w:r w:rsidR="00395F2A" w:rsidRPr="008B3AD6">
        <w:t>Antibodies utilised for flow cytometry and fluorescence activated cell sorting</w:t>
      </w:r>
      <w:bookmarkEnd w:id="680"/>
      <w:bookmarkEnd w:id="681"/>
      <w:r w:rsidR="00395F2A" w:rsidRPr="008B3AD6">
        <w:br w:type="page"/>
      </w:r>
    </w:p>
    <w:p w14:paraId="1AD90DF7" w14:textId="746DE55B" w:rsidR="009C1C32" w:rsidRDefault="00BD7FEF" w:rsidP="00BD7FEF">
      <w:pPr>
        <w:pStyle w:val="Heading2"/>
      </w:pPr>
      <w:bookmarkStart w:id="684" w:name="_Toc3716125"/>
      <w:r>
        <w:lastRenderedPageBreak/>
        <w:t>Assessing the purity of leukocyte and parenchymal fractions post-digestion</w:t>
      </w:r>
      <w:bookmarkEnd w:id="684"/>
    </w:p>
    <w:p w14:paraId="22937390" w14:textId="33743E5B" w:rsidR="00BD7FEF" w:rsidRPr="00B23FF8" w:rsidRDefault="00BE4216" w:rsidP="00BD7FEF">
      <w:pPr>
        <w:pStyle w:val="Caption"/>
        <w:spacing w:line="360" w:lineRule="auto"/>
        <w:jc w:val="both"/>
        <w:rPr>
          <w:b/>
          <w:sz w:val="20"/>
          <w:szCs w:val="20"/>
        </w:rPr>
      </w:pPr>
      <w:bookmarkStart w:id="685" w:name="_Ref534201026"/>
      <w:bookmarkStart w:id="686" w:name="_Toc536814193"/>
      <w:r w:rsidRPr="00BE4216">
        <w:rPr>
          <w:b/>
          <w:noProof/>
          <w:sz w:val="20"/>
          <w:szCs w:val="20"/>
        </w:rPr>
        <mc:AlternateContent>
          <mc:Choice Requires="wps">
            <w:drawing>
              <wp:anchor distT="0" distB="0" distL="114300" distR="114300" simplePos="0" relativeHeight="252157952" behindDoc="0" locked="0" layoutInCell="1" allowOverlap="1" wp14:anchorId="60B9B3B8" wp14:editId="6F5A9671">
                <wp:simplePos x="0" y="0"/>
                <wp:positionH relativeFrom="column">
                  <wp:posOffset>3222152</wp:posOffset>
                </wp:positionH>
                <wp:positionV relativeFrom="paragraph">
                  <wp:posOffset>15875</wp:posOffset>
                </wp:positionV>
                <wp:extent cx="187325" cy="170815"/>
                <wp:effectExtent l="0" t="0" r="3175" b="6985"/>
                <wp:wrapNone/>
                <wp:docPr id="41" name="Text Box 41"/>
                <wp:cNvGraphicFramePr/>
                <a:graphic xmlns:a="http://schemas.openxmlformats.org/drawingml/2006/main">
                  <a:graphicData uri="http://schemas.microsoft.com/office/word/2010/wordprocessingShape">
                    <wps:wsp>
                      <wps:cNvSpPr txBox="1"/>
                      <wps:spPr>
                        <a:xfrm>
                          <a:off x="0" y="0"/>
                          <a:ext cx="187325" cy="170815"/>
                        </a:xfrm>
                        <a:prstGeom prst="rect">
                          <a:avLst/>
                        </a:prstGeom>
                        <a:noFill/>
                        <a:ln w="6350">
                          <a:noFill/>
                        </a:ln>
                      </wps:spPr>
                      <wps:txbx>
                        <w:txbxContent>
                          <w:p w14:paraId="299785AE" w14:textId="77777777" w:rsidR="00F61130" w:rsidRPr="006508D1" w:rsidRDefault="00F61130" w:rsidP="00BE4216">
                            <w:r>
                              <w:t>B</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0B9B3B8" id="Text Box 41" o:spid="_x0000_s1194" type="#_x0000_t202" style="position:absolute;left:0;text-align:left;margin-left:253.7pt;margin-top:1.25pt;width:14.75pt;height:13.45pt;z-index:2521579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EIOCPKAIAAEsEAAAOAAAAZHJzL2Uyb0RvYy54bWysVN9v2jAQfp+0/8Hy+0hCB0URoWKtmCZV&#13;&#10;bSWY+mwcm0SyfZ5tSNhfv7ND6NTtadqLudyd78f3fWZ512tFTsL5FkxFi0lOiTAc6tYcKvp9t/m0&#13;&#10;oMQHZmqmwIiKnoWnd6uPH5adLcUUGlC1cASLGF92tqJNCLbMMs8boZmfgBUGgxKcZgE/3SGrHeuw&#13;&#10;ulbZNM/nWQeutg648B69D0OQrlJ9KQUPz1J6EYiqKM4W0unSuY9ntlqy8uCYbVp+GYP9wxSatQab&#13;&#10;Xks9sMDI0bV/lNItd+BBhgkHnYGULRdpB9ymyN9ts22YFWkXBMfbK0z+/5XlT6cXR9q6op8LSgzT&#13;&#10;yNFO9IF8gZ6gC/HprC8xbWsxMfToR55Hv0dnXLuXTsdfXIhgHJE+X9GN1Xi8tLi9mc4o4RgqbvNF&#13;&#10;MYtVsrfL1vnwVYAm0aioQ/ISpuz06MOQOqbEXgY2rVKJQGVIV9H5zSxPF64RLK4M9ogrDKNGK/T7&#13;&#10;Pq1czBfjInuoz7ifg0Eh3vJNi1M8Mh9emENJ4Eoo8/CMh1SA3eBiUdKA+/k3f8xHpjBKSYcSq6j/&#13;&#10;cWROUKK+GeQw6nE03GjsR8Mc9T2gapEWnCaZeMEFNZrSgX5F9a9jFwwxw7FXRcNo3odB6Ph6uFiv&#13;&#10;UxKqzrLwaLaWx9IRx4jprn9lzl6AD8jYE4ziY+U7/IfcgYH1MYBsEzkR2QHFC+Co2ETv5XXFJ/H7&#13;&#10;d8p6+w9Y/QIAAP//AwBQSwMEFAAGAAgAAAAhAMTeHTzhAAAADQEAAA8AAABkcnMvZG93bnJldi54&#13;&#10;bWxMT8tOwzAQvCPxD9YicaN2S1NoGqdCFG48C0hwc+IlifAjsp00/D3LCS4jjWZ3HsV2soaNGGLn&#13;&#10;nYT5TABDV3vduUbC68vt2SWwmJTTyniHEr4xwrY8PipUrv3BPeO4Tw0jExdzJaFNqc85j3WLVsWZ&#13;&#10;79GR9umDVYloaLgO6kDm1vCFECtuVecooVU9XrdYf+0HK8G8x3BXifQx7pr79PTIh7eb+YOUpyfT&#13;&#10;bkNwtQGWcEp/H/C7gfpDScUqPzgdmZGQiYslnUpYZMBIz85Xa2AV8fUSeFnw/yvKHwAAAP//AwBQ&#13;&#10;SwECLQAUAAYACAAAACEAtoM4kv4AAADhAQAAEwAAAAAAAAAAAAAAAAAAAAAAW0NvbnRlbnRfVHlw&#13;&#10;ZXNdLnhtbFBLAQItABQABgAIAAAAIQA4/SH/1gAAAJQBAAALAAAAAAAAAAAAAAAAAC8BAABfcmVs&#13;&#10;cy8ucmVsc1BLAQItABQABgAIAAAAIQCEIOCPKAIAAEsEAAAOAAAAAAAAAAAAAAAAAC4CAABkcnMv&#13;&#10;ZTJvRG9jLnhtbFBLAQItABQABgAIAAAAIQDE3h084QAAAA0BAAAPAAAAAAAAAAAAAAAAAIIEAABk&#13;&#10;cnMvZG93bnJldi54bWxQSwUGAAAAAAQABADzAAAAkAUAAAAA&#13;&#10;" filled="f" stroked="f" strokeweight=".5pt">
                <v:textbox inset="0,0,0,0">
                  <w:txbxContent>
                    <w:p w14:paraId="299785AE" w14:textId="77777777" w:rsidR="00F61130" w:rsidRPr="006508D1" w:rsidRDefault="00F61130" w:rsidP="00BE4216">
                      <w:r>
                        <w:t>B</w:t>
                      </w:r>
                    </w:p>
                  </w:txbxContent>
                </v:textbox>
              </v:shape>
            </w:pict>
          </mc:Fallback>
        </mc:AlternateContent>
      </w:r>
      <w:r w:rsidRPr="00BE4216">
        <w:rPr>
          <w:b/>
          <w:noProof/>
          <w:sz w:val="20"/>
          <w:szCs w:val="20"/>
        </w:rPr>
        <mc:AlternateContent>
          <mc:Choice Requires="wps">
            <w:drawing>
              <wp:anchor distT="0" distB="0" distL="114300" distR="114300" simplePos="0" relativeHeight="252156928" behindDoc="0" locked="0" layoutInCell="1" allowOverlap="1" wp14:anchorId="0A8DFA13" wp14:editId="014A5116">
                <wp:simplePos x="0" y="0"/>
                <wp:positionH relativeFrom="column">
                  <wp:posOffset>178184</wp:posOffset>
                </wp:positionH>
                <wp:positionV relativeFrom="paragraph">
                  <wp:posOffset>37140</wp:posOffset>
                </wp:positionV>
                <wp:extent cx="187325" cy="170815"/>
                <wp:effectExtent l="0" t="0" r="3175" b="6985"/>
                <wp:wrapNone/>
                <wp:docPr id="26" name="Text Box 26"/>
                <wp:cNvGraphicFramePr/>
                <a:graphic xmlns:a="http://schemas.openxmlformats.org/drawingml/2006/main">
                  <a:graphicData uri="http://schemas.microsoft.com/office/word/2010/wordprocessingShape">
                    <wps:wsp>
                      <wps:cNvSpPr txBox="1"/>
                      <wps:spPr>
                        <a:xfrm>
                          <a:off x="0" y="0"/>
                          <a:ext cx="187325" cy="170815"/>
                        </a:xfrm>
                        <a:prstGeom prst="rect">
                          <a:avLst/>
                        </a:prstGeom>
                        <a:noFill/>
                        <a:ln w="6350">
                          <a:noFill/>
                        </a:ln>
                      </wps:spPr>
                      <wps:txbx>
                        <w:txbxContent>
                          <w:p w14:paraId="1C2AB1B9" w14:textId="77777777" w:rsidR="00F61130" w:rsidRPr="006508D1" w:rsidRDefault="00F61130" w:rsidP="00BE4216">
                            <w:r w:rsidRPr="006508D1">
                              <w:t>A</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A8DFA13" id="Text Box 26" o:spid="_x0000_s1195" type="#_x0000_t202" style="position:absolute;left:0;text-align:left;margin-left:14.05pt;margin-top:2.9pt;width:14.75pt;height:13.45pt;z-index:2521569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0ekmIKQIAAEsEAAAOAAAAZHJzL2Uyb0RvYy54bWysVMFu2zAMvQ/YPwi6L7ZTJO2MOEXWIsOA&#13;&#10;oC2QDD0rshQbkERNUmJnXz9KjtOh22nYRaFJiuR7fMrivteKnITzLZiKFpOcEmE41K05VPT7bv3p&#13;&#10;jhIfmKmZAiMqehae3i8/flh0thRTaEDVwhEsYnzZ2Yo2IdgyyzxvhGZ+AlYYDEpwmgX8dIesdqzD&#13;&#10;6lpl0zyfZx242jrgwnv0Pg5Bukz1pRQ8PEvpRSCqojhbSKdL5z6e2XLByoNjtmn5ZQz2D1No1hps&#13;&#10;ei31yAIjR9f+UUq33IEHGSYcdAZStlwkDIimyN+h2TbMioQFyfH2SpP/f2X50+nFkbau6HROiWEa&#13;&#10;d7QTfSBfoCfoQn4660tM21pMDD36cc+j36Mzwu6l0/EXARGMI9PnK7uxGo+X7m5vpjNKOIaK2/yu&#13;&#10;mMUq2dtl63z4KkCTaFTU4fISp+y08WFIHVNiLwPrVqm0QGVIV9H5zSxPF64RLK4M9ogQhlGjFfp9&#13;&#10;nyAX888jkD3UZ8TnYFCIt3zd4hQb5sMLcygJhIQyD894SAXYDS4WJQ24n3/zx3zcFEYp6VBiFfU/&#13;&#10;jswJStQ3gzuMehwNNxr70TBH/QCo2gIfkOXJxAsuqNGUDvQrqn8Vu2CIGY69KhpG8yEMQsfXw8Vq&#13;&#10;lZJQdZaFjdlaHktHHiOnu/6VOXshPuDGnmAUHyvf8T/kDhtYHQPINi0nMjuweCEcFZvWe3ld8Un8&#13;&#10;/p2y3v4Dlr8AAAD//wMAUEsDBBQABgAIAAAAIQAqG0hY4QAAAAsBAAAPAAAAZHJzL2Rvd25yZXYu&#13;&#10;eG1sTI9LT8QwDITvSPyHyEjc2LRF+1C37gqxcOO5gAS3tAltReJUTdot/x5zgosla8bj+Yrd7KyY&#13;&#10;zBA6TwjpIgFhqPa6owbh9eX2YgMiREVaWU8G4dsE2JWnJ4XKtT/Ss5kOsREcQiFXCG2MfS5lqFvj&#13;&#10;VFj43hBrn35wKvI6NFIP6sjhzsosSVbSqY74Q6t6c92a+uswOgT7Hoa7Kokf0765j0+Pcny7SR8Q&#13;&#10;z8/m/ZbH1RZENHP8u4BfBu4PJRer/Eg6CIuQbVJ2IiyZguXlegWiQrjM1iDLQv5nKH8AAAD//wMA&#13;&#10;UEsBAi0AFAAGAAgAAAAhALaDOJL+AAAA4QEAABMAAAAAAAAAAAAAAAAAAAAAAFtDb250ZW50X1R5&#13;&#10;cGVzXS54bWxQSwECLQAUAAYACAAAACEAOP0h/9YAAACUAQAACwAAAAAAAAAAAAAAAAAvAQAAX3Jl&#13;&#10;bHMvLnJlbHNQSwECLQAUAAYACAAAACEAdHpJiCkCAABLBAAADgAAAAAAAAAAAAAAAAAuAgAAZHJz&#13;&#10;L2Uyb0RvYy54bWxQSwECLQAUAAYACAAAACEAKhtIWOEAAAALAQAADwAAAAAAAAAAAAAAAACDBAAA&#13;&#10;ZHJzL2Rvd25yZXYueG1sUEsFBgAAAAAEAAQA8wAAAJEFAAAAAA==&#13;&#10;" filled="f" stroked="f" strokeweight=".5pt">
                <v:textbox inset="0,0,0,0">
                  <w:txbxContent>
                    <w:p w14:paraId="1C2AB1B9" w14:textId="77777777" w:rsidR="00F61130" w:rsidRPr="006508D1" w:rsidRDefault="00F61130" w:rsidP="00BE4216">
                      <w:r w:rsidRPr="006508D1">
                        <w:t>A</w:t>
                      </w:r>
                    </w:p>
                  </w:txbxContent>
                </v:textbox>
              </v:shape>
            </w:pict>
          </mc:Fallback>
        </mc:AlternateContent>
      </w:r>
      <w:r w:rsidR="00FC0331" w:rsidRPr="00FC0331">
        <w:rPr>
          <w:b/>
          <w:noProof/>
          <w:sz w:val="20"/>
          <w:szCs w:val="20"/>
        </w:rPr>
        <w:drawing>
          <wp:inline distT="0" distB="0" distL="0" distR="0" wp14:anchorId="3BDBCF72" wp14:editId="1B1558FD">
            <wp:extent cx="5575935" cy="357759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5575935" cy="3577590"/>
                    </a:xfrm>
                    <a:prstGeom prst="rect">
                      <a:avLst/>
                    </a:prstGeom>
                  </pic:spPr>
                </pic:pic>
              </a:graphicData>
            </a:graphic>
          </wp:inline>
        </w:drawing>
      </w:r>
      <w:r w:rsidR="00BD7FEF" w:rsidRPr="00B23FF8">
        <w:rPr>
          <w:b/>
          <w:sz w:val="20"/>
          <w:szCs w:val="20"/>
        </w:rPr>
        <w:t xml:space="preserve">Figure </w:t>
      </w:r>
      <w:r w:rsidR="00BD7FEF" w:rsidRPr="00B23FF8">
        <w:rPr>
          <w:b/>
          <w:sz w:val="20"/>
          <w:szCs w:val="20"/>
        </w:rPr>
        <w:fldChar w:fldCharType="begin"/>
      </w:r>
      <w:r w:rsidR="00BD7FEF" w:rsidRPr="00B23FF8">
        <w:rPr>
          <w:b/>
          <w:sz w:val="20"/>
          <w:szCs w:val="20"/>
        </w:rPr>
        <w:instrText xml:space="preserve"> STYLEREF 1 \s </w:instrText>
      </w:r>
      <w:r w:rsidR="00BD7FEF" w:rsidRPr="00B23FF8">
        <w:rPr>
          <w:b/>
          <w:sz w:val="20"/>
          <w:szCs w:val="20"/>
        </w:rPr>
        <w:fldChar w:fldCharType="separate"/>
      </w:r>
      <w:r w:rsidR="00BD7FEF" w:rsidRPr="00B23FF8">
        <w:rPr>
          <w:b/>
          <w:noProof/>
          <w:sz w:val="20"/>
          <w:szCs w:val="20"/>
        </w:rPr>
        <w:t>7</w:t>
      </w:r>
      <w:r w:rsidR="00BD7FEF" w:rsidRPr="00B23FF8">
        <w:rPr>
          <w:b/>
          <w:sz w:val="20"/>
          <w:szCs w:val="20"/>
        </w:rPr>
        <w:fldChar w:fldCharType="end"/>
      </w:r>
      <w:r w:rsidR="00BD7FEF" w:rsidRPr="00B23FF8">
        <w:rPr>
          <w:b/>
          <w:sz w:val="20"/>
          <w:szCs w:val="20"/>
        </w:rPr>
        <w:t>.</w:t>
      </w:r>
      <w:r w:rsidR="00BD7FEF" w:rsidRPr="00B23FF8">
        <w:rPr>
          <w:b/>
          <w:sz w:val="20"/>
          <w:szCs w:val="20"/>
        </w:rPr>
        <w:fldChar w:fldCharType="begin"/>
      </w:r>
      <w:r w:rsidR="00BD7FEF" w:rsidRPr="00B23FF8">
        <w:rPr>
          <w:b/>
          <w:sz w:val="20"/>
          <w:szCs w:val="20"/>
        </w:rPr>
        <w:instrText xml:space="preserve"> SEQ Figure \* ARABIC \s 1 </w:instrText>
      </w:r>
      <w:r w:rsidR="00BD7FEF" w:rsidRPr="00B23FF8">
        <w:rPr>
          <w:b/>
          <w:sz w:val="20"/>
          <w:szCs w:val="20"/>
        </w:rPr>
        <w:fldChar w:fldCharType="separate"/>
      </w:r>
      <w:r w:rsidR="00BD7FEF" w:rsidRPr="00B23FF8">
        <w:rPr>
          <w:b/>
          <w:noProof/>
          <w:sz w:val="20"/>
          <w:szCs w:val="20"/>
        </w:rPr>
        <w:t>1</w:t>
      </w:r>
      <w:r w:rsidR="00BD7FEF" w:rsidRPr="00B23FF8">
        <w:rPr>
          <w:b/>
          <w:sz w:val="20"/>
          <w:szCs w:val="20"/>
        </w:rPr>
        <w:fldChar w:fldCharType="end"/>
      </w:r>
      <w:bookmarkEnd w:id="685"/>
      <w:r w:rsidR="00BD7FEF" w:rsidRPr="00B23FF8">
        <w:rPr>
          <w:b/>
          <w:sz w:val="20"/>
          <w:szCs w:val="20"/>
        </w:rPr>
        <w:t xml:space="preserve"> - Purity of </w:t>
      </w:r>
      <w:r>
        <w:rPr>
          <w:b/>
          <w:sz w:val="20"/>
          <w:szCs w:val="20"/>
        </w:rPr>
        <w:t>c</w:t>
      </w:r>
      <w:r w:rsidR="00BD7FEF" w:rsidRPr="00B23FF8">
        <w:rPr>
          <w:b/>
          <w:sz w:val="20"/>
          <w:szCs w:val="20"/>
        </w:rPr>
        <w:t xml:space="preserve">ellular </w:t>
      </w:r>
      <w:r>
        <w:rPr>
          <w:b/>
          <w:sz w:val="20"/>
          <w:szCs w:val="20"/>
        </w:rPr>
        <w:t>f</w:t>
      </w:r>
      <w:r w:rsidR="00BD7FEF" w:rsidRPr="00B23FF8">
        <w:rPr>
          <w:b/>
          <w:sz w:val="20"/>
          <w:szCs w:val="20"/>
        </w:rPr>
        <w:t xml:space="preserve">ractions </w:t>
      </w:r>
      <w:r>
        <w:rPr>
          <w:b/>
          <w:sz w:val="20"/>
          <w:szCs w:val="20"/>
        </w:rPr>
        <w:t>p</w:t>
      </w:r>
      <w:r w:rsidR="00BD7FEF" w:rsidRPr="00B23FF8">
        <w:rPr>
          <w:b/>
          <w:sz w:val="20"/>
          <w:szCs w:val="20"/>
        </w:rPr>
        <w:t>ost-</w:t>
      </w:r>
      <w:r>
        <w:rPr>
          <w:b/>
          <w:sz w:val="20"/>
          <w:szCs w:val="20"/>
        </w:rPr>
        <w:t>l</w:t>
      </w:r>
      <w:r w:rsidR="00BD7FEF" w:rsidRPr="00B23FF8">
        <w:rPr>
          <w:b/>
          <w:sz w:val="20"/>
          <w:szCs w:val="20"/>
        </w:rPr>
        <w:t xml:space="preserve">iver </w:t>
      </w:r>
      <w:r>
        <w:rPr>
          <w:b/>
          <w:sz w:val="20"/>
          <w:szCs w:val="20"/>
        </w:rPr>
        <w:t>d</w:t>
      </w:r>
      <w:r w:rsidR="00BD7FEF" w:rsidRPr="00B23FF8">
        <w:rPr>
          <w:b/>
          <w:sz w:val="20"/>
          <w:szCs w:val="20"/>
        </w:rPr>
        <w:t>igestion</w:t>
      </w:r>
      <w:r>
        <w:rPr>
          <w:b/>
          <w:sz w:val="20"/>
          <w:szCs w:val="20"/>
        </w:rPr>
        <w:t xml:space="preserve"> &amp; comparison of leukocyte viability using different digestion protocols</w:t>
      </w:r>
      <w:r w:rsidR="00BD7FEF" w:rsidRPr="00B23FF8">
        <w:rPr>
          <w:b/>
          <w:sz w:val="20"/>
          <w:szCs w:val="20"/>
        </w:rPr>
        <w:t>.</w:t>
      </w:r>
      <w:r w:rsidR="00BD7FEF" w:rsidRPr="00B23FF8">
        <w:rPr>
          <w:sz w:val="20"/>
          <w:szCs w:val="20"/>
        </w:rPr>
        <w:t xml:space="preserve"> </w:t>
      </w:r>
      <w:r w:rsidR="00BD7FEF" w:rsidRPr="00BD7FEF">
        <w:rPr>
          <w:b/>
          <w:sz w:val="20"/>
          <w:szCs w:val="20"/>
        </w:rPr>
        <w:t xml:space="preserve"> </w:t>
      </w:r>
      <w:r w:rsidRPr="00B23FF8">
        <w:rPr>
          <w:sz w:val="20"/>
          <w:szCs w:val="20"/>
        </w:rPr>
        <w:t xml:space="preserve">(A) </w:t>
      </w:r>
      <w:r w:rsidR="00BD7FEF" w:rsidRPr="00BD7FEF">
        <w:rPr>
          <w:i/>
          <w:sz w:val="20"/>
          <w:szCs w:val="20"/>
        </w:rPr>
        <w:t>L.</w:t>
      </w:r>
      <w:r w:rsidR="00BD7FEF" w:rsidRPr="004404EE">
        <w:rPr>
          <w:i/>
          <w:sz w:val="20"/>
          <w:szCs w:val="20"/>
        </w:rPr>
        <w:t xml:space="preserve"> donovani</w:t>
      </w:r>
      <w:r w:rsidR="00BD7FEF" w:rsidRPr="004404EE">
        <w:rPr>
          <w:sz w:val="20"/>
          <w:szCs w:val="20"/>
        </w:rPr>
        <w:t xml:space="preserve"> infected B6 mice were analysed at </w:t>
      </w:r>
      <w:r w:rsidR="00BD7FEF">
        <w:rPr>
          <w:sz w:val="20"/>
          <w:szCs w:val="20"/>
        </w:rPr>
        <w:t>7 days post-infection</w:t>
      </w:r>
      <w:r w:rsidR="00BD7FEF" w:rsidRPr="004404EE">
        <w:rPr>
          <w:sz w:val="20"/>
          <w:szCs w:val="20"/>
        </w:rPr>
        <w:t xml:space="preserve">. The </w:t>
      </w:r>
      <w:r w:rsidR="00BD7FEF">
        <w:rPr>
          <w:sz w:val="20"/>
          <w:szCs w:val="20"/>
        </w:rPr>
        <w:t>proportion of cells expressing CD45 in each fraction were derived and expressed as a percentage of total events.</w:t>
      </w:r>
      <w:r w:rsidR="00BD7FEF" w:rsidRPr="004404EE">
        <w:rPr>
          <w:sz w:val="20"/>
          <w:szCs w:val="20"/>
        </w:rPr>
        <w:t xml:space="preserve"> Data </w:t>
      </w:r>
      <w:r w:rsidR="00BD7FEF">
        <w:rPr>
          <w:sz w:val="20"/>
          <w:szCs w:val="20"/>
        </w:rPr>
        <w:t>are</w:t>
      </w:r>
      <w:r w:rsidR="00BD7FEF" w:rsidRPr="004404EE">
        <w:rPr>
          <w:sz w:val="20"/>
          <w:szCs w:val="20"/>
        </w:rPr>
        <w:t xml:space="preserve"> expressed as mean </w:t>
      </w:r>
      <w:r w:rsidR="00BD7FEF" w:rsidRPr="004404EE">
        <w:rPr>
          <w:sz w:val="20"/>
          <w:szCs w:val="20"/>
        </w:rPr>
        <w:sym w:font="Symbol" w:char="F0B1"/>
      </w:r>
      <w:r w:rsidR="00BD7FEF" w:rsidRPr="004404EE">
        <w:rPr>
          <w:sz w:val="20"/>
          <w:szCs w:val="20"/>
        </w:rPr>
        <w:t xml:space="preserve"> SD (n = 5 biological replicates).</w:t>
      </w:r>
      <w:r>
        <w:rPr>
          <w:sz w:val="20"/>
          <w:szCs w:val="20"/>
        </w:rPr>
        <w:t xml:space="preserve"> (B) Leukocyte viability, as determined using flow cytometry, was determined for all experiments were Digestion Protocols 1 &amp; 2 were employed (n = 45 and 36 biological replicates respectively) and compared using a Mann-Whitney test, showing no significant difference between viability (p = 0.1638).</w:t>
      </w:r>
      <w:bookmarkEnd w:id="686"/>
    </w:p>
    <w:p w14:paraId="5DAB6EBB" w14:textId="3F145853" w:rsidR="00BD7FEF" w:rsidRPr="00B23FF8" w:rsidRDefault="00BD7FEF" w:rsidP="00B23FF8"/>
    <w:p w14:paraId="4E85CD2C" w14:textId="77777777" w:rsidR="00BD7FEF" w:rsidRDefault="00BD7FEF">
      <w:pPr>
        <w:spacing w:line="240" w:lineRule="auto"/>
        <w:rPr>
          <w:rFonts w:eastAsiaTheme="majorEastAsia" w:cstheme="majorBidi"/>
          <w:b/>
          <w:color w:val="000000" w:themeColor="text1"/>
          <w:szCs w:val="26"/>
        </w:rPr>
      </w:pPr>
      <w:bookmarkStart w:id="687" w:name="_Ref521875787"/>
      <w:r>
        <w:br w:type="page"/>
      </w:r>
    </w:p>
    <w:p w14:paraId="3D055A4E" w14:textId="6B63BEF8" w:rsidR="00395F2A" w:rsidRPr="008B3AD6" w:rsidRDefault="00395F2A" w:rsidP="00395F2A">
      <w:pPr>
        <w:pStyle w:val="Heading2"/>
      </w:pPr>
      <w:bookmarkStart w:id="688" w:name="_Toc536814106"/>
      <w:bookmarkStart w:id="689" w:name="_Toc536814107"/>
      <w:bookmarkStart w:id="690" w:name="_Toc536814108"/>
      <w:bookmarkStart w:id="691" w:name="_Toc536814109"/>
      <w:bookmarkStart w:id="692" w:name="_Toc536814110"/>
      <w:bookmarkStart w:id="693" w:name="_Toc536814111"/>
      <w:bookmarkStart w:id="694" w:name="_Toc3716126"/>
      <w:bookmarkEnd w:id="687"/>
      <w:bookmarkEnd w:id="688"/>
      <w:bookmarkEnd w:id="689"/>
      <w:bookmarkEnd w:id="690"/>
      <w:bookmarkEnd w:id="691"/>
      <w:bookmarkEnd w:id="692"/>
      <w:bookmarkEnd w:id="693"/>
      <w:r w:rsidRPr="008B3AD6">
        <w:lastRenderedPageBreak/>
        <w:t xml:space="preserve">Supplementary Biological Data for </w:t>
      </w:r>
      <w:r w:rsidR="00CA55CD" w:rsidRPr="008B3AD6">
        <w:fldChar w:fldCharType="begin"/>
      </w:r>
      <w:r w:rsidR="00CA55CD" w:rsidRPr="008B3AD6">
        <w:instrText xml:space="preserve"> REF _Ref519008458 \n </w:instrText>
      </w:r>
      <w:r w:rsidR="00E37779" w:rsidRPr="008B3AD6">
        <w:instrText xml:space="preserve"> \* MERGEFORMAT </w:instrText>
      </w:r>
      <w:r w:rsidR="00CA55CD" w:rsidRPr="008B3AD6">
        <w:fldChar w:fldCharType="separate"/>
      </w:r>
      <w:r w:rsidR="00031DCA">
        <w:t>Chapter 4</w:t>
      </w:r>
      <w:bookmarkEnd w:id="694"/>
      <w:r w:rsidR="00CA55CD" w:rsidRPr="008B3AD6">
        <w:fldChar w:fldCharType="end"/>
      </w:r>
    </w:p>
    <w:p w14:paraId="03A5B29B" w14:textId="50B01217" w:rsidR="004404EE" w:rsidRPr="008B3AD6" w:rsidRDefault="00F57F02">
      <w:pPr>
        <w:spacing w:line="240" w:lineRule="auto"/>
      </w:pPr>
      <w:r>
        <w:rPr>
          <w:noProof/>
        </w:rPr>
        <w:drawing>
          <wp:anchor distT="0" distB="0" distL="114300" distR="114300" simplePos="0" relativeHeight="251611136" behindDoc="0" locked="0" layoutInCell="1" allowOverlap="1" wp14:anchorId="19892935" wp14:editId="1D03AAE5">
            <wp:simplePos x="0" y="0"/>
            <wp:positionH relativeFrom="column">
              <wp:posOffset>-5275</wp:posOffset>
            </wp:positionH>
            <wp:positionV relativeFrom="paragraph">
              <wp:posOffset>1366325</wp:posOffset>
            </wp:positionV>
            <wp:extent cx="5575935" cy="4467860"/>
            <wp:effectExtent l="0" t="0" r="0" b="2540"/>
            <wp:wrapTopAndBottom/>
            <wp:docPr id="223" name="Pictur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Picture 223"/>
                    <pic:cNvPicPr>
                      <a:picLocks noChangeAspect="1"/>
                    </pic:cNvPicPr>
                  </pic:nvPicPr>
                  <pic:blipFill rotWithShape="1">
                    <a:blip r:embed="rId102">
                      <a:extLst>
                        <a:ext uri="{28A0092B-C50C-407E-A947-70E740481C1C}">
                          <a14:useLocalDpi xmlns:a14="http://schemas.microsoft.com/office/drawing/2010/main" val="0"/>
                        </a:ext>
                      </a:extLst>
                    </a:blip>
                    <a:srcRect t="-5561"/>
                    <a:stretch/>
                  </pic:blipFill>
                  <pic:spPr bwMode="auto">
                    <a:xfrm>
                      <a:off x="0" y="0"/>
                      <a:ext cx="5575935" cy="4467860"/>
                    </a:xfrm>
                    <a:prstGeom prst="rect">
                      <a:avLst/>
                    </a:prstGeom>
                    <a:ln>
                      <a:noFill/>
                    </a:ln>
                    <a:extLst>
                      <a:ext uri="{53640926-AAD7-44D8-BBD7-CCE9431645EC}">
                        <a14:shadowObscured xmlns:a14="http://schemas.microsoft.com/office/drawing/2010/main"/>
                      </a:ext>
                    </a:extLst>
                  </pic:spPr>
                </pic:pic>
              </a:graphicData>
            </a:graphic>
          </wp:anchor>
        </w:drawing>
      </w:r>
      <w:r>
        <w:rPr>
          <w:noProof/>
        </w:rPr>
        <mc:AlternateContent>
          <mc:Choice Requires="wps">
            <w:drawing>
              <wp:anchor distT="0" distB="0" distL="114300" distR="114300" simplePos="0" relativeHeight="251612160" behindDoc="0" locked="0" layoutInCell="1" allowOverlap="1" wp14:anchorId="6A407173" wp14:editId="30BFCF06">
                <wp:simplePos x="0" y="0"/>
                <wp:positionH relativeFrom="column">
                  <wp:posOffset>271662</wp:posOffset>
                </wp:positionH>
                <wp:positionV relativeFrom="paragraph">
                  <wp:posOffset>1526304</wp:posOffset>
                </wp:positionV>
                <wp:extent cx="187325" cy="171125"/>
                <wp:effectExtent l="0" t="0" r="3175" b="6985"/>
                <wp:wrapTopAndBottom/>
                <wp:docPr id="220" name="Text Box 220"/>
                <wp:cNvGraphicFramePr/>
                <a:graphic xmlns:a="http://schemas.openxmlformats.org/drawingml/2006/main">
                  <a:graphicData uri="http://schemas.microsoft.com/office/word/2010/wordprocessingShape">
                    <wps:wsp>
                      <wps:cNvSpPr txBox="1"/>
                      <wps:spPr>
                        <a:xfrm>
                          <a:off x="0" y="0"/>
                          <a:ext cx="187325" cy="171125"/>
                        </a:xfrm>
                        <a:prstGeom prst="rect">
                          <a:avLst/>
                        </a:prstGeom>
                        <a:noFill/>
                        <a:ln w="6350">
                          <a:noFill/>
                        </a:ln>
                      </wps:spPr>
                      <wps:txbx>
                        <w:txbxContent>
                          <w:p w14:paraId="7DFF08F3" w14:textId="77777777" w:rsidR="00F61130" w:rsidRPr="006508D1" w:rsidRDefault="00F61130" w:rsidP="004404EE">
                            <w:r w:rsidRPr="006508D1">
                              <w:t>A</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A407173" id="Text Box 220" o:spid="_x0000_s1196" type="#_x0000_t202" style="position:absolute;margin-left:21.4pt;margin-top:120.2pt;width:14.75pt;height:13.45pt;z-index:2516121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OIcgzJwIAAE0EAAAOAAAAZHJzL2Uyb0RvYy54bWysVE1vGyEQvVfqf0Dc6/U6yodWXkduIleV&#13;&#10;rCSSXeWMWfAiAUMBe9f99R1YrxOlPVW94FlmeMN78/D8vjeaHIUPCmxNy8mUEmE5NMrua/pju/py&#13;&#10;R0mIzDZMgxU1PYlA7xefP807V4kZtKAb4QmC2FB1rqZtjK4qisBbYViYgBMWkxK8YRE//b5oPOsQ&#13;&#10;3ehiNp3eFB34xnngIgTcfRySdJHxpRQ8PksZRCS6pni3mFef111ai8WcVXvPXKv4+RrsH25hmLLY&#13;&#10;9AL1yCIjB6/+gDKKewgg44SDKUBKxUXmgGzK6Qc2m5Y5kbmgOMFdZAr/D5Y/HV88UU1NZzPUxzKD&#13;&#10;Q9qKPpKv0JO0hwp1LlRYuHFYGntM4KTH/YCbiXgvvUm/SIlgHrFOF30THE+H7m6vZteUcEyVt2WJ&#13;&#10;MaIXb4edD/GbAENSUFOP48uqsuM6xKF0LEm9LKyU1nmE2pKupjdX19N84JJBcG2xR6IwXDVFsd/1&#13;&#10;mXR5eyG4g+aE/DwMHgmOrxTeYs1CfGEeTYGU0OjxGRepAbvBOaKkBf/rb/upHmeFWUo6NFlNw88D&#13;&#10;84IS/d3iFJMjx8CPwW4M7ME8APq2xCfkeA7xgI96DKUH84r+X6YumGKWY6+axjF8iIPV8f1wsVzm&#13;&#10;IvSdY3FtN44n6KRj0nTbvzLvzsJHnNgTjPZj1Qf9h9phAstDBKnycJKyg4pnwdGzebzn95Uexfvv&#13;&#10;XPX2L7D4DQAA//8DAFBLAwQUAAYACAAAACEAOPYPXeMAAAAOAQAADwAAAGRycy9kb3ducmV2Lnht&#13;&#10;bEyPy07DMBBF90j8gzVI7KjdNGpRGqdCFHY8C0iwc2KTRNjjyHbS8PcMK9iMNK97zy13s7NsMiH2&#13;&#10;HiUsFwKYwcbrHlsJry+3F5fAYlKolfVoJHybCLvq9KRUhfZHfDbTIbWMRDAWSkKX0lBwHpvOOBUX&#13;&#10;fjBIu08fnErUhpbroI4k7izPhFhzp3okh04N5rozzddhdBLsewx3tUgf0769T0+PfHy7WT5IeX42&#13;&#10;77dUrrbAkpnT3wf8ZiB+qAis9iPqyKyEPCP8JCHLRQ6MDjbZClhNg/VmBbwq+f8Y1Q8AAAD//wMA&#13;&#10;UEsBAi0AFAAGAAgAAAAhALaDOJL+AAAA4QEAABMAAAAAAAAAAAAAAAAAAAAAAFtDb250ZW50X1R5&#13;&#10;cGVzXS54bWxQSwECLQAUAAYACAAAACEAOP0h/9YAAACUAQAACwAAAAAAAAAAAAAAAAAvAQAAX3Jl&#13;&#10;bHMvLnJlbHNQSwECLQAUAAYACAAAACEATiHIMycCAABNBAAADgAAAAAAAAAAAAAAAAAuAgAAZHJz&#13;&#10;L2Uyb0RvYy54bWxQSwECLQAUAAYACAAAACEAOPYPXeMAAAAOAQAADwAAAAAAAAAAAAAAAACBBAAA&#13;&#10;ZHJzL2Rvd25yZXYueG1sUEsFBgAAAAAEAAQA8wAAAJEFAAAAAA==&#13;&#10;" filled="f" stroked="f" strokeweight=".5pt">
                <v:textbox inset="0,0,0,0">
                  <w:txbxContent>
                    <w:p w14:paraId="7DFF08F3" w14:textId="77777777" w:rsidR="00F61130" w:rsidRPr="006508D1" w:rsidRDefault="00F61130" w:rsidP="004404EE">
                      <w:r w:rsidRPr="006508D1">
                        <w:t>A</w:t>
                      </w:r>
                    </w:p>
                  </w:txbxContent>
                </v:textbox>
                <w10:wrap type="topAndBottom"/>
              </v:shape>
            </w:pict>
          </mc:Fallback>
        </mc:AlternateContent>
      </w:r>
      <w:r>
        <w:rPr>
          <w:noProof/>
        </w:rPr>
        <mc:AlternateContent>
          <mc:Choice Requires="wps">
            <w:drawing>
              <wp:anchor distT="0" distB="0" distL="114300" distR="114300" simplePos="0" relativeHeight="251613184" behindDoc="0" locked="0" layoutInCell="1" allowOverlap="1" wp14:anchorId="053D4953" wp14:editId="4975E15F">
                <wp:simplePos x="0" y="0"/>
                <wp:positionH relativeFrom="column">
                  <wp:posOffset>2876639</wp:posOffset>
                </wp:positionH>
                <wp:positionV relativeFrom="paragraph">
                  <wp:posOffset>1505039</wp:posOffset>
                </wp:positionV>
                <wp:extent cx="187325" cy="171125"/>
                <wp:effectExtent l="0" t="0" r="3175" b="6985"/>
                <wp:wrapTopAndBottom/>
                <wp:docPr id="221" name="Text Box 221"/>
                <wp:cNvGraphicFramePr/>
                <a:graphic xmlns:a="http://schemas.openxmlformats.org/drawingml/2006/main">
                  <a:graphicData uri="http://schemas.microsoft.com/office/word/2010/wordprocessingShape">
                    <wps:wsp>
                      <wps:cNvSpPr txBox="1"/>
                      <wps:spPr>
                        <a:xfrm>
                          <a:off x="0" y="0"/>
                          <a:ext cx="187325" cy="171125"/>
                        </a:xfrm>
                        <a:prstGeom prst="rect">
                          <a:avLst/>
                        </a:prstGeom>
                        <a:noFill/>
                        <a:ln w="6350">
                          <a:noFill/>
                        </a:ln>
                      </wps:spPr>
                      <wps:txbx>
                        <w:txbxContent>
                          <w:p w14:paraId="01193D3E" w14:textId="77777777" w:rsidR="00F61130" w:rsidRPr="006508D1" w:rsidRDefault="00F61130" w:rsidP="004404EE">
                            <w:r>
                              <w:t>B</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53D4953" id="Text Box 221" o:spid="_x0000_s1197" type="#_x0000_t202" style="position:absolute;margin-left:226.5pt;margin-top:118.5pt;width:14.75pt;height:13.45pt;z-index:2516131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5ezblJwIAAE0EAAAOAAAAZHJzL2Uyb0RvYy54bWysVE1v2zAMvQ/YfxB0Xxyn6AeMOEXWIsOA&#13;&#10;oC2QDD0rshwbsEVNUmJnv35PcpwW3U7DLgpNUiTf41Pm933bsKOyriad83Qy5UxpSUWt9zn/sV19&#13;&#10;uePMeaEL0ZBWOT8px+8Xnz/NO5OpGVXUFMoyFNEu60zOK+9NliROVqoVbkJGaQRLsq3w+LT7pLCi&#13;&#10;Q/W2SWbT6U3SkS2MJamcg/dxCPJFrF+WSvrnsnTKsybnmM3H08ZzF85kMRfZ3gpT1fI8hviHKVpR&#13;&#10;azS9lHoUXrCDrf8o1dbSkqPSTyS1CZVlLVXEADTp9AOaTSWMilhAjjMXmtz/Kyufji+W1UXOZ7OU&#13;&#10;My1aLGmres++Us+CDwx1xmVI3Bik+h4BbHr0OzgD8L60bfgFJIY4uD5d+A3lZLh0d3s1u+ZMIpTe&#13;&#10;pilsVE/eLhvr/DdFLQtGzi3WF1kVx7XzQ+qYEnppWtVNE1fYaNbl/ObqehovXCIo3mj0CBCGUYPl&#13;&#10;+10fQWOKEciOihPwWRo04oxc1ZhiLZx/ERaiACQI3T/jKBtCNzpbnFVkf/3NH/KxK0Q56yCynLuf&#13;&#10;B2EVZ813jS0GRY6GHY3daOhD+0DQLfaCaaKJC9Y3o1laal+h/2XogpDQEr1y7kfzwQ9Sx/uRarmM&#13;&#10;SdCdEX6tN0aG0oHHwOm2fxXWnIn32NgTjfIT2Qf+h9xhA8uDp7KOywnMDiyeCYdm43rP7ys8ivff&#13;&#10;MevtX2DxGwAA//8DAFBLAwQUAAYACAAAACEAHJ3fGuQAAAAQAQAADwAAAGRycy9kb3ducmV2Lnht&#13;&#10;bEyPy07DMBBF90j8gzVI7KjTpC0ljVMhCjvKo4AEOyc2SYQfkT1Jw98zrGAzmuede4rtZA0bdYid&#13;&#10;dwLmswSYdrVXnWsEvL7cXayBRZROSeOdFvCtI2zL05NC5sof3bMeD9gwEnExlwJaxD7nPNattjLO&#13;&#10;fK8dzT59sBKpDA1XQR5J3BqeJsmKW9k5+tDKXt+0uv46DFaAeY/hvkrwY9w1e3x65MPb7fxBiPOz&#13;&#10;abehcL0BhnrCvwv4ZSD/UJKxyg9ORWYELJYZAaGANLukhDYW63QJrKLOKrsCXhb8P0j5AwAA//8D&#13;&#10;AFBLAQItABQABgAIAAAAIQC2gziS/gAAAOEBAAATAAAAAAAAAAAAAAAAAAAAAABbQ29udGVudF9U&#13;&#10;eXBlc10ueG1sUEsBAi0AFAAGAAgAAAAhADj9If/WAAAAlAEAAAsAAAAAAAAAAAAAAAAALwEAAF9y&#13;&#10;ZWxzLy5yZWxzUEsBAi0AFAAGAAgAAAAhAHl7NuUnAgAATQQAAA4AAAAAAAAAAAAAAAAALgIAAGRy&#13;&#10;cy9lMm9Eb2MueG1sUEsBAi0AFAAGAAgAAAAhAByd3xrkAAAAEAEAAA8AAAAAAAAAAAAAAAAAgQQA&#13;&#10;AGRycy9kb3ducmV2LnhtbFBLBQYAAAAABAAEAPMAAACSBQAAAAA=&#13;&#10;" filled="f" stroked="f" strokeweight=".5pt">
                <v:textbox inset="0,0,0,0">
                  <w:txbxContent>
                    <w:p w14:paraId="01193D3E" w14:textId="77777777" w:rsidR="00F61130" w:rsidRPr="006508D1" w:rsidRDefault="00F61130" w:rsidP="004404EE">
                      <w:r>
                        <w:t>B</w:t>
                      </w:r>
                    </w:p>
                  </w:txbxContent>
                </v:textbox>
                <w10:wrap type="topAndBottom"/>
              </v:shape>
            </w:pict>
          </mc:Fallback>
        </mc:AlternateContent>
      </w:r>
      <w:r>
        <w:rPr>
          <w:noProof/>
        </w:rPr>
        <mc:AlternateContent>
          <mc:Choice Requires="wps">
            <w:drawing>
              <wp:anchor distT="0" distB="0" distL="114300" distR="114300" simplePos="0" relativeHeight="251614208" behindDoc="0" locked="0" layoutInCell="1" allowOverlap="1" wp14:anchorId="0DB2D706" wp14:editId="4A53E6F2">
                <wp:simplePos x="0" y="0"/>
                <wp:positionH relativeFrom="column">
                  <wp:posOffset>286825</wp:posOffset>
                </wp:positionH>
                <wp:positionV relativeFrom="paragraph">
                  <wp:posOffset>3665025</wp:posOffset>
                </wp:positionV>
                <wp:extent cx="187325" cy="149860"/>
                <wp:effectExtent l="0" t="0" r="3175" b="2540"/>
                <wp:wrapTopAndBottom/>
                <wp:docPr id="222" name="Text Box 222"/>
                <wp:cNvGraphicFramePr/>
                <a:graphic xmlns:a="http://schemas.openxmlformats.org/drawingml/2006/main">
                  <a:graphicData uri="http://schemas.microsoft.com/office/word/2010/wordprocessingShape">
                    <wps:wsp>
                      <wps:cNvSpPr txBox="1"/>
                      <wps:spPr>
                        <a:xfrm>
                          <a:off x="0" y="0"/>
                          <a:ext cx="187325" cy="149860"/>
                        </a:xfrm>
                        <a:prstGeom prst="rect">
                          <a:avLst/>
                        </a:prstGeom>
                        <a:noFill/>
                        <a:ln w="6350">
                          <a:noFill/>
                        </a:ln>
                      </wps:spPr>
                      <wps:txbx>
                        <w:txbxContent>
                          <w:p w14:paraId="38D14E94" w14:textId="77777777" w:rsidR="00F61130" w:rsidRPr="006508D1" w:rsidRDefault="00F61130" w:rsidP="004404EE">
                            <w:r>
                              <w:t>C</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0DB2D706" id="Text Box 222" o:spid="_x0000_s1198" type="#_x0000_t202" style="position:absolute;margin-left:22.6pt;margin-top:288.6pt;width:14.75pt;height:11.8pt;z-index:2516142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8NfnkKQIAAE0EAAAOAAAAZHJzL2Uyb0RvYy54bWysVF1v2jAUfZ+0/2D5fQTSlbKIULFWTJNQ&#13;&#10;WwmmPhvHJpFsX882JOzX79ohtOr6VO3F3Ph+nnOPmd92WpGjcL4BU9LJaEyJMByqxuxL+mu7+jKj&#13;&#10;xAdmKqbAiJKehKe3i8+f5q0tRA41qEo4gkWML1pb0joEW2SZ57XQzI/ACoNOCU6zgJ9un1WOtVhd&#13;&#10;qywfj6dZC66yDrjwHm/veyddpPpSCh4epfQiEFVSnC2k06VzF89sMWfF3jFbN/w8BvvAFJo1Bpte&#13;&#10;St2zwMjBNf+U0g134EGGEQedgZQNFwkDopmM36DZ1MyKhAXJ8fZCk/9/ZfnD8cmRpippnueUGKZx&#13;&#10;SVvRBfIdOhLvkKHW+gIDNxZDQ4cO3PRw7/EyAu+k0/EXIRH0I9enC7+xHI9Js5ur/JoSjq7J12+z&#13;&#10;aeI/e0m2zocfAjSJRkkdri+xyo5rH3AQDB1CYi8Dq0aptEJlSFvS6dX1OCVcPJihDCZGCP2o0Qrd&#13;&#10;rkugJzcXgDuoTojPQa8Rb/mqwSnWzIcn5lAUCAmFHh7xkAqwG5wtSmpwf967j/G4K/RS0qLISup/&#13;&#10;H5gTlKifBrcYFTkYbjB2g2EO+g5QtxN8QpYnExNcUIMpHehn1P8ydkEXMxx7lTQM5l3opY7vh4vl&#13;&#10;MgWh7iwLa7OxPJaOPEZOt90zc/ZMfMCNPcAgP1a84b+P7TewPASQTVpOZLZn8Uw4ajbt7Py+4qN4&#13;&#10;/Z2iXv4FFn8BAAD//wMAUEsDBBQABgAIAAAAIQAwEPSN4gAAAA4BAAAPAAAAZHJzL2Rvd25yZXYu&#13;&#10;eG1sTE/LTsMwELwj8Q/WInGjdqu2qdI4FaJwAwoFJLg58ZJE+BHZThr+nuUEl9WuZnYexW6yho0Y&#13;&#10;YuedhPlMAENXe925RsLry93VBlhMymllvEMJ3xhhV56fFSrX/uSecTymhpGIi7mS0KbU55zHukWr&#13;&#10;4sz36Aj79MGqRGdouA7qROLW8IUQa25V58ihVT3etFh/HQcrwbzHcF+J9DHum4f0dODD2+38UcrL&#13;&#10;i2m/pXG9BZZwSn8f8NuB8kNJwSo/OB2ZkbBcLYgpYZVltBAhW2bAKglrITbAy4L/r1H+AAAA//8D&#13;&#10;AFBLAQItABQABgAIAAAAIQC2gziS/gAAAOEBAAATAAAAAAAAAAAAAAAAAAAAAABbQ29udGVudF9U&#13;&#10;eXBlc10ueG1sUEsBAi0AFAAGAAgAAAAhADj9If/WAAAAlAEAAAsAAAAAAAAAAAAAAAAALwEAAF9y&#13;&#10;ZWxzLy5yZWxzUEsBAi0AFAAGAAgAAAAhAHw1+eQpAgAATQQAAA4AAAAAAAAAAAAAAAAALgIAAGRy&#13;&#10;cy9lMm9Eb2MueG1sUEsBAi0AFAAGAAgAAAAhADAQ9I3iAAAADgEAAA8AAAAAAAAAAAAAAAAAgwQA&#13;&#10;AGRycy9kb3ducmV2LnhtbFBLBQYAAAAABAAEAPMAAACSBQAAAAA=&#13;&#10;" filled="f" stroked="f" strokeweight=".5pt">
                <v:textbox inset="0,0,0,0">
                  <w:txbxContent>
                    <w:p w14:paraId="38D14E94" w14:textId="77777777" w:rsidR="00F61130" w:rsidRPr="006508D1" w:rsidRDefault="00F61130" w:rsidP="004404EE">
                      <w:r>
                        <w:t>C</w:t>
                      </w:r>
                    </w:p>
                  </w:txbxContent>
                </v:textbox>
                <w10:wrap type="topAndBottom"/>
              </v:shape>
            </w:pict>
          </mc:Fallback>
        </mc:AlternateContent>
      </w:r>
      <w:r>
        <w:rPr>
          <w:noProof/>
        </w:rPr>
        <mc:AlternateContent>
          <mc:Choice Requires="wps">
            <w:drawing>
              <wp:anchor distT="0" distB="0" distL="114300" distR="114300" simplePos="0" relativeHeight="251615232" behindDoc="0" locked="0" layoutInCell="1" allowOverlap="1" wp14:anchorId="117281F4" wp14:editId="0FCFA397">
                <wp:simplePos x="0" y="0"/>
                <wp:positionH relativeFrom="column">
                  <wp:posOffset>-5275</wp:posOffset>
                </wp:positionH>
                <wp:positionV relativeFrom="paragraph">
                  <wp:posOffset>5887525</wp:posOffset>
                </wp:positionV>
                <wp:extent cx="5575935" cy="1455420"/>
                <wp:effectExtent l="0" t="0" r="0" b="5080"/>
                <wp:wrapTopAndBottom/>
                <wp:docPr id="225" name="Text Box 225"/>
                <wp:cNvGraphicFramePr/>
                <a:graphic xmlns:a="http://schemas.openxmlformats.org/drawingml/2006/main">
                  <a:graphicData uri="http://schemas.microsoft.com/office/word/2010/wordprocessingShape">
                    <wps:wsp>
                      <wps:cNvSpPr txBox="1"/>
                      <wps:spPr>
                        <a:xfrm>
                          <a:off x="0" y="0"/>
                          <a:ext cx="5575935" cy="1455420"/>
                        </a:xfrm>
                        <a:prstGeom prst="rect">
                          <a:avLst/>
                        </a:prstGeom>
                        <a:solidFill>
                          <a:prstClr val="white"/>
                        </a:solidFill>
                        <a:ln>
                          <a:noFill/>
                        </a:ln>
                      </wps:spPr>
                      <wps:txbx>
                        <w:txbxContent>
                          <w:p w14:paraId="38FF1F9C" w14:textId="3EA3336C" w:rsidR="00F61130" w:rsidRPr="004404EE" w:rsidRDefault="00F61130" w:rsidP="004404EE">
                            <w:pPr>
                              <w:pStyle w:val="Caption"/>
                              <w:spacing w:line="360" w:lineRule="auto"/>
                              <w:jc w:val="both"/>
                              <w:rPr>
                                <w:noProof/>
                                <w:sz w:val="20"/>
                                <w:szCs w:val="20"/>
                              </w:rPr>
                            </w:pPr>
                            <w:bookmarkStart w:id="695" w:name="_Toc525227254"/>
                            <w:bookmarkStart w:id="696" w:name="_Toc536814194"/>
                            <w:r w:rsidRPr="004404EE">
                              <w:rPr>
                                <w:b/>
                                <w:sz w:val="20"/>
                                <w:szCs w:val="20"/>
                              </w:rPr>
                              <w:t xml:space="preserve">Figure </w:t>
                            </w:r>
                            <w:r>
                              <w:rPr>
                                <w:b/>
                                <w:sz w:val="20"/>
                                <w:szCs w:val="20"/>
                              </w:rPr>
                              <w:fldChar w:fldCharType="begin"/>
                            </w:r>
                            <w:r>
                              <w:rPr>
                                <w:b/>
                                <w:sz w:val="20"/>
                                <w:szCs w:val="20"/>
                              </w:rPr>
                              <w:instrText xml:space="preserve"> STYLEREF 1 \s </w:instrText>
                            </w:r>
                            <w:r>
                              <w:rPr>
                                <w:b/>
                                <w:sz w:val="20"/>
                                <w:szCs w:val="20"/>
                              </w:rPr>
                              <w:fldChar w:fldCharType="separate"/>
                            </w:r>
                            <w:r>
                              <w:rPr>
                                <w:b/>
                                <w:noProof/>
                                <w:sz w:val="20"/>
                                <w:szCs w:val="20"/>
                              </w:rPr>
                              <w:t>7</w:t>
                            </w:r>
                            <w:r>
                              <w:rPr>
                                <w:b/>
                                <w:sz w:val="20"/>
                                <w:szCs w:val="20"/>
                              </w:rPr>
                              <w:fldChar w:fldCharType="end"/>
                            </w:r>
                            <w:r>
                              <w:rPr>
                                <w:b/>
                                <w:sz w:val="20"/>
                                <w:szCs w:val="20"/>
                              </w:rPr>
                              <w:t>.</w:t>
                            </w:r>
                            <w:r>
                              <w:rPr>
                                <w:b/>
                                <w:sz w:val="20"/>
                                <w:szCs w:val="20"/>
                              </w:rPr>
                              <w:fldChar w:fldCharType="begin"/>
                            </w:r>
                            <w:r>
                              <w:rPr>
                                <w:b/>
                                <w:sz w:val="20"/>
                                <w:szCs w:val="20"/>
                              </w:rPr>
                              <w:instrText xml:space="preserve"> SEQ Figure \* ARABIC \s 1 </w:instrText>
                            </w:r>
                            <w:r>
                              <w:rPr>
                                <w:b/>
                                <w:sz w:val="20"/>
                                <w:szCs w:val="20"/>
                              </w:rPr>
                              <w:fldChar w:fldCharType="separate"/>
                            </w:r>
                            <w:r>
                              <w:rPr>
                                <w:b/>
                                <w:noProof/>
                                <w:sz w:val="20"/>
                                <w:szCs w:val="20"/>
                              </w:rPr>
                              <w:t>2</w:t>
                            </w:r>
                            <w:r>
                              <w:rPr>
                                <w:b/>
                                <w:sz w:val="20"/>
                                <w:szCs w:val="20"/>
                              </w:rPr>
                              <w:fldChar w:fldCharType="end"/>
                            </w:r>
                            <w:r w:rsidRPr="004404EE">
                              <w:rPr>
                                <w:b/>
                                <w:sz w:val="20"/>
                                <w:szCs w:val="20"/>
                              </w:rPr>
                              <w:t xml:space="preserve"> </w:t>
                            </w:r>
                            <w:bookmarkStart w:id="697" w:name="_Ref514760758"/>
                            <w:r w:rsidRPr="004404EE">
                              <w:rPr>
                                <w:b/>
                                <w:sz w:val="20"/>
                                <w:szCs w:val="20"/>
                              </w:rPr>
                              <w:t xml:space="preserve">- Significant changes in liver weight, but not bodyweight, are seen in </w:t>
                            </w:r>
                            <w:r w:rsidRPr="004404EE">
                              <w:rPr>
                                <w:b/>
                                <w:i/>
                                <w:sz w:val="20"/>
                                <w:szCs w:val="20"/>
                              </w:rPr>
                              <w:t>L. donovani</w:t>
                            </w:r>
                            <w:r w:rsidRPr="004404EE">
                              <w:rPr>
                                <w:b/>
                                <w:sz w:val="20"/>
                                <w:szCs w:val="20"/>
                              </w:rPr>
                              <w:t xml:space="preserve"> infected mice. </w:t>
                            </w:r>
                            <w:r w:rsidRPr="004404EE">
                              <w:rPr>
                                <w:i/>
                                <w:sz w:val="20"/>
                                <w:szCs w:val="20"/>
                              </w:rPr>
                              <w:t>L. donovani</w:t>
                            </w:r>
                            <w:r w:rsidRPr="004404EE">
                              <w:rPr>
                                <w:sz w:val="20"/>
                                <w:szCs w:val="20"/>
                              </w:rPr>
                              <w:t xml:space="preserve"> infected B6 mice were analysed at time points shown for their body (A) and liver (B) weight. The proportional weight of the liver respective to the bodyweight was also derived for each time point (C). Data </w:t>
                            </w:r>
                            <w:r>
                              <w:rPr>
                                <w:sz w:val="20"/>
                                <w:szCs w:val="20"/>
                              </w:rPr>
                              <w:t>are</w:t>
                            </w:r>
                            <w:r w:rsidRPr="004404EE">
                              <w:rPr>
                                <w:sz w:val="20"/>
                                <w:szCs w:val="20"/>
                              </w:rPr>
                              <w:t xml:space="preserve"> expressed as mean </w:t>
                            </w:r>
                            <w:r w:rsidRPr="004404EE">
                              <w:rPr>
                                <w:sz w:val="20"/>
                                <w:szCs w:val="20"/>
                              </w:rPr>
                              <w:sym w:font="Symbol" w:char="F0B1"/>
                            </w:r>
                            <w:r w:rsidRPr="004404EE">
                              <w:rPr>
                                <w:sz w:val="20"/>
                                <w:szCs w:val="20"/>
                              </w:rPr>
                              <w:t xml:space="preserve"> SD (n = 4-5 biological replicates per time point). Data </w:t>
                            </w:r>
                            <w:r>
                              <w:rPr>
                                <w:sz w:val="20"/>
                                <w:szCs w:val="20"/>
                              </w:rPr>
                              <w:t>are</w:t>
                            </w:r>
                            <w:r w:rsidRPr="004404EE">
                              <w:rPr>
                                <w:sz w:val="20"/>
                                <w:szCs w:val="20"/>
                              </w:rPr>
                              <w:t xml:space="preserve"> representative of 1 infection experiment and was analysed using a Dunn’s Multiple Comparisons test (# denotes a p value of less than 0.05)</w:t>
                            </w:r>
                            <w:bookmarkEnd w:id="695"/>
                            <w:bookmarkEnd w:id="696"/>
                            <w:bookmarkEnd w:id="697"/>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17281F4" id="Text Box 225" o:spid="_x0000_s1199" type="#_x0000_t202" style="position:absolute;margin-left:-.4pt;margin-top:463.6pt;width:439.05pt;height:114.6pt;z-index:2516152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10eJlOAIAAG4EAAAOAAAAZHJzL2Uyb0RvYy54bWysVMFu2zAMvQ/YPwi6L07Seu2COEWWIsOA&#13;&#10;oi2QDD0rshwLkEWNUmJnXz9KjtOt22nYRaFJitR7j8z8rmsMOyr0GmzBJ6MxZ8pKKLXdF/zbdv3h&#13;&#10;ljMfhC2FAasKflKe3y3ev5u3bqamUIMpFTIqYv2sdQWvQ3CzLPOyVo3wI3DKUrACbESgT9xnJYqW&#13;&#10;qjcmm47HH7MWsHQIUnlP3vs+yBepflUpGZ6qyqvATMHpbSGdmM5dPLPFXMz2KFyt5fkZ4h9e0Qht&#13;&#10;qeml1L0Igh1Q/1Gq0RLBQxVGEpoMqkpLlTAQmsn4DZpNLZxKWIgc7y40+f9XVj4en5HpsuDTac6Z&#13;&#10;FQ2JtFVdYJ+hY9FHDLXOzyhx4yg1dBQgpQe/J2cE3lXYxF+CxChOXJ8u/MZykpx5fpN/uqI2kmKT&#13;&#10;6zy/niYFstfrDn34oqBh0Sg4koCJV3F88IGeQqlDSuzmwehyrY2JHzGwMsiOgsRuax1UfCTd+C3L&#13;&#10;2JhrId7qw9GTRYw9lmiFbtclViY3VwPSHZQnIgChHyLv5FpTxwfhw7NAmhrCTJsQnuioDLQFh7PF&#13;&#10;WQ3442/+mE9iUpSzlqaw4P77QaDizHy1JHMc2cHAwdgNhj00KyCsE9oxJ5NJFzCYwawQmhdakGXs&#13;&#10;QiFhJfUqeBjMVeh3gRZMquUyJdFgOhEe7MbJWHpgdtu9CHRnXQJJ+gjDfIrZG3n63CSQWx4CcZ20&#13;&#10;i8z2LJ4Jp6FOAp0XMG7Nr98p6/VvYvETAAD//wMAUEsDBBQABgAIAAAAIQC6a2r35gAAAA8BAAAP&#13;&#10;AAAAZHJzL2Rvd25yZXYueG1sTI8xT8MwEIV3JP6DdUgsiDpNQ1LSOFVVYIClInRhcxM3DsTnyHba&#13;&#10;8O+5TrCcdHrv3n2vWE+mZyflfGdRwHwWAVNY26bDVsD+4+V+CcwHiY3sLSoBP8rDury+KmTe2DO+&#13;&#10;q1MVWkYh6HMpQIcw5Jz7Wisj/cwOCkk7WmdkoNW1vHHyTOGm53EUpdzIDumDloPaalV/V6MRsEs+&#13;&#10;d/puPD6/bZKFe92P2/SrrYS4vZmeVjQ2K2BBTeHvAi4diB9KAjvYERvPegEX+iDgMc5iYKQvs2wB&#13;&#10;7EDG+UOaAC8L/r9H+QsAAP//AwBQSwECLQAUAAYACAAAACEAtoM4kv4AAADhAQAAEwAAAAAAAAAA&#13;&#10;AAAAAAAAAAAAW0NvbnRlbnRfVHlwZXNdLnhtbFBLAQItABQABgAIAAAAIQA4/SH/1gAAAJQBAAAL&#13;&#10;AAAAAAAAAAAAAAAAAC8BAABfcmVscy8ucmVsc1BLAQItABQABgAIAAAAIQC10eJlOAIAAG4EAAAO&#13;&#10;AAAAAAAAAAAAAAAAAC4CAABkcnMvZTJvRG9jLnhtbFBLAQItABQABgAIAAAAIQC6a2r35gAAAA8B&#13;&#10;AAAPAAAAAAAAAAAAAAAAAJIEAABkcnMvZG93bnJldi54bWxQSwUGAAAAAAQABADzAAAApQUAAAAA&#13;&#10;" stroked="f">
                <v:textbox style="mso-fit-shape-to-text:t" inset="0,0,0,0">
                  <w:txbxContent>
                    <w:p w14:paraId="38FF1F9C" w14:textId="3EA3336C" w:rsidR="00F61130" w:rsidRPr="004404EE" w:rsidRDefault="00F61130" w:rsidP="004404EE">
                      <w:pPr>
                        <w:pStyle w:val="Caption"/>
                        <w:spacing w:line="360" w:lineRule="auto"/>
                        <w:jc w:val="both"/>
                        <w:rPr>
                          <w:noProof/>
                          <w:sz w:val="20"/>
                          <w:szCs w:val="20"/>
                        </w:rPr>
                      </w:pPr>
                      <w:bookmarkStart w:id="698" w:name="_Toc525227254"/>
                      <w:bookmarkStart w:id="699" w:name="_Toc536814194"/>
                      <w:r w:rsidRPr="004404EE">
                        <w:rPr>
                          <w:b/>
                          <w:sz w:val="20"/>
                          <w:szCs w:val="20"/>
                        </w:rPr>
                        <w:t xml:space="preserve">Figure </w:t>
                      </w:r>
                      <w:r>
                        <w:rPr>
                          <w:b/>
                          <w:sz w:val="20"/>
                          <w:szCs w:val="20"/>
                        </w:rPr>
                        <w:fldChar w:fldCharType="begin"/>
                      </w:r>
                      <w:r>
                        <w:rPr>
                          <w:b/>
                          <w:sz w:val="20"/>
                          <w:szCs w:val="20"/>
                        </w:rPr>
                        <w:instrText xml:space="preserve"> STYLEREF 1 \s </w:instrText>
                      </w:r>
                      <w:r>
                        <w:rPr>
                          <w:b/>
                          <w:sz w:val="20"/>
                          <w:szCs w:val="20"/>
                        </w:rPr>
                        <w:fldChar w:fldCharType="separate"/>
                      </w:r>
                      <w:r>
                        <w:rPr>
                          <w:b/>
                          <w:noProof/>
                          <w:sz w:val="20"/>
                          <w:szCs w:val="20"/>
                        </w:rPr>
                        <w:t>7</w:t>
                      </w:r>
                      <w:r>
                        <w:rPr>
                          <w:b/>
                          <w:sz w:val="20"/>
                          <w:szCs w:val="20"/>
                        </w:rPr>
                        <w:fldChar w:fldCharType="end"/>
                      </w:r>
                      <w:r>
                        <w:rPr>
                          <w:b/>
                          <w:sz w:val="20"/>
                          <w:szCs w:val="20"/>
                        </w:rPr>
                        <w:t>.</w:t>
                      </w:r>
                      <w:r>
                        <w:rPr>
                          <w:b/>
                          <w:sz w:val="20"/>
                          <w:szCs w:val="20"/>
                        </w:rPr>
                        <w:fldChar w:fldCharType="begin"/>
                      </w:r>
                      <w:r>
                        <w:rPr>
                          <w:b/>
                          <w:sz w:val="20"/>
                          <w:szCs w:val="20"/>
                        </w:rPr>
                        <w:instrText xml:space="preserve"> SEQ Figure \* ARABIC \s 1 </w:instrText>
                      </w:r>
                      <w:r>
                        <w:rPr>
                          <w:b/>
                          <w:sz w:val="20"/>
                          <w:szCs w:val="20"/>
                        </w:rPr>
                        <w:fldChar w:fldCharType="separate"/>
                      </w:r>
                      <w:r>
                        <w:rPr>
                          <w:b/>
                          <w:noProof/>
                          <w:sz w:val="20"/>
                          <w:szCs w:val="20"/>
                        </w:rPr>
                        <w:t>2</w:t>
                      </w:r>
                      <w:r>
                        <w:rPr>
                          <w:b/>
                          <w:sz w:val="20"/>
                          <w:szCs w:val="20"/>
                        </w:rPr>
                        <w:fldChar w:fldCharType="end"/>
                      </w:r>
                      <w:r w:rsidRPr="004404EE">
                        <w:rPr>
                          <w:b/>
                          <w:sz w:val="20"/>
                          <w:szCs w:val="20"/>
                        </w:rPr>
                        <w:t xml:space="preserve"> </w:t>
                      </w:r>
                      <w:bookmarkStart w:id="700" w:name="_Ref514760758"/>
                      <w:r w:rsidRPr="004404EE">
                        <w:rPr>
                          <w:b/>
                          <w:sz w:val="20"/>
                          <w:szCs w:val="20"/>
                        </w:rPr>
                        <w:t xml:space="preserve">- Significant changes in liver weight, but not bodyweight, are seen in </w:t>
                      </w:r>
                      <w:r w:rsidRPr="004404EE">
                        <w:rPr>
                          <w:b/>
                          <w:i/>
                          <w:sz w:val="20"/>
                          <w:szCs w:val="20"/>
                        </w:rPr>
                        <w:t>L. donovani</w:t>
                      </w:r>
                      <w:r w:rsidRPr="004404EE">
                        <w:rPr>
                          <w:b/>
                          <w:sz w:val="20"/>
                          <w:szCs w:val="20"/>
                        </w:rPr>
                        <w:t xml:space="preserve"> infected mice. </w:t>
                      </w:r>
                      <w:r w:rsidRPr="004404EE">
                        <w:rPr>
                          <w:i/>
                          <w:sz w:val="20"/>
                          <w:szCs w:val="20"/>
                        </w:rPr>
                        <w:t>L. donovani</w:t>
                      </w:r>
                      <w:r w:rsidRPr="004404EE">
                        <w:rPr>
                          <w:sz w:val="20"/>
                          <w:szCs w:val="20"/>
                        </w:rPr>
                        <w:t xml:space="preserve"> infected B6 mice were analysed at time points shown for their body (A) and liver (B) weight. The proportional weight of the liver respective to the bodyweight was also derived for each time point (C). Data </w:t>
                      </w:r>
                      <w:r>
                        <w:rPr>
                          <w:sz w:val="20"/>
                          <w:szCs w:val="20"/>
                        </w:rPr>
                        <w:t>are</w:t>
                      </w:r>
                      <w:r w:rsidRPr="004404EE">
                        <w:rPr>
                          <w:sz w:val="20"/>
                          <w:szCs w:val="20"/>
                        </w:rPr>
                        <w:t xml:space="preserve"> expressed as mean </w:t>
                      </w:r>
                      <w:r w:rsidRPr="004404EE">
                        <w:rPr>
                          <w:sz w:val="20"/>
                          <w:szCs w:val="20"/>
                        </w:rPr>
                        <w:sym w:font="Symbol" w:char="F0B1"/>
                      </w:r>
                      <w:r w:rsidRPr="004404EE">
                        <w:rPr>
                          <w:sz w:val="20"/>
                          <w:szCs w:val="20"/>
                        </w:rPr>
                        <w:t xml:space="preserve"> SD (n = 4-5 biological replicates per time point). Data </w:t>
                      </w:r>
                      <w:r>
                        <w:rPr>
                          <w:sz w:val="20"/>
                          <w:szCs w:val="20"/>
                        </w:rPr>
                        <w:t>are</w:t>
                      </w:r>
                      <w:r w:rsidRPr="004404EE">
                        <w:rPr>
                          <w:sz w:val="20"/>
                          <w:szCs w:val="20"/>
                        </w:rPr>
                        <w:t xml:space="preserve"> representative of 1 infection experiment and was analysed using a Dunn’s Multiple Comparisons test (# denotes a p value of less than 0.05)</w:t>
                      </w:r>
                      <w:bookmarkEnd w:id="698"/>
                      <w:bookmarkEnd w:id="699"/>
                      <w:bookmarkEnd w:id="700"/>
                    </w:p>
                  </w:txbxContent>
                </v:textbox>
                <w10:wrap type="topAndBottom"/>
              </v:shape>
            </w:pict>
          </mc:Fallback>
        </mc:AlternateContent>
      </w:r>
      <w:r w:rsidR="004404EE" w:rsidRPr="008B3AD6">
        <w:br w:type="page"/>
      </w:r>
    </w:p>
    <w:p w14:paraId="6671A202" w14:textId="48FC47B5" w:rsidR="00AC3EF2" w:rsidRPr="008B3AD6" w:rsidRDefault="00F57F02">
      <w:pPr>
        <w:spacing w:line="240" w:lineRule="auto"/>
      </w:pPr>
      <w:r>
        <w:rPr>
          <w:noProof/>
        </w:rPr>
        <w:lastRenderedPageBreak/>
        <w:drawing>
          <wp:anchor distT="0" distB="0" distL="114300" distR="114300" simplePos="0" relativeHeight="251629568" behindDoc="0" locked="0" layoutInCell="1" allowOverlap="1" wp14:anchorId="24545FE2" wp14:editId="2BC38AE2">
            <wp:simplePos x="0" y="0"/>
            <wp:positionH relativeFrom="column">
              <wp:posOffset>-5275</wp:posOffset>
            </wp:positionH>
            <wp:positionV relativeFrom="paragraph">
              <wp:posOffset>1066507</wp:posOffset>
            </wp:positionV>
            <wp:extent cx="5575935" cy="5609590"/>
            <wp:effectExtent l="0" t="0" r="0" b="3810"/>
            <wp:wrapTopAndBottom/>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Picture 228"/>
                    <pic:cNvPicPr>
                      <a:picLocks noChangeAspect="1"/>
                    </pic:cNvPicPr>
                  </pic:nvPicPr>
                  <pic:blipFill>
                    <a:blip r:embed="rId103">
                      <a:extLst>
                        <a:ext uri="{28A0092B-C50C-407E-A947-70E740481C1C}">
                          <a14:useLocalDpi xmlns:a14="http://schemas.microsoft.com/office/drawing/2010/main" val="0"/>
                        </a:ext>
                      </a:extLst>
                    </a:blip>
                    <a:stretch>
                      <a:fillRect/>
                    </a:stretch>
                  </pic:blipFill>
                  <pic:spPr>
                    <a:xfrm>
                      <a:off x="0" y="0"/>
                      <a:ext cx="5575935" cy="5609590"/>
                    </a:xfrm>
                    <a:prstGeom prst="rect">
                      <a:avLst/>
                    </a:prstGeom>
                  </pic:spPr>
                </pic:pic>
              </a:graphicData>
            </a:graphic>
          </wp:anchor>
        </w:drawing>
      </w:r>
      <w:r>
        <w:rPr>
          <w:noProof/>
        </w:rPr>
        <mc:AlternateContent>
          <mc:Choice Requires="wps">
            <w:drawing>
              <wp:anchor distT="0" distB="0" distL="114300" distR="114300" simplePos="0" relativeHeight="251630592" behindDoc="0" locked="0" layoutInCell="1" allowOverlap="1" wp14:anchorId="657EDEBF" wp14:editId="07B3CE55">
                <wp:simplePos x="0" y="0"/>
                <wp:positionH relativeFrom="column">
                  <wp:posOffset>299525</wp:posOffset>
                </wp:positionH>
                <wp:positionV relativeFrom="paragraph">
                  <wp:posOffset>1257007</wp:posOffset>
                </wp:positionV>
                <wp:extent cx="187325" cy="149860"/>
                <wp:effectExtent l="0" t="0" r="3175" b="2540"/>
                <wp:wrapTopAndBottom/>
                <wp:docPr id="227" name="Text Box 227"/>
                <wp:cNvGraphicFramePr/>
                <a:graphic xmlns:a="http://schemas.openxmlformats.org/drawingml/2006/main">
                  <a:graphicData uri="http://schemas.microsoft.com/office/word/2010/wordprocessingShape">
                    <wps:wsp>
                      <wps:cNvSpPr txBox="1"/>
                      <wps:spPr>
                        <a:xfrm>
                          <a:off x="0" y="0"/>
                          <a:ext cx="187325" cy="149860"/>
                        </a:xfrm>
                        <a:prstGeom prst="rect">
                          <a:avLst/>
                        </a:prstGeom>
                        <a:noFill/>
                        <a:ln w="6350">
                          <a:noFill/>
                        </a:ln>
                      </wps:spPr>
                      <wps:txbx>
                        <w:txbxContent>
                          <w:p w14:paraId="7FBBA55E" w14:textId="77777777" w:rsidR="00F61130" w:rsidRPr="006508D1" w:rsidRDefault="00F61130" w:rsidP="004404EE">
                            <w:r w:rsidRPr="006508D1">
                              <w:t>A</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657EDEBF" id="Text Box 227" o:spid="_x0000_s1200" type="#_x0000_t202" style="position:absolute;margin-left:23.6pt;margin-top:99pt;width:14.75pt;height:11.8pt;z-index:2516305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W43GwKgIAAE0EAAAOAAAAZHJzL2Uyb0RvYy54bWysVF1v2jAUfZ+0/2D5fSTQFlhEqFgrpkmo&#13;&#10;rQRTn41jk0i2r2cbEvbrd+0QOnV7mvZibnw/z7nHLO47rchJON+AKel4lFMiDIeqMYeSft+tP80p&#13;&#10;8YGZiikwoqRn4en98uOHRWsLMYEaVCUcwSLGF60taR2CLbLM81po5kdghUGnBKdZwE93yCrHWqyu&#13;&#10;VTbJ82nWgqusAy68x9vH3kmXqb6UgodnKb0IRJUUZwvpdOncxzNbLlhxcMzWDb+Mwf5hCs0ag02v&#13;&#10;pR5ZYOTomj9K6YY78CDDiIPOQMqGi4QB0Yzzd2i2NbMiYUFyvL3S5P9fWf50enGkqUo6mcwoMUzj&#13;&#10;knaiC+QLdCTeIUOt9QUGbi2Ghg4duOnh3uNlBN5Jp+MvQiLoR67PV35jOR6T5rObyR0lHF3j28/z&#13;&#10;aeI/e0u2zoevAjSJRkkdri+xyk4bH3AQDB1CYi8D60aptEJlSFvS6c1dnhKuHsxQBhMjhH7UaIVu&#13;&#10;3yXQ49ntAGQP1RnxOeg14i1fNzjFhvnwwhyKAiGh0MMzHlIBdoOLRUkN7uff7mM87gq9lLQospL6&#13;&#10;H0fmBCXqm8EtRkUOhhuM/WCYo34A1O0Yn5DlycQEF9RgSgf6FfW/il3QxQzHXiUNg/kQeqnj++Fi&#13;&#10;tUpBqDvLwsZsLY+lI4+R0133ypy9EB9wY08wyI8V7/jvY/sNrI4BZJOWE5ntWbwQjppNO7u8r/go&#13;&#10;fv9OUW//AstfAAAA//8DAFBLAwQUAAYACAAAACEAhJP3KeMAAAAOAQAADwAAAGRycy9kb3ducmV2&#13;&#10;LnhtbEyPT0/DMAzF70h8h8hI3FjaCrWjazohBjdgMECCW9qYtiJ/qiTtyrfHnOBiyfbz8/tV28Vo&#13;&#10;NqMPg7MC0lUCDG3r1GA7Aa8vdxdrYCFKq6R2FgV8Y4BtfXpSyVK5o33G+RA7RiY2lFJAH+NYch7a&#13;&#10;Ho0MKzeipd2n80ZGan3HlZdHMjeaZ0mScyMHSx96OeJNj+3XYTIC9Hvw900SP+Zd9xCf9nx6u00f&#13;&#10;hTg/W3YbKtcbYBGX+HcBvwyUH2oK1rjJqsC0gMsiIyXNr9YERoIiL4A1ArIszYHXFf+PUf8AAAD/&#13;&#10;/wMAUEsBAi0AFAAGAAgAAAAhALaDOJL+AAAA4QEAABMAAAAAAAAAAAAAAAAAAAAAAFtDb250ZW50&#13;&#10;X1R5cGVzXS54bWxQSwECLQAUAAYACAAAACEAOP0h/9YAAACUAQAACwAAAAAAAAAAAAAAAAAvAQAA&#13;&#10;X3JlbHMvLnJlbHNQSwECLQAUAAYACAAAACEAluNxsCoCAABNBAAADgAAAAAAAAAAAAAAAAAuAgAA&#13;&#10;ZHJzL2Uyb0RvYy54bWxQSwECLQAUAAYACAAAACEAhJP3KeMAAAAOAQAADwAAAAAAAAAAAAAAAACE&#13;&#10;BAAAZHJzL2Rvd25yZXYueG1sUEsFBgAAAAAEAAQA8wAAAJQFAAAAAA==&#13;&#10;" filled="f" stroked="f" strokeweight=".5pt">
                <v:textbox inset="0,0,0,0">
                  <w:txbxContent>
                    <w:p w14:paraId="7FBBA55E" w14:textId="77777777" w:rsidR="00F61130" w:rsidRPr="006508D1" w:rsidRDefault="00F61130" w:rsidP="004404EE">
                      <w:r w:rsidRPr="006508D1">
                        <w:t>A</w:t>
                      </w:r>
                    </w:p>
                  </w:txbxContent>
                </v:textbox>
                <w10:wrap type="topAndBottom"/>
              </v:shape>
            </w:pict>
          </mc:Fallback>
        </mc:AlternateContent>
      </w:r>
      <w:r>
        <w:rPr>
          <w:noProof/>
        </w:rPr>
        <mc:AlternateContent>
          <mc:Choice Requires="wps">
            <w:drawing>
              <wp:anchor distT="0" distB="0" distL="114300" distR="114300" simplePos="0" relativeHeight="251631616" behindDoc="0" locked="0" layoutInCell="1" allowOverlap="1" wp14:anchorId="2C311189" wp14:editId="17FF3845">
                <wp:simplePos x="0" y="0"/>
                <wp:positionH relativeFrom="column">
                  <wp:posOffset>3030025</wp:posOffset>
                </wp:positionH>
                <wp:positionV relativeFrom="paragraph">
                  <wp:posOffset>1269707</wp:posOffset>
                </wp:positionV>
                <wp:extent cx="187325" cy="149860"/>
                <wp:effectExtent l="0" t="0" r="3175" b="2540"/>
                <wp:wrapTopAndBottom/>
                <wp:docPr id="86" name="Text Box 86"/>
                <wp:cNvGraphicFramePr/>
                <a:graphic xmlns:a="http://schemas.openxmlformats.org/drawingml/2006/main">
                  <a:graphicData uri="http://schemas.microsoft.com/office/word/2010/wordprocessingShape">
                    <wps:wsp>
                      <wps:cNvSpPr txBox="1"/>
                      <wps:spPr>
                        <a:xfrm>
                          <a:off x="0" y="0"/>
                          <a:ext cx="187325" cy="149860"/>
                        </a:xfrm>
                        <a:prstGeom prst="rect">
                          <a:avLst/>
                        </a:prstGeom>
                        <a:noFill/>
                        <a:ln w="6350">
                          <a:noFill/>
                        </a:ln>
                      </wps:spPr>
                      <wps:txbx>
                        <w:txbxContent>
                          <w:p w14:paraId="67B1158F" w14:textId="77777777" w:rsidR="00F61130" w:rsidRPr="006508D1" w:rsidRDefault="00F61130" w:rsidP="004404EE">
                            <w:r>
                              <w:t>B</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2C311189" id="Text Box 86" o:spid="_x0000_s1201" type="#_x0000_t202" style="position:absolute;margin-left:238.6pt;margin-top:100pt;width:14.75pt;height:11.8pt;z-index:2516316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3UUQIKQIAAEsEAAAOAAAAZHJzL2Uyb0RvYy54bWysVF1v2jAUfZ+0/2D5fSTQQVlEqFgrpkmo&#13;&#10;rQRTn41jk0i2r2cbEvbrd+0QWnV7mvZibu6X7zn3mMVdpxU5CecbMCUdj3JKhOFQNeZQ0h+79ac5&#13;&#10;JT4wUzEFRpT0LDy9W378sGhtISZQg6qEI9jE+KK1Ja1DsEWWeV4LzfwIrDAYlOA0C/jpDlnlWIvd&#13;&#10;tcomeT7LWnCVdcCF9+h96IN0mfpLKXh4ktKLQFRJcbaQTpfOfTyz5YIVB8ds3fDLGOwfptCsMXjp&#13;&#10;tdUDC4wcXfNHK91wBx5kGHHQGUjZcJEwIJpx/g7NtmZWJCxIjrdXmvz/a8sfT8+ONFVJ5zNKDNO4&#13;&#10;o53oAvkKHUEX8tNaX2Da1mJi6NCPex78Hp0Rdiedjr8IiGAcmT5f2Y3deCya395MppRwDI0/f5nP&#13;&#10;EvvZa7F1PnwToEk0SupweYlTdtr4gINg6pAS7zKwbpRKC1SGtCWd3UzzVHCNYIUyWBgh9KNGK3T7&#13;&#10;LkEe304HIHuozojPQa8Qb/m6wSk2zIdn5lASCAllHp7wkArwNrhYlNTgfv3NH/NxUxilpEWJldT/&#13;&#10;PDInKFHfDe4w6nEw3GDsB8Mc9T2gasf4gCxPJha4oAZTOtAvqP5VvAVDzHC8q6RhMO9DL3R8PVys&#13;&#10;VikJVWdZ2Jit5bF15DFyuutemLMX4gNu7BEG8bHiHf99br+B1TGAbNJyIrM9ixfCUbFpZ5fXFZ/E&#13;&#10;2++U9fofsPwNAAD//wMAUEsDBBQABgAIAAAAIQDORYsW4wAAABABAAAPAAAAZHJzL2Rvd25yZXYu&#13;&#10;eG1sTE9NT8MwDL0j8R8iI3FjyQq0qGs6IQY3GGwDCW5pY9qKJqmStCv/HnOCiyX7Pb+PYj2bnk3o&#13;&#10;Q+eshOVCAENbO93ZRsLr4eHiBliIymrVO4sSvjHAujw9KVSu3dHucNrHhpGIDbmS0MY45JyHukWj&#13;&#10;wsINaAn7dN6oSKtvuPbqSOKm54kQKTeqs+TQqgHvWqy/9qOR0L8H/1iJ+DFtmqf48szHt/vlVsrz&#13;&#10;s3mzonG7AhZxjn8f8NuB8kNJwSo3Wh1YL+EqyxKiSiAvakaMa5FmwCq6JJcp8LLg/4uUPwAAAP//&#13;&#10;AwBQSwECLQAUAAYACAAAACEAtoM4kv4AAADhAQAAEwAAAAAAAAAAAAAAAAAAAAAAW0NvbnRlbnRf&#13;&#10;VHlwZXNdLnhtbFBLAQItABQABgAIAAAAIQA4/SH/1gAAAJQBAAALAAAAAAAAAAAAAAAAAC8BAABf&#13;&#10;cmVscy8ucmVsc1BLAQItABQABgAIAAAAIQC3UUQIKQIAAEsEAAAOAAAAAAAAAAAAAAAAAC4CAABk&#13;&#10;cnMvZTJvRG9jLnhtbFBLAQItABQABgAIAAAAIQDORYsW4wAAABABAAAPAAAAAAAAAAAAAAAAAIME&#13;&#10;AABkcnMvZG93bnJldi54bWxQSwUGAAAAAAQABADzAAAAkwUAAAAA&#13;&#10;" filled="f" stroked="f" strokeweight=".5pt">
                <v:textbox inset="0,0,0,0">
                  <w:txbxContent>
                    <w:p w14:paraId="67B1158F" w14:textId="77777777" w:rsidR="00F61130" w:rsidRPr="006508D1" w:rsidRDefault="00F61130" w:rsidP="004404EE">
                      <w:r>
                        <w:t>B</w:t>
                      </w:r>
                    </w:p>
                  </w:txbxContent>
                </v:textbox>
                <w10:wrap type="topAndBottom"/>
              </v:shape>
            </w:pict>
          </mc:Fallback>
        </mc:AlternateContent>
      </w:r>
      <w:r>
        <w:rPr>
          <w:noProof/>
        </w:rPr>
        <mc:AlternateContent>
          <mc:Choice Requires="wps">
            <w:drawing>
              <wp:anchor distT="0" distB="0" distL="114300" distR="114300" simplePos="0" relativeHeight="251632640" behindDoc="0" locked="0" layoutInCell="1" allowOverlap="1" wp14:anchorId="36B5C959" wp14:editId="351E7B0B">
                <wp:simplePos x="0" y="0"/>
                <wp:positionH relativeFrom="column">
                  <wp:posOffset>312225</wp:posOffset>
                </wp:positionH>
                <wp:positionV relativeFrom="paragraph">
                  <wp:posOffset>3085807</wp:posOffset>
                </wp:positionV>
                <wp:extent cx="187325" cy="149860"/>
                <wp:effectExtent l="0" t="0" r="3175" b="2540"/>
                <wp:wrapTopAndBottom/>
                <wp:docPr id="90" name="Text Box 90"/>
                <wp:cNvGraphicFramePr/>
                <a:graphic xmlns:a="http://schemas.openxmlformats.org/drawingml/2006/main">
                  <a:graphicData uri="http://schemas.microsoft.com/office/word/2010/wordprocessingShape">
                    <wps:wsp>
                      <wps:cNvSpPr txBox="1"/>
                      <wps:spPr>
                        <a:xfrm>
                          <a:off x="0" y="0"/>
                          <a:ext cx="187325" cy="149860"/>
                        </a:xfrm>
                        <a:prstGeom prst="rect">
                          <a:avLst/>
                        </a:prstGeom>
                        <a:noFill/>
                        <a:ln w="6350">
                          <a:noFill/>
                        </a:ln>
                      </wps:spPr>
                      <wps:txbx>
                        <w:txbxContent>
                          <w:p w14:paraId="64258054" w14:textId="77777777" w:rsidR="00F61130" w:rsidRPr="006508D1" w:rsidRDefault="00F61130" w:rsidP="004404EE">
                            <w:r>
                              <w:t>CA</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36B5C959" id="Text Box 90" o:spid="_x0000_s1202" type="#_x0000_t202" style="position:absolute;margin-left:24.6pt;margin-top:243pt;width:14.75pt;height:11.8pt;z-index:2516326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CGM8MKQIAAEsEAAAOAAAAZHJzL2Uyb0RvYy54bWysVF1v2jAUfZ+0/2D5fQToSmlEqFgrpklV&#13;&#10;WwmmPhvHIZESX882JOzX79ghdOr2NO3F3Nwv33PuMYu7rqnZUVlXkc74ZDTmTGlJeaX3Gf++XX+a&#13;&#10;c+a80LmoSauMn5Tjd8uPHxatSdWUSqpzZRmaaJe2JuOl9yZNEidL1Qg3IqM0ggXZRnh82n2SW9Gi&#13;&#10;e1Mn0/F4lrRkc2NJKufgfeiDfBn7F4WS/rkonPKszjhm8/G08dyFM1kuRLq3wpSVPI8h/mGKRlQa&#13;&#10;l15aPQgv2MFWf7RqKmnJUeFHkpqEiqKSKmIAmsn4HZpNKYyKWECOMxea3P9rK5+OL5ZVecZvQY8W&#13;&#10;DXa0VZ1nX6hjcIGf1rgUaRuDRN/Bjz0PfgdngN0Vtgm/AMQQR6vThd3QTYai+c3V9JozidDk8+18&#13;&#10;Frsnb8XGOv9VUcOCkXGL5UVOxfHReQyC1CEl3KVpXdV1XGCtWZvx2dX1OBZcIqioNQoDhH7UYPlu&#13;&#10;10XIk5vZAGRH+Qn4LPUKcUauK0zxKJx/ERaSACTI3D/jKGrCbXS2OCvJ/vybP+RjU4hy1kJiGXc/&#13;&#10;DsIqzupvGjsMehwMOxi7wdCH5p6g2gkekJHRRIH19WAWlppXqH8VbkFIaIm7Mu4H8973QsfrkWq1&#13;&#10;iklQnRH+UW+MDK0Dj4HTbfcqrDkT77GxJxrEJ9J3/Pe5/QZWB09FFZcTmO1ZPBMOxcadnV9XeBK/&#13;&#10;f8est/+A5S8AAAD//wMAUEsDBBQABgAIAAAAIQAR7dbT4wAAAA4BAAAPAAAAZHJzL2Rvd25yZXYu&#13;&#10;eG1sTI9BT8MwDIXvSPyHyEjcWLIJuq5rOiEGNxhsAwluaRPaisapkrQr/x5zgosty8/P78s3k+3Y&#13;&#10;aHxoHUqYzwQwg5XTLdYSXo8PVymwEBVq1Tk0Er5NgE1xfparTLsT7s14iDUjEwyZktDE2Gech6ox&#13;&#10;VoWZ6w3S7tN5qyKNvubaqxOZ244vhEi4VS3Sh0b15q4x1ddhsBK69+AfSxE/xm39FF+e+fB2P99J&#13;&#10;eXkxbddUbtfAopni3wX8MlB+KChY6QbUgXUSrlcLUlJPEwIjwTJdAisl3IhVArzI+X+M4gcAAP//&#13;&#10;AwBQSwECLQAUAAYACAAAACEAtoM4kv4AAADhAQAAEwAAAAAAAAAAAAAAAAAAAAAAW0NvbnRlbnRf&#13;&#10;VHlwZXNdLnhtbFBLAQItABQABgAIAAAAIQA4/SH/1gAAAJQBAAALAAAAAAAAAAAAAAAAAC8BAABf&#13;&#10;cmVscy8ucmVsc1BLAQItABQABgAIAAAAIQBCGM8MKQIAAEsEAAAOAAAAAAAAAAAAAAAAAC4CAABk&#13;&#10;cnMvZTJvRG9jLnhtbFBLAQItABQABgAIAAAAIQAR7dbT4wAAAA4BAAAPAAAAAAAAAAAAAAAAAIME&#13;&#10;AABkcnMvZG93bnJldi54bWxQSwUGAAAAAAQABADzAAAAkwUAAAAA&#13;&#10;" filled="f" stroked="f" strokeweight=".5pt">
                <v:textbox inset="0,0,0,0">
                  <w:txbxContent>
                    <w:p w14:paraId="64258054" w14:textId="77777777" w:rsidR="00F61130" w:rsidRPr="006508D1" w:rsidRDefault="00F61130" w:rsidP="004404EE">
                      <w:r>
                        <w:t>CA</w:t>
                      </w:r>
                    </w:p>
                  </w:txbxContent>
                </v:textbox>
                <w10:wrap type="topAndBottom"/>
              </v:shape>
            </w:pict>
          </mc:Fallback>
        </mc:AlternateContent>
      </w:r>
      <w:r>
        <w:rPr>
          <w:noProof/>
        </w:rPr>
        <mc:AlternateContent>
          <mc:Choice Requires="wps">
            <w:drawing>
              <wp:anchor distT="0" distB="0" distL="114300" distR="114300" simplePos="0" relativeHeight="251633664" behindDoc="0" locked="0" layoutInCell="1" allowOverlap="1" wp14:anchorId="18F49E8E" wp14:editId="6D6335E0">
                <wp:simplePos x="0" y="0"/>
                <wp:positionH relativeFrom="column">
                  <wp:posOffset>3030025</wp:posOffset>
                </wp:positionH>
                <wp:positionV relativeFrom="paragraph">
                  <wp:posOffset>3073107</wp:posOffset>
                </wp:positionV>
                <wp:extent cx="187325" cy="149860"/>
                <wp:effectExtent l="0" t="0" r="3175" b="2540"/>
                <wp:wrapTopAndBottom/>
                <wp:docPr id="94" name="Text Box 94"/>
                <wp:cNvGraphicFramePr/>
                <a:graphic xmlns:a="http://schemas.openxmlformats.org/drawingml/2006/main">
                  <a:graphicData uri="http://schemas.microsoft.com/office/word/2010/wordprocessingShape">
                    <wps:wsp>
                      <wps:cNvSpPr txBox="1"/>
                      <wps:spPr>
                        <a:xfrm>
                          <a:off x="0" y="0"/>
                          <a:ext cx="187325" cy="149860"/>
                        </a:xfrm>
                        <a:prstGeom prst="rect">
                          <a:avLst/>
                        </a:prstGeom>
                        <a:noFill/>
                        <a:ln w="6350">
                          <a:noFill/>
                        </a:ln>
                      </wps:spPr>
                      <wps:txbx>
                        <w:txbxContent>
                          <w:p w14:paraId="100589E4" w14:textId="77777777" w:rsidR="00F61130" w:rsidRPr="006508D1" w:rsidRDefault="00F61130" w:rsidP="004404EE">
                            <w:r>
                              <w:t>D</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18F49E8E" id="Text Box 94" o:spid="_x0000_s1203" type="#_x0000_t202" style="position:absolute;margin-left:238.6pt;margin-top:242pt;width:14.75pt;height:11.8pt;z-index:2516336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dNhxKgIAAEsEAAAOAAAAZHJzL2Uyb0RvYy54bWysVE1vGjEQvVfqf7B8LwskAbJiiWgiqkoo&#13;&#10;iQRVzsZrsyvZHtc27NJf37GXJVHaU5SLmZ0vz3vzzPyu1YochfM1mIKOBkNKhOFQ1mZf0F/b1bcZ&#13;&#10;JT4wUzIFRhT0JDy9W3z9Mm9sLsZQgSqFI9jE+LyxBa1CsHmWeV4JzfwArDAYlOA0C/jp9lnpWIPd&#13;&#10;tcrGw+Eka8CV1gEX3qP3oQvSReovpeDhSUovAlEFxdlCOl06d/HMFnOW7x2zVc3PY7APTKFZbfDS&#13;&#10;S6sHFhg5uPqfVrrmDjzIMOCgM5Cy5iJhQDSj4Ts0m4pZkbAgOd5eaPKf15Y/Hp8dqcuC3l5TYpjG&#13;&#10;HW1FG8h3aAm6kJ/G+hzTNhYTQ4t+3HPv9+iMsFvpdPxFQATjyPTpwm7sxmPRbHo1vqGEY2h0fTub&#13;&#10;JPaz12LrfPghQJNoFNTh8hKn7Lj2AQfB1D4l3mVgVSuVFqgMaQo6uboZpoJLBCuUwcIIoRs1WqHd&#13;&#10;tQnyaDrtgeygPCE+B51CvOWrGqdYMx+emUNJICSUeXjCQyrA2+BsUVKB+/M/f8zHTWGUkgYlVlD/&#13;&#10;+8CcoET9NLjDqMfecL2x6w1z0PeAqh3hA7I8mVjggupN6UC/oPqX8RYMMcPxroKG3rwPndDx9XCx&#13;&#10;XKYkVJ1lYW02lsfWkcfI6bZ9Yc6eiQ+4sUfoxcfyd/x3ud0GlocAsk7Licx2LJ4JR8WmnZ1fV3wS&#13;&#10;b79T1ut/wOIvAAAA//8DAFBLAwQUAAYACAAAACEAelppzuMAAAAQAQAADwAAAGRycy9kb3ducmV2&#13;&#10;LnhtbExPy07DMBC8I/EP1iJxo06rklRpnApRuAGFtkhwc+IlifAjsp00/D3bE1xWs9rZeRSbyWg2&#13;&#10;og+dswLmswQY2tqpzjYCjofHmxWwEKVVUjuLAn4wwKa8vChkrtzJvuG4jw0jERtyKaCNsc85D3WL&#13;&#10;RoaZ69HS7ct5IyOtvuHKyxOJG80XSZJyIztLDq3s8b7F+ns/GAH6I/inKomf47Z5jq87Prw/zF+E&#13;&#10;uL6atmsad2tgEaf49wHnDpQfSgpWucGqwLSAZZYtiEpgtaRmxLhN0gxYdQZZCrws+P8i5S8AAAD/&#13;&#10;/wMAUEsBAi0AFAAGAAgAAAAhALaDOJL+AAAA4QEAABMAAAAAAAAAAAAAAAAAAAAAAFtDb250ZW50&#13;&#10;X1R5cGVzXS54bWxQSwECLQAUAAYACAAAACEAOP0h/9YAAACUAQAACwAAAAAAAAAAAAAAAAAvAQAA&#13;&#10;X3JlbHMvLnJlbHNQSwECLQAUAAYACAAAACEAj3TYcSoCAABLBAAADgAAAAAAAAAAAAAAAAAuAgAA&#13;&#10;ZHJzL2Uyb0RvYy54bWxQSwECLQAUAAYACAAAACEAelppzuMAAAAQAQAADwAAAAAAAAAAAAAAAACE&#13;&#10;BAAAZHJzL2Rvd25yZXYueG1sUEsFBgAAAAAEAAQA8wAAAJQFAAAAAA==&#13;&#10;" filled="f" stroked="f" strokeweight=".5pt">
                <v:textbox inset="0,0,0,0">
                  <w:txbxContent>
                    <w:p w14:paraId="100589E4" w14:textId="77777777" w:rsidR="00F61130" w:rsidRPr="006508D1" w:rsidRDefault="00F61130" w:rsidP="004404EE">
                      <w:r>
                        <w:t>D</w:t>
                      </w:r>
                    </w:p>
                  </w:txbxContent>
                </v:textbox>
                <w10:wrap type="topAndBottom"/>
              </v:shape>
            </w:pict>
          </mc:Fallback>
        </mc:AlternateContent>
      </w:r>
      <w:r>
        <w:rPr>
          <w:noProof/>
        </w:rPr>
        <mc:AlternateContent>
          <mc:Choice Requires="wps">
            <w:drawing>
              <wp:anchor distT="0" distB="0" distL="114300" distR="114300" simplePos="0" relativeHeight="251634688" behindDoc="0" locked="0" layoutInCell="1" allowOverlap="1" wp14:anchorId="61BF9F14" wp14:editId="1216CD43">
                <wp:simplePos x="0" y="0"/>
                <wp:positionH relativeFrom="column">
                  <wp:posOffset>299525</wp:posOffset>
                </wp:positionH>
                <wp:positionV relativeFrom="paragraph">
                  <wp:posOffset>4876507</wp:posOffset>
                </wp:positionV>
                <wp:extent cx="187325" cy="215900"/>
                <wp:effectExtent l="0" t="0" r="3175" b="0"/>
                <wp:wrapTopAndBottom/>
                <wp:docPr id="98" name="Text Box 98"/>
                <wp:cNvGraphicFramePr/>
                <a:graphic xmlns:a="http://schemas.openxmlformats.org/drawingml/2006/main">
                  <a:graphicData uri="http://schemas.microsoft.com/office/word/2010/wordprocessingShape">
                    <wps:wsp>
                      <wps:cNvSpPr txBox="1"/>
                      <wps:spPr>
                        <a:xfrm>
                          <a:off x="0" y="0"/>
                          <a:ext cx="187325" cy="215900"/>
                        </a:xfrm>
                        <a:prstGeom prst="rect">
                          <a:avLst/>
                        </a:prstGeom>
                        <a:noFill/>
                        <a:ln w="6350">
                          <a:noFill/>
                        </a:ln>
                      </wps:spPr>
                      <wps:txbx>
                        <w:txbxContent>
                          <w:p w14:paraId="523491A3" w14:textId="77777777" w:rsidR="00F61130" w:rsidRPr="006508D1" w:rsidRDefault="00F61130" w:rsidP="004404EE">
                            <w:r>
                              <w:t>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61BF9F14" id="Text Box 98" o:spid="_x0000_s1204" type="#_x0000_t202" style="position:absolute;margin-left:23.6pt;margin-top:384pt;width:14.75pt;height:17pt;z-index:2516346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b74iaKAIAAEsEAAAOAAAAZHJzL2Uyb0RvYy54bWysVF1v2jAUfZ+0/2D5fSRQ0Y+IULFWTJNQ&#13;&#10;WwmmPhvHgUiJr2cbEvbrd+wQWnV7mvZibu6X7z3nmNl919TsqKyrSOd8PEo5U1pSUeldzn9sll9u&#13;&#10;OXNe6ELUpFXOT8rx+/nnT7PWZGpCe6oLZRmaaJe1Jud7702WJE7uVSPciIzSCJZkG+HxaXdJYUWL&#13;&#10;7k2dTNL0OmnJFsaSVM7B+9gH+Tz2L0sl/XNZOuVZnXPM5uNp47kNZzKfiWxnhdlX8jyG+IcpGlFp&#13;&#10;XHpp9Si8YAdb/dGqqaQlR6UfSWoSKstKqrgDthmnH7ZZ74VRcReA48wFJvf/2sqn44tlVZHzOzCl&#13;&#10;RQOONqrz7Ct1DC7g0xqXIW1tkOg7+MHz4HdwhrW70jbhFwsxxIH06YJu6CZD0e3N1WTKmURoMp7e&#13;&#10;pRH95K3YWOe/KWpYMHJuQV7EVBxXzmMQpA4p4S5Ny6quI4G1Zm3Or6+maSy4RFBRaxSGFfpRg+W7&#13;&#10;bRdXHt9cFtxSccJ+lnqFOCOXFaZYCedfhIUksBJk7p9xlDXhNjpbnO3J/vqbP+SDKUQ5ayGxnLuf&#13;&#10;B2EVZ/V3DQ6DHgfDDsZ2MPSheSCodowHZGQ0UWB9PZilpeYV6l+EWxASWuKunPvBfPC90PF6pFos&#13;&#10;YhJUZ4Rf6bWRoXXAMWC66V6FNWfgPRh7okF8IvuAf5/bM7A4eCqrSE5AtkfxDDgUGzk7v67wJN5/&#13;&#10;x6y3/4D5bwAAAP//AwBQSwMEFAAGAAgAAAAhAK0DK7XjAAAADgEAAA8AAABkcnMvZG93bnJldi54&#13;&#10;bWxMj81OwzAQhO9IvIO1SNyo3QglURqnQhRu/BaQ2psTmyQiXke2k4a3ZznBZaXVzszOV24XO7DZ&#13;&#10;+NA7lLBeCWAGG6d7bCW8v91f5cBCVKjV4NBI+DYBttX5WakK7U74auZ9bBmFYCiUhC7GseA8NJ2x&#13;&#10;KqzcaJBun85bFWn1LddenSjcDjwRIuVW9UgfOjWa2840X/vJShgOwT/UIh7nXfsYX5759HG3fpLy&#13;&#10;8mLZbWjcbIBFs8Q/B/wyUH+oqFjtJtSBDRKus4SUErI0JzASZGkGrJaQi0QAr0r+H6P6AQAA//8D&#13;&#10;AFBLAQItABQABgAIAAAAIQC2gziS/gAAAOEBAAATAAAAAAAAAAAAAAAAAAAAAABbQ29udGVudF9U&#13;&#10;eXBlc10ueG1sUEsBAi0AFAAGAAgAAAAhADj9If/WAAAAlAEAAAsAAAAAAAAAAAAAAAAALwEAAF9y&#13;&#10;ZWxzLy5yZWxzUEsBAi0AFAAGAAgAAAAhANvviJooAgAASwQAAA4AAAAAAAAAAAAAAAAALgIAAGRy&#13;&#10;cy9lMm9Eb2MueG1sUEsBAi0AFAAGAAgAAAAhAK0DK7XjAAAADgEAAA8AAAAAAAAAAAAAAAAAggQA&#13;&#10;AGRycy9kb3ducmV2LnhtbFBLBQYAAAAABAAEAPMAAACSBQAAAAA=&#13;&#10;" filled="f" stroked="f" strokeweight=".5pt">
                <v:textbox inset="0,0,0,0">
                  <w:txbxContent>
                    <w:p w14:paraId="523491A3" w14:textId="77777777" w:rsidR="00F61130" w:rsidRPr="006508D1" w:rsidRDefault="00F61130" w:rsidP="004404EE">
                      <w:r>
                        <w:t>E</w:t>
                      </w:r>
                    </w:p>
                  </w:txbxContent>
                </v:textbox>
                <w10:wrap type="topAndBottom"/>
              </v:shape>
            </w:pict>
          </mc:Fallback>
        </mc:AlternateContent>
      </w:r>
      <w:r>
        <w:rPr>
          <w:noProof/>
        </w:rPr>
        <mc:AlternateContent>
          <mc:Choice Requires="wps">
            <w:drawing>
              <wp:anchor distT="0" distB="0" distL="114300" distR="114300" simplePos="0" relativeHeight="251635712" behindDoc="0" locked="0" layoutInCell="1" allowOverlap="1" wp14:anchorId="1157C160" wp14:editId="0FCD329F">
                <wp:simplePos x="0" y="0"/>
                <wp:positionH relativeFrom="column">
                  <wp:posOffset>3030025</wp:posOffset>
                </wp:positionH>
                <wp:positionV relativeFrom="paragraph">
                  <wp:posOffset>4876507</wp:posOffset>
                </wp:positionV>
                <wp:extent cx="187325" cy="215900"/>
                <wp:effectExtent l="0" t="0" r="3175" b="0"/>
                <wp:wrapTopAndBottom/>
                <wp:docPr id="102" name="Text Box 102"/>
                <wp:cNvGraphicFramePr/>
                <a:graphic xmlns:a="http://schemas.openxmlformats.org/drawingml/2006/main">
                  <a:graphicData uri="http://schemas.microsoft.com/office/word/2010/wordprocessingShape">
                    <wps:wsp>
                      <wps:cNvSpPr txBox="1"/>
                      <wps:spPr>
                        <a:xfrm>
                          <a:off x="0" y="0"/>
                          <a:ext cx="187325" cy="215900"/>
                        </a:xfrm>
                        <a:prstGeom prst="rect">
                          <a:avLst/>
                        </a:prstGeom>
                        <a:noFill/>
                        <a:ln w="6350">
                          <a:noFill/>
                        </a:ln>
                      </wps:spPr>
                      <wps:txbx>
                        <w:txbxContent>
                          <w:p w14:paraId="08B037AF" w14:textId="77777777" w:rsidR="00F61130" w:rsidRPr="006508D1" w:rsidRDefault="00F61130" w:rsidP="004404EE">
                            <w:r>
                              <w:t>F</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1157C160" id="Text Box 102" o:spid="_x0000_s1205" type="#_x0000_t202" style="position:absolute;margin-left:238.6pt;margin-top:384pt;width:14.75pt;height:17pt;z-index:2516357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aTmkKAIAAE0EAAAOAAAAZHJzL2Uyb0RvYy54bWysVF1v2jAUfZ+0/2D5fSSkoh8RoWKtmCah&#13;&#10;thJMfTaOTSLZvp5tSNiv37VDaNXtadqLufH9POceM7/vtSJH4XwLpqLTSU6JMBzq1uwr+mO7+nJL&#13;&#10;iQ/M1EyBERU9CU/vF58/zTtbigIaULVwBIsYX3a2ok0ItswyzxuhmZ+AFQadEpxmAT/dPqsd67C6&#13;&#10;VlmR59dZB662DrjwHm8fByddpPpSCh6epfQiEFVRnC2k06VzF89sMWfl3jHbtPw8BvuHKTRrDTa9&#13;&#10;lHpkgZGDa/8opVvuwIMMEw46AylbLhIGRDPNP6DZNMyKhAXJ8fZCk/9/ZfnT8cWRtsbd5QUlhmlc&#13;&#10;0lb0gXyFnsQ7ZKizvsTAjcXQ0KMDo8d7j5cReC+djr8IiaAfuT5d+I3leEy6vbkqZpRwdBXT2V2e&#13;&#10;+M/ekq3z4ZsATaJRUYfrS6yy49oHHARDx5DYy8CqVSqtUBnSVfT6apanhIsHM5TBxAhhGDVaod/1&#13;&#10;A+ibuxHIDuoT4nMwaMRbvmpxijXz4YU5FAVCQqGHZzykAuwGZ4uSBtyvv93HeNwVeinpUGQV9T8P&#13;&#10;zAlK1HeDW4yKHA03GrvRMAf9AKjbKT4hy5OJCS6o0ZQO9Cvqfxm7oIsZjr0qGkbzIQxSx/fDxXKZ&#13;&#10;glB3loW12VgeS0ceI6fb/pU5eyY+4MaeYJQfKz/wP8QOG1geAsg2LScyO7B4Jhw1m3Z2fl/xUbz/&#13;&#10;TlFv/wKL3wAAAP//AwBQSwMEFAAGAAgAAAAhAN+PBCnlAAAAEAEAAA8AAABkcnMvZG93bnJldi54&#13;&#10;bWxMj09PhDAQxe8mfodmTLy57RIFwjJsjKs3dXXVRG8FKhD7h7SFxW/veNLLJJN57837ldvFaDYr&#13;&#10;HwZnEdYrAUzZxrWD7RBeX+4ucmAhSttK7axC+FYBttXpSSmL1h3ts5oPsWMUYkMhEfoYx4Lz0PTK&#13;&#10;yLByo7J0+3TeyEir73jr5ZHCjeaJECk3crD0oZejuulV83WYDIJ+D/6+FvFj3nUP8WnPp7fb9SPi&#13;&#10;+dmy29C43gCLaol/DvhloP5QUbHaTbYNTCNcZllCUoQszYmMFFcizYDVCLlIBPCq5P9Bqh8AAAD/&#13;&#10;/wMAUEsBAi0AFAAGAAgAAAAhALaDOJL+AAAA4QEAABMAAAAAAAAAAAAAAAAAAAAAAFtDb250ZW50&#13;&#10;X1R5cGVzXS54bWxQSwECLQAUAAYACAAAACEAOP0h/9YAAACUAQAACwAAAAAAAAAAAAAAAAAvAQAA&#13;&#10;X3JlbHMvLnJlbHNQSwECLQAUAAYACAAAACEAv2k5pCgCAABNBAAADgAAAAAAAAAAAAAAAAAuAgAA&#13;&#10;ZHJzL2Uyb0RvYy54bWxQSwECLQAUAAYACAAAACEA348EKeUAAAAQAQAADwAAAAAAAAAAAAAAAACC&#13;&#10;BAAAZHJzL2Rvd25yZXYueG1sUEsFBgAAAAAEAAQA8wAAAJQFAAAAAA==&#13;&#10;" filled="f" stroked="f" strokeweight=".5pt">
                <v:textbox inset="0,0,0,0">
                  <w:txbxContent>
                    <w:p w14:paraId="08B037AF" w14:textId="77777777" w:rsidR="00F61130" w:rsidRPr="006508D1" w:rsidRDefault="00F61130" w:rsidP="004404EE">
                      <w:r>
                        <w:t>F</w:t>
                      </w:r>
                    </w:p>
                  </w:txbxContent>
                </v:textbox>
                <w10:wrap type="topAndBottom"/>
              </v:shape>
            </w:pict>
          </mc:Fallback>
        </mc:AlternateContent>
      </w:r>
      <w:r>
        <w:rPr>
          <w:noProof/>
        </w:rPr>
        <mc:AlternateContent>
          <mc:Choice Requires="wps">
            <w:drawing>
              <wp:anchor distT="0" distB="0" distL="114300" distR="114300" simplePos="0" relativeHeight="251636736" behindDoc="0" locked="0" layoutInCell="1" allowOverlap="1" wp14:anchorId="5F8E8DD0" wp14:editId="4E1BC8D7">
                <wp:simplePos x="0" y="0"/>
                <wp:positionH relativeFrom="column">
                  <wp:posOffset>-5275</wp:posOffset>
                </wp:positionH>
                <wp:positionV relativeFrom="paragraph">
                  <wp:posOffset>6730707</wp:posOffset>
                </wp:positionV>
                <wp:extent cx="5575935" cy="1455420"/>
                <wp:effectExtent l="0" t="0" r="0" b="5080"/>
                <wp:wrapTopAndBottom/>
                <wp:docPr id="230" name="Text Box 230"/>
                <wp:cNvGraphicFramePr/>
                <a:graphic xmlns:a="http://schemas.openxmlformats.org/drawingml/2006/main">
                  <a:graphicData uri="http://schemas.microsoft.com/office/word/2010/wordprocessingShape">
                    <wps:wsp>
                      <wps:cNvSpPr txBox="1"/>
                      <wps:spPr>
                        <a:xfrm>
                          <a:off x="0" y="0"/>
                          <a:ext cx="5575935" cy="1455420"/>
                        </a:xfrm>
                        <a:prstGeom prst="rect">
                          <a:avLst/>
                        </a:prstGeom>
                        <a:solidFill>
                          <a:prstClr val="white"/>
                        </a:solidFill>
                        <a:ln>
                          <a:noFill/>
                        </a:ln>
                      </wps:spPr>
                      <wps:txbx>
                        <w:txbxContent>
                          <w:p w14:paraId="60054BC1" w14:textId="7BA6CE68" w:rsidR="00F61130" w:rsidRPr="004404EE" w:rsidRDefault="00F61130" w:rsidP="004404EE">
                            <w:pPr>
                              <w:pStyle w:val="Caption"/>
                              <w:spacing w:line="360" w:lineRule="auto"/>
                              <w:jc w:val="both"/>
                              <w:rPr>
                                <w:noProof/>
                                <w:sz w:val="20"/>
                                <w:szCs w:val="20"/>
                              </w:rPr>
                            </w:pPr>
                            <w:bookmarkStart w:id="701" w:name="_Toc525227255"/>
                            <w:bookmarkStart w:id="702" w:name="_Toc536814195"/>
                            <w:r w:rsidRPr="004404EE">
                              <w:rPr>
                                <w:b/>
                                <w:sz w:val="20"/>
                                <w:szCs w:val="20"/>
                              </w:rPr>
                              <w:t xml:space="preserve">Figure </w:t>
                            </w:r>
                            <w:r>
                              <w:rPr>
                                <w:b/>
                                <w:sz w:val="20"/>
                                <w:szCs w:val="20"/>
                              </w:rPr>
                              <w:fldChar w:fldCharType="begin"/>
                            </w:r>
                            <w:r>
                              <w:rPr>
                                <w:b/>
                                <w:sz w:val="20"/>
                                <w:szCs w:val="20"/>
                              </w:rPr>
                              <w:instrText xml:space="preserve"> STYLEREF 1 \s </w:instrText>
                            </w:r>
                            <w:r>
                              <w:rPr>
                                <w:b/>
                                <w:sz w:val="20"/>
                                <w:szCs w:val="20"/>
                              </w:rPr>
                              <w:fldChar w:fldCharType="separate"/>
                            </w:r>
                            <w:r>
                              <w:rPr>
                                <w:b/>
                                <w:noProof/>
                                <w:sz w:val="20"/>
                                <w:szCs w:val="20"/>
                              </w:rPr>
                              <w:t>7</w:t>
                            </w:r>
                            <w:r>
                              <w:rPr>
                                <w:b/>
                                <w:sz w:val="20"/>
                                <w:szCs w:val="20"/>
                              </w:rPr>
                              <w:fldChar w:fldCharType="end"/>
                            </w:r>
                            <w:r>
                              <w:rPr>
                                <w:b/>
                                <w:sz w:val="20"/>
                                <w:szCs w:val="20"/>
                              </w:rPr>
                              <w:t>.</w:t>
                            </w:r>
                            <w:r>
                              <w:rPr>
                                <w:b/>
                                <w:sz w:val="20"/>
                                <w:szCs w:val="20"/>
                              </w:rPr>
                              <w:fldChar w:fldCharType="begin"/>
                            </w:r>
                            <w:r>
                              <w:rPr>
                                <w:b/>
                                <w:sz w:val="20"/>
                                <w:szCs w:val="20"/>
                              </w:rPr>
                              <w:instrText xml:space="preserve"> SEQ Figure \* ARABIC \s 1 </w:instrText>
                            </w:r>
                            <w:r>
                              <w:rPr>
                                <w:b/>
                                <w:sz w:val="20"/>
                                <w:szCs w:val="20"/>
                              </w:rPr>
                              <w:fldChar w:fldCharType="separate"/>
                            </w:r>
                            <w:r>
                              <w:rPr>
                                <w:b/>
                                <w:noProof/>
                                <w:sz w:val="20"/>
                                <w:szCs w:val="20"/>
                              </w:rPr>
                              <w:t>3</w:t>
                            </w:r>
                            <w:r>
                              <w:rPr>
                                <w:b/>
                                <w:sz w:val="20"/>
                                <w:szCs w:val="20"/>
                              </w:rPr>
                              <w:fldChar w:fldCharType="end"/>
                            </w:r>
                            <w:r w:rsidRPr="004404EE">
                              <w:rPr>
                                <w:b/>
                                <w:i/>
                                <w:sz w:val="20"/>
                                <w:szCs w:val="20"/>
                              </w:rPr>
                              <w:t xml:space="preserve"> - L. donovani </w:t>
                            </w:r>
                            <w:r w:rsidRPr="004404EE">
                              <w:rPr>
                                <w:b/>
                                <w:sz w:val="20"/>
                                <w:szCs w:val="20"/>
                              </w:rPr>
                              <w:t>induces changes in liver weight in late but not early infection</w:t>
                            </w:r>
                            <w:r w:rsidRPr="004404EE">
                              <w:rPr>
                                <w:b/>
                                <w:i/>
                                <w:sz w:val="20"/>
                                <w:szCs w:val="20"/>
                              </w:rPr>
                              <w:t xml:space="preserve">. </w:t>
                            </w:r>
                            <w:r w:rsidRPr="004404EE">
                              <w:rPr>
                                <w:sz w:val="20"/>
                                <w:szCs w:val="20"/>
                              </w:rPr>
                              <w:t xml:space="preserve">Comparison of </w:t>
                            </w:r>
                            <w:r w:rsidRPr="004404EE">
                              <w:rPr>
                                <w:i/>
                                <w:sz w:val="20"/>
                                <w:szCs w:val="20"/>
                              </w:rPr>
                              <w:t>L. donovani</w:t>
                            </w:r>
                            <w:r w:rsidRPr="004404EE">
                              <w:rPr>
                                <w:sz w:val="20"/>
                                <w:szCs w:val="20"/>
                              </w:rPr>
                              <w:t xml:space="preserve"> infected and age-matched naïve mouse gross morphology. Total bodyweight (A, B), liver weight (C, D) and proportional liver weight (E, F) was compared at 13 days post-infection (A, C, E) and at 42 days post-infection (B, D, F). </w:t>
                            </w:r>
                            <w:r w:rsidRPr="004404EE">
                              <w:rPr>
                                <w:rFonts w:eastAsia="Heiti TC Light"/>
                                <w:sz w:val="20"/>
                                <w:szCs w:val="20"/>
                              </w:rPr>
                              <w:t xml:space="preserve"> ● represent individual biological data points (n = 4-5) and error ranges are represented as the mean </w:t>
                            </w:r>
                            <w:r w:rsidRPr="004404EE">
                              <w:rPr>
                                <w:sz w:val="20"/>
                                <w:szCs w:val="20"/>
                              </w:rPr>
                              <w:sym w:font="Symbol" w:char="F0B1"/>
                            </w:r>
                            <w:r w:rsidRPr="004404EE">
                              <w:rPr>
                                <w:sz w:val="20"/>
                                <w:szCs w:val="20"/>
                              </w:rPr>
                              <w:t xml:space="preserve"> SD. Data </w:t>
                            </w:r>
                            <w:r>
                              <w:rPr>
                                <w:sz w:val="20"/>
                                <w:szCs w:val="20"/>
                              </w:rPr>
                              <w:t>are</w:t>
                            </w:r>
                            <w:r w:rsidRPr="004404EE">
                              <w:rPr>
                                <w:sz w:val="20"/>
                                <w:szCs w:val="20"/>
                              </w:rPr>
                              <w:t xml:space="preserve"> representative of 1 infection experiment and was analysed using a Mann Whitney test (* denotes a p value of less than 0.05).</w:t>
                            </w:r>
                            <w:bookmarkEnd w:id="701"/>
                            <w:bookmarkEnd w:id="702"/>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F8E8DD0" id="Text Box 230" o:spid="_x0000_s1206" type="#_x0000_t202" style="position:absolute;margin-left:-.4pt;margin-top:530pt;width:439.05pt;height:114.6pt;z-index:2516367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zOU5TOAIAAG4EAAAOAAAAZHJzL2Uyb0RvYy54bWysVE1v2zAMvQ/YfxB0X5yk9dYFcYosRYYB&#13;&#10;RVsgGXpWZDkWIIsapcTOfv0oOU67bqdhF5kiKX68R3p+2zWGHRV6Dbbgk9GYM2UllNruC/59u/5w&#13;&#10;w5kPwpbCgFUFPynPbxfv381bN1NTqMGUChkFsX7WuoLXIbhZlnlZq0b4EThlyVgBNiLQFfdZiaKl&#13;&#10;6I3JpuPxx6wFLB2CVN6T9q438kWKX1VKhseq8iowU3CqLaQT07mLZ7aYi9kehau1PJch/qGKRmhL&#13;&#10;SS+h7kQQ7ID6j1CNlggeqjCS0GRQVVqq1AN1Mxm/6WZTC6dSLwSOdxeY/P8LKx+OT8h0WfDpFeFj&#13;&#10;RUMkbVUX2BfoWNQRQq3zM3LcOHINHRmI6UHvSRkb7yps4pdaYmSnWKcLvjGcJGWef8o/X+WcSbJN&#13;&#10;rvP8epriZy/PHfrwVUHDolBwJAITruJ47wOVQq6DS8zmwehyrY2Jl2hYGWRHQWS3tQ4qFkkvfvMy&#13;&#10;NvpaiK96c9Rksce+lyiFbtclVCY3FwR2UJ4IAIR+iLyTa00Z74UPTwJpaqhn2oTwSEdloC04nCXO&#13;&#10;asCff9NHfyKTrJy1NIUF9z8OAhVn5pslmuPIDgIOwm4Q7KFZAfU6oR1zMon0AIMZxAqheaYFWcYs&#13;&#10;ZBJWUq6Ch0FchX4XaMGkWi6TEw2mE+HebpyMoQdkt92zQHfmJRClDzDMp5i9oaf3TQS55SEQ1om7&#13;&#10;iGyP4hlwGupE0HkB49a8vievl9/E4hcAAAD//wMAUEsDBBQABgAIAAAAIQBiPEpm5gAAABABAAAP&#13;&#10;AAAAZHJzL2Rvd25yZXYueG1sTI9BT8MwDIXvSPyHyEhcEEvopq50TadpwAEuE2UXblnjNYUmqZp0&#13;&#10;K/8e7wQXS362n79XrCfbsRMOofVOwsNMAENXe926RsL+4+U+Axaiclp13qGEHwywLq+vCpVrf3bv&#13;&#10;eKpiw8jEhVxJMDH2OeehNmhVmPkeHc2OfrAqUjs0XA/qTOa244kQKbeqdfTBqB63BuvvarQSdovP&#13;&#10;nbkbj89vm8V8eN2P2/SrqaS8vZmeVlQ2K2ARp/h3AZcMxA8lgR386HRgnYQLfSRZpIKC0UK2XM6B&#13;&#10;HUhKsscEeFnw/0HKXwAAAP//AwBQSwECLQAUAAYACAAAACEAtoM4kv4AAADhAQAAEwAAAAAAAAAA&#13;&#10;AAAAAAAAAAAAW0NvbnRlbnRfVHlwZXNdLnhtbFBLAQItABQABgAIAAAAIQA4/SH/1gAAAJQBAAAL&#13;&#10;AAAAAAAAAAAAAAAAAC8BAABfcmVscy8ucmVsc1BLAQItABQABgAIAAAAIQAzOU5TOAIAAG4EAAAO&#13;&#10;AAAAAAAAAAAAAAAAAC4CAABkcnMvZTJvRG9jLnhtbFBLAQItABQABgAIAAAAIQBiPEpm5gAAABAB&#13;&#10;AAAPAAAAAAAAAAAAAAAAAJIEAABkcnMvZG93bnJldi54bWxQSwUGAAAAAAQABADzAAAApQUAAAAA&#13;&#10;" stroked="f">
                <v:textbox style="mso-fit-shape-to-text:t" inset="0,0,0,0">
                  <w:txbxContent>
                    <w:p w14:paraId="60054BC1" w14:textId="7BA6CE68" w:rsidR="00F61130" w:rsidRPr="004404EE" w:rsidRDefault="00F61130" w:rsidP="004404EE">
                      <w:pPr>
                        <w:pStyle w:val="Caption"/>
                        <w:spacing w:line="360" w:lineRule="auto"/>
                        <w:jc w:val="both"/>
                        <w:rPr>
                          <w:noProof/>
                          <w:sz w:val="20"/>
                          <w:szCs w:val="20"/>
                        </w:rPr>
                      </w:pPr>
                      <w:bookmarkStart w:id="703" w:name="_Toc525227255"/>
                      <w:bookmarkStart w:id="704" w:name="_Toc536814195"/>
                      <w:r w:rsidRPr="004404EE">
                        <w:rPr>
                          <w:b/>
                          <w:sz w:val="20"/>
                          <w:szCs w:val="20"/>
                        </w:rPr>
                        <w:t xml:space="preserve">Figure </w:t>
                      </w:r>
                      <w:r>
                        <w:rPr>
                          <w:b/>
                          <w:sz w:val="20"/>
                          <w:szCs w:val="20"/>
                        </w:rPr>
                        <w:fldChar w:fldCharType="begin"/>
                      </w:r>
                      <w:r>
                        <w:rPr>
                          <w:b/>
                          <w:sz w:val="20"/>
                          <w:szCs w:val="20"/>
                        </w:rPr>
                        <w:instrText xml:space="preserve"> STYLEREF 1 \s </w:instrText>
                      </w:r>
                      <w:r>
                        <w:rPr>
                          <w:b/>
                          <w:sz w:val="20"/>
                          <w:szCs w:val="20"/>
                        </w:rPr>
                        <w:fldChar w:fldCharType="separate"/>
                      </w:r>
                      <w:r>
                        <w:rPr>
                          <w:b/>
                          <w:noProof/>
                          <w:sz w:val="20"/>
                          <w:szCs w:val="20"/>
                        </w:rPr>
                        <w:t>7</w:t>
                      </w:r>
                      <w:r>
                        <w:rPr>
                          <w:b/>
                          <w:sz w:val="20"/>
                          <w:szCs w:val="20"/>
                        </w:rPr>
                        <w:fldChar w:fldCharType="end"/>
                      </w:r>
                      <w:r>
                        <w:rPr>
                          <w:b/>
                          <w:sz w:val="20"/>
                          <w:szCs w:val="20"/>
                        </w:rPr>
                        <w:t>.</w:t>
                      </w:r>
                      <w:r>
                        <w:rPr>
                          <w:b/>
                          <w:sz w:val="20"/>
                          <w:szCs w:val="20"/>
                        </w:rPr>
                        <w:fldChar w:fldCharType="begin"/>
                      </w:r>
                      <w:r>
                        <w:rPr>
                          <w:b/>
                          <w:sz w:val="20"/>
                          <w:szCs w:val="20"/>
                        </w:rPr>
                        <w:instrText xml:space="preserve"> SEQ Figure \* ARABIC \s 1 </w:instrText>
                      </w:r>
                      <w:r>
                        <w:rPr>
                          <w:b/>
                          <w:sz w:val="20"/>
                          <w:szCs w:val="20"/>
                        </w:rPr>
                        <w:fldChar w:fldCharType="separate"/>
                      </w:r>
                      <w:r>
                        <w:rPr>
                          <w:b/>
                          <w:noProof/>
                          <w:sz w:val="20"/>
                          <w:szCs w:val="20"/>
                        </w:rPr>
                        <w:t>3</w:t>
                      </w:r>
                      <w:r>
                        <w:rPr>
                          <w:b/>
                          <w:sz w:val="20"/>
                          <w:szCs w:val="20"/>
                        </w:rPr>
                        <w:fldChar w:fldCharType="end"/>
                      </w:r>
                      <w:r w:rsidRPr="004404EE">
                        <w:rPr>
                          <w:b/>
                          <w:i/>
                          <w:sz w:val="20"/>
                          <w:szCs w:val="20"/>
                        </w:rPr>
                        <w:t xml:space="preserve"> - L. donovani </w:t>
                      </w:r>
                      <w:r w:rsidRPr="004404EE">
                        <w:rPr>
                          <w:b/>
                          <w:sz w:val="20"/>
                          <w:szCs w:val="20"/>
                        </w:rPr>
                        <w:t>induces changes in liver weight in late but not early infection</w:t>
                      </w:r>
                      <w:r w:rsidRPr="004404EE">
                        <w:rPr>
                          <w:b/>
                          <w:i/>
                          <w:sz w:val="20"/>
                          <w:szCs w:val="20"/>
                        </w:rPr>
                        <w:t xml:space="preserve">. </w:t>
                      </w:r>
                      <w:r w:rsidRPr="004404EE">
                        <w:rPr>
                          <w:sz w:val="20"/>
                          <w:szCs w:val="20"/>
                        </w:rPr>
                        <w:t xml:space="preserve">Comparison of </w:t>
                      </w:r>
                      <w:r w:rsidRPr="004404EE">
                        <w:rPr>
                          <w:i/>
                          <w:sz w:val="20"/>
                          <w:szCs w:val="20"/>
                        </w:rPr>
                        <w:t>L. donovani</w:t>
                      </w:r>
                      <w:r w:rsidRPr="004404EE">
                        <w:rPr>
                          <w:sz w:val="20"/>
                          <w:szCs w:val="20"/>
                        </w:rPr>
                        <w:t xml:space="preserve"> infected and age-matched naïve mouse gross morphology. Total bodyweight (A, B), liver weight (C, D) and proportional liver weight (E, F) was compared at 13 days post-infection (A, C, E) and at 42 days post-infection (B, D, F). </w:t>
                      </w:r>
                      <w:r w:rsidRPr="004404EE">
                        <w:rPr>
                          <w:rFonts w:eastAsia="Heiti TC Light"/>
                          <w:sz w:val="20"/>
                          <w:szCs w:val="20"/>
                        </w:rPr>
                        <w:t xml:space="preserve"> ● represent individual biological data points (n = 4-5) and error ranges are represented as the mean </w:t>
                      </w:r>
                      <w:r w:rsidRPr="004404EE">
                        <w:rPr>
                          <w:sz w:val="20"/>
                          <w:szCs w:val="20"/>
                        </w:rPr>
                        <w:sym w:font="Symbol" w:char="F0B1"/>
                      </w:r>
                      <w:r w:rsidRPr="004404EE">
                        <w:rPr>
                          <w:sz w:val="20"/>
                          <w:szCs w:val="20"/>
                        </w:rPr>
                        <w:t xml:space="preserve"> SD. Data </w:t>
                      </w:r>
                      <w:r>
                        <w:rPr>
                          <w:sz w:val="20"/>
                          <w:szCs w:val="20"/>
                        </w:rPr>
                        <w:t>are</w:t>
                      </w:r>
                      <w:r w:rsidRPr="004404EE">
                        <w:rPr>
                          <w:sz w:val="20"/>
                          <w:szCs w:val="20"/>
                        </w:rPr>
                        <w:t xml:space="preserve"> representative of 1 infection experiment and was analysed using a Mann Whitney test (* denotes a p value of less than 0.05).</w:t>
                      </w:r>
                      <w:bookmarkEnd w:id="703"/>
                      <w:bookmarkEnd w:id="704"/>
                    </w:p>
                  </w:txbxContent>
                </v:textbox>
                <w10:wrap type="topAndBottom"/>
              </v:shape>
            </w:pict>
          </mc:Fallback>
        </mc:AlternateContent>
      </w:r>
      <w:r w:rsidR="00395F2A" w:rsidRPr="008B3AD6">
        <w:br w:type="page"/>
      </w:r>
    </w:p>
    <w:p w14:paraId="68044B2C" w14:textId="601D58CC" w:rsidR="00AC3EF2" w:rsidRPr="008B3AD6" w:rsidRDefault="00921CAF">
      <w:pPr>
        <w:spacing w:line="240" w:lineRule="auto"/>
      </w:pPr>
      <w:r>
        <w:rPr>
          <w:noProof/>
        </w:rPr>
        <w:lastRenderedPageBreak/>
        <mc:AlternateContent>
          <mc:Choice Requires="wps">
            <w:drawing>
              <wp:anchor distT="0" distB="0" distL="114300" distR="114300" simplePos="0" relativeHeight="251650048" behindDoc="0" locked="0" layoutInCell="1" allowOverlap="1" wp14:anchorId="330287F5" wp14:editId="1AF4BA19">
                <wp:simplePos x="0" y="0"/>
                <wp:positionH relativeFrom="column">
                  <wp:posOffset>-5080</wp:posOffset>
                </wp:positionH>
                <wp:positionV relativeFrom="paragraph">
                  <wp:posOffset>1990725</wp:posOffset>
                </wp:positionV>
                <wp:extent cx="5575935" cy="1105535"/>
                <wp:effectExtent l="0" t="0" r="0" b="0"/>
                <wp:wrapTopAndBottom/>
                <wp:docPr id="234" name="Text Box 234"/>
                <wp:cNvGraphicFramePr/>
                <a:graphic xmlns:a="http://schemas.openxmlformats.org/drawingml/2006/main">
                  <a:graphicData uri="http://schemas.microsoft.com/office/word/2010/wordprocessingShape">
                    <wps:wsp>
                      <wps:cNvSpPr txBox="1"/>
                      <wps:spPr>
                        <a:xfrm>
                          <a:off x="0" y="0"/>
                          <a:ext cx="5575935" cy="1105535"/>
                        </a:xfrm>
                        <a:prstGeom prst="rect">
                          <a:avLst/>
                        </a:prstGeom>
                        <a:solidFill>
                          <a:prstClr val="white"/>
                        </a:solidFill>
                        <a:ln>
                          <a:noFill/>
                        </a:ln>
                      </wps:spPr>
                      <wps:txbx>
                        <w:txbxContent>
                          <w:p w14:paraId="4B9922CF" w14:textId="386F2B3D" w:rsidR="00F61130" w:rsidRPr="00AC3EF2" w:rsidRDefault="00F61130" w:rsidP="00AC3EF2">
                            <w:pPr>
                              <w:spacing w:line="360" w:lineRule="auto"/>
                              <w:jc w:val="both"/>
                              <w:rPr>
                                <w:color w:val="000000" w:themeColor="text1"/>
                                <w:sz w:val="20"/>
                                <w:szCs w:val="20"/>
                              </w:rPr>
                            </w:pPr>
                            <w:bookmarkStart w:id="705" w:name="_Ref519016742"/>
                            <w:bookmarkStart w:id="706" w:name="_Toc525227257"/>
                            <w:bookmarkStart w:id="707" w:name="_Toc536814196"/>
                            <w:r w:rsidRPr="00AC3EF2">
                              <w:rPr>
                                <w:b/>
                                <w:sz w:val="20"/>
                                <w:szCs w:val="20"/>
                              </w:rPr>
                              <w:t xml:space="preserve">Figure </w:t>
                            </w:r>
                            <w:r>
                              <w:rPr>
                                <w:b/>
                                <w:sz w:val="20"/>
                                <w:szCs w:val="20"/>
                              </w:rPr>
                              <w:fldChar w:fldCharType="begin"/>
                            </w:r>
                            <w:r>
                              <w:rPr>
                                <w:b/>
                                <w:sz w:val="20"/>
                                <w:szCs w:val="20"/>
                              </w:rPr>
                              <w:instrText xml:space="preserve"> STYLEREF 1 \s </w:instrText>
                            </w:r>
                            <w:r>
                              <w:rPr>
                                <w:b/>
                                <w:sz w:val="20"/>
                                <w:szCs w:val="20"/>
                              </w:rPr>
                              <w:fldChar w:fldCharType="separate"/>
                            </w:r>
                            <w:r>
                              <w:rPr>
                                <w:b/>
                                <w:noProof/>
                                <w:sz w:val="20"/>
                                <w:szCs w:val="20"/>
                              </w:rPr>
                              <w:t>7</w:t>
                            </w:r>
                            <w:r>
                              <w:rPr>
                                <w:b/>
                                <w:sz w:val="20"/>
                                <w:szCs w:val="20"/>
                              </w:rPr>
                              <w:fldChar w:fldCharType="end"/>
                            </w:r>
                            <w:r>
                              <w:rPr>
                                <w:b/>
                                <w:sz w:val="20"/>
                                <w:szCs w:val="20"/>
                              </w:rPr>
                              <w:t>.</w:t>
                            </w:r>
                            <w:r>
                              <w:rPr>
                                <w:b/>
                                <w:sz w:val="20"/>
                                <w:szCs w:val="20"/>
                              </w:rPr>
                              <w:fldChar w:fldCharType="begin"/>
                            </w:r>
                            <w:r>
                              <w:rPr>
                                <w:b/>
                                <w:sz w:val="20"/>
                                <w:szCs w:val="20"/>
                              </w:rPr>
                              <w:instrText xml:space="preserve"> SEQ Figure \* ARABIC \s 1 </w:instrText>
                            </w:r>
                            <w:r>
                              <w:rPr>
                                <w:b/>
                                <w:sz w:val="20"/>
                                <w:szCs w:val="20"/>
                              </w:rPr>
                              <w:fldChar w:fldCharType="separate"/>
                            </w:r>
                            <w:r>
                              <w:rPr>
                                <w:b/>
                                <w:noProof/>
                                <w:sz w:val="20"/>
                                <w:szCs w:val="20"/>
                              </w:rPr>
                              <w:t>4</w:t>
                            </w:r>
                            <w:r>
                              <w:rPr>
                                <w:b/>
                                <w:sz w:val="20"/>
                                <w:szCs w:val="20"/>
                              </w:rPr>
                              <w:fldChar w:fldCharType="end"/>
                            </w:r>
                            <w:bookmarkEnd w:id="705"/>
                            <w:r w:rsidRPr="00AC3EF2">
                              <w:rPr>
                                <w:b/>
                                <w:sz w:val="20"/>
                                <w:szCs w:val="20"/>
                              </w:rPr>
                              <w:t xml:space="preserve"> - Sustained increases in hepatic leukocyte abundance are seen over the course of </w:t>
                            </w:r>
                            <w:r w:rsidRPr="00AC3EF2">
                              <w:rPr>
                                <w:b/>
                                <w:i/>
                                <w:sz w:val="20"/>
                                <w:szCs w:val="20"/>
                              </w:rPr>
                              <w:t>L. donovani</w:t>
                            </w:r>
                            <w:r w:rsidRPr="00AC3EF2">
                              <w:rPr>
                                <w:b/>
                                <w:sz w:val="20"/>
                                <w:szCs w:val="20"/>
                              </w:rPr>
                              <w:t xml:space="preserve"> infection</w:t>
                            </w:r>
                            <w:r w:rsidRPr="00AC3EF2">
                              <w:rPr>
                                <w:sz w:val="20"/>
                                <w:szCs w:val="20"/>
                              </w:rPr>
                              <w:t xml:space="preserve">. (A) Absolute number of hepatic live CD45+ cells per liver determined by flow cytometry. (B) Absolute number of hepatic live CD45+ cells per gram of liver determined by flow cytometry. Data </w:t>
                            </w:r>
                            <w:r>
                              <w:rPr>
                                <w:sz w:val="20"/>
                                <w:szCs w:val="20"/>
                              </w:rPr>
                              <w:t>are</w:t>
                            </w:r>
                            <w:r w:rsidRPr="00AC3EF2">
                              <w:rPr>
                                <w:sz w:val="20"/>
                                <w:szCs w:val="20"/>
                              </w:rPr>
                              <w:t xml:space="preserve"> shown as mean </w:t>
                            </w:r>
                            <w:r w:rsidRPr="00AC3EF2">
                              <w:rPr>
                                <w:sz w:val="20"/>
                                <w:szCs w:val="20"/>
                              </w:rPr>
                              <w:sym w:font="Symbol" w:char="F0B1"/>
                            </w:r>
                            <w:r w:rsidRPr="00AC3EF2">
                              <w:rPr>
                                <w:sz w:val="20"/>
                                <w:szCs w:val="20"/>
                              </w:rPr>
                              <w:t xml:space="preserve"> SD (n = 4-5 biological replicates per time point). Data </w:t>
                            </w:r>
                            <w:r>
                              <w:rPr>
                                <w:sz w:val="20"/>
                                <w:szCs w:val="20"/>
                              </w:rPr>
                              <w:t>are</w:t>
                            </w:r>
                            <w:r w:rsidRPr="00AC3EF2">
                              <w:rPr>
                                <w:sz w:val="20"/>
                                <w:szCs w:val="20"/>
                              </w:rPr>
                              <w:t xml:space="preserve"> representative of 1 infection experiment</w:t>
                            </w:r>
                            <w:r w:rsidRPr="00AC3EF2">
                              <w:rPr>
                                <w:color w:val="000000" w:themeColor="text1"/>
                                <w:sz w:val="20"/>
                                <w:szCs w:val="20"/>
                              </w:rPr>
                              <w:t xml:space="preserve"> and was analysed using a Dunn’s Multiple Comparisons test (# denotes a p value of less than 0.05)</w:t>
                            </w:r>
                            <w:bookmarkEnd w:id="706"/>
                            <w:bookmarkEnd w:id="707"/>
                          </w:p>
                          <w:p w14:paraId="268C891F" w14:textId="46AA208D" w:rsidR="00F61130" w:rsidRPr="00AC3EF2" w:rsidRDefault="00F61130" w:rsidP="00AC3EF2">
                            <w:pPr>
                              <w:pStyle w:val="Caption"/>
                              <w:spacing w:line="360" w:lineRule="auto"/>
                              <w:jc w:val="both"/>
                              <w:rPr>
                                <w:noProof/>
                                <w:sz w:val="20"/>
                                <w:szCs w:val="20"/>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30287F5" id="Text Box 234" o:spid="_x0000_s1207" type="#_x0000_t202" style="position:absolute;margin-left:-.4pt;margin-top:156.75pt;width:439.05pt;height:87.05pt;z-index:2516500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xvWElNQIAAG4EAAAOAAAAZHJzL2Uyb0RvYy54bWysVMGO0zAQvSPxD5bvNE2XwBI1XZWuipCq&#13;&#10;3ZVatGfXcRpLtsfYbpPy9YydpgsLJ8TFGc+Mnz3vzWR+12tFTsJ5Caai+WRKiTAcamkOFf22W7+7&#13;&#10;pcQHZmqmwIiKnoWnd4u3b+adLcUMWlC1cARBjC87W9E2BFtmmeet0MxPwAqDwQacZgG37pDVjnWI&#13;&#10;rlU2m04/ZB242jrgwnv03g9Bukj4TSN4eGwaLwJRFcW3hbS6tO7jmi3mrDw4ZlvJL89g//AKzaTB&#13;&#10;S69Q9ywwcnTyDygtuQMPTZhw0Bk0jeQi1YDV5NNX1WxbZkWqBcnx9kqT/3+w/OH05IisKzq7eU+J&#13;&#10;YRpF2ok+kM/Qk+hDhjrrS0zcWkwNPQZQ6dHv0RkL7xun4xdLIhhHrs9XfiMcR2dRfCw+3RSUcIzl&#13;&#10;+bQocIP42ctx63z4IkCTaFTUoYCJV3ba+DCkjinxNg9K1mupVNzEwEo5cmIodtfKIC7gv2UpE3MN&#13;&#10;xFMDYPRkscahlmiFft8nVvLba6V7qM9IgIOhibzla4k3bpgPT8xh12DNOAnhEZdGQVdRuFiUtOB+&#13;&#10;/M0f81FMjFLSYRdW1H8/MicoUV8NyhxbdjTcaOxHwxz1CrDWHGfM8mTiARfUaDYO9DMOyDLegiFm&#13;&#10;ON5V0TCaqzDMAg4YF8tlSsLGtCxszNbyCD0yu+ufmbMXXQJK+gBjf7LylTxD7sDz8higkUm7yOzA&#13;&#10;4oVwbOqk/mUA49T8uk9ZL7+JxU8AAAD//wMAUEsDBBQABgAIAAAAIQBZnk435AAAAA4BAAAPAAAA&#13;&#10;ZHJzL2Rvd25yZXYueG1sTI/BTsMwEETvSPyDtUhcEHXaQBKl2VTQwA0OLVXPbmySiHgd2U6T/j3u&#13;&#10;CS4jrUY786bYzLpnZ2VdZwhhuYiAKaqN7KhBOHy9P2bAnBckRW9IIVyUg015e1OIXJqJduq89w0L&#13;&#10;IeRygdB6P+Scu7pVWriFGRQF79tYLXw4bcOlFVMI1z1fRVHCtegoNLRiUNtW1T/7USMklR2nHW0f&#13;&#10;qsPbh/gcmtXx9XJEvL+bq3WQlzUwr2b/9wHXDYEfygB2MiNJx3qEK71HiJfxM7DgZ2kaAzshPGVp&#13;&#10;Arws+P8Z5S8AAAD//wMAUEsBAi0AFAAGAAgAAAAhALaDOJL+AAAA4QEAABMAAAAAAAAAAAAAAAAA&#13;&#10;AAAAAFtDb250ZW50X1R5cGVzXS54bWxQSwECLQAUAAYACAAAACEAOP0h/9YAAACUAQAACwAAAAAA&#13;&#10;AAAAAAAAAAAvAQAAX3JlbHMvLnJlbHNQSwECLQAUAAYACAAAACEAsb1hJTUCAABuBAAADgAAAAAA&#13;&#10;AAAAAAAAAAAuAgAAZHJzL2Uyb0RvYy54bWxQSwECLQAUAAYACAAAACEAWZ5ON+QAAAAOAQAADwAA&#13;&#10;AAAAAAAAAAAAAACPBAAAZHJzL2Rvd25yZXYueG1sUEsFBgAAAAAEAAQA8wAAAKAFAAAAAA==&#13;&#10;" stroked="f">
                <v:textbox inset="0,0,0,0">
                  <w:txbxContent>
                    <w:p w14:paraId="4B9922CF" w14:textId="386F2B3D" w:rsidR="00F61130" w:rsidRPr="00AC3EF2" w:rsidRDefault="00F61130" w:rsidP="00AC3EF2">
                      <w:pPr>
                        <w:spacing w:line="360" w:lineRule="auto"/>
                        <w:jc w:val="both"/>
                        <w:rPr>
                          <w:color w:val="000000" w:themeColor="text1"/>
                          <w:sz w:val="20"/>
                          <w:szCs w:val="20"/>
                        </w:rPr>
                      </w:pPr>
                      <w:bookmarkStart w:id="708" w:name="_Ref519016742"/>
                      <w:bookmarkStart w:id="709" w:name="_Toc525227257"/>
                      <w:bookmarkStart w:id="710" w:name="_Toc536814196"/>
                      <w:r w:rsidRPr="00AC3EF2">
                        <w:rPr>
                          <w:b/>
                          <w:sz w:val="20"/>
                          <w:szCs w:val="20"/>
                        </w:rPr>
                        <w:t xml:space="preserve">Figure </w:t>
                      </w:r>
                      <w:r>
                        <w:rPr>
                          <w:b/>
                          <w:sz w:val="20"/>
                          <w:szCs w:val="20"/>
                        </w:rPr>
                        <w:fldChar w:fldCharType="begin"/>
                      </w:r>
                      <w:r>
                        <w:rPr>
                          <w:b/>
                          <w:sz w:val="20"/>
                          <w:szCs w:val="20"/>
                        </w:rPr>
                        <w:instrText xml:space="preserve"> STYLEREF 1 \s </w:instrText>
                      </w:r>
                      <w:r>
                        <w:rPr>
                          <w:b/>
                          <w:sz w:val="20"/>
                          <w:szCs w:val="20"/>
                        </w:rPr>
                        <w:fldChar w:fldCharType="separate"/>
                      </w:r>
                      <w:r>
                        <w:rPr>
                          <w:b/>
                          <w:noProof/>
                          <w:sz w:val="20"/>
                          <w:szCs w:val="20"/>
                        </w:rPr>
                        <w:t>7</w:t>
                      </w:r>
                      <w:r>
                        <w:rPr>
                          <w:b/>
                          <w:sz w:val="20"/>
                          <w:szCs w:val="20"/>
                        </w:rPr>
                        <w:fldChar w:fldCharType="end"/>
                      </w:r>
                      <w:r>
                        <w:rPr>
                          <w:b/>
                          <w:sz w:val="20"/>
                          <w:szCs w:val="20"/>
                        </w:rPr>
                        <w:t>.</w:t>
                      </w:r>
                      <w:r>
                        <w:rPr>
                          <w:b/>
                          <w:sz w:val="20"/>
                          <w:szCs w:val="20"/>
                        </w:rPr>
                        <w:fldChar w:fldCharType="begin"/>
                      </w:r>
                      <w:r>
                        <w:rPr>
                          <w:b/>
                          <w:sz w:val="20"/>
                          <w:szCs w:val="20"/>
                        </w:rPr>
                        <w:instrText xml:space="preserve"> SEQ Figure \* ARABIC \s 1 </w:instrText>
                      </w:r>
                      <w:r>
                        <w:rPr>
                          <w:b/>
                          <w:sz w:val="20"/>
                          <w:szCs w:val="20"/>
                        </w:rPr>
                        <w:fldChar w:fldCharType="separate"/>
                      </w:r>
                      <w:r>
                        <w:rPr>
                          <w:b/>
                          <w:noProof/>
                          <w:sz w:val="20"/>
                          <w:szCs w:val="20"/>
                        </w:rPr>
                        <w:t>4</w:t>
                      </w:r>
                      <w:r>
                        <w:rPr>
                          <w:b/>
                          <w:sz w:val="20"/>
                          <w:szCs w:val="20"/>
                        </w:rPr>
                        <w:fldChar w:fldCharType="end"/>
                      </w:r>
                      <w:bookmarkEnd w:id="708"/>
                      <w:r w:rsidRPr="00AC3EF2">
                        <w:rPr>
                          <w:b/>
                          <w:sz w:val="20"/>
                          <w:szCs w:val="20"/>
                        </w:rPr>
                        <w:t xml:space="preserve"> - Sustained increases in hepatic leukocyte abundance are seen over the course of </w:t>
                      </w:r>
                      <w:r w:rsidRPr="00AC3EF2">
                        <w:rPr>
                          <w:b/>
                          <w:i/>
                          <w:sz w:val="20"/>
                          <w:szCs w:val="20"/>
                        </w:rPr>
                        <w:t>L. donovani</w:t>
                      </w:r>
                      <w:r w:rsidRPr="00AC3EF2">
                        <w:rPr>
                          <w:b/>
                          <w:sz w:val="20"/>
                          <w:szCs w:val="20"/>
                        </w:rPr>
                        <w:t xml:space="preserve"> infection</w:t>
                      </w:r>
                      <w:r w:rsidRPr="00AC3EF2">
                        <w:rPr>
                          <w:sz w:val="20"/>
                          <w:szCs w:val="20"/>
                        </w:rPr>
                        <w:t xml:space="preserve">. (A) Absolute number of hepatic live CD45+ cells per liver determined by flow cytometry. (B) Absolute number of hepatic live CD45+ cells per gram of liver determined by flow cytometry. Data </w:t>
                      </w:r>
                      <w:r>
                        <w:rPr>
                          <w:sz w:val="20"/>
                          <w:szCs w:val="20"/>
                        </w:rPr>
                        <w:t>are</w:t>
                      </w:r>
                      <w:r w:rsidRPr="00AC3EF2">
                        <w:rPr>
                          <w:sz w:val="20"/>
                          <w:szCs w:val="20"/>
                        </w:rPr>
                        <w:t xml:space="preserve"> shown as mean </w:t>
                      </w:r>
                      <w:r w:rsidRPr="00AC3EF2">
                        <w:rPr>
                          <w:sz w:val="20"/>
                          <w:szCs w:val="20"/>
                        </w:rPr>
                        <w:sym w:font="Symbol" w:char="F0B1"/>
                      </w:r>
                      <w:r w:rsidRPr="00AC3EF2">
                        <w:rPr>
                          <w:sz w:val="20"/>
                          <w:szCs w:val="20"/>
                        </w:rPr>
                        <w:t xml:space="preserve"> SD (n = 4-5 biological replicates per time point). Data </w:t>
                      </w:r>
                      <w:r>
                        <w:rPr>
                          <w:sz w:val="20"/>
                          <w:szCs w:val="20"/>
                        </w:rPr>
                        <w:t>are</w:t>
                      </w:r>
                      <w:r w:rsidRPr="00AC3EF2">
                        <w:rPr>
                          <w:sz w:val="20"/>
                          <w:szCs w:val="20"/>
                        </w:rPr>
                        <w:t xml:space="preserve"> representative of 1 infection experiment</w:t>
                      </w:r>
                      <w:r w:rsidRPr="00AC3EF2">
                        <w:rPr>
                          <w:color w:val="000000" w:themeColor="text1"/>
                          <w:sz w:val="20"/>
                          <w:szCs w:val="20"/>
                        </w:rPr>
                        <w:t xml:space="preserve"> and was analysed using a Dunn’s Multiple Comparisons test (# denotes a p value of less than 0.05)</w:t>
                      </w:r>
                      <w:bookmarkEnd w:id="709"/>
                      <w:bookmarkEnd w:id="710"/>
                    </w:p>
                    <w:p w14:paraId="268C891F" w14:textId="46AA208D" w:rsidR="00F61130" w:rsidRPr="00AC3EF2" w:rsidRDefault="00F61130" w:rsidP="00AC3EF2">
                      <w:pPr>
                        <w:pStyle w:val="Caption"/>
                        <w:spacing w:line="360" w:lineRule="auto"/>
                        <w:jc w:val="both"/>
                        <w:rPr>
                          <w:noProof/>
                          <w:sz w:val="20"/>
                          <w:szCs w:val="20"/>
                        </w:rPr>
                      </w:pPr>
                    </w:p>
                  </w:txbxContent>
                </v:textbox>
                <w10:wrap type="topAndBottom"/>
              </v:shape>
            </w:pict>
          </mc:Fallback>
        </mc:AlternateContent>
      </w:r>
      <w:r w:rsidR="00F57F02">
        <w:rPr>
          <w:noProof/>
        </w:rPr>
        <w:drawing>
          <wp:anchor distT="0" distB="0" distL="114300" distR="114300" simplePos="0" relativeHeight="251646976" behindDoc="0" locked="0" layoutInCell="1" allowOverlap="1" wp14:anchorId="35CD0AB3" wp14:editId="39940A54">
            <wp:simplePos x="0" y="0"/>
            <wp:positionH relativeFrom="column">
              <wp:posOffset>-5275</wp:posOffset>
            </wp:positionH>
            <wp:positionV relativeFrom="paragraph">
              <wp:posOffset>48162</wp:posOffset>
            </wp:positionV>
            <wp:extent cx="5575935" cy="1892300"/>
            <wp:effectExtent l="0" t="0" r="0" b="0"/>
            <wp:wrapTopAndBottom/>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Picture 232"/>
                    <pic:cNvPicPr>
                      <a:picLocks noChangeAspect="1"/>
                    </pic:cNvPicPr>
                  </pic:nvPicPr>
                  <pic:blipFill rotWithShape="1">
                    <a:blip r:embed="rId104">
                      <a:extLst>
                        <a:ext uri="{28A0092B-C50C-407E-A947-70E740481C1C}">
                          <a14:useLocalDpi xmlns:a14="http://schemas.microsoft.com/office/drawing/2010/main" val="0"/>
                        </a:ext>
                      </a:extLst>
                    </a:blip>
                    <a:srcRect b="49831"/>
                    <a:stretch/>
                  </pic:blipFill>
                  <pic:spPr bwMode="auto">
                    <a:xfrm>
                      <a:off x="0" y="0"/>
                      <a:ext cx="5575935" cy="1892300"/>
                    </a:xfrm>
                    <a:prstGeom prst="rect">
                      <a:avLst/>
                    </a:prstGeom>
                    <a:ln>
                      <a:noFill/>
                    </a:ln>
                    <a:extLst>
                      <a:ext uri="{53640926-AAD7-44D8-BBD7-CCE9431645EC}">
                        <a14:shadowObscured xmlns:a14="http://schemas.microsoft.com/office/drawing/2010/main"/>
                      </a:ext>
                    </a:extLst>
                  </pic:spPr>
                </pic:pic>
              </a:graphicData>
            </a:graphic>
          </wp:anchor>
        </w:drawing>
      </w:r>
      <w:r w:rsidR="00F57F02">
        <w:rPr>
          <w:noProof/>
        </w:rPr>
        <mc:AlternateContent>
          <mc:Choice Requires="wps">
            <w:drawing>
              <wp:anchor distT="0" distB="0" distL="114300" distR="114300" simplePos="0" relativeHeight="251648000" behindDoc="0" locked="0" layoutInCell="1" allowOverlap="1" wp14:anchorId="46D76BC3" wp14:editId="7F5D09A9">
                <wp:simplePos x="0" y="0"/>
                <wp:positionH relativeFrom="column">
                  <wp:posOffset>185225</wp:posOffset>
                </wp:positionH>
                <wp:positionV relativeFrom="paragraph">
                  <wp:posOffset>537</wp:posOffset>
                </wp:positionV>
                <wp:extent cx="187325" cy="149860"/>
                <wp:effectExtent l="0" t="0" r="3175" b="2540"/>
                <wp:wrapTopAndBottom/>
                <wp:docPr id="105" name="Text Box 105"/>
                <wp:cNvGraphicFramePr/>
                <a:graphic xmlns:a="http://schemas.openxmlformats.org/drawingml/2006/main">
                  <a:graphicData uri="http://schemas.microsoft.com/office/word/2010/wordprocessingShape">
                    <wps:wsp>
                      <wps:cNvSpPr txBox="1"/>
                      <wps:spPr>
                        <a:xfrm>
                          <a:off x="0" y="0"/>
                          <a:ext cx="187325" cy="149860"/>
                        </a:xfrm>
                        <a:prstGeom prst="rect">
                          <a:avLst/>
                        </a:prstGeom>
                        <a:noFill/>
                        <a:ln w="6350">
                          <a:noFill/>
                        </a:ln>
                      </wps:spPr>
                      <wps:txbx>
                        <w:txbxContent>
                          <w:p w14:paraId="4EE35B05" w14:textId="77777777" w:rsidR="00F61130" w:rsidRPr="006508D1" w:rsidRDefault="00F61130" w:rsidP="00AC3EF2">
                            <w:r w:rsidRPr="006508D1">
                              <w:t>A</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46D76BC3" id="Text Box 105" o:spid="_x0000_s1208" type="#_x0000_t202" style="position:absolute;margin-left:14.6pt;margin-top:.05pt;width:14.75pt;height:11.8pt;z-index:2516480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Bj+35JwIAAE0EAAAOAAAAZHJzL2Uyb0RvYy54bWysVF1v2jAUfZ+0/2D5fSTQlTFEqFgrpkmo&#13;&#10;rQRTn43jkEiJr2cbEvbrd+wQOnV7mvZibnw/z7nHLO66pmYnZV1FOuPjUcqZ0pLySh8y/n23/jDj&#13;&#10;zHmhc1GTVhk/K8fvlu/fLVozVxMqqc6VZSii3bw1GS+9N/MkcbJUjXAjMkrDWZBthMenPSS5FS2q&#13;&#10;N3UySdNp0pLNjSWpnMPtQ+/ky1i/KJT0T0XhlGd1xjGbj6eN5z6cyXIh5gcrTFnJyxjiH6ZoRKXR&#13;&#10;9FrqQXjBjrb6o1RTSUuOCj+S1CRUFJVUEQPQjNM3aLalMCpiATnOXGly/6+sfDw9W1bl2F16y5kW&#13;&#10;DZa0U51nX6hj4Q4MtcbNEbg1CPUdHIge7h0uA/CusE34BSQGP7g+X/kN5WRImn26maCLhGv88fNs&#13;&#10;GvlPXpONdf6rooYFI+MW64usitPGeQyC0CEk9NK0ruo6rrDWrM349OY2jQlXDzJqjcQAoR81WL7b&#13;&#10;dz3o2WQAsqf8DHyWeo04I9cVptgI55+FhSgACUL3TziKmtCNLhZnJdmff7sP8dgVvJy1EFnG3Y+j&#13;&#10;sIqz+pvGFoMiB8MOxn4w9LG5J+h2jCdkZDSRYH09mIWl5gX6X4UucAkt0SvjfjDvfS91vB+pVqsY&#13;&#10;BN0Z4Td6a2QoHXgMnO66F2HNhXiPjT3SID8xf8N/H9tvYHX0VFRxOYHZnsUL4dBs3NnlfYVH8ft3&#13;&#10;jHr9F1j+AgAA//8DAFBLAwQUAAYACAAAACEAfTdcA94AAAAKAQAADwAAAGRycy9kb3ducmV2Lnht&#13;&#10;bExPTU/DMAy9I/EfIiNxY+mKYKNrOiEGN762gQS3tDFtReNUSdqVf493goslv2e/j3w92U6M6EPr&#13;&#10;SMF8loBAqpxpqVbwtn+4WIIIUZPRnSNU8IMB1sXpSa4z4w60xXEXa8EiFDKtoImxz6QMVYNWh5nr&#13;&#10;kZj7ct7qyKuvpfH6wOK2k2mSXEurW2KHRvd412D1vRusgu4j+McyiZ/jpn6Kry9yeL+fPyt1fjZt&#13;&#10;VjxuVyAiTvHvA44dOD8UHKx0A5kgOgXpTcqXR1wwe7VcgCgZvVyALHL5v0LxCwAA//8DAFBLAQIt&#13;&#10;ABQABgAIAAAAIQC2gziS/gAAAOEBAAATAAAAAAAAAAAAAAAAAAAAAABbQ29udGVudF9UeXBlc10u&#13;&#10;eG1sUEsBAi0AFAAGAAgAAAAhADj9If/WAAAAlAEAAAsAAAAAAAAAAAAAAAAALwEAAF9yZWxzLy5y&#13;&#10;ZWxzUEsBAi0AFAAGAAgAAAAhAAGP7fknAgAATQQAAA4AAAAAAAAAAAAAAAAALgIAAGRycy9lMm9E&#13;&#10;b2MueG1sUEsBAi0AFAAGAAgAAAAhAH03XAPeAAAACgEAAA8AAAAAAAAAAAAAAAAAgQQAAGRycy9k&#13;&#10;b3ducmV2LnhtbFBLBQYAAAAABAAEAPMAAACMBQAAAAA=&#13;&#10;" filled="f" stroked="f" strokeweight=".5pt">
                <v:textbox inset="0,0,0,0">
                  <w:txbxContent>
                    <w:p w14:paraId="4EE35B05" w14:textId="77777777" w:rsidR="00F61130" w:rsidRPr="006508D1" w:rsidRDefault="00F61130" w:rsidP="00AC3EF2">
                      <w:r w:rsidRPr="006508D1">
                        <w:t>A</w:t>
                      </w:r>
                    </w:p>
                  </w:txbxContent>
                </v:textbox>
                <w10:wrap type="topAndBottom"/>
              </v:shape>
            </w:pict>
          </mc:Fallback>
        </mc:AlternateContent>
      </w:r>
      <w:r w:rsidR="00F57F02">
        <w:rPr>
          <w:noProof/>
        </w:rPr>
        <mc:AlternateContent>
          <mc:Choice Requires="wps">
            <w:drawing>
              <wp:anchor distT="0" distB="0" distL="114300" distR="114300" simplePos="0" relativeHeight="251649024" behindDoc="0" locked="0" layoutInCell="1" allowOverlap="1" wp14:anchorId="2F9624DC" wp14:editId="2F488DBC">
                <wp:simplePos x="0" y="0"/>
                <wp:positionH relativeFrom="column">
                  <wp:posOffset>2915725</wp:posOffset>
                </wp:positionH>
                <wp:positionV relativeFrom="paragraph">
                  <wp:posOffset>10062</wp:posOffset>
                </wp:positionV>
                <wp:extent cx="187325" cy="149860"/>
                <wp:effectExtent l="0" t="0" r="3175" b="2540"/>
                <wp:wrapTopAndBottom/>
                <wp:docPr id="106" name="Text Box 106"/>
                <wp:cNvGraphicFramePr/>
                <a:graphic xmlns:a="http://schemas.openxmlformats.org/drawingml/2006/main">
                  <a:graphicData uri="http://schemas.microsoft.com/office/word/2010/wordprocessingShape">
                    <wps:wsp>
                      <wps:cNvSpPr txBox="1"/>
                      <wps:spPr>
                        <a:xfrm>
                          <a:off x="0" y="0"/>
                          <a:ext cx="187325" cy="149860"/>
                        </a:xfrm>
                        <a:prstGeom prst="rect">
                          <a:avLst/>
                        </a:prstGeom>
                        <a:noFill/>
                        <a:ln w="6350">
                          <a:noFill/>
                        </a:ln>
                      </wps:spPr>
                      <wps:txbx>
                        <w:txbxContent>
                          <w:p w14:paraId="240DC03D" w14:textId="77777777" w:rsidR="00F61130" w:rsidRPr="006508D1" w:rsidRDefault="00F61130" w:rsidP="00AC3EF2">
                            <w:r>
                              <w:t>B</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2F9624DC" id="Text Box 106" o:spid="_x0000_s1209" type="#_x0000_t202" style="position:absolute;margin-left:229.6pt;margin-top:.8pt;width:14.75pt;height:11.8pt;z-index:2516490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bKNcTKAIAAE0EAAAOAAAAZHJzL2Uyb0RvYy54bWysVF1v2jAUfZ+0/2D5fSTAylhEqFgrpkmo&#13;&#10;rQRTn41jk0i2r2cbEvbrd+0QOnV7qvpibnw/z7nHLG47rchJON+AKel4lFMiDIeqMYeS/tytP80p&#13;&#10;8YGZiikwoqRn4ent8uOHRWsLMYEaVCUcwSLGF60taR2CLbLM81po5kdghUGnBKdZwE93yCrHWqyu&#13;&#10;VTbJ81nWgqusAy68x9v73kmXqb6UgodHKb0IRJUUZwvpdOncxzNbLlhxcMzWDb+Mwd4whWaNwabX&#13;&#10;UvcsMHJ0zT+ldMMdeJBhxEFnIGXDRcKAaMb5KzTbmlmRsCA53l5p8u9Xlj+cnhxpKtxdPqPEMI1L&#13;&#10;2okukG/QkXiHDLXWFxi4tRgaOnRg9HDv8TIC76TT8RchEfQj1+crv7Ecj0nzL9PJDSUcXePPX+ez&#13;&#10;xH/2kmydD98FaBKNkjpcX2KVnTY+4CAYOoTEXgbWjVJphcqQtqSz6U2eEq4ezFAGEyOEftRohW7f&#13;&#10;9aDn0wHIHqoz4nPQa8Rbvm5wig3z4Yk5FAVCQqGHRzykAuwGF4uSGtzv/93HeNwVeilpUWQl9b+O&#13;&#10;zAlK1A+DW4yKHAw3GPvBMEd9B6jbMT4hy5OJCS6owZQO9DPqfxW7oIsZjr1KGgbzLvRSx/fDxWqV&#13;&#10;glB3loWN2VoeS0ceI6e77pk5eyE+4MYeYJAfK17x38f2G1gdA8gmLScy27N4IRw1m3Z2eV/xUfz9&#13;&#10;naJe/gWWfwAAAP//AwBQSwMEFAAGAAgAAAAhAOXwRw3jAAAADQEAAA8AAABkcnMvZG93bnJldi54&#13;&#10;bWxMj8FOwzAQRO9I/IO1SNyo06gtIY1TIQo3KLQFCW5ObJIIex3ZThr+nuUEl5VWb3Z2pthM1rBR&#13;&#10;+9A5FDCfJcA01k512Ah4PT5cZcBClKikcagFfOsAm/L8rJC5cifc6/EQG0YmGHIpoI2xzzkPdaut&#13;&#10;DDPXayT26byVkVbfcOXlicyt4WmSrLiVHdKHVvb6rtX112GwAsx78I9VEj/GbfMUX5758HY/3wlx&#13;&#10;eTFt1zRu18CinuLfBfx2oPxQUrDKDagCMwIWy5uUpARWwIgvsuwaWCUgXabAy4L/b1H+AAAA//8D&#13;&#10;AFBLAQItABQABgAIAAAAIQC2gziS/gAAAOEBAAATAAAAAAAAAAAAAAAAAAAAAABbQ29udGVudF9U&#13;&#10;eXBlc10ueG1sUEsBAi0AFAAGAAgAAAAhADj9If/WAAAAlAEAAAsAAAAAAAAAAAAAAAAALwEAAF9y&#13;&#10;ZWxzLy5yZWxzUEsBAi0AFAAGAAgAAAAhABso1xMoAgAATQQAAA4AAAAAAAAAAAAAAAAALgIAAGRy&#13;&#10;cy9lMm9Eb2MueG1sUEsBAi0AFAAGAAgAAAAhAOXwRw3jAAAADQEAAA8AAAAAAAAAAAAAAAAAggQA&#13;&#10;AGRycy9kb3ducmV2LnhtbFBLBQYAAAAABAAEAPMAAACSBQAAAAA=&#13;&#10;" filled="f" stroked="f" strokeweight=".5pt">
                <v:textbox inset="0,0,0,0">
                  <w:txbxContent>
                    <w:p w14:paraId="240DC03D" w14:textId="77777777" w:rsidR="00F61130" w:rsidRPr="006508D1" w:rsidRDefault="00F61130" w:rsidP="00AC3EF2">
                      <w:r>
                        <w:t>B</w:t>
                      </w:r>
                    </w:p>
                  </w:txbxContent>
                </v:textbox>
                <w10:wrap type="topAndBottom"/>
              </v:shape>
            </w:pict>
          </mc:Fallback>
        </mc:AlternateContent>
      </w:r>
      <w:r w:rsidR="00F57F02">
        <w:rPr>
          <w:noProof/>
        </w:rPr>
        <w:drawing>
          <wp:anchor distT="0" distB="0" distL="114300" distR="114300" simplePos="0" relativeHeight="251662336" behindDoc="0" locked="0" layoutInCell="1" allowOverlap="1" wp14:anchorId="1E9FC4ED" wp14:editId="0D722A29">
            <wp:simplePos x="0" y="0"/>
            <wp:positionH relativeFrom="column">
              <wp:posOffset>8792</wp:posOffset>
            </wp:positionH>
            <wp:positionV relativeFrom="paragraph">
              <wp:posOffset>3570556</wp:posOffset>
            </wp:positionV>
            <wp:extent cx="5575935" cy="3782695"/>
            <wp:effectExtent l="0" t="0" r="0" b="1905"/>
            <wp:wrapTopAndBottom/>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Picture 240"/>
                    <pic:cNvPicPr>
                      <a:picLocks noChangeAspect="1"/>
                    </pic:cNvPicPr>
                  </pic:nvPicPr>
                  <pic:blipFill>
                    <a:blip r:embed="rId105">
                      <a:extLst>
                        <a:ext uri="{28A0092B-C50C-407E-A947-70E740481C1C}">
                          <a14:useLocalDpi xmlns:a14="http://schemas.microsoft.com/office/drawing/2010/main" val="0"/>
                        </a:ext>
                      </a:extLst>
                    </a:blip>
                    <a:stretch>
                      <a:fillRect/>
                    </a:stretch>
                  </pic:blipFill>
                  <pic:spPr>
                    <a:xfrm>
                      <a:off x="0" y="0"/>
                      <a:ext cx="5575935" cy="3782695"/>
                    </a:xfrm>
                    <a:prstGeom prst="rect">
                      <a:avLst/>
                    </a:prstGeom>
                  </pic:spPr>
                </pic:pic>
              </a:graphicData>
            </a:graphic>
          </wp:anchor>
        </w:drawing>
      </w:r>
      <w:r w:rsidR="00F57F02">
        <w:rPr>
          <w:noProof/>
        </w:rPr>
        <mc:AlternateContent>
          <mc:Choice Requires="wps">
            <w:drawing>
              <wp:anchor distT="0" distB="0" distL="114300" distR="114300" simplePos="0" relativeHeight="251663360" behindDoc="0" locked="0" layoutInCell="1" allowOverlap="1" wp14:anchorId="434AB3C9" wp14:editId="6FC81798">
                <wp:simplePos x="0" y="0"/>
                <wp:positionH relativeFrom="column">
                  <wp:posOffset>338992</wp:posOffset>
                </wp:positionH>
                <wp:positionV relativeFrom="paragraph">
                  <wp:posOffset>3608656</wp:posOffset>
                </wp:positionV>
                <wp:extent cx="187325" cy="180000"/>
                <wp:effectExtent l="0" t="0" r="3175" b="0"/>
                <wp:wrapTopAndBottom/>
                <wp:docPr id="236" name="Text Box 236"/>
                <wp:cNvGraphicFramePr/>
                <a:graphic xmlns:a="http://schemas.openxmlformats.org/drawingml/2006/main">
                  <a:graphicData uri="http://schemas.microsoft.com/office/word/2010/wordprocessingShape">
                    <wps:wsp>
                      <wps:cNvSpPr txBox="1"/>
                      <wps:spPr>
                        <a:xfrm>
                          <a:off x="0" y="0"/>
                          <a:ext cx="187325" cy="180000"/>
                        </a:xfrm>
                        <a:prstGeom prst="rect">
                          <a:avLst/>
                        </a:prstGeom>
                        <a:noFill/>
                        <a:ln w="6350">
                          <a:noFill/>
                        </a:ln>
                      </wps:spPr>
                      <wps:txbx>
                        <w:txbxContent>
                          <w:p w14:paraId="0667C6A0" w14:textId="77777777" w:rsidR="00F61130" w:rsidRPr="006508D1" w:rsidRDefault="00F61130" w:rsidP="00AC3EF2">
                            <w:r w:rsidRPr="006508D1">
                              <w:t>A</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434AB3C9" id="Text Box 236" o:spid="_x0000_s1210" type="#_x0000_t202" style="position:absolute;margin-left:26.7pt;margin-top:284.15pt;width:14.75pt;height:14.15pt;z-index:2516633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2CGyfKQIAAE0EAAAOAAAAZHJzL2Uyb0RvYy54bWysVFFv2jAQfp+0/2D5fSTAylBEqFgrpkmo&#13;&#10;rQRTn41jk0i2z7MNCfv1OzuEVl2fquXBufjOd/d99zmL204rchLON2BKOh7llAjDoWrMoaS/dusv&#13;&#10;c0p8YKZiCowo6Vl4erv8/GnR2kJMoAZVCUcwifFFa0tah2CLLPO8Fpr5EVhh0CnBaRbw0x2yyrEW&#13;&#10;s2uVTfJ8lrXgKuuAC+9x97530mXKL6Xg4VFKLwJRJcXeQlpdWvdxzZYLVhwcs3XDL22wD3ShWWOw&#13;&#10;6DXVPQuMHF3zTyrdcAceZBhx0BlI2XCRMCCacf4GzbZmViQsSI63V5r8/0vLH05PjjRVSSfTGSWG&#13;&#10;aRzSTnSBfIeOxD1kqLW+wMCtxdDQoQMnPex73IzAO+l0fCMkgn7k+nzlN6bj8dD823RyQwlH13ie&#13;&#10;4xOzZC+HrfPhhwBNolFSh+NLrLLTxoc+dAiJtQysG6XSCJUhbUln05s8Hbh6MLkyWCNC6FuNVuj2&#13;&#10;XQI9nn8dgOyhOiM+B71GvOXrBrvYMB+emENRICQUenjERSrAanCxKKnB/XlvP8bjrNBLSYsiK6n/&#13;&#10;fWROUKJ+GpxiVORguMHYD4Y56jtA3Y7xClmeTDzgghpM6UA/o/5XsQq6mOFYq6RhMO9CL3W8P1ys&#13;&#10;VikIdWdZ2Jit5TF15DFyuuuembMX4gNO7AEG+bHiDf99bD+B1TGAbNJwIrM9ixfCUbNpvJf7FS/F&#13;&#10;6+8U9fIXWP4FAAD//wMAUEsDBBQABgAIAAAAIQBveZs34gAAAA4BAAAPAAAAZHJzL2Rvd25yZXYu&#13;&#10;eG1sTE9LT8MwDL4j8R8iI3Fj6Taouq7phBjcYLANJLiljWkr8qiStCv/HnOCiy3bn79HsZmMZiP6&#13;&#10;0DkrYD5LgKGtnepsI+D1+HCVAQtRWiW1syjgGwNsyvOzQubKnewex0NsGJHYkEsBbYx9znmoWzQy&#13;&#10;zFyPlm6fzhsZafQNV16eiNxovkiSlBvZWVJoZY93LdZfh8EI0O/BP1ZJ/Bi3zVN8eebD2/18J8Tl&#13;&#10;xbRdU7ldA4s4xb8P+M1A/qEkY5UbrApMC7hZXhOSepotgREgW6yAVbRYpSnwsuD/Y5Q/AAAA//8D&#13;&#10;AFBLAQItABQABgAIAAAAIQC2gziS/gAAAOEBAAATAAAAAAAAAAAAAAAAAAAAAABbQ29udGVudF9U&#13;&#10;eXBlc10ueG1sUEsBAi0AFAAGAAgAAAAhADj9If/WAAAAlAEAAAsAAAAAAAAAAAAAAAAALwEAAF9y&#13;&#10;ZWxzLy5yZWxzUEsBAi0AFAAGAAgAAAAhAHYIbJ8pAgAATQQAAA4AAAAAAAAAAAAAAAAALgIAAGRy&#13;&#10;cy9lMm9Eb2MueG1sUEsBAi0AFAAGAAgAAAAhAG95mzfiAAAADgEAAA8AAAAAAAAAAAAAAAAAgwQA&#13;&#10;AGRycy9kb3ducmV2LnhtbFBLBQYAAAAABAAEAPMAAACSBQAAAAA=&#13;&#10;" filled="f" stroked="f" strokeweight=".5pt">
                <v:textbox inset="0,0,0,0">
                  <w:txbxContent>
                    <w:p w14:paraId="0667C6A0" w14:textId="77777777" w:rsidR="00F61130" w:rsidRPr="006508D1" w:rsidRDefault="00F61130" w:rsidP="00AC3EF2">
                      <w:r w:rsidRPr="006508D1">
                        <w:t>A</w:t>
                      </w:r>
                    </w:p>
                  </w:txbxContent>
                </v:textbox>
                <w10:wrap type="topAndBottom"/>
              </v:shape>
            </w:pict>
          </mc:Fallback>
        </mc:AlternateContent>
      </w:r>
      <w:r w:rsidR="00F57F02">
        <w:rPr>
          <w:noProof/>
        </w:rPr>
        <mc:AlternateContent>
          <mc:Choice Requires="wps">
            <w:drawing>
              <wp:anchor distT="0" distB="0" distL="114300" distR="114300" simplePos="0" relativeHeight="251664384" behindDoc="0" locked="0" layoutInCell="1" allowOverlap="1" wp14:anchorId="6A0061DC" wp14:editId="6A3E24F7">
                <wp:simplePos x="0" y="0"/>
                <wp:positionH relativeFrom="column">
                  <wp:posOffset>3069492</wp:posOffset>
                </wp:positionH>
                <wp:positionV relativeFrom="paragraph">
                  <wp:posOffset>3621356</wp:posOffset>
                </wp:positionV>
                <wp:extent cx="187325" cy="180000"/>
                <wp:effectExtent l="0" t="0" r="3175" b="0"/>
                <wp:wrapTopAndBottom/>
                <wp:docPr id="237" name="Text Box 237"/>
                <wp:cNvGraphicFramePr/>
                <a:graphic xmlns:a="http://schemas.openxmlformats.org/drawingml/2006/main">
                  <a:graphicData uri="http://schemas.microsoft.com/office/word/2010/wordprocessingShape">
                    <wps:wsp>
                      <wps:cNvSpPr txBox="1"/>
                      <wps:spPr>
                        <a:xfrm>
                          <a:off x="0" y="0"/>
                          <a:ext cx="187325" cy="180000"/>
                        </a:xfrm>
                        <a:prstGeom prst="rect">
                          <a:avLst/>
                        </a:prstGeom>
                        <a:noFill/>
                        <a:ln w="6350">
                          <a:noFill/>
                        </a:ln>
                      </wps:spPr>
                      <wps:txbx>
                        <w:txbxContent>
                          <w:p w14:paraId="480C71C6" w14:textId="77777777" w:rsidR="00F61130" w:rsidRPr="006508D1" w:rsidRDefault="00F61130" w:rsidP="00AC3EF2">
                            <w:r>
                              <w:t>B</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6A0061DC" id="Text Box 237" o:spid="_x0000_s1211" type="#_x0000_t202" style="position:absolute;margin-left:241.7pt;margin-top:285.15pt;width:14.75pt;height:14.15pt;z-index:2516643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BUpJJKQIAAE0EAAAOAAAAZHJzL2Uyb0RvYy54bWysVFFv2jAQfp+0/2D5fSSAaFFEqFgrpkmo&#13;&#10;rQRTn41jk0i2z7MNCfv1OzuEVl2fquXBufjOd/d99zmLu04rchLON2BKOh7llAjDoWrMoaS/dutv&#13;&#10;c0p8YKZiCowo6Vl4erf8+mXR2kJMoAZVCUcwifFFa0tah2CLLPO8Fpr5EVhh0CnBaRbw0x2yyrEW&#13;&#10;s2uVTfL8JmvBVdYBF97j7kPvpMuUX0rBw5OUXgSiSoq9hbS6tO7jmi0XrDg4ZuuGX9pgn+hCs8Zg&#13;&#10;0WuqBxYYObrmn1S64Q48yDDioDOQsuEiYUA04/wdmm3NrEhYkBxvrzT5/5eWP56eHWmqkk6mt5QY&#13;&#10;pnFIO9EF8h06EveQodb6AgO3FkNDhw6c9LDvcTMC76TT8Y2QCPqR6/OV35iOx0Pz2+lkRglH13ie&#13;&#10;4xOzZK+HrfPhhwBNolFSh+NLrLLTxoc+dAiJtQysG6XSCJUhbUlvprM8Hbh6MLkyWCNC6FuNVuj2&#13;&#10;XQI9ns8GIHuozojPQa8Rb/m6wS42zIdn5lAUCAmFHp5wkQqwGlwsSmpwfz7aj/E4K/RS0qLISup/&#13;&#10;H5kTlKifBqcYFTkYbjD2g2GO+h5Qt2O8QpYnEw+4oAZTOtAvqP9VrIIuZjjWKmkYzPvQSx3vDxer&#13;&#10;VQpC3VkWNmZreUwdeYyc7roX5uyF+IATe4RBfqx4x38f209gdQwgmzScyGzP4oVw1Gwa7+V+xUvx&#13;&#10;9jtFvf4Fln8BAAD//wMAUEsDBBQABgAIAAAAIQB+ZvnN5AAAABABAAAPAAAAZHJzL2Rvd25yZXYu&#13;&#10;eG1sTE/JTsMwEL0j8Q/WIHGjdrqRpnEqROHGWkCCmxObJCIeR7aThr9nOMFlNKP35i35brIdG40P&#13;&#10;rUMJyUwAM1g53WIt4fXl9iIFFqJCrTqHRsK3CbArTk9ylWl3xGczHmLNSARDpiQ0MfYZ56FqjFVh&#13;&#10;5nqDhH06b1Wk09dce3UkcdvxuRBrblWL5NCo3lw3pvo6DFZC9x78XSnix7iv7+PTIx/ebpIHKc/P&#13;&#10;pv2WxtUWWDRT/PuA3w6UHwoKVroBdWCdhGW6WBJVwupSLIARY5XMN8BKWjbpGniR8/9Fih8AAAD/&#13;&#10;/wMAUEsBAi0AFAAGAAgAAAAhALaDOJL+AAAA4QEAABMAAAAAAAAAAAAAAAAAAAAAAFtDb250ZW50&#13;&#10;X1R5cGVzXS54bWxQSwECLQAUAAYACAAAACEAOP0h/9YAAACUAQAACwAAAAAAAAAAAAAAAAAvAQAA&#13;&#10;X3JlbHMvLnJlbHNQSwECLQAUAAYACAAAACEAQVKSSSkCAABNBAAADgAAAAAAAAAAAAAAAAAuAgAA&#13;&#10;ZHJzL2Uyb0RvYy54bWxQSwECLQAUAAYACAAAACEAfmb5zeQAAAAQAQAADwAAAAAAAAAAAAAAAACD&#13;&#10;BAAAZHJzL2Rvd25yZXYueG1sUEsFBgAAAAAEAAQA8wAAAJQFAAAAAA==&#13;&#10;" filled="f" stroked="f" strokeweight=".5pt">
                <v:textbox inset="0,0,0,0">
                  <w:txbxContent>
                    <w:p w14:paraId="480C71C6" w14:textId="77777777" w:rsidR="00F61130" w:rsidRPr="006508D1" w:rsidRDefault="00F61130" w:rsidP="00AC3EF2">
                      <w:r>
                        <w:t>B</w:t>
                      </w:r>
                    </w:p>
                  </w:txbxContent>
                </v:textbox>
                <w10:wrap type="topAndBottom"/>
              </v:shape>
            </w:pict>
          </mc:Fallback>
        </mc:AlternateContent>
      </w:r>
      <w:r w:rsidR="00F57F02">
        <w:rPr>
          <w:noProof/>
        </w:rPr>
        <mc:AlternateContent>
          <mc:Choice Requires="wps">
            <w:drawing>
              <wp:anchor distT="0" distB="0" distL="114300" distR="114300" simplePos="0" relativeHeight="251665408" behindDoc="0" locked="0" layoutInCell="1" allowOverlap="1" wp14:anchorId="703D34BC" wp14:editId="6D1D1695">
                <wp:simplePos x="0" y="0"/>
                <wp:positionH relativeFrom="column">
                  <wp:posOffset>351692</wp:posOffset>
                </wp:positionH>
                <wp:positionV relativeFrom="paragraph">
                  <wp:posOffset>5513656</wp:posOffset>
                </wp:positionV>
                <wp:extent cx="187325" cy="180000"/>
                <wp:effectExtent l="0" t="0" r="3175" b="0"/>
                <wp:wrapTopAndBottom/>
                <wp:docPr id="238" name="Text Box 238"/>
                <wp:cNvGraphicFramePr/>
                <a:graphic xmlns:a="http://schemas.openxmlformats.org/drawingml/2006/main">
                  <a:graphicData uri="http://schemas.microsoft.com/office/word/2010/wordprocessingShape">
                    <wps:wsp>
                      <wps:cNvSpPr txBox="1"/>
                      <wps:spPr>
                        <a:xfrm>
                          <a:off x="0" y="0"/>
                          <a:ext cx="187325" cy="180000"/>
                        </a:xfrm>
                        <a:prstGeom prst="rect">
                          <a:avLst/>
                        </a:prstGeom>
                        <a:noFill/>
                        <a:ln w="6350">
                          <a:noFill/>
                        </a:ln>
                      </wps:spPr>
                      <wps:txbx>
                        <w:txbxContent>
                          <w:p w14:paraId="57647A11" w14:textId="77777777" w:rsidR="00F61130" w:rsidRPr="006508D1" w:rsidRDefault="00F61130" w:rsidP="00AC3EF2">
                            <w:r>
                              <w:t>CA</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703D34BC" id="Text Box 238" o:spid="_x0000_s1212" type="#_x0000_t202" style="position:absolute;margin-left:27.7pt;margin-top:434.15pt;width:14.75pt;height:14.15pt;z-index:2516654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3tHtjJwIAAE0EAAAOAAAAZHJzL2Uyb0RvYy54bWysVF9v2jAQf5+072D5fSQBlaGIULFWTJNQ&#13;&#10;WwmmPhvHJpFsn2cbEvbpd3YInbo9TePBHL7znX9/zPK+14qchfMtmIoWk5wSYTjUrTlW9Pt+82lB&#13;&#10;iQ/M1EyBERW9CE/vVx8/LDtbiik0oGrhCDYxvuxsRZsQbJllnjdCMz8BKwwmJTjNAv50x6x2rMPu&#13;&#10;WmXTPJ9nHbjaOuDCe9x9HJJ0lfpLKXh4ltKLQFRF8W4hrS6th7hmqyUrj47ZpuXXa7B/uIVmrcGh&#13;&#10;t1aPLDBycu0frXTLHXiQYcJBZyBly0XCgGiK/B2aXcOsSFiQHG9vNPn/15Y/nV8caeuKTmcolWEa&#13;&#10;RdqLPpAv0JO4hwx11pdYuLNYGnpMoNLjvsfNCLyXTsdvhEQwj1xfbvzGdjweWnyeTe8o4ZgqFjl+&#13;&#10;Ypfs7bB1PnwVoEkMKupQvsQqO299GErHkjjLwKZVKkmoDOkqOp/d5enALYPNlcEZEcJw1RiF/tAn&#13;&#10;0MViPgI5QH1BfA4Gj3jLNy3eYst8eGEOTYGQ0OjhGRepAKfBNaKkAffzb/uxHrXCLCUdmqyi/seJ&#13;&#10;OUGJ+mZQxejIMXBjcBgDc9IPgL4t8AlZnkI84IIaQ+lAv6L/13EKppjhOKuiYQwfwmB1fD9crNep&#13;&#10;CH1nWdianeWxdeQxcrrvX5mzV+IDKvYEo/1Y+Y7/oXZQYH0KINskTmR2YPFKOHo2yXt9X/FR/P47&#13;&#10;Vb39C6x+AQAA//8DAFBLAwQUAAYACAAAACEA2lPzOeIAAAAOAQAADwAAAGRycy9kb3ducmV2Lnht&#13;&#10;bExPy07DMBC8I/EP1iJxo06hjdI0ToUo3KDQFiS4OfGSRPgR2U4a/p7lBJddrWZ2HsVmMpqN6EPn&#13;&#10;rID5LAGGtnaqs42A1+PDVQYsRGmV1M6igG8MsCnPzwqZK3eyexwPsWEkYkMuBbQx9jnnoW7RyDBz&#13;&#10;PVrCPp03MtLpG668PJG40fw6SVJuZGfJoZU93rVYfx0GI0C/B/9YJfFj3DZP8eWZD2/3850QlxfT&#13;&#10;dk3jdg0s4hT/PuC3A+WHkoJVbrAqMC1guVwQU0CWZjfAiJAtVsAq2qs0BV4W/H+N8gcAAP//AwBQ&#13;&#10;SwECLQAUAAYACAAAACEAtoM4kv4AAADhAQAAEwAAAAAAAAAAAAAAAAAAAAAAW0NvbnRlbnRfVHlw&#13;&#10;ZXNdLnhtbFBLAQItABQABgAIAAAAIQA4/SH/1gAAAJQBAAALAAAAAAAAAAAAAAAAAC8BAABfcmVs&#13;&#10;cy8ucmVsc1BLAQItABQABgAIAAAAIQC3tHtjJwIAAE0EAAAOAAAAAAAAAAAAAAAAAC4CAABkcnMv&#13;&#10;ZTJvRG9jLnhtbFBLAQItABQABgAIAAAAIQDaU/M54gAAAA4BAAAPAAAAAAAAAAAAAAAAAIEEAABk&#13;&#10;cnMvZG93bnJldi54bWxQSwUGAAAAAAQABADzAAAAkAUAAAAA&#13;&#10;" filled="f" stroked="f" strokeweight=".5pt">
                <v:textbox inset="0,0,0,0">
                  <w:txbxContent>
                    <w:p w14:paraId="57647A11" w14:textId="77777777" w:rsidR="00F61130" w:rsidRPr="006508D1" w:rsidRDefault="00F61130" w:rsidP="00AC3EF2">
                      <w:r>
                        <w:t>CA</w:t>
                      </w:r>
                    </w:p>
                  </w:txbxContent>
                </v:textbox>
                <w10:wrap type="topAndBottom"/>
              </v:shape>
            </w:pict>
          </mc:Fallback>
        </mc:AlternateContent>
      </w:r>
      <w:r w:rsidR="00F57F02">
        <w:rPr>
          <w:noProof/>
        </w:rPr>
        <mc:AlternateContent>
          <mc:Choice Requires="wps">
            <w:drawing>
              <wp:anchor distT="0" distB="0" distL="114300" distR="114300" simplePos="0" relativeHeight="251666432" behindDoc="0" locked="0" layoutInCell="1" allowOverlap="1" wp14:anchorId="3072883D" wp14:editId="0FF83FD4">
                <wp:simplePos x="0" y="0"/>
                <wp:positionH relativeFrom="column">
                  <wp:posOffset>3069492</wp:posOffset>
                </wp:positionH>
                <wp:positionV relativeFrom="paragraph">
                  <wp:posOffset>5500956</wp:posOffset>
                </wp:positionV>
                <wp:extent cx="187325" cy="180000"/>
                <wp:effectExtent l="0" t="0" r="3175" b="0"/>
                <wp:wrapTopAndBottom/>
                <wp:docPr id="239" name="Text Box 239"/>
                <wp:cNvGraphicFramePr/>
                <a:graphic xmlns:a="http://schemas.openxmlformats.org/drawingml/2006/main">
                  <a:graphicData uri="http://schemas.microsoft.com/office/word/2010/wordprocessingShape">
                    <wps:wsp>
                      <wps:cNvSpPr txBox="1"/>
                      <wps:spPr>
                        <a:xfrm>
                          <a:off x="0" y="0"/>
                          <a:ext cx="187325" cy="180000"/>
                        </a:xfrm>
                        <a:prstGeom prst="rect">
                          <a:avLst/>
                        </a:prstGeom>
                        <a:noFill/>
                        <a:ln w="6350">
                          <a:noFill/>
                        </a:ln>
                      </wps:spPr>
                      <wps:txbx>
                        <w:txbxContent>
                          <w:p w14:paraId="0E45DA85" w14:textId="77777777" w:rsidR="00F61130" w:rsidRPr="006508D1" w:rsidRDefault="00F61130" w:rsidP="00AC3EF2">
                            <w:r>
                              <w:t>D</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3072883D" id="Text Box 239" o:spid="_x0000_s1213" type="#_x0000_t202" style="position:absolute;margin-left:241.7pt;margin-top:433.15pt;width:14.75pt;height:14.15pt;z-index:2516664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A7oW1KAIAAE0EAAAOAAAAZHJzL2Uyb0RvYy54bWysVMFu2zAMvQ/YPwi6L3YStEuNOEXWIsOA&#13;&#10;oC2QDD0rshQbkERNUmJnXz9KttOh22mYDzItUiTf45OX951W5Cycb8CUdDrJKRGGQ9WYY0m/7zef&#13;&#10;FpT4wEzFFBhR0ovw9H718cOytYWYQQ2qEo5gEuOL1pa0DsEWWeZ5LTTzE7DCoFOC0yzgpztmlWMt&#13;&#10;Ztcqm+X5bdaCq6wDLrzH3cfeSVcpv5SCh2cpvQhElRR7C2l1aT3ENVstWXF0zNYNH9pg/9CFZo3B&#13;&#10;otdUjywwcnLNH6l0wx14kGHCQWcgZcNFwoBopvk7NLuaWZGwIDneXmny/y8tfzq/ONJUJZ3N7ygx&#13;&#10;TOOQ9qIL5At0JO4hQ631BQbuLIaGDh046XHf42YE3kmn4xshEfQj15crvzEdj4cWn+ezG0o4uqaL&#13;&#10;HJ+YJXs7bJ0PXwVoEo2SOhxfYpWdtz70oWNIrGVg0yiVRqgMaUt6O7/J04GrB5MrgzUihL7VaIXu&#13;&#10;0CXQ2NEI5ADVBfE56DXiLd802MWW+fDCHIoCIaHQwzMuUgFWg8GipAb382/7MR5nhV5KWhRZSf2P&#13;&#10;E3OCEvXN4BSjIkfDjcZhNMxJPwDqdopXyPJk4gEX1GhKB/oV9b+OVdDFDMdaJQ2j+RB6qeP94WK9&#13;&#10;TkGoO8vC1uwsj6kjj5HTfffKnB2IDzixJxjlx4p3/Pex/QTWpwCyScOJzPYsDoSjZtN4h/sVL8Xv&#13;&#10;3ynq7S+w+gUAAP//AwBQSwMEFAAGAAgAAAAhAFXR6jzkAAAAEAEAAA8AAABkcnMvZG93bnJldi54&#13;&#10;bWxMT8tOwzAQvCPxD9YicaNO2hClaZwKUbjxbIsENyc2SUS8jmwnDX/PcoLLSrszO49iO5ueTdr5&#13;&#10;zqKAeBEB01hb1WEj4Hi4v8qA+SBRyd6iFvCtPWzL87NC5sqe8FVP+9AwEkGfSwFtCEPOua9bbaRf&#13;&#10;2EEjYZ/WGRlodQ1XTp5I3PR8GUUpN7JDcmjloG9bXX/tRyOgf/fuoYrCx7RrHsPLMx/f7uInIS4v&#13;&#10;5t2Gxs0GWNBz+PuA3w6UH0oKVtkRlWe9gCRbJUQVkKXpChgxruPlGlhFl3WSAi8L/r9I+QMAAP//&#13;&#10;AwBQSwECLQAUAAYACAAAACEAtoM4kv4AAADhAQAAEwAAAAAAAAAAAAAAAAAAAAAAW0NvbnRlbnRf&#13;&#10;VHlwZXNdLnhtbFBLAQItABQABgAIAAAAIQA4/SH/1gAAAJQBAAALAAAAAAAAAAAAAAAAAC8BAABf&#13;&#10;cmVscy8ucmVsc1BLAQItABQABgAIAAAAIQCA7oW1KAIAAE0EAAAOAAAAAAAAAAAAAAAAAC4CAABk&#13;&#10;cnMvZTJvRG9jLnhtbFBLAQItABQABgAIAAAAIQBV0eo85AAAABABAAAPAAAAAAAAAAAAAAAAAIIE&#13;&#10;AABkcnMvZG93bnJldi54bWxQSwUGAAAAAAQABADzAAAAkwUAAAAA&#13;&#10;" filled="f" stroked="f" strokeweight=".5pt">
                <v:textbox inset="0,0,0,0">
                  <w:txbxContent>
                    <w:p w14:paraId="0E45DA85" w14:textId="77777777" w:rsidR="00F61130" w:rsidRPr="006508D1" w:rsidRDefault="00F61130" w:rsidP="00AC3EF2">
                      <w:r>
                        <w:t>D</w:t>
                      </w:r>
                    </w:p>
                  </w:txbxContent>
                </v:textbox>
                <w10:wrap type="topAndBottom"/>
              </v:shape>
            </w:pict>
          </mc:Fallback>
        </mc:AlternateContent>
      </w:r>
      <w:r w:rsidR="00F57F02">
        <w:rPr>
          <w:noProof/>
        </w:rPr>
        <mc:AlternateContent>
          <mc:Choice Requires="wps">
            <w:drawing>
              <wp:anchor distT="0" distB="0" distL="114300" distR="114300" simplePos="0" relativeHeight="251667456" behindDoc="0" locked="0" layoutInCell="1" allowOverlap="1" wp14:anchorId="4A6DEB7C" wp14:editId="41B5587F">
                <wp:simplePos x="0" y="0"/>
                <wp:positionH relativeFrom="column">
                  <wp:posOffset>-4445</wp:posOffset>
                </wp:positionH>
                <wp:positionV relativeFrom="paragraph">
                  <wp:posOffset>7341333</wp:posOffset>
                </wp:positionV>
                <wp:extent cx="5575935" cy="1455420"/>
                <wp:effectExtent l="0" t="0" r="0" b="5080"/>
                <wp:wrapTopAndBottom/>
                <wp:docPr id="242" name="Text Box 242"/>
                <wp:cNvGraphicFramePr/>
                <a:graphic xmlns:a="http://schemas.openxmlformats.org/drawingml/2006/main">
                  <a:graphicData uri="http://schemas.microsoft.com/office/word/2010/wordprocessingShape">
                    <wps:wsp>
                      <wps:cNvSpPr txBox="1"/>
                      <wps:spPr>
                        <a:xfrm>
                          <a:off x="0" y="0"/>
                          <a:ext cx="5575935" cy="1455420"/>
                        </a:xfrm>
                        <a:prstGeom prst="rect">
                          <a:avLst/>
                        </a:prstGeom>
                        <a:solidFill>
                          <a:prstClr val="white"/>
                        </a:solidFill>
                        <a:ln>
                          <a:noFill/>
                        </a:ln>
                      </wps:spPr>
                      <wps:txbx>
                        <w:txbxContent>
                          <w:p w14:paraId="1BBC5DE9" w14:textId="508C1E19" w:rsidR="00F61130" w:rsidRPr="00AC3EF2" w:rsidRDefault="00F61130" w:rsidP="00AC3EF2">
                            <w:pPr>
                              <w:pStyle w:val="Caption"/>
                              <w:spacing w:line="360" w:lineRule="auto"/>
                              <w:jc w:val="both"/>
                              <w:rPr>
                                <w:noProof/>
                                <w:sz w:val="20"/>
                                <w:szCs w:val="20"/>
                              </w:rPr>
                            </w:pPr>
                            <w:bookmarkStart w:id="711" w:name="_Ref519016743"/>
                            <w:bookmarkStart w:id="712" w:name="_Toc525227256"/>
                            <w:bookmarkStart w:id="713" w:name="_Toc536814197"/>
                            <w:r w:rsidRPr="00AC3EF2">
                              <w:rPr>
                                <w:b/>
                                <w:sz w:val="20"/>
                                <w:szCs w:val="20"/>
                              </w:rPr>
                              <w:t xml:space="preserve">Figure </w:t>
                            </w:r>
                            <w:r>
                              <w:rPr>
                                <w:b/>
                                <w:sz w:val="20"/>
                                <w:szCs w:val="20"/>
                              </w:rPr>
                              <w:fldChar w:fldCharType="begin"/>
                            </w:r>
                            <w:r>
                              <w:rPr>
                                <w:b/>
                                <w:sz w:val="20"/>
                                <w:szCs w:val="20"/>
                              </w:rPr>
                              <w:instrText xml:space="preserve"> STYLEREF 1 \s </w:instrText>
                            </w:r>
                            <w:r>
                              <w:rPr>
                                <w:b/>
                                <w:sz w:val="20"/>
                                <w:szCs w:val="20"/>
                              </w:rPr>
                              <w:fldChar w:fldCharType="separate"/>
                            </w:r>
                            <w:r>
                              <w:rPr>
                                <w:b/>
                                <w:noProof/>
                                <w:sz w:val="20"/>
                                <w:szCs w:val="20"/>
                              </w:rPr>
                              <w:t>7</w:t>
                            </w:r>
                            <w:r>
                              <w:rPr>
                                <w:b/>
                                <w:sz w:val="20"/>
                                <w:szCs w:val="20"/>
                              </w:rPr>
                              <w:fldChar w:fldCharType="end"/>
                            </w:r>
                            <w:r>
                              <w:rPr>
                                <w:b/>
                                <w:sz w:val="20"/>
                                <w:szCs w:val="20"/>
                              </w:rPr>
                              <w:t>.</w:t>
                            </w:r>
                            <w:r>
                              <w:rPr>
                                <w:b/>
                                <w:sz w:val="20"/>
                                <w:szCs w:val="20"/>
                              </w:rPr>
                              <w:fldChar w:fldCharType="begin"/>
                            </w:r>
                            <w:r>
                              <w:rPr>
                                <w:b/>
                                <w:sz w:val="20"/>
                                <w:szCs w:val="20"/>
                              </w:rPr>
                              <w:instrText xml:space="preserve"> SEQ Figure \* ARABIC \s 1 </w:instrText>
                            </w:r>
                            <w:r>
                              <w:rPr>
                                <w:b/>
                                <w:sz w:val="20"/>
                                <w:szCs w:val="20"/>
                              </w:rPr>
                              <w:fldChar w:fldCharType="separate"/>
                            </w:r>
                            <w:r>
                              <w:rPr>
                                <w:b/>
                                <w:noProof/>
                                <w:sz w:val="20"/>
                                <w:szCs w:val="20"/>
                              </w:rPr>
                              <w:t>5</w:t>
                            </w:r>
                            <w:r>
                              <w:rPr>
                                <w:b/>
                                <w:sz w:val="20"/>
                                <w:szCs w:val="20"/>
                              </w:rPr>
                              <w:fldChar w:fldCharType="end"/>
                            </w:r>
                            <w:bookmarkEnd w:id="711"/>
                            <w:r w:rsidRPr="00AC3EF2">
                              <w:rPr>
                                <w:b/>
                                <w:sz w:val="20"/>
                                <w:szCs w:val="20"/>
                              </w:rPr>
                              <w:t xml:space="preserve"> - Hepatic leukocyte expansion is most prominent in late stage </w:t>
                            </w:r>
                            <w:r w:rsidRPr="00AC3EF2">
                              <w:rPr>
                                <w:b/>
                                <w:i/>
                                <w:sz w:val="20"/>
                                <w:szCs w:val="20"/>
                              </w:rPr>
                              <w:t>L. donovani</w:t>
                            </w:r>
                            <w:r w:rsidRPr="00AC3EF2">
                              <w:rPr>
                                <w:b/>
                                <w:sz w:val="20"/>
                                <w:szCs w:val="20"/>
                              </w:rPr>
                              <w:t xml:space="preserve"> infection.</w:t>
                            </w:r>
                            <w:r w:rsidRPr="00AC3EF2">
                              <w:rPr>
                                <w:sz w:val="20"/>
                                <w:szCs w:val="20"/>
                              </w:rPr>
                              <w:t xml:space="preserve"> Comparison of </w:t>
                            </w:r>
                            <w:r w:rsidRPr="00AC3EF2">
                              <w:rPr>
                                <w:i/>
                                <w:sz w:val="20"/>
                                <w:szCs w:val="20"/>
                              </w:rPr>
                              <w:t>L. donovani</w:t>
                            </w:r>
                            <w:r w:rsidRPr="00AC3EF2">
                              <w:rPr>
                                <w:sz w:val="20"/>
                                <w:szCs w:val="20"/>
                              </w:rPr>
                              <w:t xml:space="preserve"> infected and age-matched naïve hepatocellularity, with regards to leukocytes. Absolute hepatic leukocyte abundance (A, B) and normalised hepatic leukocyte abundance (C, D) was compared at 13 days post-infection (A, C) and at 42 days post-infection (B, D). </w:t>
                            </w:r>
                            <w:r w:rsidRPr="00AC3EF2">
                              <w:rPr>
                                <w:rFonts w:eastAsia="Heiti TC Light"/>
                                <w:sz w:val="20"/>
                                <w:szCs w:val="20"/>
                              </w:rPr>
                              <w:t xml:space="preserve">● represent individual biological data points (n = 4-5) and error ranges are represented as the mean </w:t>
                            </w:r>
                            <w:r w:rsidRPr="00AC3EF2">
                              <w:rPr>
                                <w:sz w:val="20"/>
                                <w:szCs w:val="20"/>
                              </w:rPr>
                              <w:sym w:font="Symbol" w:char="F0B1"/>
                            </w:r>
                            <w:r w:rsidRPr="00AC3EF2">
                              <w:rPr>
                                <w:sz w:val="20"/>
                                <w:szCs w:val="20"/>
                              </w:rPr>
                              <w:t xml:space="preserve"> SD. Data </w:t>
                            </w:r>
                            <w:r>
                              <w:rPr>
                                <w:sz w:val="20"/>
                                <w:szCs w:val="20"/>
                              </w:rPr>
                              <w:t>are</w:t>
                            </w:r>
                            <w:r w:rsidRPr="00AC3EF2">
                              <w:rPr>
                                <w:sz w:val="20"/>
                                <w:szCs w:val="20"/>
                              </w:rPr>
                              <w:t xml:space="preserve"> representative of 1 infection experiment and was analysed using a Mann Whitney test. (* denotes a p value of less than 0.05)</w:t>
                            </w:r>
                            <w:bookmarkEnd w:id="712"/>
                            <w:bookmarkEnd w:id="713"/>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A6DEB7C" id="Text Box 242" o:spid="_x0000_s1214" type="#_x0000_t202" style="position:absolute;margin-left:-.35pt;margin-top:578.05pt;width:439.05pt;height:114.6pt;z-index:2516674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s/1YiOAIAAG4EAAAOAAAAZHJzL2Uyb0RvYy54bWysVMGO2jAQvVfqP1i+lwAlLY0IK8qKqhLa&#13;&#10;XQmqPRvHIZZsj2sbEvr1HTuEbbc9Vb0445nx2O+9mSzuOq3IWTgvwZR0MhpTIgyHSppjSb/tN+/m&#13;&#10;lPjATMUUGFHSi/D0bvn2zaK1hZhCA6oSjmAR44vWlrQJwRZZ5nkjNPMjsMJgsAanWcCtO2aVYy1W&#13;&#10;1yqbjscfshZcZR1w4T167/sgXab6dS14eKxrLwJRJcW3hbS6tB7imi0XrDg6ZhvJr89g//AKzaTB&#13;&#10;S2+l7llg5OTkH6W05A481GHEQWdQ15KLhAHRTMav0OwaZkXCguR4e6PJ/7+y/OH85IisSjqdTSkx&#13;&#10;TKNIe9EF8hk6En3IUGt9gYk7i6mhwwAqPfg9OiPwrnY6fhESwThyfbnxG8txdOb5x/zT+5wSjrHJ&#13;&#10;LM9n06RA9nLcOh++CNAkGiV1KGDilZ23PuBTMHVIibd5ULLaSKXiJgbWypEzQ7HbRgYRH4knfstS&#13;&#10;JuYaiKf6cPRkEWOPJVqhO3SJlcl8PiA9QHVBAhz0TeQt30i8cct8eGIOuwYx4ySER1xqBW1J4WpR&#13;&#10;0oD78Td/zEcxMUpJi11YUv/9xJygRH01KHNs2cFwg3EYDHPSa0CsE5wxy5OJB1xQg1k70M84IKt4&#13;&#10;C4aY4XhXScNgrkM/CzhgXKxWKQkb07KwNTvLY+mB2X33zJy96hJQ0gcY+pMVr+Tpc5NAdnUKyHXS&#13;&#10;LjLbs3glHJs6CXQdwDg1v+5T1stvYvkTAAD//wMAUEsDBBQABgAIAAAAIQBl6F8y5gAAABABAAAP&#13;&#10;AAAAZHJzL2Rvd25yZXYueG1sTE89T8MwEN2R+A/WIbGg1glJkyiNU1UFBrpUhC5sbuzGgdiObKcN&#13;&#10;/55jguWke/fufVSbWQ/kIp3vrWEQLyMg0rRW9KZjcHx/WRRAfOBG8MEayeBbetjUtzcVL4W9mjd5&#13;&#10;aUJHUMT4kjNQIYwlpb5VUnO/tKM0eDtbp3nA1XVUOH5FcT3QxyjKqOa9QQfFR7lTsv1qJs3gkH4c&#13;&#10;1MN0ft5v08S9Hqdd9tk1jN3fzU9rHNs1kCDn8PcBvx0wP9QY7GQnIzwZGCxyJCIcr7IYCBKKPE+B&#13;&#10;nBBKilUCtK7o/yL1DwAAAP//AwBQSwECLQAUAAYACAAAACEAtoM4kv4AAADhAQAAEwAAAAAAAAAA&#13;&#10;AAAAAAAAAAAAW0NvbnRlbnRfVHlwZXNdLnhtbFBLAQItABQABgAIAAAAIQA4/SH/1gAAAJQBAAAL&#13;&#10;AAAAAAAAAAAAAAAAAC8BAABfcmVscy8ucmVsc1BLAQItABQABgAIAAAAIQBs/1YiOAIAAG4EAAAO&#13;&#10;AAAAAAAAAAAAAAAAAC4CAABkcnMvZTJvRG9jLnhtbFBLAQItABQABgAIAAAAIQBl6F8y5gAAABAB&#13;&#10;AAAPAAAAAAAAAAAAAAAAAJIEAABkcnMvZG93bnJldi54bWxQSwUGAAAAAAQABADzAAAApQUAAAAA&#13;&#10;" stroked="f">
                <v:textbox style="mso-fit-shape-to-text:t" inset="0,0,0,0">
                  <w:txbxContent>
                    <w:p w14:paraId="1BBC5DE9" w14:textId="508C1E19" w:rsidR="00F61130" w:rsidRPr="00AC3EF2" w:rsidRDefault="00F61130" w:rsidP="00AC3EF2">
                      <w:pPr>
                        <w:pStyle w:val="Caption"/>
                        <w:spacing w:line="360" w:lineRule="auto"/>
                        <w:jc w:val="both"/>
                        <w:rPr>
                          <w:noProof/>
                          <w:sz w:val="20"/>
                          <w:szCs w:val="20"/>
                        </w:rPr>
                      </w:pPr>
                      <w:bookmarkStart w:id="714" w:name="_Ref519016743"/>
                      <w:bookmarkStart w:id="715" w:name="_Toc525227256"/>
                      <w:bookmarkStart w:id="716" w:name="_Toc536814197"/>
                      <w:r w:rsidRPr="00AC3EF2">
                        <w:rPr>
                          <w:b/>
                          <w:sz w:val="20"/>
                          <w:szCs w:val="20"/>
                        </w:rPr>
                        <w:t xml:space="preserve">Figure </w:t>
                      </w:r>
                      <w:r>
                        <w:rPr>
                          <w:b/>
                          <w:sz w:val="20"/>
                          <w:szCs w:val="20"/>
                        </w:rPr>
                        <w:fldChar w:fldCharType="begin"/>
                      </w:r>
                      <w:r>
                        <w:rPr>
                          <w:b/>
                          <w:sz w:val="20"/>
                          <w:szCs w:val="20"/>
                        </w:rPr>
                        <w:instrText xml:space="preserve"> STYLEREF 1 \s </w:instrText>
                      </w:r>
                      <w:r>
                        <w:rPr>
                          <w:b/>
                          <w:sz w:val="20"/>
                          <w:szCs w:val="20"/>
                        </w:rPr>
                        <w:fldChar w:fldCharType="separate"/>
                      </w:r>
                      <w:r>
                        <w:rPr>
                          <w:b/>
                          <w:noProof/>
                          <w:sz w:val="20"/>
                          <w:szCs w:val="20"/>
                        </w:rPr>
                        <w:t>7</w:t>
                      </w:r>
                      <w:r>
                        <w:rPr>
                          <w:b/>
                          <w:sz w:val="20"/>
                          <w:szCs w:val="20"/>
                        </w:rPr>
                        <w:fldChar w:fldCharType="end"/>
                      </w:r>
                      <w:r>
                        <w:rPr>
                          <w:b/>
                          <w:sz w:val="20"/>
                          <w:szCs w:val="20"/>
                        </w:rPr>
                        <w:t>.</w:t>
                      </w:r>
                      <w:r>
                        <w:rPr>
                          <w:b/>
                          <w:sz w:val="20"/>
                          <w:szCs w:val="20"/>
                        </w:rPr>
                        <w:fldChar w:fldCharType="begin"/>
                      </w:r>
                      <w:r>
                        <w:rPr>
                          <w:b/>
                          <w:sz w:val="20"/>
                          <w:szCs w:val="20"/>
                        </w:rPr>
                        <w:instrText xml:space="preserve"> SEQ Figure \* ARABIC \s 1 </w:instrText>
                      </w:r>
                      <w:r>
                        <w:rPr>
                          <w:b/>
                          <w:sz w:val="20"/>
                          <w:szCs w:val="20"/>
                        </w:rPr>
                        <w:fldChar w:fldCharType="separate"/>
                      </w:r>
                      <w:r>
                        <w:rPr>
                          <w:b/>
                          <w:noProof/>
                          <w:sz w:val="20"/>
                          <w:szCs w:val="20"/>
                        </w:rPr>
                        <w:t>5</w:t>
                      </w:r>
                      <w:r>
                        <w:rPr>
                          <w:b/>
                          <w:sz w:val="20"/>
                          <w:szCs w:val="20"/>
                        </w:rPr>
                        <w:fldChar w:fldCharType="end"/>
                      </w:r>
                      <w:bookmarkEnd w:id="714"/>
                      <w:r w:rsidRPr="00AC3EF2">
                        <w:rPr>
                          <w:b/>
                          <w:sz w:val="20"/>
                          <w:szCs w:val="20"/>
                        </w:rPr>
                        <w:t xml:space="preserve"> - Hepatic leukocyte expansion is most prominent in late stage </w:t>
                      </w:r>
                      <w:r w:rsidRPr="00AC3EF2">
                        <w:rPr>
                          <w:b/>
                          <w:i/>
                          <w:sz w:val="20"/>
                          <w:szCs w:val="20"/>
                        </w:rPr>
                        <w:t>L. donovani</w:t>
                      </w:r>
                      <w:r w:rsidRPr="00AC3EF2">
                        <w:rPr>
                          <w:b/>
                          <w:sz w:val="20"/>
                          <w:szCs w:val="20"/>
                        </w:rPr>
                        <w:t xml:space="preserve"> infection.</w:t>
                      </w:r>
                      <w:r w:rsidRPr="00AC3EF2">
                        <w:rPr>
                          <w:sz w:val="20"/>
                          <w:szCs w:val="20"/>
                        </w:rPr>
                        <w:t xml:space="preserve"> Comparison of </w:t>
                      </w:r>
                      <w:r w:rsidRPr="00AC3EF2">
                        <w:rPr>
                          <w:i/>
                          <w:sz w:val="20"/>
                          <w:szCs w:val="20"/>
                        </w:rPr>
                        <w:t>L. donovani</w:t>
                      </w:r>
                      <w:r w:rsidRPr="00AC3EF2">
                        <w:rPr>
                          <w:sz w:val="20"/>
                          <w:szCs w:val="20"/>
                        </w:rPr>
                        <w:t xml:space="preserve"> infected and age-matched naïve hepatocellularity, with regards to leukocytes. Absolute hepatic leukocyte abundance (A, B) and normalised hepatic leukocyte abundance (C, D) was compared at 13 days post-infection (A, C) and at 42 days post-infection (B, D). </w:t>
                      </w:r>
                      <w:r w:rsidRPr="00AC3EF2">
                        <w:rPr>
                          <w:rFonts w:eastAsia="Heiti TC Light"/>
                          <w:sz w:val="20"/>
                          <w:szCs w:val="20"/>
                        </w:rPr>
                        <w:t xml:space="preserve">● represent individual biological data points (n = 4-5) and error ranges are represented as the mean </w:t>
                      </w:r>
                      <w:r w:rsidRPr="00AC3EF2">
                        <w:rPr>
                          <w:sz w:val="20"/>
                          <w:szCs w:val="20"/>
                        </w:rPr>
                        <w:sym w:font="Symbol" w:char="F0B1"/>
                      </w:r>
                      <w:r w:rsidRPr="00AC3EF2">
                        <w:rPr>
                          <w:sz w:val="20"/>
                          <w:szCs w:val="20"/>
                        </w:rPr>
                        <w:t xml:space="preserve"> SD. Data </w:t>
                      </w:r>
                      <w:r>
                        <w:rPr>
                          <w:sz w:val="20"/>
                          <w:szCs w:val="20"/>
                        </w:rPr>
                        <w:t>are</w:t>
                      </w:r>
                      <w:r w:rsidRPr="00AC3EF2">
                        <w:rPr>
                          <w:sz w:val="20"/>
                          <w:szCs w:val="20"/>
                        </w:rPr>
                        <w:t xml:space="preserve"> representative of 1 infection experiment and was analysed using a Mann Whitney test. (* denotes a p value of less than 0.05)</w:t>
                      </w:r>
                      <w:bookmarkEnd w:id="715"/>
                      <w:bookmarkEnd w:id="716"/>
                    </w:p>
                  </w:txbxContent>
                </v:textbox>
                <w10:wrap type="topAndBottom"/>
              </v:shape>
            </w:pict>
          </mc:Fallback>
        </mc:AlternateContent>
      </w:r>
    </w:p>
    <w:p w14:paraId="24D0C600" w14:textId="4B46EB74" w:rsidR="00AC3EF2" w:rsidRPr="008B3AD6" w:rsidRDefault="00AC3EF2" w:rsidP="00AC3EF2">
      <w:pPr>
        <w:tabs>
          <w:tab w:val="left" w:pos="1400"/>
        </w:tabs>
        <w:spacing w:line="240" w:lineRule="auto"/>
      </w:pPr>
      <w:r w:rsidRPr="008B3AD6">
        <w:tab/>
      </w:r>
    </w:p>
    <w:p w14:paraId="1883D32C" w14:textId="1DA86F23" w:rsidR="00AC3EF2" w:rsidRPr="008B3AD6" w:rsidRDefault="00AC3EF2">
      <w:pPr>
        <w:spacing w:line="240" w:lineRule="auto"/>
      </w:pPr>
    </w:p>
    <w:p w14:paraId="72CDF6DE" w14:textId="08DBB90D" w:rsidR="00AC3EF2" w:rsidRPr="008B3AD6" w:rsidRDefault="00AC3EF2" w:rsidP="00AC3EF2"/>
    <w:p w14:paraId="1420A5B0" w14:textId="3F30EC90" w:rsidR="00AC3EF2" w:rsidRPr="008B3AD6" w:rsidRDefault="00AC3EF2" w:rsidP="00AC3EF2"/>
    <w:p w14:paraId="49F76CA2" w14:textId="77777777" w:rsidR="00AC3EF2" w:rsidRPr="008B3AD6" w:rsidRDefault="00AC3EF2" w:rsidP="00AC3EF2"/>
    <w:p w14:paraId="4D01DCDC" w14:textId="23356275" w:rsidR="00AC3EF2" w:rsidRPr="008B3AD6" w:rsidRDefault="00AC3EF2" w:rsidP="00AC3EF2"/>
    <w:p w14:paraId="422C8E36" w14:textId="64DE35CD" w:rsidR="00AC3EF2" w:rsidRPr="008B3AD6" w:rsidRDefault="00F57F02" w:rsidP="00AC3EF2">
      <w:r>
        <w:rPr>
          <w:noProof/>
        </w:rPr>
        <w:drawing>
          <wp:anchor distT="0" distB="0" distL="114300" distR="114300" simplePos="0" relativeHeight="251674624" behindDoc="0" locked="0" layoutInCell="1" allowOverlap="1" wp14:anchorId="574AC1FB" wp14:editId="6510C79E">
            <wp:simplePos x="0" y="0"/>
            <wp:positionH relativeFrom="column">
              <wp:posOffset>-5275</wp:posOffset>
            </wp:positionH>
            <wp:positionV relativeFrom="paragraph">
              <wp:posOffset>431702</wp:posOffset>
            </wp:positionV>
            <wp:extent cx="5575935" cy="3506470"/>
            <wp:effectExtent l="0" t="0" r="0" b="0"/>
            <wp:wrapTopAndBottom/>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Picture 245"/>
                    <pic:cNvPicPr>
                      <a:picLocks noChangeAspect="1"/>
                    </pic:cNvPicPr>
                  </pic:nvPicPr>
                  <pic:blipFill>
                    <a:blip r:embed="rId106">
                      <a:extLst>
                        <a:ext uri="{28A0092B-C50C-407E-A947-70E740481C1C}">
                          <a14:useLocalDpi xmlns:a14="http://schemas.microsoft.com/office/drawing/2010/main" val="0"/>
                        </a:ext>
                      </a:extLst>
                    </a:blip>
                    <a:stretch>
                      <a:fillRect/>
                    </a:stretch>
                  </pic:blipFill>
                  <pic:spPr>
                    <a:xfrm>
                      <a:off x="0" y="0"/>
                      <a:ext cx="5575935" cy="3506470"/>
                    </a:xfrm>
                    <a:prstGeom prst="rect">
                      <a:avLst/>
                    </a:prstGeom>
                  </pic:spPr>
                </pic:pic>
              </a:graphicData>
            </a:graphic>
          </wp:anchor>
        </w:drawing>
      </w:r>
      <w:r>
        <w:rPr>
          <w:noProof/>
        </w:rPr>
        <mc:AlternateContent>
          <mc:Choice Requires="wps">
            <w:drawing>
              <wp:anchor distT="0" distB="0" distL="114300" distR="114300" simplePos="0" relativeHeight="251675648" behindDoc="0" locked="0" layoutInCell="1" allowOverlap="1" wp14:anchorId="21420100" wp14:editId="4FC6DD2D">
                <wp:simplePos x="0" y="0"/>
                <wp:positionH relativeFrom="column">
                  <wp:posOffset>236025</wp:posOffset>
                </wp:positionH>
                <wp:positionV relativeFrom="paragraph">
                  <wp:posOffset>558702</wp:posOffset>
                </wp:positionV>
                <wp:extent cx="187325" cy="179705"/>
                <wp:effectExtent l="0" t="0" r="3175" b="0"/>
                <wp:wrapTopAndBottom/>
                <wp:docPr id="246" name="Text Box 246"/>
                <wp:cNvGraphicFramePr/>
                <a:graphic xmlns:a="http://schemas.openxmlformats.org/drawingml/2006/main">
                  <a:graphicData uri="http://schemas.microsoft.com/office/word/2010/wordprocessingShape">
                    <wps:wsp>
                      <wps:cNvSpPr txBox="1"/>
                      <wps:spPr>
                        <a:xfrm>
                          <a:off x="0" y="0"/>
                          <a:ext cx="187325" cy="179705"/>
                        </a:xfrm>
                        <a:prstGeom prst="rect">
                          <a:avLst/>
                        </a:prstGeom>
                        <a:noFill/>
                        <a:ln w="6350">
                          <a:noFill/>
                        </a:ln>
                      </wps:spPr>
                      <wps:txbx>
                        <w:txbxContent>
                          <w:p w14:paraId="513A8B59" w14:textId="77777777" w:rsidR="00F61130" w:rsidRPr="006508D1" w:rsidRDefault="00F61130" w:rsidP="00A33FEA">
                            <w:r w:rsidRPr="006508D1">
                              <w:t>A</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21420100" id="Text Box 246" o:spid="_x0000_s1215" type="#_x0000_t202" style="position:absolute;margin-left:18.6pt;margin-top:44pt;width:14.75pt;height:14.15pt;z-index:2516756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W4/nUKgIAAE0EAAAOAAAAZHJzL2Uyb0RvYy54bWysVFFv2jAQfp+0/2D5fSTQQWlEqFgrpkmo&#13;&#10;rQRTn41jk0i2z7MNCfv1OzuETt2epr2Yy9357r7vPrO477QiJ+F8A6ak41FOiTAcqsYcSvp9t/40&#13;&#10;p8QHZiqmwIiSnoWn98uPHxatLcQEalCVcASLGF+0tqR1CLbIMs9roZkfgRUGgxKcZgE/3SGrHGux&#13;&#10;ulbZJM9nWQuusg648B69j32QLlN9KQUPz1J6EYgqKc4W0unSuY9ntlyw4uCYrRt+GYP9wxSaNQab&#13;&#10;Xks9ssDI0TV/lNINd+BBhhEHnYGUDRcJA6IZ5+/QbGtmRcKC5Hh7pcn/v7L86fTiSFOVdPJ5Rolh&#13;&#10;Gpe0E10gX6Aj0YcMtdYXmLi1mBo6DOCmB79HZwTeSafjL0IiGEeuz1d+YzkeL81vbyZTSjiGxrd3&#13;&#10;t/k0VsneLlvnw1cBmkSjpA7Xl1hlp40PfeqQEnsZWDdKpRUqQ9qSzm6mebpwjWBxZbBHhNCPGq3Q&#13;&#10;7bsEejy/G4DsoTojPge9Rrzl6wan2DAfXphDUSAkFHp4xkMqwG5wsSipwf38mz/m464wSkmLIiup&#13;&#10;/3FkTlCivhncYlTkYLjB2A+GOeoHQN2O8QlZnky84IIaTOlAv6L+V7ELhpjh2KukYTAfQi91fD9c&#13;&#10;rFYpCXVnWdiYreWxdOQxcrrrXpmzF+IDbuwJBvmx4h3/fW6/gdUxgGzSciKzPYsXwlGzab2X9xUf&#13;&#10;xe/fKevtX2D5CwAA//8DAFBLAwQUAAYACAAAACEAuvEbjuMAAAANAQAADwAAAGRycy9kb3ducmV2&#13;&#10;LnhtbEyPzU7DMBCE70i8g7VI3KiTVkqjNE6FKNz4KYVK5ebEJomw15HtpOHtWU5wWWk1s7PzldvZ&#13;&#10;GjZpH3qHAtJFAkxj41SPrYD3t4ebHFiIEpU0DrWAbx1gW11elLJQ7oyvejrEllEIhkIK6GIcCs5D&#13;&#10;02krw8INGkn7dN7KSKtvufLyTOHW8GWSZNzKHulDJwd91+nm6zBaAeYU/GOdxI9p1z7F/Qsfj/fp&#13;&#10;sxDXV/NuQ+N2AyzqOf5dwC8D9YeKitVuRBWYEbBaL8kpIM+Ji/QsWwOryZdmK+BVyf9TVD8AAAD/&#13;&#10;/wMAUEsBAi0AFAAGAAgAAAAhALaDOJL+AAAA4QEAABMAAAAAAAAAAAAAAAAAAAAAAFtDb250ZW50&#13;&#10;X1R5cGVzXS54bWxQSwECLQAUAAYACAAAACEAOP0h/9YAAACUAQAACwAAAAAAAAAAAAAAAAAvAQAA&#13;&#10;X3JlbHMvLnJlbHNQSwECLQAUAAYACAAAACEAluP51CoCAABNBAAADgAAAAAAAAAAAAAAAAAuAgAA&#13;&#10;ZHJzL2Uyb0RvYy54bWxQSwECLQAUAAYACAAAACEAuvEbjuMAAAANAQAADwAAAAAAAAAAAAAAAACE&#13;&#10;BAAAZHJzL2Rvd25yZXYueG1sUEsFBgAAAAAEAAQA8wAAAJQFAAAAAA==&#13;&#10;" filled="f" stroked="f" strokeweight=".5pt">
                <v:textbox inset="0,0,0,0">
                  <w:txbxContent>
                    <w:p w14:paraId="513A8B59" w14:textId="77777777" w:rsidR="00F61130" w:rsidRPr="006508D1" w:rsidRDefault="00F61130" w:rsidP="00A33FEA">
                      <w:r w:rsidRPr="006508D1">
                        <w:t>A</w:t>
                      </w:r>
                    </w:p>
                  </w:txbxContent>
                </v:textbox>
                <w10:wrap type="topAndBottom"/>
              </v:shape>
            </w:pict>
          </mc:Fallback>
        </mc:AlternateContent>
      </w:r>
      <w:r>
        <w:rPr>
          <w:noProof/>
        </w:rPr>
        <mc:AlternateContent>
          <mc:Choice Requires="wps">
            <w:drawing>
              <wp:anchor distT="0" distB="0" distL="114300" distR="114300" simplePos="0" relativeHeight="251676672" behindDoc="0" locked="0" layoutInCell="1" allowOverlap="1" wp14:anchorId="5FD01F9D" wp14:editId="1B1FECF4">
                <wp:simplePos x="0" y="0"/>
                <wp:positionH relativeFrom="column">
                  <wp:posOffset>2953825</wp:posOffset>
                </wp:positionH>
                <wp:positionV relativeFrom="paragraph">
                  <wp:posOffset>571402</wp:posOffset>
                </wp:positionV>
                <wp:extent cx="187325" cy="179705"/>
                <wp:effectExtent l="0" t="0" r="3175" b="0"/>
                <wp:wrapTopAndBottom/>
                <wp:docPr id="247" name="Text Box 247"/>
                <wp:cNvGraphicFramePr/>
                <a:graphic xmlns:a="http://schemas.openxmlformats.org/drawingml/2006/main">
                  <a:graphicData uri="http://schemas.microsoft.com/office/word/2010/wordprocessingShape">
                    <wps:wsp>
                      <wps:cNvSpPr txBox="1"/>
                      <wps:spPr>
                        <a:xfrm>
                          <a:off x="0" y="0"/>
                          <a:ext cx="187325" cy="179705"/>
                        </a:xfrm>
                        <a:prstGeom prst="rect">
                          <a:avLst/>
                        </a:prstGeom>
                        <a:noFill/>
                        <a:ln w="6350">
                          <a:noFill/>
                        </a:ln>
                      </wps:spPr>
                      <wps:txbx>
                        <w:txbxContent>
                          <w:p w14:paraId="09953072" w14:textId="77777777" w:rsidR="00F61130" w:rsidRPr="006508D1" w:rsidRDefault="00F61130" w:rsidP="00A33FEA">
                            <w:r>
                              <w:t>B</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5FD01F9D" id="Text Box 247" o:spid="_x0000_s1216" type="#_x0000_t202" style="position:absolute;margin-left:232.6pt;margin-top:45pt;width:14.75pt;height:14.15pt;z-index:2516766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5FMlqKQIAAE0EAAAOAAAAZHJzL2Uyb0RvYy54bWysVFFv2jAQfp+0/2D5fSTQUdqIULFWTJNQ&#13;&#10;WwmmPhvHJpFsn2cbEvbrd3YITN2epr2Yy935u7vvPjN/6LQiR+F8A6ak41FOiTAcqsbsS/p9u/p0&#13;&#10;R4kPzFRMgRElPQlPHxYfP8xbW4gJ1KAq4QiCGF+0tqR1CLbIMs9roZkfgRUGgxKcZgE/3T6rHGsR&#13;&#10;Xatskue3WQuusg648B69T32QLhK+lIKHFym9CESVFHsL6XTp3MUzW8xZsXfM1g0/t8H+oQvNGoNF&#13;&#10;L1BPLDBycM0fULrhDjzIMOKgM5Cy4SLNgNOM83fTbGpmRZoFyfH2QpP/f7D8+fjqSFOVdPJ5Rolh&#13;&#10;Gpe0FV0gX6Aj0YcMtdYXmLixmBo6DOCmB79HZxy8k07HXxyJYBy5Pl34jXA8Xrqb3UymlHAMjWf3&#13;&#10;s3waUbLrZet8+CpAk2iU1OH6EqvsuPahTx1SYi0Dq0aptEJlSFvS25tpni5cIgiuDNaII/StRit0&#13;&#10;uy4NPb5PEoi+HVQnnM9BrxFv+arBLtbMh1fmUBQ4Ego9vOAhFWA1OFuU1OB+/s0f83FXGKWkRZGV&#13;&#10;1P84MCcoUd8MbjEqcjDcYOwGwxz0I6Bux/iELE8mXnBBDaZ0oN9Q/8tYBUPMcKxV0jCYj6GXOr4f&#13;&#10;LpbLlIS6syyszcbyCB15jJxuuzfm7Jn4gBt7hkF+rHjHf5/bb2B5CCCbtJwri2fCUbNpvef3FR/F&#13;&#10;798p6/ovsPgFAAD//wMAUEsDBBQABgAIAAAAIQChfN3B5QAAAA8BAAAPAAAAZHJzL2Rvd25yZXYu&#13;&#10;eG1sTI9LT8MwEITvSPwHa5G4UTsl9JHGqRCFG68WkODmxCaJiNeR7aTh37Oc4LLSar+Zncm3k+3Y&#13;&#10;aHxoHUpIZgKYwcrpFmsJry93FytgISrUqnNoJHybANvi9CRXmXZH3JvxEGtGJhgyJaGJsc84D1Vj&#13;&#10;rAoz1xuk26fzVkVafc21V0cytx2fC7HgVrVIHxrVm5vGVF+HwUro3oO/L0X8GHf1Q3x+4sPbbfIo&#13;&#10;5fnZtNvQuN4Ai2aKfwr47UD5oaBgpRtQB9ZJSBdXc0IlrAUVIyBdp0tgJZHJ6hJ4kfP/PYofAAAA&#13;&#10;//8DAFBLAQItABQABgAIAAAAIQC2gziS/gAAAOEBAAATAAAAAAAAAAAAAAAAAAAAAABbQ29udGVu&#13;&#10;dF9UeXBlc10ueG1sUEsBAi0AFAAGAAgAAAAhADj9If/WAAAAlAEAAAsAAAAAAAAAAAAAAAAALwEA&#13;&#10;AF9yZWxzLy5yZWxzUEsBAi0AFAAGAAgAAAAhAPkUyWopAgAATQQAAA4AAAAAAAAAAAAAAAAALgIA&#13;&#10;AGRycy9lMm9Eb2MueG1sUEsBAi0AFAAGAAgAAAAhAKF83cHlAAAADwEAAA8AAAAAAAAAAAAAAAAA&#13;&#10;gwQAAGRycy9kb3ducmV2LnhtbFBLBQYAAAAABAAEAPMAAACVBQAAAAA=&#13;&#10;" filled="f" stroked="f" strokeweight=".5pt">
                <v:textbox inset="0,0,0,0">
                  <w:txbxContent>
                    <w:p w14:paraId="09953072" w14:textId="77777777" w:rsidR="00F61130" w:rsidRPr="006508D1" w:rsidRDefault="00F61130" w:rsidP="00A33FEA">
                      <w:r>
                        <w:t>B</w:t>
                      </w:r>
                    </w:p>
                  </w:txbxContent>
                </v:textbox>
                <w10:wrap type="topAndBottom"/>
              </v:shape>
            </w:pict>
          </mc:Fallback>
        </mc:AlternateContent>
      </w:r>
      <w:r>
        <w:rPr>
          <w:noProof/>
        </w:rPr>
        <mc:AlternateContent>
          <mc:Choice Requires="wps">
            <w:drawing>
              <wp:anchor distT="0" distB="0" distL="114300" distR="114300" simplePos="0" relativeHeight="251677696" behindDoc="0" locked="0" layoutInCell="1" allowOverlap="1" wp14:anchorId="4877C119" wp14:editId="32D20BCE">
                <wp:simplePos x="0" y="0"/>
                <wp:positionH relativeFrom="column">
                  <wp:posOffset>236025</wp:posOffset>
                </wp:positionH>
                <wp:positionV relativeFrom="paragraph">
                  <wp:posOffset>2336702</wp:posOffset>
                </wp:positionV>
                <wp:extent cx="187325" cy="179705"/>
                <wp:effectExtent l="0" t="0" r="3175" b="0"/>
                <wp:wrapTopAndBottom/>
                <wp:docPr id="248" name="Text Box 248"/>
                <wp:cNvGraphicFramePr/>
                <a:graphic xmlns:a="http://schemas.openxmlformats.org/drawingml/2006/main">
                  <a:graphicData uri="http://schemas.microsoft.com/office/word/2010/wordprocessingShape">
                    <wps:wsp>
                      <wps:cNvSpPr txBox="1"/>
                      <wps:spPr>
                        <a:xfrm>
                          <a:off x="0" y="0"/>
                          <a:ext cx="187325" cy="179705"/>
                        </a:xfrm>
                        <a:prstGeom prst="rect">
                          <a:avLst/>
                        </a:prstGeom>
                        <a:noFill/>
                        <a:ln w="6350">
                          <a:noFill/>
                        </a:ln>
                      </wps:spPr>
                      <wps:txbx>
                        <w:txbxContent>
                          <w:p w14:paraId="5DB3186F" w14:textId="77777777" w:rsidR="00F61130" w:rsidRPr="006508D1" w:rsidRDefault="00F61130" w:rsidP="00A33FEA">
                            <w:r>
                              <w:t>CA</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4877C119" id="Text Box 248" o:spid="_x0000_s1217" type="#_x0000_t202" style="position:absolute;margin-left:18.6pt;margin-top:184pt;width:14.75pt;height:14.15pt;z-index:2516776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NvWkKKAIAAE0EAAAOAAAAZHJzL2Uyb0RvYy54bWysVF9v2jAQf5/U72D5fSTQUdqIUNFWTJNQ&#13;&#10;WwmmPhvHJpFsn2cbEvbpd3YInbo9TXsxF9/5zr8/Zn7faUWOwvkGTEnHo5wSYThUjdmX9Pt29fmW&#13;&#10;Eh+YqZgCI0p6Ep7eL64+zVtbiAnUoCrhCDYxvmhtSesQbJFlntdCMz8CKwwmJTjNAn66fVY51mJ3&#13;&#10;rbJJnt9kLbjKOuDCe9x96pN0kfpLKXh4kdKLQFRJ8W4hrS6tu7hmizkr9o7ZuuHna7B/uIVmjcGh&#13;&#10;l1ZPLDBycM0frXTDHXiQYcRBZyBlw0XCgGjG+Qc0m5pZkbAgOd5eaPL/ry1/Pr460lQlnXxBqQzT&#13;&#10;KNJWdIE8QEfiHjLUWl9g4cZiaegwgUoP+x43I/BOOh1/ERLBPHJ9uvAb2/F46HZ2PZlSwjE1nt3N&#13;&#10;8mnskr0fts6HrwI0iUFJHcqXWGXHtQ996VASZxlYNUolCZUhbUlvrqd5OnDJYHNlcEaE0F81RqHb&#13;&#10;dQn0+O4CZAfVCfE56D3iLV81eIs18+GVOTQFQkKjhxdcpAKcBueIkhrcz7/tx3rUCrOUtGiykvof&#13;&#10;B+YEJeqbQRWjI4fADcFuCMxBPwL6doxPyPIU4gEX1BBKB/oN/b+MUzDFDMdZJQ1D+Bh6q+P74WK5&#13;&#10;TEXoO8vC2mwsj60jj5HTbffGnD0TH1CxZxjsx4oP/Pe1vQLLQwDZJHEisz2LZ8LRs0ne8/uKj+L3&#13;&#10;71T1/i+w+AUAAP//AwBQSwMEFAAGAAgAAAAhAGKSqHrhAAAADgEAAA8AAABkcnMvZG93bnJldi54&#13;&#10;bWxMT0tPwzAMviPxHyIjcWPpNikbXdMJMbjx3IYEt7QxbUUeVZJ25d9jTnCxZfvz9yi2kzVsxBA7&#13;&#10;7yTMZxkwdLXXnWskHA/3V2tgMSmnlfEOJXxjhG15flaoXPuTe8VxnxpGJC7mSkKbUp9zHusWrYoz&#13;&#10;36Oj26cPViUaQ8N1UCcit4YvskxwqzpHCq3q8bbF+ms/WAnmPYaHKksf4655TC/PfHi7mz9JeXkx&#13;&#10;7TZUbjbAEk7p7wN+M5B/KMlY5QenIzMSlqsFIamLNQUjgBArYBUtrsUSeFnw/zHKHwAAAP//AwBQ&#13;&#10;SwECLQAUAAYACAAAACEAtoM4kv4AAADhAQAAEwAAAAAAAAAAAAAAAAAAAAAAW0NvbnRlbnRfVHlw&#13;&#10;ZXNdLnhtbFBLAQItABQABgAIAAAAIQA4/SH/1gAAAJQBAAALAAAAAAAAAAAAAAAAAC8BAABfcmVs&#13;&#10;cy8ucmVsc1BLAQItABQABgAIAAAAIQANvWkKKAIAAE0EAAAOAAAAAAAAAAAAAAAAAC4CAABkcnMv&#13;&#10;ZTJvRG9jLnhtbFBLAQItABQABgAIAAAAIQBikqh64QAAAA4BAAAPAAAAAAAAAAAAAAAAAIIEAABk&#13;&#10;cnMvZG93bnJldi54bWxQSwUGAAAAAAQABADzAAAAkAUAAAAA&#13;&#10;" filled="f" stroked="f" strokeweight=".5pt">
                <v:textbox inset="0,0,0,0">
                  <w:txbxContent>
                    <w:p w14:paraId="5DB3186F" w14:textId="77777777" w:rsidR="00F61130" w:rsidRPr="006508D1" w:rsidRDefault="00F61130" w:rsidP="00A33FEA">
                      <w:r>
                        <w:t>CA</w:t>
                      </w:r>
                    </w:p>
                  </w:txbxContent>
                </v:textbox>
                <w10:wrap type="topAndBottom"/>
              </v:shape>
            </w:pict>
          </mc:Fallback>
        </mc:AlternateContent>
      </w:r>
      <w:r>
        <w:rPr>
          <w:noProof/>
        </w:rPr>
        <mc:AlternateContent>
          <mc:Choice Requires="wps">
            <w:drawing>
              <wp:anchor distT="0" distB="0" distL="114300" distR="114300" simplePos="0" relativeHeight="251678720" behindDoc="0" locked="0" layoutInCell="1" allowOverlap="1" wp14:anchorId="141A3D8C" wp14:editId="3F1BBC65">
                <wp:simplePos x="0" y="0"/>
                <wp:positionH relativeFrom="column">
                  <wp:posOffset>2953825</wp:posOffset>
                </wp:positionH>
                <wp:positionV relativeFrom="paragraph">
                  <wp:posOffset>2324002</wp:posOffset>
                </wp:positionV>
                <wp:extent cx="187325" cy="179705"/>
                <wp:effectExtent l="0" t="0" r="3175" b="0"/>
                <wp:wrapTopAndBottom/>
                <wp:docPr id="249" name="Text Box 249"/>
                <wp:cNvGraphicFramePr/>
                <a:graphic xmlns:a="http://schemas.openxmlformats.org/drawingml/2006/main">
                  <a:graphicData uri="http://schemas.microsoft.com/office/word/2010/wordprocessingShape">
                    <wps:wsp>
                      <wps:cNvSpPr txBox="1"/>
                      <wps:spPr>
                        <a:xfrm>
                          <a:off x="0" y="0"/>
                          <a:ext cx="187325" cy="179705"/>
                        </a:xfrm>
                        <a:prstGeom prst="rect">
                          <a:avLst/>
                        </a:prstGeom>
                        <a:noFill/>
                        <a:ln w="6350">
                          <a:noFill/>
                        </a:ln>
                      </wps:spPr>
                      <wps:txbx>
                        <w:txbxContent>
                          <w:p w14:paraId="0B6C740F" w14:textId="77777777" w:rsidR="00F61130" w:rsidRPr="006508D1" w:rsidRDefault="00F61130" w:rsidP="00A33FEA">
                            <w:r>
                              <w:t>D</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141A3D8C" id="Text Box 249" o:spid="_x0000_s1218" type="#_x0000_t202" style="position:absolute;margin-left:232.6pt;margin-top:183pt;width:14.75pt;height:14.15pt;z-index:2516787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4qN6WKgIAAE0EAAAOAAAAZHJzL2Uyb0RvYy54bWysVFFv2jAQfp+0/2D5fSTQUUpEqFgrpkmo&#13;&#10;rQRTn41jk0i2z7MNCfv1OzuETt2epr2Yy9357r7vPrO477QiJ+F8A6ak41FOiTAcqsYcSvp9t/50&#13;&#10;R4kPzFRMgRElPQtP75cfPyxaW4gJ1KAq4QgWMb5obUnrEGyRZZ7XQjM/AisMBiU4zQJ+ukNWOdZi&#13;&#10;da2ySZ7fZi24yjrgwnv0PvZBukz1pRQ8PEvpRSCqpDhbSKdL5z6e2XLBioNjtm74ZQz2D1No1hhs&#13;&#10;ei31yAIjR9f8UUo33IEHGUYcdAZSNlwkDIhmnL9Ds62ZFQkLkuPtlSb//8ryp9OLI01V0snnOSWG&#13;&#10;aVzSTnSBfIGORB8y1FpfYOLWYmroMICbHvwenRF4J52OvwiJYBy5Pl/5jeV4vHQ3u5lMKeEYGs/m&#13;&#10;s3waq2Rvl63z4asATaJRUofrS6yy08aHPnVIib0MrBul0gqVIW1Jb2+mebpwjWBxZbBHhNCPGq3Q&#13;&#10;7bsEejyfDED2UJ0Rn4NeI97ydYNTbJgPL8yhKBASCj084yEVYDe4WJTU4H7+zR/zcVcYpaRFkZXU&#13;&#10;/zgyJyhR3wxuMSpyMNxg7AfDHPUDoG7H+IQsTyZecEENpnSgX1H/q9gFQ8xw7FXSMJgPoZc6vh8u&#13;&#10;VquUhLqzLGzM1vJYOvIYOd11r8zZC/EBN/YEg/xY8Y7/PrffwOoYQDZpOZHZnsUL4ajZtN7L+4qP&#13;&#10;4vfvlPX2L7D8BQAA//8DAFBLAwQUAAYACAAAACEACnHv6+YAAAAQAQAADwAAAGRycy9kb3ducmV2&#13;&#10;LnhtbEyPTU/DMAyG70j8h8hI3Fi6rXSsazohBje+NkCCW9qYtiIfVZJ25d9jTnCxZPv16/cptpPR&#13;&#10;bEQfOmcFzGcJMLS1U51tBLy+3F1cAQtRWiW1syjgGwNsy9OTQubKHe0ex0NsGJnYkEsBbYx9znmo&#13;&#10;WzQyzFyPlnafzhsZqfUNV14eydxovkiSjBvZWfrQyh5vWqy/DoMRoN+Dv6+S+DHumof4/MSHt9v5&#13;&#10;oxDnZ9NuQ+V6AyziFP8u4JeB8kNJwSo3WBWYFpBmlwuSClhmGZGRIl2nK2AVTdbpEnhZ8P8g5Q8A&#13;&#10;AAD//wMAUEsBAi0AFAAGAAgAAAAhALaDOJL+AAAA4QEAABMAAAAAAAAAAAAAAAAAAAAAAFtDb250&#13;&#10;ZW50X1R5cGVzXS54bWxQSwECLQAUAAYACAAAACEAOP0h/9YAAACUAQAACwAAAAAAAAAAAAAAAAAv&#13;&#10;AQAAX3JlbHMvLnJlbHNQSwECLQAUAAYACAAAACEAOKjelioCAABNBAAADgAAAAAAAAAAAAAAAAAu&#13;&#10;AgAAZHJzL2Uyb0RvYy54bWxQSwECLQAUAAYACAAAACEACnHv6+YAAAAQAQAADwAAAAAAAAAAAAAA&#13;&#10;AACEBAAAZHJzL2Rvd25yZXYueG1sUEsFBgAAAAAEAAQA8wAAAJcFAAAAAA==&#13;&#10;" filled="f" stroked="f" strokeweight=".5pt">
                <v:textbox inset="0,0,0,0">
                  <w:txbxContent>
                    <w:p w14:paraId="0B6C740F" w14:textId="77777777" w:rsidR="00F61130" w:rsidRPr="006508D1" w:rsidRDefault="00F61130" w:rsidP="00A33FEA">
                      <w:r>
                        <w:t>D</w:t>
                      </w:r>
                    </w:p>
                  </w:txbxContent>
                </v:textbox>
                <w10:wrap type="topAndBottom"/>
              </v:shape>
            </w:pict>
          </mc:Fallback>
        </mc:AlternateContent>
      </w:r>
      <w:r>
        <w:rPr>
          <w:noProof/>
        </w:rPr>
        <mc:AlternateContent>
          <mc:Choice Requires="wps">
            <w:drawing>
              <wp:anchor distT="0" distB="0" distL="114300" distR="114300" simplePos="0" relativeHeight="251679744" behindDoc="0" locked="0" layoutInCell="1" allowOverlap="1" wp14:anchorId="641C1AD4" wp14:editId="26175160">
                <wp:simplePos x="0" y="0"/>
                <wp:positionH relativeFrom="column">
                  <wp:posOffset>-5275</wp:posOffset>
                </wp:positionH>
                <wp:positionV relativeFrom="paragraph">
                  <wp:posOffset>4000402</wp:posOffset>
                </wp:positionV>
                <wp:extent cx="5575935" cy="1674495"/>
                <wp:effectExtent l="0" t="0" r="0" b="1905"/>
                <wp:wrapTopAndBottom/>
                <wp:docPr id="250" name="Text Box 250"/>
                <wp:cNvGraphicFramePr/>
                <a:graphic xmlns:a="http://schemas.openxmlformats.org/drawingml/2006/main">
                  <a:graphicData uri="http://schemas.microsoft.com/office/word/2010/wordprocessingShape">
                    <wps:wsp>
                      <wps:cNvSpPr txBox="1"/>
                      <wps:spPr>
                        <a:xfrm>
                          <a:off x="0" y="0"/>
                          <a:ext cx="5575935" cy="1674495"/>
                        </a:xfrm>
                        <a:prstGeom prst="rect">
                          <a:avLst/>
                        </a:prstGeom>
                        <a:solidFill>
                          <a:prstClr val="white"/>
                        </a:solidFill>
                        <a:ln>
                          <a:noFill/>
                        </a:ln>
                      </wps:spPr>
                      <wps:txbx>
                        <w:txbxContent>
                          <w:p w14:paraId="0B122669" w14:textId="489442D4" w:rsidR="00F61130" w:rsidRPr="00A33FEA" w:rsidRDefault="00F61130" w:rsidP="00A33FEA">
                            <w:pPr>
                              <w:pStyle w:val="Caption"/>
                              <w:spacing w:line="360" w:lineRule="auto"/>
                              <w:jc w:val="both"/>
                              <w:rPr>
                                <w:noProof/>
                                <w:sz w:val="20"/>
                                <w:szCs w:val="20"/>
                              </w:rPr>
                            </w:pPr>
                            <w:bookmarkStart w:id="717" w:name="_Ref519016744"/>
                            <w:bookmarkStart w:id="718" w:name="_Toc525227258"/>
                            <w:bookmarkStart w:id="719" w:name="_Toc536814198"/>
                            <w:r w:rsidRPr="00A33FEA">
                              <w:rPr>
                                <w:b/>
                                <w:sz w:val="20"/>
                                <w:szCs w:val="20"/>
                              </w:rPr>
                              <w:t xml:space="preserve">Figure </w:t>
                            </w:r>
                            <w:r>
                              <w:rPr>
                                <w:b/>
                                <w:sz w:val="20"/>
                                <w:szCs w:val="20"/>
                              </w:rPr>
                              <w:fldChar w:fldCharType="begin"/>
                            </w:r>
                            <w:r>
                              <w:rPr>
                                <w:b/>
                                <w:sz w:val="20"/>
                                <w:szCs w:val="20"/>
                              </w:rPr>
                              <w:instrText xml:space="preserve"> STYLEREF 1 \s </w:instrText>
                            </w:r>
                            <w:r>
                              <w:rPr>
                                <w:b/>
                                <w:sz w:val="20"/>
                                <w:szCs w:val="20"/>
                              </w:rPr>
                              <w:fldChar w:fldCharType="separate"/>
                            </w:r>
                            <w:r>
                              <w:rPr>
                                <w:b/>
                                <w:noProof/>
                                <w:sz w:val="20"/>
                                <w:szCs w:val="20"/>
                              </w:rPr>
                              <w:t>7</w:t>
                            </w:r>
                            <w:r>
                              <w:rPr>
                                <w:b/>
                                <w:sz w:val="20"/>
                                <w:szCs w:val="20"/>
                              </w:rPr>
                              <w:fldChar w:fldCharType="end"/>
                            </w:r>
                            <w:r>
                              <w:rPr>
                                <w:b/>
                                <w:sz w:val="20"/>
                                <w:szCs w:val="20"/>
                              </w:rPr>
                              <w:t>.</w:t>
                            </w:r>
                            <w:r>
                              <w:rPr>
                                <w:b/>
                                <w:sz w:val="20"/>
                                <w:szCs w:val="20"/>
                              </w:rPr>
                              <w:fldChar w:fldCharType="begin"/>
                            </w:r>
                            <w:r>
                              <w:rPr>
                                <w:b/>
                                <w:sz w:val="20"/>
                                <w:szCs w:val="20"/>
                              </w:rPr>
                              <w:instrText xml:space="preserve"> SEQ Figure \* ARABIC \s 1 </w:instrText>
                            </w:r>
                            <w:r>
                              <w:rPr>
                                <w:b/>
                                <w:sz w:val="20"/>
                                <w:szCs w:val="20"/>
                              </w:rPr>
                              <w:fldChar w:fldCharType="separate"/>
                            </w:r>
                            <w:r>
                              <w:rPr>
                                <w:b/>
                                <w:noProof/>
                                <w:sz w:val="20"/>
                                <w:szCs w:val="20"/>
                              </w:rPr>
                              <w:t>6</w:t>
                            </w:r>
                            <w:r>
                              <w:rPr>
                                <w:b/>
                                <w:sz w:val="20"/>
                                <w:szCs w:val="20"/>
                              </w:rPr>
                              <w:fldChar w:fldCharType="end"/>
                            </w:r>
                            <w:bookmarkEnd w:id="717"/>
                            <w:r w:rsidRPr="00A33FEA">
                              <w:rPr>
                                <w:b/>
                                <w:sz w:val="20"/>
                                <w:szCs w:val="20"/>
                              </w:rPr>
                              <w:t xml:space="preserve"> - Significant increases in hepatic myeloid and lymphoid lineage cell abundance are seen after infection with </w:t>
                            </w:r>
                            <w:r w:rsidRPr="00A33FEA">
                              <w:rPr>
                                <w:b/>
                                <w:i/>
                                <w:sz w:val="20"/>
                                <w:szCs w:val="20"/>
                              </w:rPr>
                              <w:t>L. donovani</w:t>
                            </w:r>
                            <w:r w:rsidRPr="00A33FEA">
                              <w:rPr>
                                <w:b/>
                                <w:sz w:val="20"/>
                                <w:szCs w:val="20"/>
                              </w:rPr>
                              <w:t>.</w:t>
                            </w:r>
                            <w:r w:rsidRPr="00A33FEA">
                              <w:rPr>
                                <w:sz w:val="20"/>
                                <w:szCs w:val="20"/>
                              </w:rPr>
                              <w:t xml:space="preserve"> Comparison of </w:t>
                            </w:r>
                            <w:r w:rsidRPr="00A33FEA">
                              <w:rPr>
                                <w:i/>
                                <w:sz w:val="20"/>
                                <w:szCs w:val="20"/>
                              </w:rPr>
                              <w:t>L. donovani</w:t>
                            </w:r>
                            <w:r w:rsidRPr="00A33FEA">
                              <w:rPr>
                                <w:sz w:val="20"/>
                                <w:szCs w:val="20"/>
                              </w:rPr>
                              <w:t xml:space="preserve"> infected and age-matched naïve mice absolute hepatic myeloid and lymphoid cell numbers. Absolute hepatic lymphoid abundance (A, B) and absolute hepatic myeloid abundance (C, D) was compared at 13 days post-infection (A, C) and at 42 days post-infection (B, D). </w:t>
                            </w:r>
                            <w:r w:rsidRPr="00A33FEA">
                              <w:rPr>
                                <w:rFonts w:eastAsia="Heiti TC Light"/>
                                <w:sz w:val="20"/>
                                <w:szCs w:val="20"/>
                              </w:rPr>
                              <w:t xml:space="preserve">● represent individual biological data points (n = 4-5) and error ranges are represented as the mean </w:t>
                            </w:r>
                            <w:r w:rsidRPr="00A33FEA">
                              <w:rPr>
                                <w:sz w:val="20"/>
                                <w:szCs w:val="20"/>
                              </w:rPr>
                              <w:sym w:font="Symbol" w:char="F0B1"/>
                            </w:r>
                            <w:r w:rsidRPr="00A33FEA">
                              <w:rPr>
                                <w:sz w:val="20"/>
                                <w:szCs w:val="20"/>
                              </w:rPr>
                              <w:t xml:space="preserve"> SD. Data </w:t>
                            </w:r>
                            <w:r>
                              <w:rPr>
                                <w:sz w:val="20"/>
                                <w:szCs w:val="20"/>
                              </w:rPr>
                              <w:t>are</w:t>
                            </w:r>
                            <w:r w:rsidRPr="00A33FEA">
                              <w:rPr>
                                <w:sz w:val="20"/>
                                <w:szCs w:val="20"/>
                              </w:rPr>
                              <w:t xml:space="preserve"> representative of 1 infection experiment and was analysed using a Mann Whitney test. (* denotes a p value of less than 0.05)</w:t>
                            </w:r>
                            <w:bookmarkEnd w:id="718"/>
                            <w:bookmarkEnd w:id="719"/>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41C1AD4" id="Text Box 250" o:spid="_x0000_s1219" type="#_x0000_t202" style="position:absolute;margin-left:-.4pt;margin-top:315pt;width:439.05pt;height:131.85pt;z-index:2516797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KadYNgIAAG4EAAAOAAAAZHJzL2Uyb0RvYy54bWysVFFv2yAQfp+0/4B4X5ykTdtYcaosVaZJ&#13;&#10;VVspmfpMMI6RgGNAYme/fge2063b07QXfNwdH9z33Xlx32pFTsJ5Caagk9GYEmE4lNIcCvptt/l0&#13;&#10;R4kPzJRMgREFPQtP75cfPywam4sp1KBK4QiCGJ83tqB1CDbPMs9roZkfgRUGgxU4zQJu3SErHWsQ&#13;&#10;XatsOh7fZA240jrgwnv0PnRBukz4VSV4eK4qLwJRBcW3hbS6tO7jmi0XLD84ZmvJ+2ewf3iFZtLg&#13;&#10;pReoBxYYOTr5B5SW3IGHKow46AyqSnKRasBqJuN31WxrZkWqBcnx9kKT/3+w/On04ogsCzqdIT+G&#13;&#10;aRRpJ9pAPkNLog8ZaqzPMXFrMTW0GEClB79HZyy8rZyOXyyJYByxzhd+IxxH52x2O5tfzSjhGJvc&#13;&#10;3F5fz2cRJ3s7bp0PXwRoEo2COhQw8cpOjz50qUNKvM2DkuVGKhU3MbBWjpwYit3UMoge/LcsZWKu&#13;&#10;gXiqA4yeLNbY1RKt0O7bxMpkfjVUuofyjAQ46JrIW76ReOMj8+GFOewarBknITzjUiloCgq9RUkN&#13;&#10;7sff/DEfxcQoJQ12YUH99yNzghL11aDMsWUHww3GfjDMUa8Ba53gjFmeTDzgghrMyoF+xQFZxVsw&#13;&#10;xAzHuwoaBnMdulnAAeNitUpJ2JiWhUeztTxCD8zu2lfmbK9LQEmfYOhPlr+Tp8tNAtnVMSDXSbvI&#13;&#10;bMdiTzg2dVK/H8A4Nb/uU9bbb2L5EwAA//8DAFBLAwQUAAYACAAAACEALD93MeQAAAAOAQAADwAA&#13;&#10;AGRycy9kb3ducmV2LnhtbEyPMU/DMBCFdyT+g3VILIg6kCopaZyqKjDQpSJ0YXPjaxyI7ch22vDv&#13;&#10;uU6wnO709N59r1xNpmcn9KFzVsDDLAGGtnGqs62A/cfr/QJYiNIq2TuLAn4wwKq6viplodzZvuOp&#13;&#10;ji2jEBsKKUDHOBSch0ajkWHmBrSkHZ03MtLpW668PFO46fljkmTcyM7SBy0H3GhsvuvRCNjNP3f6&#13;&#10;bjy+bNfz1L/tx0321dZC3N5Mz0sa6yWwiFP8c8ClA/FDRWAHN1oVWC/gQh8FZGlCvUhf5HkK7EDL&#13;&#10;U5oDr0r+v0b1CwAA//8DAFBLAQItABQABgAIAAAAIQC2gziS/gAAAOEBAAATAAAAAAAAAAAAAAAA&#13;&#10;AAAAAABbQ29udGVudF9UeXBlc10ueG1sUEsBAi0AFAAGAAgAAAAhADj9If/WAAAAlAEAAAsAAAAA&#13;&#10;AAAAAAAAAAAALwEAAF9yZWxzLy5yZWxzUEsBAi0AFAAGAAgAAAAhABMpp1g2AgAAbgQAAA4AAAAA&#13;&#10;AAAAAAAAAAAALgIAAGRycy9lMm9Eb2MueG1sUEsBAi0AFAAGAAgAAAAhACw/dzHkAAAADgEAAA8A&#13;&#10;AAAAAAAAAAAAAAAAkAQAAGRycy9kb3ducmV2LnhtbFBLBQYAAAAABAAEAPMAAAChBQAAAAA=&#13;&#10;" stroked="f">
                <v:textbox style="mso-fit-shape-to-text:t" inset="0,0,0,0">
                  <w:txbxContent>
                    <w:p w14:paraId="0B122669" w14:textId="489442D4" w:rsidR="00F61130" w:rsidRPr="00A33FEA" w:rsidRDefault="00F61130" w:rsidP="00A33FEA">
                      <w:pPr>
                        <w:pStyle w:val="Caption"/>
                        <w:spacing w:line="360" w:lineRule="auto"/>
                        <w:jc w:val="both"/>
                        <w:rPr>
                          <w:noProof/>
                          <w:sz w:val="20"/>
                          <w:szCs w:val="20"/>
                        </w:rPr>
                      </w:pPr>
                      <w:bookmarkStart w:id="720" w:name="_Ref519016744"/>
                      <w:bookmarkStart w:id="721" w:name="_Toc525227258"/>
                      <w:bookmarkStart w:id="722" w:name="_Toc536814198"/>
                      <w:r w:rsidRPr="00A33FEA">
                        <w:rPr>
                          <w:b/>
                          <w:sz w:val="20"/>
                          <w:szCs w:val="20"/>
                        </w:rPr>
                        <w:t xml:space="preserve">Figure </w:t>
                      </w:r>
                      <w:r>
                        <w:rPr>
                          <w:b/>
                          <w:sz w:val="20"/>
                          <w:szCs w:val="20"/>
                        </w:rPr>
                        <w:fldChar w:fldCharType="begin"/>
                      </w:r>
                      <w:r>
                        <w:rPr>
                          <w:b/>
                          <w:sz w:val="20"/>
                          <w:szCs w:val="20"/>
                        </w:rPr>
                        <w:instrText xml:space="preserve"> STYLEREF 1 \s </w:instrText>
                      </w:r>
                      <w:r>
                        <w:rPr>
                          <w:b/>
                          <w:sz w:val="20"/>
                          <w:szCs w:val="20"/>
                        </w:rPr>
                        <w:fldChar w:fldCharType="separate"/>
                      </w:r>
                      <w:r>
                        <w:rPr>
                          <w:b/>
                          <w:noProof/>
                          <w:sz w:val="20"/>
                          <w:szCs w:val="20"/>
                        </w:rPr>
                        <w:t>7</w:t>
                      </w:r>
                      <w:r>
                        <w:rPr>
                          <w:b/>
                          <w:sz w:val="20"/>
                          <w:szCs w:val="20"/>
                        </w:rPr>
                        <w:fldChar w:fldCharType="end"/>
                      </w:r>
                      <w:r>
                        <w:rPr>
                          <w:b/>
                          <w:sz w:val="20"/>
                          <w:szCs w:val="20"/>
                        </w:rPr>
                        <w:t>.</w:t>
                      </w:r>
                      <w:r>
                        <w:rPr>
                          <w:b/>
                          <w:sz w:val="20"/>
                          <w:szCs w:val="20"/>
                        </w:rPr>
                        <w:fldChar w:fldCharType="begin"/>
                      </w:r>
                      <w:r>
                        <w:rPr>
                          <w:b/>
                          <w:sz w:val="20"/>
                          <w:szCs w:val="20"/>
                        </w:rPr>
                        <w:instrText xml:space="preserve"> SEQ Figure \* ARABIC \s 1 </w:instrText>
                      </w:r>
                      <w:r>
                        <w:rPr>
                          <w:b/>
                          <w:sz w:val="20"/>
                          <w:szCs w:val="20"/>
                        </w:rPr>
                        <w:fldChar w:fldCharType="separate"/>
                      </w:r>
                      <w:r>
                        <w:rPr>
                          <w:b/>
                          <w:noProof/>
                          <w:sz w:val="20"/>
                          <w:szCs w:val="20"/>
                        </w:rPr>
                        <w:t>6</w:t>
                      </w:r>
                      <w:r>
                        <w:rPr>
                          <w:b/>
                          <w:sz w:val="20"/>
                          <w:szCs w:val="20"/>
                        </w:rPr>
                        <w:fldChar w:fldCharType="end"/>
                      </w:r>
                      <w:bookmarkEnd w:id="720"/>
                      <w:r w:rsidRPr="00A33FEA">
                        <w:rPr>
                          <w:b/>
                          <w:sz w:val="20"/>
                          <w:szCs w:val="20"/>
                        </w:rPr>
                        <w:t xml:space="preserve"> - Significant increases in hepatic myeloid and lymphoid lineage cell abundance are seen after infection with </w:t>
                      </w:r>
                      <w:r w:rsidRPr="00A33FEA">
                        <w:rPr>
                          <w:b/>
                          <w:i/>
                          <w:sz w:val="20"/>
                          <w:szCs w:val="20"/>
                        </w:rPr>
                        <w:t>L. donovani</w:t>
                      </w:r>
                      <w:r w:rsidRPr="00A33FEA">
                        <w:rPr>
                          <w:b/>
                          <w:sz w:val="20"/>
                          <w:szCs w:val="20"/>
                        </w:rPr>
                        <w:t>.</w:t>
                      </w:r>
                      <w:r w:rsidRPr="00A33FEA">
                        <w:rPr>
                          <w:sz w:val="20"/>
                          <w:szCs w:val="20"/>
                        </w:rPr>
                        <w:t xml:space="preserve"> Comparison of </w:t>
                      </w:r>
                      <w:r w:rsidRPr="00A33FEA">
                        <w:rPr>
                          <w:i/>
                          <w:sz w:val="20"/>
                          <w:szCs w:val="20"/>
                        </w:rPr>
                        <w:t>L. donovani</w:t>
                      </w:r>
                      <w:r w:rsidRPr="00A33FEA">
                        <w:rPr>
                          <w:sz w:val="20"/>
                          <w:szCs w:val="20"/>
                        </w:rPr>
                        <w:t xml:space="preserve"> infected and age-matched naïve mice absolute hepatic myeloid and lymphoid cell numbers. Absolute hepatic lymphoid abundance (A, B) and absolute hepatic myeloid abundance (C, D) was compared at 13 days post-infection (A, C) and at 42 days post-infection (B, D). </w:t>
                      </w:r>
                      <w:r w:rsidRPr="00A33FEA">
                        <w:rPr>
                          <w:rFonts w:eastAsia="Heiti TC Light"/>
                          <w:sz w:val="20"/>
                          <w:szCs w:val="20"/>
                        </w:rPr>
                        <w:t xml:space="preserve">● represent individual biological data points (n = 4-5) and error ranges are represented as the mean </w:t>
                      </w:r>
                      <w:r w:rsidRPr="00A33FEA">
                        <w:rPr>
                          <w:sz w:val="20"/>
                          <w:szCs w:val="20"/>
                        </w:rPr>
                        <w:sym w:font="Symbol" w:char="F0B1"/>
                      </w:r>
                      <w:r w:rsidRPr="00A33FEA">
                        <w:rPr>
                          <w:sz w:val="20"/>
                          <w:szCs w:val="20"/>
                        </w:rPr>
                        <w:t xml:space="preserve"> SD. Data </w:t>
                      </w:r>
                      <w:r>
                        <w:rPr>
                          <w:sz w:val="20"/>
                          <w:szCs w:val="20"/>
                        </w:rPr>
                        <w:t>are</w:t>
                      </w:r>
                      <w:r w:rsidRPr="00A33FEA">
                        <w:rPr>
                          <w:sz w:val="20"/>
                          <w:szCs w:val="20"/>
                        </w:rPr>
                        <w:t xml:space="preserve"> representative of 1 infection experiment and was analysed using a Mann Whitney test. (* denotes a p value of less than 0.05)</w:t>
                      </w:r>
                      <w:bookmarkEnd w:id="721"/>
                      <w:bookmarkEnd w:id="722"/>
                    </w:p>
                  </w:txbxContent>
                </v:textbox>
                <w10:wrap type="topAndBottom"/>
              </v:shape>
            </w:pict>
          </mc:Fallback>
        </mc:AlternateContent>
      </w:r>
    </w:p>
    <w:p w14:paraId="56ED20B9" w14:textId="77777777" w:rsidR="00AC3EF2" w:rsidRPr="008B3AD6" w:rsidRDefault="00AC3EF2" w:rsidP="00AC3EF2"/>
    <w:p w14:paraId="2EAB8DB3" w14:textId="77777777" w:rsidR="00AC3EF2" w:rsidRPr="008B3AD6" w:rsidRDefault="00AC3EF2" w:rsidP="00AC3EF2"/>
    <w:p w14:paraId="2224A79D" w14:textId="3D8483AA" w:rsidR="004404EE" w:rsidRPr="008B3AD6" w:rsidRDefault="004404EE">
      <w:pPr>
        <w:spacing w:line="240" w:lineRule="auto"/>
      </w:pPr>
      <w:r w:rsidRPr="008B3AD6">
        <w:br w:type="page"/>
      </w:r>
      <w:r w:rsidR="00F57F02">
        <w:rPr>
          <w:noProof/>
        </w:rPr>
        <w:lastRenderedPageBreak/>
        <w:drawing>
          <wp:anchor distT="0" distB="0" distL="114300" distR="114300" simplePos="0" relativeHeight="251686912" behindDoc="0" locked="0" layoutInCell="1" allowOverlap="1" wp14:anchorId="5C59C9EE" wp14:editId="67998BD1">
            <wp:simplePos x="0" y="0"/>
            <wp:positionH relativeFrom="column">
              <wp:posOffset>107266</wp:posOffset>
            </wp:positionH>
            <wp:positionV relativeFrom="paragraph">
              <wp:posOffset>537</wp:posOffset>
            </wp:positionV>
            <wp:extent cx="5384800" cy="7518400"/>
            <wp:effectExtent l="0" t="0" r="0" b="0"/>
            <wp:wrapTopAndBottom/>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Picture 253"/>
                    <pic:cNvPicPr>
                      <a:picLocks noChangeAspect="1"/>
                    </pic:cNvPicPr>
                  </pic:nvPicPr>
                  <pic:blipFill>
                    <a:blip r:embed="rId107">
                      <a:extLst>
                        <a:ext uri="{28A0092B-C50C-407E-A947-70E740481C1C}">
                          <a14:useLocalDpi xmlns:a14="http://schemas.microsoft.com/office/drawing/2010/main" val="0"/>
                        </a:ext>
                      </a:extLst>
                    </a:blip>
                    <a:stretch>
                      <a:fillRect/>
                    </a:stretch>
                  </pic:blipFill>
                  <pic:spPr>
                    <a:xfrm>
                      <a:off x="0" y="0"/>
                      <a:ext cx="5384800" cy="7518400"/>
                    </a:xfrm>
                    <a:prstGeom prst="rect">
                      <a:avLst/>
                    </a:prstGeom>
                  </pic:spPr>
                </pic:pic>
              </a:graphicData>
            </a:graphic>
          </wp:anchor>
        </w:drawing>
      </w:r>
      <w:r w:rsidR="00F57F02">
        <w:rPr>
          <w:noProof/>
        </w:rPr>
        <mc:AlternateContent>
          <mc:Choice Requires="wps">
            <w:drawing>
              <wp:anchor distT="0" distB="0" distL="114300" distR="114300" simplePos="0" relativeHeight="251687936" behindDoc="0" locked="0" layoutInCell="1" allowOverlap="1" wp14:anchorId="1F9F46B4" wp14:editId="0895B6C2">
                <wp:simplePos x="0" y="0"/>
                <wp:positionH relativeFrom="column">
                  <wp:posOffset>450166</wp:posOffset>
                </wp:positionH>
                <wp:positionV relativeFrom="paragraph">
                  <wp:posOffset>137062</wp:posOffset>
                </wp:positionV>
                <wp:extent cx="187325" cy="179705"/>
                <wp:effectExtent l="0" t="0" r="3175" b="0"/>
                <wp:wrapTopAndBottom/>
                <wp:docPr id="254" name="Text Box 254"/>
                <wp:cNvGraphicFramePr/>
                <a:graphic xmlns:a="http://schemas.openxmlformats.org/drawingml/2006/main">
                  <a:graphicData uri="http://schemas.microsoft.com/office/word/2010/wordprocessingShape">
                    <wps:wsp>
                      <wps:cNvSpPr txBox="1"/>
                      <wps:spPr>
                        <a:xfrm>
                          <a:off x="0" y="0"/>
                          <a:ext cx="187325" cy="179705"/>
                        </a:xfrm>
                        <a:prstGeom prst="rect">
                          <a:avLst/>
                        </a:prstGeom>
                        <a:noFill/>
                        <a:ln w="6350">
                          <a:noFill/>
                        </a:ln>
                      </wps:spPr>
                      <wps:txbx>
                        <w:txbxContent>
                          <w:p w14:paraId="37B55373" w14:textId="77777777" w:rsidR="00F61130" w:rsidRPr="006508D1" w:rsidRDefault="00F61130" w:rsidP="00A33FEA">
                            <w:r w:rsidRPr="006508D1">
                              <w:t>A</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1F9F46B4" id="Text Box 254" o:spid="_x0000_s1220" type="#_x0000_t202" style="position:absolute;margin-left:35.45pt;margin-top:10.8pt;width:14.75pt;height:14.15pt;z-index:2516879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iRrQTKgIAAE0EAAAOAAAAZHJzL2Uyb0RvYy54bWysVFFv2jAQfp/U/2D5fSTQUdqIUNFWTJNQ&#13;&#10;WwmmPhvHJpFsn2cbEvbrd3YInbo9TXsxl7vz3X3ffWZ+32lFjsL5BkxJx6OcEmE4VI3Zl/T7dvX5&#13;&#10;lhIfmKmYAiNKehKe3i+uPs1bW4gJ1KAq4QgWMb5obUnrEGyRZZ7XQjM/AisMBiU4zQJ+un1WOdZi&#13;&#10;da2ySZ7fZC24yjrgwnv0PvVBukj1pRQ8vEjpRSCqpDhbSKdL5y6e2WLOir1jtm74eQz2D1No1hhs&#13;&#10;ein1xAIjB9f8UUo33IEHGUYcdAZSNlwkDIhmnH9As6mZFQkLkuPthSb//8ry5+OrI01V0sn0CyWG&#13;&#10;aVzSVnSBPEBHog8Zaq0vMHFjMTV0GMBND36Pzgi8k07HX4REMI5cny78xnI8XrqdXU+mlHAMjWd3&#13;&#10;s3waq2Tvl63z4asATaJRUofrS6yy49qHPnVIib0MrBql0gqVIW1Jb66nebpwiWBxZbBHhNCPGq3Q&#13;&#10;7boEenx3AbiD6oT4HPQa8ZavGpxizXx4ZQ5FgZBQ6OEFD6kAu8HZoqQG9/Nv/piPu8IoJS2KrKT+&#13;&#10;x4E5QYn6ZnCLUZGD4QZjNxjmoB8BdTvGJ2R5MvGCC2owpQP9hvpfxi4YYoZjr5KGwXwMvdTx/XCx&#13;&#10;XKYk1J1lYW02lsfSkcfI6bZ7Y86eiQ+4sWcY5MeKD/z3uf0GlocAsknLicz2LJ4JR82m9Z7fV3wU&#13;&#10;v3+nrPd/gcUvAAAA//8DAFBLAwQUAAYACAAAACEA99kDTeAAAAANAQAADwAAAGRycy9kb3ducmV2&#13;&#10;LnhtbExPy07DMBC8I/EP1iJxo3aqqpA0mwpRuPEsIMHNiU0SYa8j20nD3+Oe4LLSaB47U25na9ik&#13;&#10;fegdIWQLAUxT41RPLcLb693FFbAQJSlpHGmEHx1gW52elLJQ7kAvetrHlqUQCoVE6GIcCs5D02kr&#13;&#10;w8INmhL35byVMUHfcuXlIYVbw5dCrLmVPaUPnRz0Taeb7/1oEcxH8Pe1iJ/Trn2Iz098fL/NHhHP&#13;&#10;z+bdJp3rDbCo5/jngOOG1B+qVKx2I6nADMKlyJMSYZmtgR15IVbAaoRVngOvSv5/RfULAAD//wMA&#13;&#10;UEsBAi0AFAAGAAgAAAAhALaDOJL+AAAA4QEAABMAAAAAAAAAAAAAAAAAAAAAAFtDb250ZW50X1R5&#13;&#10;cGVzXS54bWxQSwECLQAUAAYACAAAACEAOP0h/9YAAACUAQAACwAAAAAAAAAAAAAAAAAvAQAAX3Jl&#13;&#10;bHMvLnJlbHNQSwECLQAUAAYACAAAACEAIka0EyoCAABNBAAADgAAAAAAAAAAAAAAAAAuAgAAZHJz&#13;&#10;L2Uyb0RvYy54bWxQSwECLQAUAAYACAAAACEA99kDTeAAAAANAQAADwAAAAAAAAAAAAAAAACEBAAA&#13;&#10;ZHJzL2Rvd25yZXYueG1sUEsFBgAAAAAEAAQA8wAAAJEFAAAAAA==&#13;&#10;" filled="f" stroked="f" strokeweight=".5pt">
                <v:textbox inset="0,0,0,0">
                  <w:txbxContent>
                    <w:p w14:paraId="37B55373" w14:textId="77777777" w:rsidR="00F61130" w:rsidRPr="006508D1" w:rsidRDefault="00F61130" w:rsidP="00A33FEA">
                      <w:r w:rsidRPr="006508D1">
                        <w:t>A</w:t>
                      </w:r>
                    </w:p>
                  </w:txbxContent>
                </v:textbox>
                <w10:wrap type="topAndBottom"/>
              </v:shape>
            </w:pict>
          </mc:Fallback>
        </mc:AlternateContent>
      </w:r>
      <w:r w:rsidR="00F57F02">
        <w:rPr>
          <w:noProof/>
        </w:rPr>
        <mc:AlternateContent>
          <mc:Choice Requires="wps">
            <w:drawing>
              <wp:anchor distT="0" distB="0" distL="114300" distR="114300" simplePos="0" relativeHeight="251688960" behindDoc="0" locked="0" layoutInCell="1" allowOverlap="1" wp14:anchorId="155CEE9C" wp14:editId="7290DE2E">
                <wp:simplePos x="0" y="0"/>
                <wp:positionH relativeFrom="column">
                  <wp:posOffset>3523566</wp:posOffset>
                </wp:positionH>
                <wp:positionV relativeFrom="paragraph">
                  <wp:posOffset>137062</wp:posOffset>
                </wp:positionV>
                <wp:extent cx="187325" cy="179705"/>
                <wp:effectExtent l="0" t="0" r="3175" b="0"/>
                <wp:wrapTopAndBottom/>
                <wp:docPr id="255" name="Text Box 255"/>
                <wp:cNvGraphicFramePr/>
                <a:graphic xmlns:a="http://schemas.openxmlformats.org/drawingml/2006/main">
                  <a:graphicData uri="http://schemas.microsoft.com/office/word/2010/wordprocessingShape">
                    <wps:wsp>
                      <wps:cNvSpPr txBox="1"/>
                      <wps:spPr>
                        <a:xfrm>
                          <a:off x="0" y="0"/>
                          <a:ext cx="187325" cy="179705"/>
                        </a:xfrm>
                        <a:prstGeom prst="rect">
                          <a:avLst/>
                        </a:prstGeom>
                        <a:noFill/>
                        <a:ln w="6350">
                          <a:noFill/>
                        </a:ln>
                      </wps:spPr>
                      <wps:txbx>
                        <w:txbxContent>
                          <w:p w14:paraId="754E05A3" w14:textId="77777777" w:rsidR="00F61130" w:rsidRPr="006508D1" w:rsidRDefault="00F61130" w:rsidP="00A33FEA">
                            <w:r>
                              <w:t>B</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155CEE9C" id="Text Box 255" o:spid="_x0000_s1221" type="#_x0000_t202" style="position:absolute;margin-left:277.45pt;margin-top:10.8pt;width:14.75pt;height:14.15pt;z-index:2516889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VHErFKAIAAE0EAAAOAAAAZHJzL2Uyb0RvYy54bWysVF1v2jAUfZ+0/2D5fSRQUdqIULFWTJNQ&#13;&#10;WwmmPhvHJpFsX882JOzX79ohtOr6VO3F3Ph+nnOPmd91WpGjcL4BU9LxKKdEGA5VY/Yl/bVdfbuh&#13;&#10;xAdmKqbAiJKehKd3i69f5q0txARqUJVwBIsYX7S2pHUItsgyz2uhmR+BFQadEpxmAT/dPqsca7G6&#13;&#10;Vtkkz6+zFlxlHXDhPd4+9E66SPWlFDw8SelFIKqkOFtIp0vnLp7ZYs6KvWO2bvh5DPaJKTRrDDa9&#13;&#10;lHpggZGDa/4ppRvuwIMMIw46AykbLhIGRDPO36HZ1MyKhAXJ8fZCk/9/Zfnj8dmRpirpZDqlxDCN&#13;&#10;S9qKLpDv0JF4hwy11hcYuLEYGjp04KaHe4+XEXgnnY6/CImgH7k+XfiN5XhMupldTbALR9d4djvL&#13;&#10;U/XsNdk6H34I0CQaJXW4vsQqO659wEEwdAiJvQysGqXSCpUhbUmvr6Z5Srh4MEMZTIwQ+lGjFbpd&#13;&#10;l0CPby8Ad1CdEJ+DXiPe8lWDU6yZD8/MoSgQEgo9POEhFWA3OFuU1OD+fHQf43FX6KWkRZGV1P8+&#13;&#10;MCcoUT8NbjEqcjDcYOwGwxz0PaBux/iELE8mJrigBlM60C+o/2Xsgi5mOPYqaRjM+9BLHd8PF8tl&#13;&#10;CkLdWRbWZmN5LB15jJxuuxfm7Jn4gBt7hEF+rHjHfx/bb2B5CCCbtJzIbM/imXDUbNrZ+X3FR/H2&#13;&#10;O0W9/gss/gIAAP//AwBQSwMEFAAGAAgAAAAhANL8/5jiAAAADgEAAA8AAABkcnMvZG93bnJldi54&#13;&#10;bWxMT0tPg0AQvpv4HzZj4s0uNNAUytAYqze12tZEbwuMQNwH2V0o/nvXk14m+TLfs9jOSrKJrOuN&#13;&#10;RogXETDStWl63SKcjg83a2DOC90IaTQhfJODbXl5UYi8MWf9StPBtyyYaJcLhM77Iefc1R0p4RZm&#13;&#10;IB1+n8Yq4QO0LW+sOAdzJfkyilZciV6HhE4MdNdR/XUYFYJ8d/axivzHtGuf/Muej2/38TPi9dW8&#13;&#10;24RzuwHmafZ/CvjdEPpDGYpVZtSNYxIhTZMsUBGW8QpYIKTrJAFWISRZBrws+P8Z5Q8AAAD//wMA&#13;&#10;UEsBAi0AFAAGAAgAAAAhALaDOJL+AAAA4QEAABMAAAAAAAAAAAAAAAAAAAAAAFtDb250ZW50X1R5&#13;&#10;cGVzXS54bWxQSwECLQAUAAYACAAAACEAOP0h/9YAAACUAQAACwAAAAAAAAAAAAAAAAAvAQAAX3Jl&#13;&#10;bHMvLnJlbHNQSwECLQAUAAYACAAAACEAFRxKxSgCAABNBAAADgAAAAAAAAAAAAAAAAAuAgAAZHJz&#13;&#10;L2Uyb0RvYy54bWxQSwECLQAUAAYACAAAACEA0vz/mOIAAAAOAQAADwAAAAAAAAAAAAAAAACCBAAA&#13;&#10;ZHJzL2Rvd25yZXYueG1sUEsFBgAAAAAEAAQA8wAAAJEFAAAAAA==&#13;&#10;" filled="f" stroked="f" strokeweight=".5pt">
                <v:textbox inset="0,0,0,0">
                  <w:txbxContent>
                    <w:p w14:paraId="754E05A3" w14:textId="77777777" w:rsidR="00F61130" w:rsidRPr="006508D1" w:rsidRDefault="00F61130" w:rsidP="00A33FEA">
                      <w:r>
                        <w:t>B</w:t>
                      </w:r>
                    </w:p>
                  </w:txbxContent>
                </v:textbox>
                <w10:wrap type="topAndBottom"/>
              </v:shape>
            </w:pict>
          </mc:Fallback>
        </mc:AlternateContent>
      </w:r>
      <w:r w:rsidR="00F57F02">
        <w:rPr>
          <w:noProof/>
        </w:rPr>
        <mc:AlternateContent>
          <mc:Choice Requires="wps">
            <w:drawing>
              <wp:anchor distT="0" distB="0" distL="114300" distR="114300" simplePos="0" relativeHeight="251689984" behindDoc="0" locked="0" layoutInCell="1" allowOverlap="1" wp14:anchorId="5D5B8FB7" wp14:editId="3AA88345">
                <wp:simplePos x="0" y="0"/>
                <wp:positionH relativeFrom="column">
                  <wp:posOffset>450166</wp:posOffset>
                </wp:positionH>
                <wp:positionV relativeFrom="paragraph">
                  <wp:posOffset>1445162</wp:posOffset>
                </wp:positionV>
                <wp:extent cx="187325" cy="179705"/>
                <wp:effectExtent l="0" t="0" r="3175" b="0"/>
                <wp:wrapTopAndBottom/>
                <wp:docPr id="704" name="Text Box 704"/>
                <wp:cNvGraphicFramePr/>
                <a:graphic xmlns:a="http://schemas.openxmlformats.org/drawingml/2006/main">
                  <a:graphicData uri="http://schemas.microsoft.com/office/word/2010/wordprocessingShape">
                    <wps:wsp>
                      <wps:cNvSpPr txBox="1"/>
                      <wps:spPr>
                        <a:xfrm>
                          <a:off x="0" y="0"/>
                          <a:ext cx="187325" cy="179705"/>
                        </a:xfrm>
                        <a:prstGeom prst="rect">
                          <a:avLst/>
                        </a:prstGeom>
                        <a:noFill/>
                        <a:ln w="6350">
                          <a:noFill/>
                        </a:ln>
                      </wps:spPr>
                      <wps:txbx>
                        <w:txbxContent>
                          <w:p w14:paraId="71D40346" w14:textId="77777777" w:rsidR="00F61130" w:rsidRPr="006508D1" w:rsidRDefault="00F61130" w:rsidP="00A33FEA">
                            <w:r>
                              <w:t>CA</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5D5B8FB7" id="Text Box 704" o:spid="_x0000_s1222" type="#_x0000_t202" style="position:absolute;margin-left:35.45pt;margin-top:113.8pt;width:14.75pt;height:14.15pt;z-index:2516899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kV2ScKgIAAE0EAAAOAAAAZHJzL2Uyb0RvYy54bWysVFFv2jAQfp+0/2D5fSTQAW1EqFgrpkmo&#13;&#10;rQRTn41jk0i2z7MNCfv1OzuETt2epr2Yy9357r7vPrO477QiJ+F8A6ak41FOiTAcqsYcSvp9t/50&#13;&#10;S4kPzFRMgRElPQtP75cfPyxaW4gJ1KAq4QgWMb5obUnrEGyRZZ7XQjM/AisMBiU4zQJ+ukNWOdZi&#13;&#10;da2ySZ7PshZcZR1w4T16H/sgXab6UgoenqX0IhBVUpwtpNOlcx/PbLlgxcExWzf8Mgb7hyk0aww2&#13;&#10;vZZ6ZIGRo2v+KKUb7sCDDCMOOgMpGy4SBkQzzt+h2dbMioQFyfH2SpP/f2X50+nFkaYq6Tz/TIlh&#13;&#10;Gpe0E10gX6Aj0YcMtdYXmLi1mBo6DOCmB79HZwTeSafjL0IiGEeuz1d+YzkeL93ObyZTSjiGxvO7&#13;&#10;eT6NVbK3y9b58FWAJtEoqcP1JVbZaeNDnzqkxF4G1o1SaYXKkLaks5tpni5cI1hcGewRIfSjRit0&#13;&#10;+y6BHt/NBiB7qM6Iz0GvEW/5usEpNsyHF+ZQFAgJhR6e8ZAKsBtcLEpqcD//5o/5uCuMUtKiyErq&#13;&#10;fxyZE5Sobwa3GBU5GG4w9oNhjvoBULdjfEKWJxMvuKAGUzrQr6j/VeyCIWY49ippGMyH0Esd3w8X&#13;&#10;q1VKQt1ZFjZma3ksHXmMnO66V+bshfiAG3uCQX6seMd/n9tvYHUMIJu0nMhsz+KFcNRsWu/lfcVH&#13;&#10;8ft3ynr7F1j+AgAA//8DAFBLAwQUAAYACAAAACEAvL79/OIAAAAPAQAADwAAAGRycy9kb3ducmV2&#13;&#10;LnhtbExPy07DMBC8I/EP1iJxo3Yj2tI0ToUo3HgWkODmxCaJsNeR7aTh79me4LLS7szOo9hOzrLR&#13;&#10;hNh5lDCfCWAGa687bCS8vd5dXAGLSaFW1qOR8GMibMvTk0Ll2h/wxYz71DASwZgrCW1Kfc55rFvj&#13;&#10;VJz53iBhXz44lWgNDddBHUjcWZ4JseROdUgOrerNTWvq7/3gJNiPGO4rkT7HXfOQnp/48H47f5Ty&#13;&#10;/GzabWhcb4AlM6W/Dzh2oPxQUrDKD6gjsxJWYk1MCVm2WgI7EoS4BFbRZbFYAy8L/r9H+QsAAP//&#13;&#10;AwBQSwECLQAUAAYACAAAACEAtoM4kv4AAADhAQAAEwAAAAAAAAAAAAAAAAAAAAAAW0NvbnRlbnRf&#13;&#10;VHlwZXNdLnhtbFBLAQItABQABgAIAAAAIQA4/SH/1gAAAJQBAAALAAAAAAAAAAAAAAAAAC8BAABf&#13;&#10;cmVscy8ucmVsc1BLAQItABQABgAIAAAAIQBkV2ScKgIAAE0EAAAOAAAAAAAAAAAAAAAAAC4CAABk&#13;&#10;cnMvZTJvRG9jLnhtbFBLAQItABQABgAIAAAAIQC8vv384gAAAA8BAAAPAAAAAAAAAAAAAAAAAIQE&#13;&#10;AABkcnMvZG93bnJldi54bWxQSwUGAAAAAAQABADzAAAAkwUAAAAA&#13;&#10;" filled="f" stroked="f" strokeweight=".5pt">
                <v:textbox inset="0,0,0,0">
                  <w:txbxContent>
                    <w:p w14:paraId="71D40346" w14:textId="77777777" w:rsidR="00F61130" w:rsidRPr="006508D1" w:rsidRDefault="00F61130" w:rsidP="00A33FEA">
                      <w:r>
                        <w:t>CA</w:t>
                      </w:r>
                    </w:p>
                  </w:txbxContent>
                </v:textbox>
                <w10:wrap type="topAndBottom"/>
              </v:shape>
            </w:pict>
          </mc:Fallback>
        </mc:AlternateContent>
      </w:r>
      <w:r w:rsidR="00F57F02">
        <w:rPr>
          <w:noProof/>
        </w:rPr>
        <mc:AlternateContent>
          <mc:Choice Requires="wps">
            <w:drawing>
              <wp:anchor distT="0" distB="0" distL="114300" distR="114300" simplePos="0" relativeHeight="251691008" behindDoc="0" locked="0" layoutInCell="1" allowOverlap="1" wp14:anchorId="39E76227" wp14:editId="6DC0D1F1">
                <wp:simplePos x="0" y="0"/>
                <wp:positionH relativeFrom="column">
                  <wp:posOffset>3523566</wp:posOffset>
                </wp:positionH>
                <wp:positionV relativeFrom="paragraph">
                  <wp:posOffset>1432462</wp:posOffset>
                </wp:positionV>
                <wp:extent cx="187325" cy="179705"/>
                <wp:effectExtent l="0" t="0" r="3175" b="0"/>
                <wp:wrapTopAndBottom/>
                <wp:docPr id="705" name="Text Box 705"/>
                <wp:cNvGraphicFramePr/>
                <a:graphic xmlns:a="http://schemas.openxmlformats.org/drawingml/2006/main">
                  <a:graphicData uri="http://schemas.microsoft.com/office/word/2010/wordprocessingShape">
                    <wps:wsp>
                      <wps:cNvSpPr txBox="1"/>
                      <wps:spPr>
                        <a:xfrm>
                          <a:off x="0" y="0"/>
                          <a:ext cx="187325" cy="179705"/>
                        </a:xfrm>
                        <a:prstGeom prst="rect">
                          <a:avLst/>
                        </a:prstGeom>
                        <a:noFill/>
                        <a:ln w="6350">
                          <a:noFill/>
                        </a:ln>
                      </wps:spPr>
                      <wps:txbx>
                        <w:txbxContent>
                          <w:p w14:paraId="11AC7F64" w14:textId="77777777" w:rsidR="00F61130" w:rsidRPr="006508D1" w:rsidRDefault="00F61130" w:rsidP="00A33FEA">
                            <w:r>
                              <w:t>D</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39E76227" id="Text Box 705" o:spid="_x0000_s1223" type="#_x0000_t202" style="position:absolute;margin-left:277.45pt;margin-top:112.8pt;width:14.75pt;height:14.15pt;z-index:2516910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TDZpKJwIAAE0EAAAOAAAAZHJzL2Uyb0RvYy54bWysVF1v2jAUfZ+0/2D5fSRQtbQRoWKtmCah&#13;&#10;thJMfTaOTSLZvp5tSNiv37WT0Krb07QXc+P7ec49ZnHfaUVOwvkGTEmnk5wSYThUjTmU9Mdu/eWW&#13;&#10;Eh+YqZgCI0p6Fp7eLz9/WrS2EDOoQVXCESxifNHaktYh2CLLPK+FZn4CVhh0SnCaBfx0h6xyrMXq&#13;&#10;WmWzPL/JWnCVdcCF93j72DvpMtWXUvDwLKUXgaiS4mwhnS6d+3hmywUrDo7ZuuHDGOwfptCsMdj0&#13;&#10;UuqRBUaOrvmjlG64Aw8yTDjoDKRsuEgYEM00/4BmWzMrEhYkx9sLTf7/leVPpxdHmqqk8/yaEsM0&#13;&#10;LmknukC+QkfiHTLUWl9g4NZiaOjQgZse7z1eRuCddDr+IiSCfuT6fOE3luMx6XZ+NcMuHF3T+d1Q&#13;&#10;PXtLts6HbwI0iUZJHa4vscpOGx9wEAwdQ2IvA+tGqbRCZUhb0pur6zwlXDyYoQwmRgj9qNEK3b5L&#13;&#10;oKd38xHIHqoz4nPQa8Rbvm5wig3z4YU5FAVCQqGHZzykAuwGg0VJDe7X3+5jPO4KvZS0KLKS+p9H&#13;&#10;5gQl6rvBLUZFjoYbjf1omKN+ANTtFJ+Q5cnEBBfUaEoH+hX1v4pd0MUMx14lDaP5EHqp4/vhYrVK&#13;&#10;Qag7y8LGbC2PpSOPkdNd98qcHYgPuLEnGOXHig/897H9BlbHALJJy4nM9iwOhKNm086G9xUfxfvv&#13;&#10;FPX2L7D8DQAA//8DAFBLAwQUAAYACAAAACEApgD4uOQAAAAQAQAADwAAAGRycy9kb3ducmV2Lnht&#13;&#10;bExPy07DMBC8I/EP1iJxo05DXLVpnApRuPEsIMHNiU0SEa8j20nD37Oc4LLS7szOo9jNtmeT8aFz&#13;&#10;KGG5SIAZrJ3usJHw+nJ7sQYWokKteodGwrcJsCtPTwqVa3fEZzMdYsNIBEOuJLQxDjnnoW6NVWHh&#13;&#10;BoOEfTpvVaTVN1x7dSRx2/M0SVbcqg7JoVWDuW5N/XUYrYT+Pfi7Kokf0765j0+PfHy7WT5IeX42&#13;&#10;77c0rrbAopnj3wf8dqD8UFKwyo2oA+slCJFtiCohTcUKGDHEOsuAVXQRlxvgZcH/Fyl/AAAA//8D&#13;&#10;AFBLAQItABQABgAIAAAAIQC2gziS/gAAAOEBAAATAAAAAAAAAAAAAAAAAAAAAABbQ29udGVudF9U&#13;&#10;eXBlc10ueG1sUEsBAi0AFAAGAAgAAAAhADj9If/WAAAAlAEAAAsAAAAAAAAAAAAAAAAALwEAAF9y&#13;&#10;ZWxzLy5yZWxzUEsBAi0AFAAGAAgAAAAhAFMNmkonAgAATQQAAA4AAAAAAAAAAAAAAAAALgIAAGRy&#13;&#10;cy9lMm9Eb2MueG1sUEsBAi0AFAAGAAgAAAAhAKYA+LjkAAAAEAEAAA8AAAAAAAAAAAAAAAAAgQQA&#13;&#10;AGRycy9kb3ducmV2LnhtbFBLBQYAAAAABAAEAPMAAACSBQAAAAA=&#13;&#10;" filled="f" stroked="f" strokeweight=".5pt">
                <v:textbox inset="0,0,0,0">
                  <w:txbxContent>
                    <w:p w14:paraId="11AC7F64" w14:textId="77777777" w:rsidR="00F61130" w:rsidRPr="006508D1" w:rsidRDefault="00F61130" w:rsidP="00A33FEA">
                      <w:r>
                        <w:t>D</w:t>
                      </w:r>
                    </w:p>
                  </w:txbxContent>
                </v:textbox>
                <w10:wrap type="topAndBottom"/>
              </v:shape>
            </w:pict>
          </mc:Fallback>
        </mc:AlternateContent>
      </w:r>
      <w:r w:rsidR="00F57F02">
        <w:rPr>
          <w:noProof/>
        </w:rPr>
        <mc:AlternateContent>
          <mc:Choice Requires="wps">
            <w:drawing>
              <wp:anchor distT="0" distB="0" distL="114300" distR="114300" simplePos="0" relativeHeight="251692032" behindDoc="0" locked="0" layoutInCell="1" allowOverlap="1" wp14:anchorId="682F7F2D" wp14:editId="19430FA0">
                <wp:simplePos x="0" y="0"/>
                <wp:positionH relativeFrom="column">
                  <wp:posOffset>450166</wp:posOffset>
                </wp:positionH>
                <wp:positionV relativeFrom="paragraph">
                  <wp:posOffset>2600862</wp:posOffset>
                </wp:positionV>
                <wp:extent cx="187325" cy="179705"/>
                <wp:effectExtent l="0" t="0" r="3175" b="0"/>
                <wp:wrapTopAndBottom/>
                <wp:docPr id="706" name="Text Box 706"/>
                <wp:cNvGraphicFramePr/>
                <a:graphic xmlns:a="http://schemas.openxmlformats.org/drawingml/2006/main">
                  <a:graphicData uri="http://schemas.microsoft.com/office/word/2010/wordprocessingShape">
                    <wps:wsp>
                      <wps:cNvSpPr txBox="1"/>
                      <wps:spPr>
                        <a:xfrm>
                          <a:off x="0" y="0"/>
                          <a:ext cx="187325" cy="179705"/>
                        </a:xfrm>
                        <a:prstGeom prst="rect">
                          <a:avLst/>
                        </a:prstGeom>
                        <a:noFill/>
                        <a:ln w="6350">
                          <a:noFill/>
                        </a:ln>
                      </wps:spPr>
                      <wps:txbx>
                        <w:txbxContent>
                          <w:p w14:paraId="0EE7D229" w14:textId="77777777" w:rsidR="00F61130" w:rsidRPr="006508D1" w:rsidRDefault="00F61130" w:rsidP="00A33FEA">
                            <w:r>
                              <w:t>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682F7F2D" id="Text Box 706" o:spid="_x0000_s1224" type="#_x0000_t202" style="position:absolute;margin-left:35.45pt;margin-top:204.8pt;width:14.75pt;height:14.15pt;z-index:2516920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GQS+MKgIAAE0EAAAOAAAAZHJzL2Uyb0RvYy54bWysVFFv2jAQfp+0/2D5fSRQAW1EqFgrpkmo&#13;&#10;rQRTn41jk0i2z7MNCfv1OzuEVt2epr2Yy9357r7vPrO477QiJ+F8A6ak41FOiTAcqsYcSvpjt/5y&#13;&#10;S4kPzFRMgRElPQtP75efPy1aW4gJ1KAq4QgWMb5obUnrEGyRZZ7XQjM/AisMBiU4zQJ+ukNWOdZi&#13;&#10;da2ySZ7PshZcZR1w4T16H/sgXab6UgoenqX0IhBVUpwtpNOlcx/PbLlgxcExWzf8Mgb7hyk0aww2&#13;&#10;vZZ6ZIGRo2v+KKUb7sCDDCMOOgMpGy4SBkQzzj+g2dbMioQFyfH2SpP/f2X50+nFkaYq6TyfUWKY&#13;&#10;xiXtRBfIV+hI9CFDrfUFJm4tpoYOA7jpwe/RGYF30un4i5AIxpHr85XfWI7HS7fzm8mUEo6h8fxu&#13;&#10;nk9jleztsnU+fBOgSTRK6nB9iVV22vjQpw4psZeBdaNUWqEypC3p7GaapwvXCBZXBntECP2o0Qrd&#13;&#10;vkugx3e3A5A9VGfE56DXiLd83eAUG+bDC3MoCoSEQg/PeEgF2A0uFiU1uF9/88d83BVGKWlRZCX1&#13;&#10;P4/MCUrUd4NbjIocDDcY+8EwR/0AqNsxPiHLk4kXXFCDKR3oV9T/KnbBEDMce5U0DOZD6KWO74eL&#13;&#10;1Soloe4sCxuztTyWjjxGTnfdK3P2QnzAjT3BID9WfOC/z+03sDoGkE1aTmS2Z/FCOGo2rffyvuKj&#13;&#10;eP+dst7+BZa/AQAA//8DAFBLAwQUAAYACAAAACEAbBslVuIAAAAPAQAADwAAAGRycy9kb3ducmV2&#13;&#10;LnhtbExPTU/DMAy9I/EfIiNxY8lg2mjXdEIMbjBggAS3tDFtReJUSdqVf092gosl+z2/j2IzWcNG&#13;&#10;9KFzJGE+E8CQaqc7aiS8vd5fXAMLUZFWxhFK+MEAm/L0pFC5dgd6wXEfG5ZEKORKQhtjn3Me6hat&#13;&#10;CjPXIyXsy3mrYlp9w7VXhyRuDb8UYsmt6ig5tKrH2xbr7/1gJZiP4B8qET/HbfMYn5/48H4330l5&#13;&#10;fjZt12ncrIFFnOLfBxw7pPxQpmCVG0gHZiSsRJaYEhYiWwI7EoRYAKvS5WqVAS8L/r9H+QsAAP//&#13;&#10;AwBQSwECLQAUAAYACAAAACEAtoM4kv4AAADhAQAAEwAAAAAAAAAAAAAAAAAAAAAAW0NvbnRlbnRf&#13;&#10;VHlwZXNdLnhtbFBLAQItABQABgAIAAAAIQA4/SH/1gAAAJQBAAALAAAAAAAAAAAAAAAAAC8BAABf&#13;&#10;cmVscy8ucmVsc1BLAQItABQABgAIAAAAIQAGQS+MKgIAAE0EAAAOAAAAAAAAAAAAAAAAAC4CAABk&#13;&#10;cnMvZTJvRG9jLnhtbFBLAQItABQABgAIAAAAIQBsGyVW4gAAAA8BAAAPAAAAAAAAAAAAAAAAAIQE&#13;&#10;AABkcnMvZG93bnJldi54bWxQSwUGAAAAAAQABADzAAAAkwUAAAAA&#13;&#10;" filled="f" stroked="f" strokeweight=".5pt">
                <v:textbox inset="0,0,0,0">
                  <w:txbxContent>
                    <w:p w14:paraId="0EE7D229" w14:textId="77777777" w:rsidR="00F61130" w:rsidRPr="006508D1" w:rsidRDefault="00F61130" w:rsidP="00A33FEA">
                      <w:r>
                        <w:t>E</w:t>
                      </w:r>
                    </w:p>
                  </w:txbxContent>
                </v:textbox>
                <w10:wrap type="topAndBottom"/>
              </v:shape>
            </w:pict>
          </mc:Fallback>
        </mc:AlternateContent>
      </w:r>
      <w:r w:rsidR="00F57F02">
        <w:rPr>
          <w:noProof/>
        </w:rPr>
        <mc:AlternateContent>
          <mc:Choice Requires="wps">
            <w:drawing>
              <wp:anchor distT="0" distB="0" distL="114300" distR="114300" simplePos="0" relativeHeight="251693056" behindDoc="0" locked="0" layoutInCell="1" allowOverlap="1" wp14:anchorId="1B0C599E" wp14:editId="3CBB3761">
                <wp:simplePos x="0" y="0"/>
                <wp:positionH relativeFrom="column">
                  <wp:posOffset>3510866</wp:posOffset>
                </wp:positionH>
                <wp:positionV relativeFrom="paragraph">
                  <wp:posOffset>2588162</wp:posOffset>
                </wp:positionV>
                <wp:extent cx="187325" cy="179705"/>
                <wp:effectExtent l="0" t="0" r="3175" b="0"/>
                <wp:wrapTopAndBottom/>
                <wp:docPr id="707" name="Text Box 707"/>
                <wp:cNvGraphicFramePr/>
                <a:graphic xmlns:a="http://schemas.openxmlformats.org/drawingml/2006/main">
                  <a:graphicData uri="http://schemas.microsoft.com/office/word/2010/wordprocessingShape">
                    <wps:wsp>
                      <wps:cNvSpPr txBox="1"/>
                      <wps:spPr>
                        <a:xfrm>
                          <a:off x="0" y="0"/>
                          <a:ext cx="187325" cy="179705"/>
                        </a:xfrm>
                        <a:prstGeom prst="rect">
                          <a:avLst/>
                        </a:prstGeom>
                        <a:noFill/>
                        <a:ln w="6350">
                          <a:noFill/>
                        </a:ln>
                      </wps:spPr>
                      <wps:txbx>
                        <w:txbxContent>
                          <w:p w14:paraId="47C908E3" w14:textId="77777777" w:rsidR="00F61130" w:rsidRPr="006508D1" w:rsidRDefault="00F61130" w:rsidP="00A33FEA">
                            <w:r>
                              <w:t>F</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1B0C599E" id="Text Box 707" o:spid="_x0000_s1225" type="#_x0000_t202" style="position:absolute;margin-left:276.45pt;margin-top:203.8pt;width:14.75pt;height:14.15pt;z-index:2516930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xG9FaKgIAAE0EAAAOAAAAZHJzL2Uyb0RvYy54bWysVFFv2jAQfp+0/2D5fSRQUUpEqFgrpkmo&#13;&#10;rQRTn41jk0i2z7MNCfv1OzuEVt2epr2Yy9357r7vPrO477QiJ+F8A6ak41FOiTAcqsYcSvpjt/5y&#13;&#10;R4kPzFRMgRElPQtP75efPy1aW4gJ1KAq4QgWMb5obUnrEGyRZZ7XQjM/AisMBiU4zQJ+ukNWOdZi&#13;&#10;da2ySZ7fZi24yjrgwnv0PvZBukz1pRQ8PEvpRSCqpDhbSKdL5z6e2XLBioNjtm74ZQz2D1No1hhs&#13;&#10;ei31yAIjR9f8UUo33IEHGUYcdAZSNlwkDIhmnH9As62ZFQkLkuPtlSb//8ryp9OLI01V0lk+o8Qw&#13;&#10;jUvaiS6Qr9CR6EOGWusLTNxaTA0dBnDTg9+jMwLvpNPxFyERjCPX5yu/sRyPl+5mN5MpJRxD49l8&#13;&#10;lk9jleztsnU+fBOgSTRK6nB9iVV22vjQpw4psZeBdaNUWqEypC3p7c00TxeuESyuDPaIEPpRoxW6&#13;&#10;fZdAj+fzAcgeqjPic9BrxFu+bnCKDfPhhTkUBUJCoYdnPKQC7AYXi5Ia3K+/+WM+7gqjlLQospL6&#13;&#10;n0fmBCXqu8EtRkUOhhuM/WCYo34A1O0Yn5DlycQLLqjBlA70K+p/FbtgiBmOvUoaBvMh9FLH98PF&#13;&#10;apWSUHeWhY3ZWh5LRx4jp7vulTl7IT7gxp5gkB8rPvDf5/YbWB0DyCYtJzLbs3ghHDWb1nt5X/FR&#13;&#10;vP9OWW//AsvfAAAA//8DAFBLAwQUAAYACAAAACEAdKQajeUAAAAQAQAADwAAAGRycy9kb3ducmV2&#13;&#10;LnhtbExPy07DMBC8I/EP1iJxo05DU9o0ToUo3CiPAhLcnNgkEfY6sp00/D3LCS4r7c7sPIrtZA0b&#13;&#10;tQ+dQwHzWQJMY+1Uh42A15e7ixWwECUqaRxqAd86wLY8PSlkrtwRn/V4iA0jEQy5FNDG2Oech7rV&#13;&#10;VoaZ6zUS9um8lZFW33Dl5ZHEreFpkiy5lR2SQyt7fdPq+uswWAHmPfj7Kokf467Zx6dHPrzdzh+E&#13;&#10;OD+bdhsa1xtgUU/x7wN+O1B+KClY5QZUgRkBWZauiSpgkVwtgREjW6ULYBVdLrM18LLg/4uUPwAA&#13;&#10;AP//AwBQSwECLQAUAAYACAAAACEAtoM4kv4AAADhAQAAEwAAAAAAAAAAAAAAAAAAAAAAW0NvbnRl&#13;&#10;bnRfVHlwZXNdLnhtbFBLAQItABQABgAIAAAAIQA4/SH/1gAAAJQBAAALAAAAAAAAAAAAAAAAAC8B&#13;&#10;AABfcmVscy8ucmVsc1BLAQItABQABgAIAAAAIQAxG9FaKgIAAE0EAAAOAAAAAAAAAAAAAAAAAC4C&#13;&#10;AABkcnMvZTJvRG9jLnhtbFBLAQItABQABgAIAAAAIQB0pBqN5QAAABABAAAPAAAAAAAAAAAAAAAA&#13;&#10;AIQEAABkcnMvZG93bnJldi54bWxQSwUGAAAAAAQABADzAAAAlgUAAAAA&#13;&#10;" filled="f" stroked="f" strokeweight=".5pt">
                <v:textbox inset="0,0,0,0">
                  <w:txbxContent>
                    <w:p w14:paraId="47C908E3" w14:textId="77777777" w:rsidR="00F61130" w:rsidRPr="006508D1" w:rsidRDefault="00F61130" w:rsidP="00A33FEA">
                      <w:r>
                        <w:t>F</w:t>
                      </w:r>
                    </w:p>
                  </w:txbxContent>
                </v:textbox>
                <w10:wrap type="topAndBottom"/>
              </v:shape>
            </w:pict>
          </mc:Fallback>
        </mc:AlternateContent>
      </w:r>
      <w:r w:rsidR="00F57F02">
        <w:rPr>
          <w:noProof/>
        </w:rPr>
        <mc:AlternateContent>
          <mc:Choice Requires="wps">
            <w:drawing>
              <wp:anchor distT="0" distB="0" distL="114300" distR="114300" simplePos="0" relativeHeight="251694080" behindDoc="0" locked="0" layoutInCell="1" allowOverlap="1" wp14:anchorId="59595CEE" wp14:editId="75485E4D">
                <wp:simplePos x="0" y="0"/>
                <wp:positionH relativeFrom="column">
                  <wp:posOffset>450166</wp:posOffset>
                </wp:positionH>
                <wp:positionV relativeFrom="paragraph">
                  <wp:posOffset>3693062</wp:posOffset>
                </wp:positionV>
                <wp:extent cx="187325" cy="179705"/>
                <wp:effectExtent l="0" t="0" r="3175" b="0"/>
                <wp:wrapTopAndBottom/>
                <wp:docPr id="708" name="Text Box 708"/>
                <wp:cNvGraphicFramePr/>
                <a:graphic xmlns:a="http://schemas.openxmlformats.org/drawingml/2006/main">
                  <a:graphicData uri="http://schemas.microsoft.com/office/word/2010/wordprocessingShape">
                    <wps:wsp>
                      <wps:cNvSpPr txBox="1"/>
                      <wps:spPr>
                        <a:xfrm>
                          <a:off x="0" y="0"/>
                          <a:ext cx="187325" cy="179705"/>
                        </a:xfrm>
                        <a:prstGeom prst="rect">
                          <a:avLst/>
                        </a:prstGeom>
                        <a:noFill/>
                        <a:ln w="6350">
                          <a:noFill/>
                        </a:ln>
                      </wps:spPr>
                      <wps:txbx>
                        <w:txbxContent>
                          <w:p w14:paraId="2FC6F087" w14:textId="77777777" w:rsidR="00F61130" w:rsidRPr="006508D1" w:rsidRDefault="00F61130" w:rsidP="00A33FEA">
                            <w:r>
                              <w:t>G</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59595CEE" id="Text Box 708" o:spid="_x0000_s1226" type="#_x0000_t202" style="position:absolute;margin-left:35.45pt;margin-top:290.8pt;width:14.75pt;height:14.15pt;z-index:2516940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8fDLjKAIAAE0EAAAOAAAAZHJzL2Uyb0RvYy54bWysVF9v2yAQf5+074B4X+ykStNZcaqsVaZJ&#13;&#10;UVspmfpMMMSWgGNAYmeffge206nb07QXcuaOO35/yPK+04qchfMNmJJOJzklwnCoGnMs6ff95tMd&#13;&#10;JT4wUzEFRpT0Ijy9X338sGxtIWZQg6qEI9jE+KK1Ja1DsEWWeV4LzfwErDCYlOA0C/jpjlnlWIvd&#13;&#10;tcpmeX6bteAq64AL73H3sU/SVeovpeDhWUovAlElxbuFtLq0HuKarZasODpm64YP12D/cAvNGoND&#13;&#10;r60eWWDk5Jo/WumGO/Agw4SDzkDKhouEAdFM83dodjWzImFBcry90uT/X1v+dH5xpKlKushRKsM0&#13;&#10;irQXXSBfoCNxDxlqrS+wcGexNHSYQKXHfY+bEXgnnY6/CIlgHrm+XPmN7Xg8dLe4mc0p4ZiaLj4v&#13;&#10;8nnskr0dts6HrwI0iUFJHcqXWGXnrQ996VgSZxnYNEolCZUhbUlvb+Z5OnDNYHNlcEaE0F81RqE7&#13;&#10;dAk0WmgEcoDqgvgc9B7xlm8avMWW+fDCHJoCIaHRwzMuUgFOgyGipAb382/7sR61wiwlLZqspP7H&#13;&#10;iTlBifpmUMXoyDFwY3AYA3PSD4C+neITsjyFeMAFNYbSgX5F/6/jFEwxw3FWScMYPoTe6vh+uFiv&#13;&#10;UxH6zrKwNTvLY+vIY+R0370yZwfiAyr2BKP9WPGO/762V2B9CiCbJE5ktmdxIBw9m+Qd3ld8FL9/&#13;&#10;p6q3f4HVLwAAAP//AwBQSwMEFAAGAAgAAAAhADIkbRvhAAAADwEAAA8AAABkcnMvZG93bnJldi54&#13;&#10;bWxMT8lOwzAQvSPxD9YgcaN2EIQmjVMhCjfWtkhwc+IhiYjHke2k4e9xT3AZ6WneWqxn07MJne8s&#13;&#10;SUgWAhhSbXVHjYT97uFiCcwHRVr1llDCD3pYl6cnhcq1PdAbTtvQsGhCPlcS2hCGnHNft2iUX9gB&#13;&#10;Kf6+rDMqROgarp06RHPT80shUm5URzGhVQPetVh/b0cjof/w7rES4XPaNE/h9YWP7/fJs5TnZ/Nm&#13;&#10;Fc/tCljAOfwp4Lgh9ocyFqvsSNqzXsKNyCJTwvUySYEdCUJcAaskpCLLgJcF/7+j/AUAAP//AwBQ&#13;&#10;SwECLQAUAAYACAAAACEAtoM4kv4AAADhAQAAEwAAAAAAAAAAAAAAAAAAAAAAW0NvbnRlbnRfVHlw&#13;&#10;ZXNdLnhtbFBLAQItABQABgAIAAAAIQA4/SH/1gAAAJQBAAALAAAAAAAAAAAAAAAAAC8BAABfcmVs&#13;&#10;cy8ucmVsc1BLAQItABQABgAIAAAAIQA8fDLjKAIAAE0EAAAOAAAAAAAAAAAAAAAAAC4CAABkcnMv&#13;&#10;ZTJvRG9jLnhtbFBLAQItABQABgAIAAAAIQAyJG0b4QAAAA8BAAAPAAAAAAAAAAAAAAAAAIIEAABk&#13;&#10;cnMvZG93bnJldi54bWxQSwUGAAAAAAQABADzAAAAkAUAAAAA&#13;&#10;" filled="f" stroked="f" strokeweight=".5pt">
                <v:textbox inset="0,0,0,0">
                  <w:txbxContent>
                    <w:p w14:paraId="2FC6F087" w14:textId="77777777" w:rsidR="00F61130" w:rsidRPr="006508D1" w:rsidRDefault="00F61130" w:rsidP="00A33FEA">
                      <w:r>
                        <w:t>G</w:t>
                      </w:r>
                    </w:p>
                  </w:txbxContent>
                </v:textbox>
                <w10:wrap type="topAndBottom"/>
              </v:shape>
            </w:pict>
          </mc:Fallback>
        </mc:AlternateContent>
      </w:r>
      <w:r w:rsidR="00F57F02">
        <w:rPr>
          <w:noProof/>
        </w:rPr>
        <mc:AlternateContent>
          <mc:Choice Requires="wps">
            <w:drawing>
              <wp:anchor distT="0" distB="0" distL="114300" distR="114300" simplePos="0" relativeHeight="251695104" behindDoc="0" locked="0" layoutInCell="1" allowOverlap="1" wp14:anchorId="487A8C36" wp14:editId="7456968C">
                <wp:simplePos x="0" y="0"/>
                <wp:positionH relativeFrom="column">
                  <wp:posOffset>3523566</wp:posOffset>
                </wp:positionH>
                <wp:positionV relativeFrom="paragraph">
                  <wp:posOffset>3705762</wp:posOffset>
                </wp:positionV>
                <wp:extent cx="187325" cy="179705"/>
                <wp:effectExtent l="0" t="0" r="3175" b="0"/>
                <wp:wrapTopAndBottom/>
                <wp:docPr id="709" name="Text Box 709"/>
                <wp:cNvGraphicFramePr/>
                <a:graphic xmlns:a="http://schemas.openxmlformats.org/drawingml/2006/main">
                  <a:graphicData uri="http://schemas.microsoft.com/office/word/2010/wordprocessingShape">
                    <wps:wsp>
                      <wps:cNvSpPr txBox="1"/>
                      <wps:spPr>
                        <a:xfrm>
                          <a:off x="0" y="0"/>
                          <a:ext cx="187325" cy="179705"/>
                        </a:xfrm>
                        <a:prstGeom prst="rect">
                          <a:avLst/>
                        </a:prstGeom>
                        <a:noFill/>
                        <a:ln w="6350">
                          <a:noFill/>
                        </a:ln>
                      </wps:spPr>
                      <wps:txbx>
                        <w:txbxContent>
                          <w:p w14:paraId="4E34CA50" w14:textId="77777777" w:rsidR="00F61130" w:rsidRPr="006508D1" w:rsidRDefault="00F61130" w:rsidP="00A33FEA">
                            <w:r>
                              <w:t>H</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487A8C36" id="Text Box 709" o:spid="_x0000_s1227" type="#_x0000_t202" style="position:absolute;margin-left:277.45pt;margin-top:291.8pt;width:14.75pt;height:14.15pt;z-index:2516951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LJsw1KQIAAE0EAAAOAAAAZHJzL2Uyb0RvYy54bWysVFFv2jAQfp+0/2D5fSRQUdqIULFWTJNQ&#13;&#10;WwmmPhvHJpFsn2cbEvbrd3YIrbo+VXsxl7vz3X3ffWZ+12lFjsL5BkxJx6OcEmE4VI3Zl/TXdvXt&#13;&#10;hhIfmKmYAiNKehKe3i2+fpm3thATqEFVwhEsYnzR2pLWIdgiyzyvhWZ+BFYYDEpwmgX8dPuscqzF&#13;&#10;6lplkzy/zlpwlXXAhffofeiDdJHqSyl4eJLSi0BUSXG2kE6Xzl08s8WcFXvHbN3w8xjsE1No1hhs&#13;&#10;ein1wAIjB9f8U0o33IEHGUYcdAZSNlwkDIhmnL9Ds6mZFQkLkuPthSb//8ryx+OzI01V0ll+S4lh&#13;&#10;Gpe0FV0g36Ej0YcMtdYXmLixmBo6DOCmB79HZwTeSafjL0IiGEeuTxd+YzkeL93MriZTSjiGxrPb&#13;&#10;WT6NVbLXy9b58EOAJtEoqcP1JVbZce1DnzqkxF4GVo1SaYXKkLak11fTPF24RLC4MtgjQuhHjVbo&#13;&#10;dl0CjaQPQHZQnRCfg14j3vJVg1OsmQ/PzKEoEBIKPTzhIRVgNzhblNTg/nzkj/m4K4xS0qLISup/&#13;&#10;H5gTlKifBrcYFTkYbjB2g2EO+h5Qt2N8QpYnEy+4oAZTOtAvqP9l7IIhZjj2KmkYzPvQSx3fDxfL&#13;&#10;ZUpC3VkW1mZjeSwdeYycbrsX5uyZ+IAbe4RBfqx4x3+f229geQggm7ScyGzP4plw1Gxa7/l9xUfx&#13;&#10;9jtlvf4LLP4CAAD//wMAUEsDBBQABgAIAAAAIQDRUkrZ5AAAABABAAAPAAAAZHJzL2Rvd25yZXYu&#13;&#10;eG1sTE9NT4QwEL2b+B+aMfHmFhQIy1I2xtWbrrpqordCRyDSlrSFxX/veNLLZCbvzfsot4se2IzO&#13;&#10;99YIiFcRMDSNVb1pBby+3F3kwHyQRsnBGhTwjR621elJKQtlj+YZ50NoGYkYX0gBXQhjwblvOtTS&#13;&#10;r+yIhrBP67QMdLqWKyePJK4HfhlFGdeyN+TQyRFvOmy+DpMWMLx7d19H4WPetQ/h6ZFPb7fxXojz&#13;&#10;s2W3oXG9ARZwCX8f8NuB8kNFwWo7GeXZICBNkzVRacmvMmDESPMkAVYLyOJ4Dbwq+f8i1Q8AAAD/&#13;&#10;/wMAUEsBAi0AFAAGAAgAAAAhALaDOJL+AAAA4QEAABMAAAAAAAAAAAAAAAAAAAAAAFtDb250ZW50&#13;&#10;X1R5cGVzXS54bWxQSwECLQAUAAYACAAAACEAOP0h/9YAAACUAQAACwAAAAAAAAAAAAAAAAAvAQAA&#13;&#10;X3JlbHMvLnJlbHNQSwECLQAUAAYACAAAACEACybMNSkCAABNBAAADgAAAAAAAAAAAAAAAAAuAgAA&#13;&#10;ZHJzL2Uyb0RvYy54bWxQSwECLQAUAAYACAAAACEA0VJK2eQAAAAQAQAADwAAAAAAAAAAAAAAAACD&#13;&#10;BAAAZHJzL2Rvd25yZXYueG1sUEsFBgAAAAAEAAQA8wAAAJQFAAAAAA==&#13;&#10;" filled="f" stroked="f" strokeweight=".5pt">
                <v:textbox inset="0,0,0,0">
                  <w:txbxContent>
                    <w:p w14:paraId="4E34CA50" w14:textId="77777777" w:rsidR="00F61130" w:rsidRPr="006508D1" w:rsidRDefault="00F61130" w:rsidP="00A33FEA">
                      <w:r>
                        <w:t>H</w:t>
                      </w:r>
                    </w:p>
                  </w:txbxContent>
                </v:textbox>
                <w10:wrap type="topAndBottom"/>
              </v:shape>
            </w:pict>
          </mc:Fallback>
        </mc:AlternateContent>
      </w:r>
      <w:r w:rsidR="00F57F02">
        <w:rPr>
          <w:noProof/>
        </w:rPr>
        <mc:AlternateContent>
          <mc:Choice Requires="wps">
            <w:drawing>
              <wp:anchor distT="0" distB="0" distL="114300" distR="114300" simplePos="0" relativeHeight="251696128" behindDoc="0" locked="0" layoutInCell="1" allowOverlap="1" wp14:anchorId="6EC90CD4" wp14:editId="38DA6C53">
                <wp:simplePos x="0" y="0"/>
                <wp:positionH relativeFrom="column">
                  <wp:posOffset>462866</wp:posOffset>
                </wp:positionH>
                <wp:positionV relativeFrom="paragraph">
                  <wp:posOffset>5001162</wp:posOffset>
                </wp:positionV>
                <wp:extent cx="187325" cy="179705"/>
                <wp:effectExtent l="0" t="0" r="3175" b="0"/>
                <wp:wrapTopAndBottom/>
                <wp:docPr id="710" name="Text Box 710"/>
                <wp:cNvGraphicFramePr/>
                <a:graphic xmlns:a="http://schemas.openxmlformats.org/drawingml/2006/main">
                  <a:graphicData uri="http://schemas.microsoft.com/office/word/2010/wordprocessingShape">
                    <wps:wsp>
                      <wps:cNvSpPr txBox="1"/>
                      <wps:spPr>
                        <a:xfrm>
                          <a:off x="0" y="0"/>
                          <a:ext cx="187325" cy="179705"/>
                        </a:xfrm>
                        <a:prstGeom prst="rect">
                          <a:avLst/>
                        </a:prstGeom>
                        <a:noFill/>
                        <a:ln w="6350">
                          <a:noFill/>
                        </a:ln>
                      </wps:spPr>
                      <wps:txbx>
                        <w:txbxContent>
                          <w:p w14:paraId="398DC797" w14:textId="77777777" w:rsidR="00F61130" w:rsidRPr="006508D1" w:rsidRDefault="00F61130" w:rsidP="00A33FEA">
                            <w:r>
                              <w:t>I</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6EC90CD4" id="Text Box 710" o:spid="_x0000_s1228" type="#_x0000_t202" style="position:absolute;margin-left:36.45pt;margin-top:393.8pt;width:14.75pt;height:14.15pt;z-index:2516961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OC5l4KQIAAE0EAAAOAAAAZHJzL2Uyb0RvYy54bWysVFFv2yAQfp+0/4B4X+y4StNZcaqsVaZJ&#13;&#10;UVspmfpMMMSWgGNAYme/fgeO06nb07QXcuaO7/i++8jivteKnITzLZiKTic5JcJwqFtzqOj33frT&#13;&#10;HSU+MFMzBUZU9Cw8vV9+/LDobCkKaEDVwhEEMb7sbEWbEGyZZZ43QjM/ASsMJiU4zQJ+ukNWO9Yh&#13;&#10;ulZZkee3WQeutg648B53H4ckXSZ8KQUPz1J6EYiqKN4tpNWldR/XbLlg5cEx27T8cg32D7fQrDXY&#13;&#10;9Ar1yAIjR9f+AaVb7sCDDBMOOgMpWy4SB2Qzzd+x2TbMisQFxfH2KpP/f7D86fTiSFtXdD5FfQzT&#13;&#10;OKSd6AP5Aj2Je6hQZ32JhVuLpaHHBE563Pe4GYn30un4i5QI5hHrfNU3wvF46G5+U8wo4Ziazj/P&#13;&#10;81lEyd4OW+fDVwGaxKCiDseXVGWnjQ9D6VgSexlYt0qlESpDuore3szydOCaQXBlsEekMFw1RqHf&#13;&#10;94l0kRcjkT3UZ+TnYPCIt3zd4i02zIcX5tAUSAmNHp5xkQqwG1wiShpwP/+2H+txVpilpEOTVdT/&#13;&#10;ODInKFHfDE4xOnIM3Bjsx8Ac9QOgb6f4hCxPIR5wQY2hdKBf0f+r2AVTzHDsVdEwhg9hsDq+Hy5W&#13;&#10;q1SEvrMsbMzW8ggddYya7vpX5uxF+IATe4LRfqx8p/9QO0xgdQwg2zScqOyg4kVw9Gwa7+V9xUfx&#13;&#10;+3eqevsXWP4CAAD//wMAUEsDBBQABgAIAAAAIQBEYOaW4gAAAA8BAAAPAAAAZHJzL2Rvd25yZXYu&#13;&#10;eG1sTE/LTsMwELwj8Q/WInGjdiJo0zROhSjceBaQ4ObESxIRryPbScPf457gsqvVzM6j2M6mZxM6&#13;&#10;31mSkCwEMKTa6o4aCW+vdxcZMB8UadVbQgk/6GFbnp4UKtf2QC847UPDogj5XEloQxhyzn3dolF+&#13;&#10;YQekiH1ZZ1SIp2u4duoQxU3PUyGW3KiOokOrBrxpsf7ej0ZC/+HdfSXC57RrHsLzEx/fb5NHKc/P&#13;&#10;5t0mjusNsIBz+PuAY4eYH8oYrLIjac96Cat0HZlxZ6slsCNBpJfAKglZcrUGXhb8f4/yFwAA//8D&#13;&#10;AFBLAQItABQABgAIAAAAIQC2gziS/gAAAOEBAAATAAAAAAAAAAAAAAAAAAAAAABbQ29udGVudF9U&#13;&#10;eXBlc10ueG1sUEsBAi0AFAAGAAgAAAAhADj9If/WAAAAlAEAAAsAAAAAAAAAAAAAAAAALwEAAF9y&#13;&#10;ZWxzLy5yZWxzUEsBAi0AFAAGAAgAAAAhAM4LmXgpAgAATQQAAA4AAAAAAAAAAAAAAAAALgIAAGRy&#13;&#10;cy9lMm9Eb2MueG1sUEsBAi0AFAAGAAgAAAAhAERg5pbiAAAADwEAAA8AAAAAAAAAAAAAAAAAgwQA&#13;&#10;AGRycy9kb3ducmV2LnhtbFBLBQYAAAAABAAEAPMAAACSBQAAAAA=&#13;&#10;" filled="f" stroked="f" strokeweight=".5pt">
                <v:textbox inset="0,0,0,0">
                  <w:txbxContent>
                    <w:p w14:paraId="398DC797" w14:textId="77777777" w:rsidR="00F61130" w:rsidRPr="006508D1" w:rsidRDefault="00F61130" w:rsidP="00A33FEA">
                      <w:r>
                        <w:t>I</w:t>
                      </w:r>
                    </w:p>
                  </w:txbxContent>
                </v:textbox>
                <w10:wrap type="topAndBottom"/>
              </v:shape>
            </w:pict>
          </mc:Fallback>
        </mc:AlternateContent>
      </w:r>
      <w:r w:rsidR="00F57F02">
        <w:rPr>
          <w:noProof/>
        </w:rPr>
        <mc:AlternateContent>
          <mc:Choice Requires="wps">
            <w:drawing>
              <wp:anchor distT="0" distB="0" distL="114300" distR="114300" simplePos="0" relativeHeight="251697152" behindDoc="0" locked="0" layoutInCell="1" allowOverlap="1" wp14:anchorId="3976529B" wp14:editId="2E7A828C">
                <wp:simplePos x="0" y="0"/>
                <wp:positionH relativeFrom="column">
                  <wp:posOffset>3523566</wp:posOffset>
                </wp:positionH>
                <wp:positionV relativeFrom="paragraph">
                  <wp:posOffset>4988462</wp:posOffset>
                </wp:positionV>
                <wp:extent cx="187325" cy="179705"/>
                <wp:effectExtent l="0" t="0" r="3175" b="0"/>
                <wp:wrapTopAndBottom/>
                <wp:docPr id="711" name="Text Box 711"/>
                <wp:cNvGraphicFramePr/>
                <a:graphic xmlns:a="http://schemas.openxmlformats.org/drawingml/2006/main">
                  <a:graphicData uri="http://schemas.microsoft.com/office/word/2010/wordprocessingShape">
                    <wps:wsp>
                      <wps:cNvSpPr txBox="1"/>
                      <wps:spPr>
                        <a:xfrm>
                          <a:off x="0" y="0"/>
                          <a:ext cx="187325" cy="179705"/>
                        </a:xfrm>
                        <a:prstGeom prst="rect">
                          <a:avLst/>
                        </a:prstGeom>
                        <a:noFill/>
                        <a:ln w="6350">
                          <a:noFill/>
                        </a:ln>
                      </wps:spPr>
                      <wps:txbx>
                        <w:txbxContent>
                          <w:p w14:paraId="1051D01D" w14:textId="77777777" w:rsidR="00F61130" w:rsidRPr="006508D1" w:rsidRDefault="00F61130" w:rsidP="00A33FEA">
                            <w:r>
                              <w:t>J</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3976529B" id="Text Box 711" o:spid="_x0000_s1229" type="#_x0000_t202" style="position:absolute;margin-left:277.45pt;margin-top:392.8pt;width:14.75pt;height:14.15pt;z-index:2516971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5UWeuKQIAAE0EAAAOAAAAZHJzL2Uyb0RvYy54bWysVFFv2jAQfp+0/2D5fSSAKF1EqFgrpkmo&#13;&#10;rQRTn41jk0i2z7MNCfv1OzuETl2fqr2Yy9357r7vPrO467QiJ+F8A6ak41FOiTAcqsYcSvpzt/5y&#13;&#10;S4kPzFRMgRElPQtP75afPy1aW4gJ1KAq4QgWMb5obUnrEGyRZZ7XQjM/AisMBiU4zQJ+ukNWOdZi&#13;&#10;da2ySZ7fZC24yjrgwnv0PvRBukz1pRQ8PEnpRSCqpDhbSKdL5z6e2XLBioNjtm74ZQz2gSk0aww2&#13;&#10;vZZ6YIGRo2v+KaUb7sCDDCMOOgMpGy4SBkQzzt+g2dbMioQFyfH2SpP/f2X54+nZkaYq6Xw8psQw&#13;&#10;jUvaiS6Qb9CR6EOGWusLTNxaTA0dBnDTg9+jMwLvpNPxFyERjCPX5yu/sRyPl27n08mMEo6h8fzr&#13;&#10;PJ/FKtnrZet8+C5Ak2iU1OH6EqvstPGhTx1SYi8D60aptEJlSFvSm+ksTxeuESyuDPaIEPpRoxW6&#13;&#10;fZdAT/LpAGQP1RnxOeg14i1fNzjFhvnwzByKAiGh0MMTHlIBdoOLRUkN7vd7/piPu8IoJS2KrKT+&#13;&#10;15E5QYn6YXCLUZGD4QZjPxjmqO8BdYt7wWmSiRdcUIMpHegX1P8qdsEQMxx7lTQM5n3opY7vh4vV&#13;&#10;KiWh7iwLG7O1PJaOPEZOd90Lc/ZCfMCNPcIgP1a84b/P7TewOgaQTVpOZLZn8UI4ajat9/K+4qP4&#13;&#10;+ztlvf4LLP8AAAD//wMAUEsDBBQABgAIAAAAIQDceh7G5AAAABABAAAPAAAAZHJzL2Rvd25yZXYu&#13;&#10;eG1sTE9LT4QwEL6b+B+aMfHmFhR2WZayMa7efO2qid4KrUCkU9IWFv+940kvk3yZ71lsZ9OzSTvf&#13;&#10;WRQQLyJgGmurOmwEvL7cXWTAfJCoZG9RC/jWHrbl6Ukhc2WPuNfTITSMTNDnUkAbwpBz7utWG+kX&#13;&#10;dtBIv0/rjAwEXcOVk0cyNz2/jKIlN7JDSmjloG9aXX8dRiOgf/fuvorCx7RrHsLzEx/fbuNHIc7P&#13;&#10;5t2GzvUGWNBz+FPA7wbqDyUVq+yIyrNeQJoma6IKWGXpEhgx0ixJgFUCsvhqDbws+P8h5Q8AAAD/&#13;&#10;/wMAUEsBAi0AFAAGAAgAAAAhALaDOJL+AAAA4QEAABMAAAAAAAAAAAAAAAAAAAAAAFtDb250ZW50&#13;&#10;X1R5cGVzXS54bWxQSwECLQAUAAYACAAAACEAOP0h/9YAAACUAQAACwAAAAAAAAAAAAAAAAAvAQAA&#13;&#10;X3JlbHMvLnJlbHNQSwECLQAUAAYACAAAACEA+VFnrikCAABNBAAADgAAAAAAAAAAAAAAAAAuAgAA&#13;&#10;ZHJzL2Uyb0RvYy54bWxQSwECLQAUAAYACAAAACEA3HoexuQAAAAQAQAADwAAAAAAAAAAAAAAAACD&#13;&#10;BAAAZHJzL2Rvd25yZXYueG1sUEsFBgAAAAAEAAQA8wAAAJQFAAAAAA==&#13;&#10;" filled="f" stroked="f" strokeweight=".5pt">
                <v:textbox inset="0,0,0,0">
                  <w:txbxContent>
                    <w:p w14:paraId="1051D01D" w14:textId="77777777" w:rsidR="00F61130" w:rsidRPr="006508D1" w:rsidRDefault="00F61130" w:rsidP="00A33FEA">
                      <w:r>
                        <w:t>J</w:t>
                      </w:r>
                    </w:p>
                  </w:txbxContent>
                </v:textbox>
                <w10:wrap type="topAndBottom"/>
              </v:shape>
            </w:pict>
          </mc:Fallback>
        </mc:AlternateContent>
      </w:r>
      <w:r w:rsidR="00F57F02">
        <w:rPr>
          <w:noProof/>
        </w:rPr>
        <mc:AlternateContent>
          <mc:Choice Requires="wps">
            <w:drawing>
              <wp:anchor distT="0" distB="0" distL="114300" distR="114300" simplePos="0" relativeHeight="251698176" behindDoc="0" locked="0" layoutInCell="1" allowOverlap="1" wp14:anchorId="74916066" wp14:editId="2CEEF8E5">
                <wp:simplePos x="0" y="0"/>
                <wp:positionH relativeFrom="column">
                  <wp:posOffset>462866</wp:posOffset>
                </wp:positionH>
                <wp:positionV relativeFrom="paragraph">
                  <wp:posOffset>6156862</wp:posOffset>
                </wp:positionV>
                <wp:extent cx="187325" cy="179705"/>
                <wp:effectExtent l="0" t="0" r="3175" b="0"/>
                <wp:wrapTopAndBottom/>
                <wp:docPr id="712" name="Text Box 712"/>
                <wp:cNvGraphicFramePr/>
                <a:graphic xmlns:a="http://schemas.openxmlformats.org/drawingml/2006/main">
                  <a:graphicData uri="http://schemas.microsoft.com/office/word/2010/wordprocessingShape">
                    <wps:wsp>
                      <wps:cNvSpPr txBox="1"/>
                      <wps:spPr>
                        <a:xfrm>
                          <a:off x="0" y="0"/>
                          <a:ext cx="187325" cy="179705"/>
                        </a:xfrm>
                        <a:prstGeom prst="rect">
                          <a:avLst/>
                        </a:prstGeom>
                        <a:noFill/>
                        <a:ln w="6350">
                          <a:noFill/>
                        </a:ln>
                      </wps:spPr>
                      <wps:txbx>
                        <w:txbxContent>
                          <w:p w14:paraId="627646DC" w14:textId="77777777" w:rsidR="00F61130" w:rsidRPr="006508D1" w:rsidRDefault="00F61130" w:rsidP="00A33FEA">
                            <w:r>
                              <w:t>K</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74916066" id="Text Box 712" o:spid="_x0000_s1230" type="#_x0000_t202" style="position:absolute;margin-left:36.45pt;margin-top:484.8pt;width:14.75pt;height:14.15pt;z-index:2516981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lJ4aaKgIAAE0EAAAOAAAAZHJzL2Uyb0RvYy54bWysVFFv2jAQfp+0/2D5fSTQUbqIULFWTJNQ&#13;&#10;WwmmPhvHJpFsn2cbEvbrd3YIrbo+VXsxl7vz3X3ffWZ+22lFjsL5BkxJx6OcEmE4VI3Zl/TXdvXl&#13;&#10;hhIfmKmYAiNKehKe3i4+f5q3thATqEFVwhEsYnzR2pLWIdgiyzyvhWZ+BFYYDEpwmgX8dPuscqzF&#13;&#10;6lplkzy/zlpwlXXAhffove+DdJHqSyl4eJTSi0BUSXG2kE6Xzl08s8WcFXvHbN3w8xjsA1No1hhs&#13;&#10;eil1zwIjB9f8U0o33IEHGUYcdAZSNlwkDIhmnL9Bs6mZFQkLkuPthSb//8ryh+OTI01V0tl4Qolh&#13;&#10;Gpe0FV0g36Ej0YcMtdYXmLixmBo6DOCmB79HZwTeSafjL0IiGEeuTxd+YzkeL93MriZTSjiGxrNv&#13;&#10;s3waq2Qvl63z4YcATaJRUofrS6yy49qHPnVIib0MrBql0gqVIW1Jr6+mebpwiWBxZbBHhNCPGq3Q&#13;&#10;7boEepJ/HYDsoDohPge9RrzlqwanWDMfnphDUSAkFHp4xEMqwG5wtiipwf15zx/zcVcYpaRFkZXU&#13;&#10;/z4wJyhRPw1uMSpyMNxg7AbDHPQdoG7H+IQsTyZecEENpnSgn1H/y9gFQ8xw7FXSMJh3oZc6vh8u&#13;&#10;lsuUhLqzLKzNxvJYOvIYOd12z8zZM/EBN/YAg/xY8Yb/PrffwPIQQDZpOZHZnsUz4ajZtN7z+4qP&#13;&#10;4vV3ynr5F1j8BQAA//8DAFBLAwQUAAYACAAAACEA9QnVCOIAAAAPAQAADwAAAGRycy9kb3ducmV2&#13;&#10;LnhtbExPy07DMBC8I/EP1iJxo3YjlOI0ToUo3HiWVoKbE5skwl5HtpOGv8c9wWWl3ZmdR7mZrSGT&#13;&#10;9qF3KGC5YEA0Nk712ArYvz9c3QAJUaKSxqEW8KMDbKrzs1IWyh3xTU+72JIkgqGQAroYh4LS0HTa&#13;&#10;yrBwg8aEfTlvZUyrb6ny8pjEraEZYzm1ssfk0MlB33W6+d6NVoD5CP6xZvFz2rZP8fWFjof75bMQ&#13;&#10;lxfzdp3G7RpI1HP8+4BTh5QfqhSsdiOqQIyAVcYTUwDPeQ7kRGDZNZA6XfiKA61K+r9H9QsAAP//&#13;&#10;AwBQSwECLQAUAAYACAAAACEAtoM4kv4AAADhAQAAEwAAAAAAAAAAAAAAAAAAAAAAW0NvbnRlbnRf&#13;&#10;VHlwZXNdLnhtbFBLAQItABQABgAIAAAAIQA4/SH/1gAAAJQBAAALAAAAAAAAAAAAAAAAAC8BAABf&#13;&#10;cmVscy8ucmVsc1BLAQItABQABgAIAAAAIQDlJ4aaKgIAAE0EAAAOAAAAAAAAAAAAAAAAAC4CAABk&#13;&#10;cnMvZTJvRG9jLnhtbFBLAQItABQABgAIAAAAIQD1CdUI4gAAAA8BAAAPAAAAAAAAAAAAAAAAAIQE&#13;&#10;AABkcnMvZG93bnJldi54bWxQSwUGAAAAAAQABADzAAAAkwUAAAAA&#13;&#10;" filled="f" stroked="f" strokeweight=".5pt">
                <v:textbox inset="0,0,0,0">
                  <w:txbxContent>
                    <w:p w14:paraId="627646DC" w14:textId="77777777" w:rsidR="00F61130" w:rsidRPr="006508D1" w:rsidRDefault="00F61130" w:rsidP="00A33FEA">
                      <w:r>
                        <w:t>K</w:t>
                      </w:r>
                    </w:p>
                  </w:txbxContent>
                </v:textbox>
                <w10:wrap type="topAndBottom"/>
              </v:shape>
            </w:pict>
          </mc:Fallback>
        </mc:AlternateContent>
      </w:r>
      <w:r w:rsidR="00F57F02">
        <w:rPr>
          <w:noProof/>
        </w:rPr>
        <mc:AlternateContent>
          <mc:Choice Requires="wps">
            <w:drawing>
              <wp:anchor distT="0" distB="0" distL="114300" distR="114300" simplePos="0" relativeHeight="251699200" behindDoc="0" locked="0" layoutInCell="1" allowOverlap="1" wp14:anchorId="1FBBE77D" wp14:editId="66CF4055">
                <wp:simplePos x="0" y="0"/>
                <wp:positionH relativeFrom="column">
                  <wp:posOffset>3523566</wp:posOffset>
                </wp:positionH>
                <wp:positionV relativeFrom="paragraph">
                  <wp:posOffset>6144162</wp:posOffset>
                </wp:positionV>
                <wp:extent cx="187325" cy="179705"/>
                <wp:effectExtent l="0" t="0" r="3175" b="0"/>
                <wp:wrapTopAndBottom/>
                <wp:docPr id="713" name="Text Box 713"/>
                <wp:cNvGraphicFramePr/>
                <a:graphic xmlns:a="http://schemas.openxmlformats.org/drawingml/2006/main">
                  <a:graphicData uri="http://schemas.microsoft.com/office/word/2010/wordprocessingShape">
                    <wps:wsp>
                      <wps:cNvSpPr txBox="1"/>
                      <wps:spPr>
                        <a:xfrm>
                          <a:off x="0" y="0"/>
                          <a:ext cx="187325" cy="179705"/>
                        </a:xfrm>
                        <a:prstGeom prst="rect">
                          <a:avLst/>
                        </a:prstGeom>
                        <a:noFill/>
                        <a:ln w="6350">
                          <a:noFill/>
                        </a:ln>
                      </wps:spPr>
                      <wps:txbx>
                        <w:txbxContent>
                          <w:p w14:paraId="236E215B" w14:textId="77777777" w:rsidR="00F61130" w:rsidRPr="006508D1" w:rsidRDefault="00F61130" w:rsidP="00A33FEA">
                            <w:r>
                              <w:t>L</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1FBBE77D" id="Text Box 713" o:spid="_x0000_s1231" type="#_x0000_t202" style="position:absolute;margin-left:277.45pt;margin-top:483.8pt;width:14.75pt;height:14.15pt;z-index:2516992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SfXhMKAIAAE0EAAAOAAAAZHJzL2Uyb0RvYy54bWysVMGO2jAQvVfqP1i+lwQQyzYirOiuqCqh&#13;&#10;3ZWg2rNxbBLJ9ri2IaFf37FDoNr2VPViJjPjNzNvnlk8dFqRk3C+AVPS8SinRBgOVWMOJf2+W3+6&#13;&#10;p8QHZiqmwIiSnoWnD8uPHxatLcQEalCVcARBjC9aW9I6BFtkmee10MyPwAqDQQlOs4Cf7pBVjrWI&#13;&#10;rlU2yfO7rAVXWQdceI/epz5IlwlfSsHDi5ReBKJKir2FdLp07uOZLResODhm64Zf2mD/0IVmjcGi&#13;&#10;V6gnFhg5uuYPKN1wBx5kGHHQGUjZcJFmwGnG+btptjWzIs2C5Hh7pcn/P1j+fHp1pKlKOh9PKTFM&#13;&#10;45J2ogvkC3Qk+pCh1voCE7cWU0OHAdz04PfojIN30un4iyMRjCPX5yu/EY7HS/fz6WRGCcfQeP55&#13;&#10;ns8iSna7bJ0PXwVoEo2SOlxfYpWdNj70qUNKrGVg3SiVVqgMaUt6N53l6cI1guDKYI04Qt9qtEK3&#13;&#10;79LQk76F6NtDdcb5HPQa8ZavG+xiw3x4ZQ5FgSOh0MMLHlIBVoOLRUkN7uff/DEfd4VRSloUWUn9&#13;&#10;jyNzghL1zeAWoyIHww3GfjDMUT8C6naMT8jyZOIFF9RgSgf6DfW/ilUwxAzHWiUNg/kYeqnj++Fi&#13;&#10;tUpJqDvLwsZsLY/QkcfI6a57Y85eiA+4sWcY5MeKd/z3uf0GVscAsknLubF4IRw1m9Z7eV/xUfz+&#13;&#10;nbJu/wLLXwAAAP//AwBQSwMEFAAGAAgAAAAhAOn/EfrkAAAAEAEAAA8AAABkcnMvZG93bnJldi54&#13;&#10;bWxMT01PwzAMvSPxHyIjcWPpUFvWrumEGNxgsA0kuKVtaCsSp0rSrvx7zAkuluz3/D6KzWw0m5Tz&#13;&#10;vUUBy0UETGFtmx5bAa/Hh6sVMB8kNlJbVAK+lYdNeX5WyLyxJ9yr6RBaRiLocymgC2HIOfd1p4z0&#13;&#10;CzsoJOzTOiMDra7ljZMnEjeaX0dRyo3skRw6Oai7TtVfh9EI0O/ePVZR+Ji27VN4eebj2/1yJ8Tl&#13;&#10;xbxd07hdAwtqDn8f8NuB8kNJwSo7YuOZFpAkcUZUAVl6kwIjRrKKY2AVXbIkA14W/H+R8gcAAP//&#13;&#10;AwBQSwECLQAUAAYACAAAACEAtoM4kv4AAADhAQAAEwAAAAAAAAAAAAAAAAAAAAAAW0NvbnRlbnRf&#13;&#10;VHlwZXNdLnhtbFBLAQItABQABgAIAAAAIQA4/SH/1gAAAJQBAAALAAAAAAAAAAAAAAAAAC8BAABf&#13;&#10;cmVscy8ucmVsc1BLAQItABQABgAIAAAAIQDSfXhMKAIAAE0EAAAOAAAAAAAAAAAAAAAAAC4CAABk&#13;&#10;cnMvZTJvRG9jLnhtbFBLAQItABQABgAIAAAAIQDp/xH65AAAABABAAAPAAAAAAAAAAAAAAAAAIIE&#13;&#10;AABkcnMvZG93bnJldi54bWxQSwUGAAAAAAQABADzAAAAkwUAAAAA&#13;&#10;" filled="f" stroked="f" strokeweight=".5pt">
                <v:textbox inset="0,0,0,0">
                  <w:txbxContent>
                    <w:p w14:paraId="236E215B" w14:textId="77777777" w:rsidR="00F61130" w:rsidRPr="006508D1" w:rsidRDefault="00F61130" w:rsidP="00A33FEA">
                      <w:r>
                        <w:t>L</w:t>
                      </w:r>
                    </w:p>
                  </w:txbxContent>
                </v:textbox>
                <w10:wrap type="topAndBottom"/>
              </v:shape>
            </w:pict>
          </mc:Fallback>
        </mc:AlternateContent>
      </w:r>
      <w:r w:rsidR="00F57F02">
        <w:rPr>
          <w:noProof/>
        </w:rPr>
        <mc:AlternateContent>
          <mc:Choice Requires="wps">
            <w:drawing>
              <wp:anchor distT="0" distB="0" distL="114300" distR="114300" simplePos="0" relativeHeight="251700224" behindDoc="0" locked="0" layoutInCell="1" allowOverlap="1" wp14:anchorId="1CBC408E" wp14:editId="37E3E03C">
                <wp:simplePos x="0" y="0"/>
                <wp:positionH relativeFrom="column">
                  <wp:posOffset>-89682</wp:posOffset>
                </wp:positionH>
                <wp:positionV relativeFrom="paragraph">
                  <wp:posOffset>7574085</wp:posOffset>
                </wp:positionV>
                <wp:extent cx="5759450" cy="1674495"/>
                <wp:effectExtent l="0" t="0" r="6350" b="1905"/>
                <wp:wrapTopAndBottom/>
                <wp:docPr id="714" name="Text Box 714"/>
                <wp:cNvGraphicFramePr/>
                <a:graphic xmlns:a="http://schemas.openxmlformats.org/drawingml/2006/main">
                  <a:graphicData uri="http://schemas.microsoft.com/office/word/2010/wordprocessingShape">
                    <wps:wsp>
                      <wps:cNvSpPr txBox="1"/>
                      <wps:spPr>
                        <a:xfrm>
                          <a:off x="0" y="0"/>
                          <a:ext cx="5759450" cy="1674495"/>
                        </a:xfrm>
                        <a:prstGeom prst="rect">
                          <a:avLst/>
                        </a:prstGeom>
                        <a:solidFill>
                          <a:prstClr val="white"/>
                        </a:solidFill>
                        <a:ln>
                          <a:noFill/>
                        </a:ln>
                      </wps:spPr>
                      <wps:txbx>
                        <w:txbxContent>
                          <w:p w14:paraId="33C96DB3" w14:textId="426A3B88" w:rsidR="00F61130" w:rsidRPr="00A33FEA" w:rsidRDefault="00F61130" w:rsidP="00A33FEA">
                            <w:pPr>
                              <w:pStyle w:val="Caption"/>
                              <w:spacing w:line="360" w:lineRule="auto"/>
                              <w:jc w:val="both"/>
                              <w:rPr>
                                <w:sz w:val="20"/>
                                <w:szCs w:val="20"/>
                              </w:rPr>
                            </w:pPr>
                            <w:bookmarkStart w:id="723" w:name="_Ref519016745"/>
                            <w:bookmarkStart w:id="724" w:name="_Toc525227259"/>
                            <w:bookmarkStart w:id="725" w:name="_Toc536814199"/>
                            <w:r w:rsidRPr="00A33FEA">
                              <w:rPr>
                                <w:b/>
                                <w:sz w:val="20"/>
                                <w:szCs w:val="20"/>
                              </w:rPr>
                              <w:t xml:space="preserve">Figure </w:t>
                            </w:r>
                            <w:r>
                              <w:rPr>
                                <w:b/>
                                <w:sz w:val="20"/>
                                <w:szCs w:val="20"/>
                              </w:rPr>
                              <w:fldChar w:fldCharType="begin"/>
                            </w:r>
                            <w:r>
                              <w:rPr>
                                <w:b/>
                                <w:sz w:val="20"/>
                                <w:szCs w:val="20"/>
                              </w:rPr>
                              <w:instrText xml:space="preserve"> STYLEREF 1 \s </w:instrText>
                            </w:r>
                            <w:r>
                              <w:rPr>
                                <w:b/>
                                <w:sz w:val="20"/>
                                <w:szCs w:val="20"/>
                              </w:rPr>
                              <w:fldChar w:fldCharType="separate"/>
                            </w:r>
                            <w:r>
                              <w:rPr>
                                <w:b/>
                                <w:noProof/>
                                <w:sz w:val="20"/>
                                <w:szCs w:val="20"/>
                              </w:rPr>
                              <w:t>7</w:t>
                            </w:r>
                            <w:r>
                              <w:rPr>
                                <w:b/>
                                <w:sz w:val="20"/>
                                <w:szCs w:val="20"/>
                              </w:rPr>
                              <w:fldChar w:fldCharType="end"/>
                            </w:r>
                            <w:r>
                              <w:rPr>
                                <w:b/>
                                <w:sz w:val="20"/>
                                <w:szCs w:val="20"/>
                              </w:rPr>
                              <w:t>.</w:t>
                            </w:r>
                            <w:r>
                              <w:rPr>
                                <w:b/>
                                <w:sz w:val="20"/>
                                <w:szCs w:val="20"/>
                              </w:rPr>
                              <w:fldChar w:fldCharType="begin"/>
                            </w:r>
                            <w:r>
                              <w:rPr>
                                <w:b/>
                                <w:sz w:val="20"/>
                                <w:szCs w:val="20"/>
                              </w:rPr>
                              <w:instrText xml:space="preserve"> SEQ Figure \* ARABIC \s 1 </w:instrText>
                            </w:r>
                            <w:r>
                              <w:rPr>
                                <w:b/>
                                <w:sz w:val="20"/>
                                <w:szCs w:val="20"/>
                              </w:rPr>
                              <w:fldChar w:fldCharType="separate"/>
                            </w:r>
                            <w:r>
                              <w:rPr>
                                <w:b/>
                                <w:noProof/>
                                <w:sz w:val="20"/>
                                <w:szCs w:val="20"/>
                              </w:rPr>
                              <w:t>7</w:t>
                            </w:r>
                            <w:r>
                              <w:rPr>
                                <w:b/>
                                <w:sz w:val="20"/>
                                <w:szCs w:val="20"/>
                              </w:rPr>
                              <w:fldChar w:fldCharType="end"/>
                            </w:r>
                            <w:bookmarkEnd w:id="723"/>
                            <w:r w:rsidRPr="00A33FEA">
                              <w:rPr>
                                <w:b/>
                                <w:sz w:val="20"/>
                                <w:szCs w:val="20"/>
                              </w:rPr>
                              <w:t xml:space="preserve"> – Distinct leukocyte subset abundance profiles are seen at acute and chronic points of hepatic infection.</w:t>
                            </w:r>
                            <w:r w:rsidRPr="00A33FEA">
                              <w:rPr>
                                <w:sz w:val="20"/>
                                <w:szCs w:val="20"/>
                              </w:rPr>
                              <w:t xml:space="preserve"> Comparison of </w:t>
                            </w:r>
                            <w:r w:rsidRPr="00A33FEA">
                              <w:rPr>
                                <w:i/>
                                <w:sz w:val="20"/>
                                <w:szCs w:val="20"/>
                              </w:rPr>
                              <w:t>L. donovani</w:t>
                            </w:r>
                            <w:r w:rsidRPr="00A33FEA">
                              <w:rPr>
                                <w:sz w:val="20"/>
                                <w:szCs w:val="20"/>
                              </w:rPr>
                              <w:t xml:space="preserve"> infected and age-matched naïve mice absolute hepatic T cells, B cells, NK cells, dendritic cells, macrophages &amp; monocytes and neutrophils. Absolute hepatic T cells (A, B), B cells (C, D), NK cells (E, F), dendritic cells (G, H), macrophages &amp; monocytes (I, J) and neutrophils (K, L) was compared at 13 days post-infection (A, C, E, G, I, K) and at 42 days post-infection (B, D, F, H, J, L). </w:t>
                            </w:r>
                            <w:r w:rsidRPr="00A33FEA">
                              <w:rPr>
                                <w:rFonts w:eastAsia="Heiti TC Light"/>
                                <w:sz w:val="20"/>
                                <w:szCs w:val="20"/>
                              </w:rPr>
                              <w:t xml:space="preserve">● represent individual biological data points (n = 4-5) and error ranges are represented as the mean </w:t>
                            </w:r>
                            <w:r w:rsidRPr="00A33FEA">
                              <w:rPr>
                                <w:sz w:val="20"/>
                                <w:szCs w:val="20"/>
                              </w:rPr>
                              <w:sym w:font="Symbol" w:char="F0B1"/>
                            </w:r>
                            <w:r w:rsidRPr="00A33FEA">
                              <w:rPr>
                                <w:sz w:val="20"/>
                                <w:szCs w:val="20"/>
                              </w:rPr>
                              <w:t xml:space="preserve"> SD. Data </w:t>
                            </w:r>
                            <w:r>
                              <w:rPr>
                                <w:sz w:val="20"/>
                                <w:szCs w:val="20"/>
                              </w:rPr>
                              <w:t>are</w:t>
                            </w:r>
                            <w:r w:rsidRPr="00A33FEA">
                              <w:rPr>
                                <w:sz w:val="20"/>
                                <w:szCs w:val="20"/>
                              </w:rPr>
                              <w:t xml:space="preserve"> representative of 1 infection experiment and was analysed using a Mann Whitney test. (* denotes a p value of less than 0.05)</w:t>
                            </w:r>
                            <w:bookmarkEnd w:id="724"/>
                            <w:bookmarkEnd w:id="725"/>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CBC408E" id="Text Box 714" o:spid="_x0000_s1232" type="#_x0000_t202" style="position:absolute;margin-left:-7.05pt;margin-top:596.4pt;width:453.5pt;height:131.85pt;z-index:2517002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8kSB7NgIAAG4EAAAOAAAAZHJzL2Uyb0RvYy54bWysVE2P2yAQvVfqf0DcGydRPrpRnFWaVapK&#13;&#10;0e5KSbVngnGMBAwFEjv99R2wnd1ue6p6wcPM8GDem/HyvtGKXITzEkxOR4MhJcJwKKQ55fT7Yfvp&#13;&#10;MyU+MFMwBUbk9Co8vV99/LCs7UKMoQJVCEcQxPhFbXNahWAXWeZ5JTTzA7DCYLAEp1nArTtlhWM1&#13;&#10;omuVjYfDWVaDK6wDLrxH70MbpKuEX5aCh6ey9CIQlVN8W0irS+sxrtlqyRYnx2wlefcM9g+v0Ewa&#13;&#10;vPQG9cACI2cn/4DSkjvwUIYBB51BWUouUg1YzWj4rpp9xaxItSA53t5o8v8Plj9enh2RRU7nowkl&#13;&#10;hmkU6SCaQL5AQ6IPGaqtX2Di3mJqaDCASvd+j85YeFM6Hb9YEsE4cn298RvhODqn8+ndZIohjrHR&#13;&#10;bD6Z3E0jTvZ63DofvgrQJBo5dShg4pVddj60qX1KvM2DksVWKhU3MbBRjlwYil1XMogO/LcsZWKu&#13;&#10;gXiqBYyeLNbY1hKt0BybxMp4OOsrPUJxRQIctE3kLd9KvHHHfHhmDrsGC8NJCE+4lArqnEJnUVKB&#13;&#10;+/k3f8xHMTFKSY1dmFP/48ycoER9MyhzbNnecL1x7A1z1hvAWkc4Y5YnEw+4oHqzdKBfcEDW8RYM&#13;&#10;McPxrpyG3tyEdhZwwLhYr1MSNqZlYWf2lkfontlD88Kc7XQJKOkj9P3JFu/kaXOTQHZ9Dsh10i4y&#13;&#10;27LYEY5NndTvBjBOzdt9ynr9Tax+AQAA//8DAFBLAwQUAAYACAAAACEArHyat+cAAAASAQAADwAA&#13;&#10;AGRycy9kb3ducmV2LnhtbExPPU/DMBDdkfgP1lViQa2TkEZNGqeqCgx0qQhdurmxGwdiO7KdNvx7&#13;&#10;jgmWk+7eu/dRbibdk6t0vrOGQbyIgEjTWNGZlsHx43W+AuIDN4L31kgG39LDprq/K3kh7M28y2sd&#13;&#10;WoIixhecgQphKCj1jZKa+4UdpEHsYp3mAVfXUuH4DcV1T5MoyqjmnUEHxQe5U7L5qkfN4JCeDupx&#13;&#10;vLzst+mTezuOu+yzrRl7mE3PaxzbNZAgp/D3Ab8dMD9UGOxsRyM86RnM4zRGKgJxnmATpKzyJAdy&#13;&#10;xlO6zJZAq5L+r1L9AAAA//8DAFBLAQItABQABgAIAAAAIQC2gziS/gAAAOEBAAATAAAAAAAAAAAA&#13;&#10;AAAAAAAAAABbQ29udGVudF9UeXBlc10ueG1sUEsBAi0AFAAGAAgAAAAhADj9If/WAAAAlAEAAAsA&#13;&#10;AAAAAAAAAAAAAAAALwEAAF9yZWxzLy5yZWxzUEsBAi0AFAAGAAgAAAAhAPyRIHs2AgAAbgQAAA4A&#13;&#10;AAAAAAAAAAAAAAAALgIAAGRycy9lMm9Eb2MueG1sUEsBAi0AFAAGAAgAAAAhAKx8mrfnAAAAEgEA&#13;&#10;AA8AAAAAAAAAAAAAAAAAkAQAAGRycy9kb3ducmV2LnhtbFBLBQYAAAAABAAEAPMAAACkBQAAAAA=&#13;&#10;" stroked="f">
                <v:textbox style="mso-fit-shape-to-text:t" inset="0,0,0,0">
                  <w:txbxContent>
                    <w:p w14:paraId="33C96DB3" w14:textId="426A3B88" w:rsidR="00F61130" w:rsidRPr="00A33FEA" w:rsidRDefault="00F61130" w:rsidP="00A33FEA">
                      <w:pPr>
                        <w:pStyle w:val="Caption"/>
                        <w:spacing w:line="360" w:lineRule="auto"/>
                        <w:jc w:val="both"/>
                        <w:rPr>
                          <w:sz w:val="20"/>
                          <w:szCs w:val="20"/>
                        </w:rPr>
                      </w:pPr>
                      <w:bookmarkStart w:id="726" w:name="_Ref519016745"/>
                      <w:bookmarkStart w:id="727" w:name="_Toc525227259"/>
                      <w:bookmarkStart w:id="728" w:name="_Toc536814199"/>
                      <w:r w:rsidRPr="00A33FEA">
                        <w:rPr>
                          <w:b/>
                          <w:sz w:val="20"/>
                          <w:szCs w:val="20"/>
                        </w:rPr>
                        <w:t xml:space="preserve">Figure </w:t>
                      </w:r>
                      <w:r>
                        <w:rPr>
                          <w:b/>
                          <w:sz w:val="20"/>
                          <w:szCs w:val="20"/>
                        </w:rPr>
                        <w:fldChar w:fldCharType="begin"/>
                      </w:r>
                      <w:r>
                        <w:rPr>
                          <w:b/>
                          <w:sz w:val="20"/>
                          <w:szCs w:val="20"/>
                        </w:rPr>
                        <w:instrText xml:space="preserve"> STYLEREF 1 \s </w:instrText>
                      </w:r>
                      <w:r>
                        <w:rPr>
                          <w:b/>
                          <w:sz w:val="20"/>
                          <w:szCs w:val="20"/>
                        </w:rPr>
                        <w:fldChar w:fldCharType="separate"/>
                      </w:r>
                      <w:r>
                        <w:rPr>
                          <w:b/>
                          <w:noProof/>
                          <w:sz w:val="20"/>
                          <w:szCs w:val="20"/>
                        </w:rPr>
                        <w:t>7</w:t>
                      </w:r>
                      <w:r>
                        <w:rPr>
                          <w:b/>
                          <w:sz w:val="20"/>
                          <w:szCs w:val="20"/>
                        </w:rPr>
                        <w:fldChar w:fldCharType="end"/>
                      </w:r>
                      <w:r>
                        <w:rPr>
                          <w:b/>
                          <w:sz w:val="20"/>
                          <w:szCs w:val="20"/>
                        </w:rPr>
                        <w:t>.</w:t>
                      </w:r>
                      <w:r>
                        <w:rPr>
                          <w:b/>
                          <w:sz w:val="20"/>
                          <w:szCs w:val="20"/>
                        </w:rPr>
                        <w:fldChar w:fldCharType="begin"/>
                      </w:r>
                      <w:r>
                        <w:rPr>
                          <w:b/>
                          <w:sz w:val="20"/>
                          <w:szCs w:val="20"/>
                        </w:rPr>
                        <w:instrText xml:space="preserve"> SEQ Figure \* ARABIC \s 1 </w:instrText>
                      </w:r>
                      <w:r>
                        <w:rPr>
                          <w:b/>
                          <w:sz w:val="20"/>
                          <w:szCs w:val="20"/>
                        </w:rPr>
                        <w:fldChar w:fldCharType="separate"/>
                      </w:r>
                      <w:r>
                        <w:rPr>
                          <w:b/>
                          <w:noProof/>
                          <w:sz w:val="20"/>
                          <w:szCs w:val="20"/>
                        </w:rPr>
                        <w:t>7</w:t>
                      </w:r>
                      <w:r>
                        <w:rPr>
                          <w:b/>
                          <w:sz w:val="20"/>
                          <w:szCs w:val="20"/>
                        </w:rPr>
                        <w:fldChar w:fldCharType="end"/>
                      </w:r>
                      <w:bookmarkEnd w:id="726"/>
                      <w:r w:rsidRPr="00A33FEA">
                        <w:rPr>
                          <w:b/>
                          <w:sz w:val="20"/>
                          <w:szCs w:val="20"/>
                        </w:rPr>
                        <w:t xml:space="preserve"> – Distinct leukocyte subset abundance profiles are seen at acute and chronic points of hepatic infection.</w:t>
                      </w:r>
                      <w:r w:rsidRPr="00A33FEA">
                        <w:rPr>
                          <w:sz w:val="20"/>
                          <w:szCs w:val="20"/>
                        </w:rPr>
                        <w:t xml:space="preserve"> Comparison of </w:t>
                      </w:r>
                      <w:r w:rsidRPr="00A33FEA">
                        <w:rPr>
                          <w:i/>
                          <w:sz w:val="20"/>
                          <w:szCs w:val="20"/>
                        </w:rPr>
                        <w:t>L. donovani</w:t>
                      </w:r>
                      <w:r w:rsidRPr="00A33FEA">
                        <w:rPr>
                          <w:sz w:val="20"/>
                          <w:szCs w:val="20"/>
                        </w:rPr>
                        <w:t xml:space="preserve"> infected and age-matched naïve mice absolute hepatic T cells, B cells, NK cells, dendritic cells, macrophages &amp; monocytes and neutrophils. Absolute hepatic T cells (A, B), B cells (C, D), NK cells (E, F), dendritic cells (G, H), macrophages &amp; monocytes (I, J) and neutrophils (K, L) was compared at 13 days post-infection (A, C, E, G, I, K) and at 42 days post-infection (B, D, F, H, J, L). </w:t>
                      </w:r>
                      <w:r w:rsidRPr="00A33FEA">
                        <w:rPr>
                          <w:rFonts w:eastAsia="Heiti TC Light"/>
                          <w:sz w:val="20"/>
                          <w:szCs w:val="20"/>
                        </w:rPr>
                        <w:t xml:space="preserve">● represent individual biological data points (n = 4-5) and error ranges are represented as the mean </w:t>
                      </w:r>
                      <w:r w:rsidRPr="00A33FEA">
                        <w:rPr>
                          <w:sz w:val="20"/>
                          <w:szCs w:val="20"/>
                        </w:rPr>
                        <w:sym w:font="Symbol" w:char="F0B1"/>
                      </w:r>
                      <w:r w:rsidRPr="00A33FEA">
                        <w:rPr>
                          <w:sz w:val="20"/>
                          <w:szCs w:val="20"/>
                        </w:rPr>
                        <w:t xml:space="preserve"> SD. Data </w:t>
                      </w:r>
                      <w:r>
                        <w:rPr>
                          <w:sz w:val="20"/>
                          <w:szCs w:val="20"/>
                        </w:rPr>
                        <w:t>are</w:t>
                      </w:r>
                      <w:r w:rsidRPr="00A33FEA">
                        <w:rPr>
                          <w:sz w:val="20"/>
                          <w:szCs w:val="20"/>
                        </w:rPr>
                        <w:t xml:space="preserve"> representative of 1 infection experiment and was analysed using a Mann Whitney test. (* denotes a p value of less than 0.05)</w:t>
                      </w:r>
                      <w:bookmarkEnd w:id="727"/>
                      <w:bookmarkEnd w:id="728"/>
                    </w:p>
                  </w:txbxContent>
                </v:textbox>
                <w10:wrap type="topAndBottom"/>
              </v:shape>
            </w:pict>
          </mc:Fallback>
        </mc:AlternateContent>
      </w:r>
      <w:r w:rsidRPr="008B3AD6">
        <w:br w:type="page"/>
      </w:r>
    </w:p>
    <w:p w14:paraId="3E05104B" w14:textId="77777777" w:rsidR="00A7341F" w:rsidRDefault="00A7341F">
      <w:pPr>
        <w:spacing w:line="240" w:lineRule="auto"/>
        <w:sectPr w:rsidR="00A7341F" w:rsidSect="00E44977">
          <w:pgSz w:w="11900" w:h="16840"/>
          <w:pgMar w:top="1134" w:right="851" w:bottom="1134" w:left="2268" w:header="709" w:footer="709" w:gutter="0"/>
          <w:cols w:space="708"/>
          <w:docGrid w:linePitch="360"/>
        </w:sectPr>
      </w:pPr>
    </w:p>
    <w:p w14:paraId="31AE048C" w14:textId="77777777" w:rsidR="00143E24" w:rsidRDefault="00B52D4A">
      <w:pPr>
        <w:spacing w:line="360" w:lineRule="auto"/>
        <w:sectPr w:rsidR="00143E24" w:rsidSect="00E44977">
          <w:pgSz w:w="11900" w:h="16840"/>
          <w:pgMar w:top="1134" w:right="851" w:bottom="1134" w:left="2268" w:header="709" w:footer="709" w:gutter="0"/>
          <w:cols w:space="708"/>
          <w:docGrid w:linePitch="360"/>
        </w:sectPr>
      </w:pPr>
      <w:r>
        <w:rPr>
          <w:noProof/>
        </w:rPr>
        <w:lastRenderedPageBreak/>
        <mc:AlternateContent>
          <mc:Choice Requires="wps">
            <w:drawing>
              <wp:anchor distT="0" distB="0" distL="114300" distR="114300" simplePos="0" relativeHeight="251714560" behindDoc="0" locked="0" layoutInCell="1" allowOverlap="1" wp14:anchorId="165C76FE" wp14:editId="3C1E3217">
                <wp:simplePos x="0" y="0"/>
                <wp:positionH relativeFrom="column">
                  <wp:posOffset>-5080</wp:posOffset>
                </wp:positionH>
                <wp:positionV relativeFrom="paragraph">
                  <wp:posOffset>6990715</wp:posOffset>
                </wp:positionV>
                <wp:extent cx="5575935" cy="1083945"/>
                <wp:effectExtent l="0" t="0" r="0" b="0"/>
                <wp:wrapTopAndBottom/>
                <wp:docPr id="753" name="Text Box 753"/>
                <wp:cNvGraphicFramePr/>
                <a:graphic xmlns:a="http://schemas.openxmlformats.org/drawingml/2006/main">
                  <a:graphicData uri="http://schemas.microsoft.com/office/word/2010/wordprocessingShape">
                    <wps:wsp>
                      <wps:cNvSpPr txBox="1"/>
                      <wps:spPr>
                        <a:xfrm>
                          <a:off x="0" y="0"/>
                          <a:ext cx="5575935" cy="1083945"/>
                        </a:xfrm>
                        <a:prstGeom prst="rect">
                          <a:avLst/>
                        </a:prstGeom>
                        <a:solidFill>
                          <a:prstClr val="white"/>
                        </a:solidFill>
                        <a:ln>
                          <a:noFill/>
                        </a:ln>
                      </wps:spPr>
                      <wps:txbx>
                        <w:txbxContent>
                          <w:p w14:paraId="694DEF6D" w14:textId="6EEAA05D" w:rsidR="00F61130" w:rsidRPr="00A33FEA" w:rsidRDefault="00F61130" w:rsidP="00A33FEA">
                            <w:pPr>
                              <w:pStyle w:val="Caption"/>
                              <w:spacing w:line="360" w:lineRule="auto"/>
                              <w:jc w:val="both"/>
                              <w:rPr>
                                <w:noProof/>
                                <w:sz w:val="20"/>
                                <w:szCs w:val="20"/>
                              </w:rPr>
                            </w:pPr>
                            <w:bookmarkStart w:id="729" w:name="_Ref519016746"/>
                            <w:bookmarkStart w:id="730" w:name="_Toc525227260"/>
                            <w:bookmarkStart w:id="731" w:name="_Toc536814200"/>
                            <w:r w:rsidRPr="00A33FEA">
                              <w:rPr>
                                <w:b/>
                                <w:sz w:val="20"/>
                                <w:szCs w:val="20"/>
                              </w:rPr>
                              <w:t xml:space="preserve">Figure </w:t>
                            </w:r>
                            <w:r>
                              <w:rPr>
                                <w:b/>
                                <w:sz w:val="20"/>
                                <w:szCs w:val="20"/>
                              </w:rPr>
                              <w:fldChar w:fldCharType="begin"/>
                            </w:r>
                            <w:r>
                              <w:rPr>
                                <w:b/>
                                <w:sz w:val="20"/>
                                <w:szCs w:val="20"/>
                              </w:rPr>
                              <w:instrText xml:space="preserve"> STYLEREF 1 \s </w:instrText>
                            </w:r>
                            <w:r>
                              <w:rPr>
                                <w:b/>
                                <w:sz w:val="20"/>
                                <w:szCs w:val="20"/>
                              </w:rPr>
                              <w:fldChar w:fldCharType="separate"/>
                            </w:r>
                            <w:r>
                              <w:rPr>
                                <w:b/>
                                <w:noProof/>
                                <w:sz w:val="20"/>
                                <w:szCs w:val="20"/>
                              </w:rPr>
                              <w:t>7</w:t>
                            </w:r>
                            <w:r>
                              <w:rPr>
                                <w:b/>
                                <w:sz w:val="20"/>
                                <w:szCs w:val="20"/>
                              </w:rPr>
                              <w:fldChar w:fldCharType="end"/>
                            </w:r>
                            <w:r>
                              <w:rPr>
                                <w:b/>
                                <w:sz w:val="20"/>
                                <w:szCs w:val="20"/>
                              </w:rPr>
                              <w:t>.</w:t>
                            </w:r>
                            <w:r>
                              <w:rPr>
                                <w:b/>
                                <w:sz w:val="20"/>
                                <w:szCs w:val="20"/>
                              </w:rPr>
                              <w:fldChar w:fldCharType="begin"/>
                            </w:r>
                            <w:r>
                              <w:rPr>
                                <w:b/>
                                <w:sz w:val="20"/>
                                <w:szCs w:val="20"/>
                              </w:rPr>
                              <w:instrText xml:space="preserve"> SEQ Figure \* ARABIC \s 1 </w:instrText>
                            </w:r>
                            <w:r>
                              <w:rPr>
                                <w:b/>
                                <w:sz w:val="20"/>
                                <w:szCs w:val="20"/>
                              </w:rPr>
                              <w:fldChar w:fldCharType="separate"/>
                            </w:r>
                            <w:r>
                              <w:rPr>
                                <w:b/>
                                <w:noProof/>
                                <w:sz w:val="20"/>
                                <w:szCs w:val="20"/>
                              </w:rPr>
                              <w:t>8</w:t>
                            </w:r>
                            <w:r>
                              <w:rPr>
                                <w:b/>
                                <w:sz w:val="20"/>
                                <w:szCs w:val="20"/>
                              </w:rPr>
                              <w:fldChar w:fldCharType="end"/>
                            </w:r>
                            <w:bookmarkEnd w:id="729"/>
                            <w:r w:rsidRPr="00A33FEA">
                              <w:rPr>
                                <w:b/>
                                <w:sz w:val="20"/>
                                <w:szCs w:val="20"/>
                              </w:rPr>
                              <w:t xml:space="preserve"> – The relative abundance of lymphoid subsets, but not myeloid subsets, is consistent between the blood and liver.</w:t>
                            </w:r>
                            <w:r w:rsidRPr="00A33FEA">
                              <w:rPr>
                                <w:sz w:val="20"/>
                                <w:szCs w:val="20"/>
                              </w:rPr>
                              <w:t xml:space="preserve"> Comparison of the relative abundances of T cells, B cells, NK cells, dendritic cells, macrophages &amp; monocytes and neutrophils in the liver and blood of </w:t>
                            </w:r>
                            <w:r w:rsidRPr="00A33FEA">
                              <w:rPr>
                                <w:i/>
                                <w:sz w:val="20"/>
                                <w:szCs w:val="20"/>
                              </w:rPr>
                              <w:t>L. donovani</w:t>
                            </w:r>
                            <w:r w:rsidRPr="00A33FEA">
                              <w:rPr>
                                <w:sz w:val="20"/>
                                <w:szCs w:val="20"/>
                              </w:rPr>
                              <w:t xml:space="preserve"> infected mice. </w:t>
                            </w:r>
                            <w:r w:rsidRPr="00A33FEA">
                              <w:rPr>
                                <w:rFonts w:eastAsia="Heiti TC Light"/>
                                <w:sz w:val="20"/>
                                <w:szCs w:val="20"/>
                              </w:rPr>
                              <w:t xml:space="preserve">● and </w:t>
                            </w:r>
                            <w:r w:rsidRPr="00A33FEA">
                              <w:rPr>
                                <w:rFonts w:eastAsia="Heiti TC Light"/>
                                <w:color w:val="BFBFBF" w:themeColor="background1" w:themeShade="BF"/>
                                <w:sz w:val="20"/>
                                <w:szCs w:val="20"/>
                              </w:rPr>
                              <w:t>●</w:t>
                            </w:r>
                            <w:r w:rsidRPr="00A33FEA">
                              <w:rPr>
                                <w:rFonts w:eastAsia="Heiti TC Light"/>
                                <w:sz w:val="20"/>
                                <w:szCs w:val="20"/>
                              </w:rPr>
                              <w:t xml:space="preserve"> represent individual biological data points (n = 4-5) and error ranges are represented as the mean </w:t>
                            </w:r>
                            <w:r w:rsidRPr="00A33FEA">
                              <w:rPr>
                                <w:sz w:val="20"/>
                                <w:szCs w:val="20"/>
                              </w:rPr>
                              <w:sym w:font="Symbol" w:char="F0B1"/>
                            </w:r>
                            <w:r w:rsidRPr="00A33FEA">
                              <w:rPr>
                                <w:sz w:val="20"/>
                                <w:szCs w:val="20"/>
                              </w:rPr>
                              <w:t xml:space="preserve"> SD. Data </w:t>
                            </w:r>
                            <w:r>
                              <w:rPr>
                                <w:sz w:val="20"/>
                                <w:szCs w:val="20"/>
                              </w:rPr>
                              <w:t>are</w:t>
                            </w:r>
                            <w:r w:rsidRPr="00A33FEA">
                              <w:rPr>
                                <w:sz w:val="20"/>
                                <w:szCs w:val="20"/>
                              </w:rPr>
                              <w:t xml:space="preserve"> representative of 1 infection experiment.</w:t>
                            </w:r>
                            <w:bookmarkEnd w:id="730"/>
                            <w:bookmarkEnd w:id="731"/>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65C76FE" id="Text Box 753" o:spid="_x0000_s1233" type="#_x0000_t202" style="position:absolute;margin-left:-.4pt;margin-top:550.45pt;width:439.05pt;height:85.35pt;z-index:2517145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S/rVtNwIAAG4EAAAOAAAAZHJzL2Uyb0RvYy54bWysVMFu2zAMvQ/YPwi6L3aSeW2NOEWWIsOA&#13;&#10;oC2QDD0rshwLkEVNUmJnXz9KttOt22nYRaZI6kl8j/TivmsUOQvrJOiCTicpJUJzKKU+FvTbfvPh&#13;&#10;lhLnmS6ZAi0KehGO3i/fv1u0JhczqEGVwhIE0S5vTUFr702eJI7XomFuAkZoDFZgG+Zxa49JaVmL&#13;&#10;6I1KZmn6KWnBlsYCF86h96EP0mXEryrB/VNVOeGJKii+zcfVxvUQ1mS5YPnRMlNLPjyD/cMrGiY1&#13;&#10;XnqFemCekZOVf0A1kltwUPkJhyaBqpJcxBqwmmn6pppdzYyItSA5zlxpcv8Plj+eny2RZUFvsjkl&#13;&#10;mjUo0l50nnyGjgQfMtQal2PizmCq7zCASo9+h85QeFfZJnyxJIJx5Ppy5TfAcXRm2U12N88o4Rib&#13;&#10;prfzu49ZwElejxvr/BcBDQlGQS0KGHll563zfeqYEm5zoGS5kUqFTQislSVnhmK3tfRiAP8tS+mQ&#13;&#10;qyGc6gGDJwk19rUEy3eHLrIyS2/GSg9QXpAAC30TOcM3Em/cMuefmcWuwZpxEvwTLpWCtqAwWJTU&#13;&#10;YH/8zR/yUUyMUtJiFxbUfT8xKyhRXzXKHFp2NOxoHEZDn5o1YK1TnDHDo4kHrFejWVloXnBAVuEW&#13;&#10;DDHN8a6C+tFc+34WcMC4WK1iEjamYX6rd4YH6JHZfffCrBl08SjpI4z9yfI38vS5Pc+rk4dKRu0C&#13;&#10;sz2LA+HY1FH9YQDD1Py6j1mvv4nlTwAAAP//AwBQSwMEFAAGAAgAAAAhANT3gw/kAAAAEAEAAA8A&#13;&#10;AABkcnMvZG93bnJldi54bWxMj0FPwzAMhe9I/IfISFwQS1qkduuaTrDCDQ4b085Zm7UVjVMl6dr9&#13;&#10;e7wTXCz52X7+Xr6ZTc8u2vnOooRoIYBprGzdYSPh8P3xvATmg8Ja9Ra1hKv2sCnu73KV1XbCnb7s&#13;&#10;Q8PIBH2mJLQhDBnnvmq1UX5hB400O1tnVKDWNbx2aiJz0/NYiIQb1SF9aNWgt62ufvajkZCUbpx2&#13;&#10;uH0qD++f6mto4uPb9Sjl48Ncrqm8roEFPYe/C7hlIH4oCOxkR6w96yXc6APJkRArYLSwTNMXYCeS&#13;&#10;4jRKgBc5/x+k+AUAAP//AwBQSwECLQAUAAYACAAAACEAtoM4kv4AAADhAQAAEwAAAAAAAAAAAAAA&#13;&#10;AAAAAAAAW0NvbnRlbnRfVHlwZXNdLnhtbFBLAQItABQABgAIAAAAIQA4/SH/1gAAAJQBAAALAAAA&#13;&#10;AAAAAAAAAAAAAC8BAABfcmVscy8ucmVsc1BLAQItABQABgAIAAAAIQBS/rVtNwIAAG4EAAAOAAAA&#13;&#10;AAAAAAAAAAAAAC4CAABkcnMvZTJvRG9jLnhtbFBLAQItABQABgAIAAAAIQDU94MP5AAAABABAAAP&#13;&#10;AAAAAAAAAAAAAAAAAJEEAABkcnMvZG93bnJldi54bWxQSwUGAAAAAAQABADzAAAAogUAAAAA&#13;&#10;" stroked="f">
                <v:textbox inset="0,0,0,0">
                  <w:txbxContent>
                    <w:p w14:paraId="694DEF6D" w14:textId="6EEAA05D" w:rsidR="00F61130" w:rsidRPr="00A33FEA" w:rsidRDefault="00F61130" w:rsidP="00A33FEA">
                      <w:pPr>
                        <w:pStyle w:val="Caption"/>
                        <w:spacing w:line="360" w:lineRule="auto"/>
                        <w:jc w:val="both"/>
                        <w:rPr>
                          <w:noProof/>
                          <w:sz w:val="20"/>
                          <w:szCs w:val="20"/>
                        </w:rPr>
                      </w:pPr>
                      <w:bookmarkStart w:id="732" w:name="_Ref519016746"/>
                      <w:bookmarkStart w:id="733" w:name="_Toc525227260"/>
                      <w:bookmarkStart w:id="734" w:name="_Toc536814200"/>
                      <w:r w:rsidRPr="00A33FEA">
                        <w:rPr>
                          <w:b/>
                          <w:sz w:val="20"/>
                          <w:szCs w:val="20"/>
                        </w:rPr>
                        <w:t xml:space="preserve">Figure </w:t>
                      </w:r>
                      <w:r>
                        <w:rPr>
                          <w:b/>
                          <w:sz w:val="20"/>
                          <w:szCs w:val="20"/>
                        </w:rPr>
                        <w:fldChar w:fldCharType="begin"/>
                      </w:r>
                      <w:r>
                        <w:rPr>
                          <w:b/>
                          <w:sz w:val="20"/>
                          <w:szCs w:val="20"/>
                        </w:rPr>
                        <w:instrText xml:space="preserve"> STYLEREF 1 \s </w:instrText>
                      </w:r>
                      <w:r>
                        <w:rPr>
                          <w:b/>
                          <w:sz w:val="20"/>
                          <w:szCs w:val="20"/>
                        </w:rPr>
                        <w:fldChar w:fldCharType="separate"/>
                      </w:r>
                      <w:r>
                        <w:rPr>
                          <w:b/>
                          <w:noProof/>
                          <w:sz w:val="20"/>
                          <w:szCs w:val="20"/>
                        </w:rPr>
                        <w:t>7</w:t>
                      </w:r>
                      <w:r>
                        <w:rPr>
                          <w:b/>
                          <w:sz w:val="20"/>
                          <w:szCs w:val="20"/>
                        </w:rPr>
                        <w:fldChar w:fldCharType="end"/>
                      </w:r>
                      <w:r>
                        <w:rPr>
                          <w:b/>
                          <w:sz w:val="20"/>
                          <w:szCs w:val="20"/>
                        </w:rPr>
                        <w:t>.</w:t>
                      </w:r>
                      <w:r>
                        <w:rPr>
                          <w:b/>
                          <w:sz w:val="20"/>
                          <w:szCs w:val="20"/>
                        </w:rPr>
                        <w:fldChar w:fldCharType="begin"/>
                      </w:r>
                      <w:r>
                        <w:rPr>
                          <w:b/>
                          <w:sz w:val="20"/>
                          <w:szCs w:val="20"/>
                        </w:rPr>
                        <w:instrText xml:space="preserve"> SEQ Figure \* ARABIC \s 1 </w:instrText>
                      </w:r>
                      <w:r>
                        <w:rPr>
                          <w:b/>
                          <w:sz w:val="20"/>
                          <w:szCs w:val="20"/>
                        </w:rPr>
                        <w:fldChar w:fldCharType="separate"/>
                      </w:r>
                      <w:r>
                        <w:rPr>
                          <w:b/>
                          <w:noProof/>
                          <w:sz w:val="20"/>
                          <w:szCs w:val="20"/>
                        </w:rPr>
                        <w:t>8</w:t>
                      </w:r>
                      <w:r>
                        <w:rPr>
                          <w:b/>
                          <w:sz w:val="20"/>
                          <w:szCs w:val="20"/>
                        </w:rPr>
                        <w:fldChar w:fldCharType="end"/>
                      </w:r>
                      <w:bookmarkEnd w:id="732"/>
                      <w:r w:rsidRPr="00A33FEA">
                        <w:rPr>
                          <w:b/>
                          <w:sz w:val="20"/>
                          <w:szCs w:val="20"/>
                        </w:rPr>
                        <w:t xml:space="preserve"> – The relative abundance of lymphoid subsets, but not myeloid subsets, is consistent between the blood and liver.</w:t>
                      </w:r>
                      <w:r w:rsidRPr="00A33FEA">
                        <w:rPr>
                          <w:sz w:val="20"/>
                          <w:szCs w:val="20"/>
                        </w:rPr>
                        <w:t xml:space="preserve"> Comparison of the relative abundances of T cells, B cells, NK cells, dendritic cells, macrophages &amp; monocytes and neutrophils in the liver and blood of </w:t>
                      </w:r>
                      <w:r w:rsidRPr="00A33FEA">
                        <w:rPr>
                          <w:i/>
                          <w:sz w:val="20"/>
                          <w:szCs w:val="20"/>
                        </w:rPr>
                        <w:t>L. donovani</w:t>
                      </w:r>
                      <w:r w:rsidRPr="00A33FEA">
                        <w:rPr>
                          <w:sz w:val="20"/>
                          <w:szCs w:val="20"/>
                        </w:rPr>
                        <w:t xml:space="preserve"> infected mice. </w:t>
                      </w:r>
                      <w:r w:rsidRPr="00A33FEA">
                        <w:rPr>
                          <w:rFonts w:eastAsia="Heiti TC Light"/>
                          <w:sz w:val="20"/>
                          <w:szCs w:val="20"/>
                        </w:rPr>
                        <w:t xml:space="preserve">● and </w:t>
                      </w:r>
                      <w:r w:rsidRPr="00A33FEA">
                        <w:rPr>
                          <w:rFonts w:eastAsia="Heiti TC Light"/>
                          <w:color w:val="BFBFBF" w:themeColor="background1" w:themeShade="BF"/>
                          <w:sz w:val="20"/>
                          <w:szCs w:val="20"/>
                        </w:rPr>
                        <w:t>●</w:t>
                      </w:r>
                      <w:r w:rsidRPr="00A33FEA">
                        <w:rPr>
                          <w:rFonts w:eastAsia="Heiti TC Light"/>
                          <w:sz w:val="20"/>
                          <w:szCs w:val="20"/>
                        </w:rPr>
                        <w:t xml:space="preserve"> represent individual biological data points (n = 4-5) and error ranges are represented as the mean </w:t>
                      </w:r>
                      <w:r w:rsidRPr="00A33FEA">
                        <w:rPr>
                          <w:sz w:val="20"/>
                          <w:szCs w:val="20"/>
                        </w:rPr>
                        <w:sym w:font="Symbol" w:char="F0B1"/>
                      </w:r>
                      <w:r w:rsidRPr="00A33FEA">
                        <w:rPr>
                          <w:sz w:val="20"/>
                          <w:szCs w:val="20"/>
                        </w:rPr>
                        <w:t xml:space="preserve"> SD. Data </w:t>
                      </w:r>
                      <w:r>
                        <w:rPr>
                          <w:sz w:val="20"/>
                          <w:szCs w:val="20"/>
                        </w:rPr>
                        <w:t>are</w:t>
                      </w:r>
                      <w:r w:rsidRPr="00A33FEA">
                        <w:rPr>
                          <w:sz w:val="20"/>
                          <w:szCs w:val="20"/>
                        </w:rPr>
                        <w:t xml:space="preserve"> representative of 1 infection experiment.</w:t>
                      </w:r>
                      <w:bookmarkEnd w:id="733"/>
                      <w:bookmarkEnd w:id="734"/>
                    </w:p>
                  </w:txbxContent>
                </v:textbox>
                <w10:wrap type="topAndBottom"/>
              </v:shape>
            </w:pict>
          </mc:Fallback>
        </mc:AlternateContent>
      </w:r>
      <w:r>
        <w:rPr>
          <w:noProof/>
        </w:rPr>
        <w:drawing>
          <wp:anchor distT="0" distB="0" distL="114300" distR="114300" simplePos="0" relativeHeight="251707392" behindDoc="0" locked="0" layoutInCell="1" allowOverlap="1" wp14:anchorId="0026EA5C" wp14:editId="6D748374">
            <wp:simplePos x="0" y="0"/>
            <wp:positionH relativeFrom="column">
              <wp:posOffset>-5715</wp:posOffset>
            </wp:positionH>
            <wp:positionV relativeFrom="paragraph">
              <wp:posOffset>432435</wp:posOffset>
            </wp:positionV>
            <wp:extent cx="5575935" cy="6393180"/>
            <wp:effectExtent l="0" t="0" r="0" b="0"/>
            <wp:wrapTopAndBottom/>
            <wp:docPr id="717" name="Picture 7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 name="Picture 717"/>
                    <pic:cNvPicPr>
                      <a:picLocks noChangeAspect="1"/>
                    </pic:cNvPicPr>
                  </pic:nvPicPr>
                  <pic:blipFill>
                    <a:blip r:embed="rId108">
                      <a:extLst>
                        <a:ext uri="{28A0092B-C50C-407E-A947-70E740481C1C}">
                          <a14:useLocalDpi xmlns:a14="http://schemas.microsoft.com/office/drawing/2010/main" val="0"/>
                        </a:ext>
                      </a:extLst>
                    </a:blip>
                    <a:stretch>
                      <a:fillRect/>
                    </a:stretch>
                  </pic:blipFill>
                  <pic:spPr>
                    <a:xfrm>
                      <a:off x="0" y="0"/>
                      <a:ext cx="5575935" cy="6393180"/>
                    </a:xfrm>
                    <a:prstGeom prst="rect">
                      <a:avLst/>
                    </a:prstGeom>
                  </pic:spPr>
                </pic:pic>
              </a:graphicData>
            </a:graphic>
          </wp:anchor>
        </w:drawing>
      </w:r>
      <w:r>
        <w:rPr>
          <w:noProof/>
        </w:rPr>
        <mc:AlternateContent>
          <mc:Choice Requires="wps">
            <w:drawing>
              <wp:anchor distT="0" distB="0" distL="114300" distR="114300" simplePos="0" relativeHeight="251713536" behindDoc="0" locked="0" layoutInCell="1" allowOverlap="1" wp14:anchorId="67D070D7" wp14:editId="29E3F6F2">
                <wp:simplePos x="0" y="0"/>
                <wp:positionH relativeFrom="column">
                  <wp:posOffset>2989580</wp:posOffset>
                </wp:positionH>
                <wp:positionV relativeFrom="paragraph">
                  <wp:posOffset>4767580</wp:posOffset>
                </wp:positionV>
                <wp:extent cx="187325" cy="179705"/>
                <wp:effectExtent l="0" t="0" r="3175" b="0"/>
                <wp:wrapTopAndBottom/>
                <wp:docPr id="752" name="Text Box 752"/>
                <wp:cNvGraphicFramePr/>
                <a:graphic xmlns:a="http://schemas.openxmlformats.org/drawingml/2006/main">
                  <a:graphicData uri="http://schemas.microsoft.com/office/word/2010/wordprocessingShape">
                    <wps:wsp>
                      <wps:cNvSpPr txBox="1"/>
                      <wps:spPr>
                        <a:xfrm>
                          <a:off x="0" y="0"/>
                          <a:ext cx="187325" cy="179705"/>
                        </a:xfrm>
                        <a:prstGeom prst="rect">
                          <a:avLst/>
                        </a:prstGeom>
                        <a:noFill/>
                        <a:ln w="6350">
                          <a:noFill/>
                        </a:ln>
                      </wps:spPr>
                      <wps:txbx>
                        <w:txbxContent>
                          <w:p w14:paraId="650E1ED4" w14:textId="77777777" w:rsidR="00F61130" w:rsidRPr="006508D1" w:rsidRDefault="00F61130" w:rsidP="00A33FEA">
                            <w:r>
                              <w:t>F</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67D070D7" id="Text Box 752" o:spid="_x0000_s1234" type="#_x0000_t202" style="position:absolute;margin-left:235.4pt;margin-top:375.4pt;width:14.75pt;height:14.15pt;z-index:2517135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4sod3KgIAAE0EAAAOAAAAZHJzL2Uyb0RvYy54bWysVFFv2jAQfp+0/2D5fSRQUVhEqFgrpkmo&#13;&#10;rQRTn41jk0i2z7MNCfv1OzuETl2fqr2Yy9357r7vPrO467QiJ+F8A6ak41FOiTAcqsYcSvpzt/4y&#13;&#10;p8QHZiqmwIiSnoWnd8vPnxatLcQEalCVcASLGF+0tqR1CLbIMs9roZkfgRUGgxKcZgE/3SGrHGux&#13;&#10;ulbZJM9vsxZcZR1w4T16H/ogXab6UgoenqT0IhBVUpwtpNOlcx/PbLlgxcExWzf8Mgb7wBSaNQab&#13;&#10;Xks9sMDI0TX/lNINd+BBhhEHnYGUDRcJA6IZ52/QbGtmRcKC5Hh7pcn/v7L88fTsSFOVdDadUGKY&#13;&#10;xiXtRBfIN+hI9CFDrfUFJm4tpoYOA7jpwe/RGYF30un4i5AIxpHr85XfWI7HS/PZzWRKCcfQePZ1&#13;&#10;lk9jlez1snU+fBegSTRK6nB9iVV22vjQpw4psZeBdaNUWqEypC3p7c00TxeuESyuDPaIEPpRoxW6&#13;&#10;fZdAT/L5AGQP1RnxOeg14i1fNzjFhvnwzByKAiGh0MMTHlIBdoOLRUkN7vd7/piPu8IoJS2KrKT+&#13;&#10;15E5QYn6YXCLUZGD4QZjPxjmqO8BdTvGJ2R5MvGCC2owpQP9gvpfxS4YYoZjr5KGwbwPvdTx/XCx&#13;&#10;WqUk1J1lYWO2lsfSkcfI6a57Yc5eiA+4sUcY5MeKN/z3uf0GVscAsknLicz2LF4IR82m9V7eV3wU&#13;&#10;f3+nrNd/geUfAAAA//8DAFBLAwQUAAYACAAAACEAX7QgJOIAAAAQAQAADwAAAGRycy9kb3ducmV2&#13;&#10;LnhtbEyPy07DMBBF90j8gzVI7KgdoATSOBWisONZQIKdEw9JhB+R7aTh75muYDOa551zy/VsDZsw&#13;&#10;xN47CdlCAEPXeN27VsLb693JJbCYlNPKeIcSfjDCujo8KFWh/c694LRNLSMRFwsloUtpKDiPTYdW&#13;&#10;xYUf0NHsywerEpWh5TqoHYlbw0+FuOBW9Y4+dGrAmw6b7+1oJZiPGO5rkT6nTfuQnp/4+H6bPUp5&#13;&#10;fDRvVhSuV8ASzunvAvYeiB8qAqv96HRkRsJ5Log/SciX+4Q2lkKcAaupk19lwKuS/zdS/QIAAP//&#13;&#10;AwBQSwECLQAUAAYACAAAACEAtoM4kv4AAADhAQAAEwAAAAAAAAAAAAAAAAAAAAAAW0NvbnRlbnRf&#13;&#10;VHlwZXNdLnhtbFBLAQItABQABgAIAAAAIQA4/SH/1gAAAJQBAAALAAAAAAAAAAAAAAAAAC8BAABf&#13;&#10;cmVscy8ucmVsc1BLAQItABQABgAIAAAAIQC4sod3KgIAAE0EAAAOAAAAAAAAAAAAAAAAAC4CAABk&#13;&#10;cnMvZTJvRG9jLnhtbFBLAQItABQABgAIAAAAIQBftCAk4gAAABABAAAPAAAAAAAAAAAAAAAAAIQE&#13;&#10;AABkcnMvZG93bnJldi54bWxQSwUGAAAAAAQABADzAAAAkwUAAAAA&#13;&#10;" filled="f" stroked="f" strokeweight=".5pt">
                <v:textbox inset="0,0,0,0">
                  <w:txbxContent>
                    <w:p w14:paraId="650E1ED4" w14:textId="77777777" w:rsidR="00F61130" w:rsidRPr="006508D1" w:rsidRDefault="00F61130" w:rsidP="00A33FEA">
                      <w:r>
                        <w:t>F</w:t>
                      </w:r>
                    </w:p>
                  </w:txbxContent>
                </v:textbox>
                <w10:wrap type="topAndBottom"/>
              </v:shape>
            </w:pict>
          </mc:Fallback>
        </mc:AlternateContent>
      </w:r>
      <w:r>
        <w:rPr>
          <w:noProof/>
        </w:rPr>
        <mc:AlternateContent>
          <mc:Choice Requires="wps">
            <w:drawing>
              <wp:anchor distT="0" distB="0" distL="114300" distR="114300" simplePos="0" relativeHeight="251712512" behindDoc="0" locked="0" layoutInCell="1" allowOverlap="1" wp14:anchorId="27384ADA" wp14:editId="29857ADB">
                <wp:simplePos x="0" y="0"/>
                <wp:positionH relativeFrom="column">
                  <wp:posOffset>294005</wp:posOffset>
                </wp:positionH>
                <wp:positionV relativeFrom="paragraph">
                  <wp:posOffset>4783455</wp:posOffset>
                </wp:positionV>
                <wp:extent cx="187325" cy="179705"/>
                <wp:effectExtent l="0" t="0" r="3175" b="0"/>
                <wp:wrapTopAndBottom/>
                <wp:docPr id="733" name="Text Box 733"/>
                <wp:cNvGraphicFramePr/>
                <a:graphic xmlns:a="http://schemas.openxmlformats.org/drawingml/2006/main">
                  <a:graphicData uri="http://schemas.microsoft.com/office/word/2010/wordprocessingShape">
                    <wps:wsp>
                      <wps:cNvSpPr txBox="1"/>
                      <wps:spPr>
                        <a:xfrm>
                          <a:off x="0" y="0"/>
                          <a:ext cx="187325" cy="179705"/>
                        </a:xfrm>
                        <a:prstGeom prst="rect">
                          <a:avLst/>
                        </a:prstGeom>
                        <a:noFill/>
                        <a:ln w="6350">
                          <a:noFill/>
                        </a:ln>
                      </wps:spPr>
                      <wps:txbx>
                        <w:txbxContent>
                          <w:p w14:paraId="7442CC0B" w14:textId="77777777" w:rsidR="00F61130" w:rsidRPr="006508D1" w:rsidRDefault="00F61130" w:rsidP="00A33FEA">
                            <w:r>
                              <w:t>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27384ADA" id="Text Box 733" o:spid="_x0000_s1235" type="#_x0000_t202" style="position:absolute;margin-left:23.15pt;margin-top:376.65pt;width:14.75pt;height:14.15pt;z-index:2517125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XQV1vKgIAAE0EAAAOAAAAZHJzL2Uyb0RvYy54bWysVFFv2jAQfp+0/2D5fSSAKG1EqFgrpkmo&#13;&#10;rQRTn41jk0i2z7MNCfv1OzuEVt2epr2Yy9357r7vPrO477QiJ+F8A6ak41FOiTAcqsYcSvpjt/5y&#13;&#10;S4kPzFRMgRElPQtP75efPy1aW4gJ1KAq4QgWMb5obUnrEGyRZZ7XQjM/AisMBiU4zQJ+ukNWOdZi&#13;&#10;da2ySZ7fZC24yjrgwnv0PvZBukz1pRQ8PEvpRSCqpDhbSKdL5z6e2XLBioNjtm74ZQz2D1No1hhs&#13;&#10;ei31yAIjR9f8UUo33IEHGUYcdAZSNlwkDIhmnH9As62ZFQkLkuPtlSb//8ryp9OLI01V0vl0Solh&#13;&#10;Gpe0E10gX6Ej0YcMtdYXmLi1mBo6DOCmB79HZwTeSafjL0IiGEeuz1d+YzkeL93Op5MZJRxD4/nd&#13;&#10;PJ/FKtnbZet8+CZAk2iU1OH6EqvstPGhTx1SYi8D60aptEJlSFvSm+ksTxeuESyuDPaIEPpRoxW6&#13;&#10;fZdAT/K7AcgeqjPic9BrxFu+bnCKDfPhhTkUBUJCoYdnPKQC7AYXi5Ia3K+/+WM+7gqjlLQospL6&#13;&#10;n0fmBCXqu8EtRkUOhhuM/WCYo34A1O0Yn5DlycQLLqjBlA70K+p/FbtgiBmOvUoaBvMh9FLH98PF&#13;&#10;apWSUHeWhY3ZWh5LRx4jp7vulTl7IT7gxp5gkB8rPvDf5/YbWB0DyCYtJzLbs3ghHDWb1nt5X/FR&#13;&#10;vP9OWW//AsvfAAAA//8DAFBLAwQUAAYACAAAACEAzX4IoeEAAAAOAQAADwAAAGRycy9kb3ducmV2&#13;&#10;LnhtbExPyU7DMBC9I/EP1iBxo04oTas0ToUo3KDQFiS4ObFJIuxxZDtp+HuGE1xm0bx5S7GZrGGj&#13;&#10;9qFzKCCdJcA01k512Ah4PT5crYCFKFFJ41AL+NYBNuX5WSFz5U641+MhNoxIMORSQBtjn3Me6lZb&#13;&#10;GWau10i3T+etjLT6hisvT0RuDb9Okoxb2SEptLLXd62uvw6DFWDeg3+skvgxbpun+PLMh7f7dCfE&#13;&#10;5cW0XVO5XQOLeop/H/CbgfxDScYqN6AKzAi4yeaEFLBczGkgwHJBeSrqqzQDXhb8f4zyBwAA//8D&#13;&#10;AFBLAQItABQABgAIAAAAIQC2gziS/gAAAOEBAAATAAAAAAAAAAAAAAAAAAAAAABbQ29udGVudF9U&#13;&#10;eXBlc10ueG1sUEsBAi0AFAAGAAgAAAAhADj9If/WAAAAlAEAAAsAAAAAAAAAAAAAAAAALwEAAF9y&#13;&#10;ZWxzLy5yZWxzUEsBAi0AFAAGAAgAAAAhABdBXW8qAgAATQQAAA4AAAAAAAAAAAAAAAAALgIAAGRy&#13;&#10;cy9lMm9Eb2MueG1sUEsBAi0AFAAGAAgAAAAhAM1+CKHhAAAADgEAAA8AAAAAAAAAAAAAAAAAhAQA&#13;&#10;AGRycy9kb3ducmV2LnhtbFBLBQYAAAAABAAEAPMAAACSBQAAAAA=&#13;&#10;" filled="f" stroked="f" strokeweight=".5pt">
                <v:textbox inset="0,0,0,0">
                  <w:txbxContent>
                    <w:p w14:paraId="7442CC0B" w14:textId="77777777" w:rsidR="00F61130" w:rsidRPr="006508D1" w:rsidRDefault="00F61130" w:rsidP="00A33FEA">
                      <w:r>
                        <w:t>E</w:t>
                      </w:r>
                    </w:p>
                  </w:txbxContent>
                </v:textbox>
                <w10:wrap type="topAndBottom"/>
              </v:shape>
            </w:pict>
          </mc:Fallback>
        </mc:AlternateContent>
      </w:r>
      <w:r>
        <w:rPr>
          <w:noProof/>
        </w:rPr>
        <mc:AlternateContent>
          <mc:Choice Requires="wps">
            <w:drawing>
              <wp:anchor distT="0" distB="0" distL="114300" distR="114300" simplePos="0" relativeHeight="251711488" behindDoc="0" locked="0" layoutInCell="1" allowOverlap="1" wp14:anchorId="5B8C7F5B" wp14:editId="00C6EE57">
                <wp:simplePos x="0" y="0"/>
                <wp:positionH relativeFrom="column">
                  <wp:posOffset>2989580</wp:posOffset>
                </wp:positionH>
                <wp:positionV relativeFrom="paragraph">
                  <wp:posOffset>2639060</wp:posOffset>
                </wp:positionV>
                <wp:extent cx="187325" cy="179705"/>
                <wp:effectExtent l="0" t="0" r="3175" b="0"/>
                <wp:wrapTopAndBottom/>
                <wp:docPr id="721" name="Text Box 721"/>
                <wp:cNvGraphicFramePr/>
                <a:graphic xmlns:a="http://schemas.openxmlformats.org/drawingml/2006/main">
                  <a:graphicData uri="http://schemas.microsoft.com/office/word/2010/wordprocessingShape">
                    <wps:wsp>
                      <wps:cNvSpPr txBox="1"/>
                      <wps:spPr>
                        <a:xfrm>
                          <a:off x="0" y="0"/>
                          <a:ext cx="187325" cy="179705"/>
                        </a:xfrm>
                        <a:prstGeom prst="rect">
                          <a:avLst/>
                        </a:prstGeom>
                        <a:noFill/>
                        <a:ln w="6350">
                          <a:noFill/>
                        </a:ln>
                      </wps:spPr>
                      <wps:txbx>
                        <w:txbxContent>
                          <w:p w14:paraId="1B18241E" w14:textId="77777777" w:rsidR="00F61130" w:rsidRPr="006508D1" w:rsidRDefault="00F61130" w:rsidP="00A33FEA">
                            <w:r>
                              <w:t>D</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5B8C7F5B" id="Text Box 721" o:spid="_x0000_s1236" type="#_x0000_t202" style="position:absolute;margin-left:235.4pt;margin-top:207.8pt;width:14.75pt;height:14.15pt;z-index:2517114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neoI8KAIAAE0EAAAOAAAAZHJzL2Uyb0RvYy54bWysVN9v2jAQfp+0/8Hy+0igonQRoWKtmCah&#13;&#10;thJMfTaOTSLZPs82JOyv39khMHV9qvZiLnfn+/F9n5nfd1qRo3C+AVPS8SinRBgOVWP2Jf25XX25&#13;&#10;o8QHZiqmwIiSnoSn94vPn+atLcQEalCVcASLGF+0tqR1CLbIMs9roZkfgRUGgxKcZgE/3T6rHGux&#13;&#10;ulbZJM9vsxZcZR1w4T16H/sgXaT6UgoenqX0IhBVUpwtpNOlcxfPbDFnxd4xWzf8PAb7wBSaNQab&#13;&#10;Xko9ssDIwTX/lNINd+BBhhEHnYGUDRdpB9xmnL/ZZlMzK9IuCI63F5j8/yvLn44vjjRVSWeTMSWG&#13;&#10;aSRpK7pAvkFHog8Raq0vMHFjMTV0GECmB79HZ1y8k07HX1yJYByxPl3wjeV4vHQ3u5lMKeEYGs++&#13;&#10;zvJprJJdL1vnw3cBmkSjpA7pS6iy49qHPnVIib0MrBqlEoXKkLaktzfTPF24RLC4MtgjrtCPGq3Q&#13;&#10;7bq09GScJBB9O6hOuJ+DXiPe8lWDU6yZDy/MoShwJRR6eMZDKsBucLYoqcH9fs8f85ErjFLSoshK&#13;&#10;6n8dmBOUqB8GWYyKHAw3GLvBMAf9AKhb5AWnSSZecEENpnSgX1H/y9gFQ8xw7FXSMJgPoZc6vh8u&#13;&#10;lsuUhLqzLKzNxvJYOuIYMd12r8zZM/ABGXuCQX6seIN/n9szsDwEkE0i54riGXDUbKL3/L7io/j7&#13;&#10;O2Vd/wUWfwAAAP//AwBQSwMEFAAGAAgAAAAhAD1tR03jAAAAEAEAAA8AAABkcnMvZG93bnJldi54&#13;&#10;bWxMj8tOwzAQRfdI/IM1SOyoHfoA0jgVorCjPApIsHNik0TY48h20vD3DCvYjOZ559xiMznLRhNi&#13;&#10;51FCNhPADNZed9hIeH25O7sEFpNCraxHI+HbRNiUx0eFyrU/4LMZ96lhJIIxVxLalPqc81i3xqk4&#13;&#10;871Bmn364FSiMjRcB3UgcWf5uRAr7lSH9KFVvblpTf21H5wE+x7DfSXSx7htdunpkQ9vt9mDlKcn&#13;&#10;03ZN4XoNLJkp/V3Arwfih5LAKj+gjsxKWFwI4k+UZMsVMNpYCjEHVlFnMb8CXhb8v5HyBwAA//8D&#13;&#10;AFBLAQItABQABgAIAAAAIQC2gziS/gAAAOEBAAATAAAAAAAAAAAAAAAAAAAAAABbQ29udGVudF9U&#13;&#10;eXBlc10ueG1sUEsBAi0AFAAGAAgAAAAhADj9If/WAAAAlAEAAAsAAAAAAAAAAAAAAAAALwEAAF9y&#13;&#10;ZWxzLy5yZWxzUEsBAi0AFAAGAAgAAAAhAKd6gjwoAgAATQQAAA4AAAAAAAAAAAAAAAAALgIAAGRy&#13;&#10;cy9lMm9Eb2MueG1sUEsBAi0AFAAGAAgAAAAhAD1tR03jAAAAEAEAAA8AAAAAAAAAAAAAAAAAggQA&#13;&#10;AGRycy9kb3ducmV2LnhtbFBLBQYAAAAABAAEAPMAAACSBQAAAAA=&#13;&#10;" filled="f" stroked="f" strokeweight=".5pt">
                <v:textbox inset="0,0,0,0">
                  <w:txbxContent>
                    <w:p w14:paraId="1B18241E" w14:textId="77777777" w:rsidR="00F61130" w:rsidRPr="006508D1" w:rsidRDefault="00F61130" w:rsidP="00A33FEA">
                      <w:r>
                        <w:t>D</w:t>
                      </w:r>
                    </w:p>
                  </w:txbxContent>
                </v:textbox>
                <w10:wrap type="topAndBottom"/>
              </v:shape>
            </w:pict>
          </mc:Fallback>
        </mc:AlternateContent>
      </w:r>
      <w:r>
        <w:rPr>
          <w:noProof/>
        </w:rPr>
        <mc:AlternateContent>
          <mc:Choice Requires="wps">
            <w:drawing>
              <wp:anchor distT="0" distB="0" distL="114300" distR="114300" simplePos="0" relativeHeight="251710464" behindDoc="0" locked="0" layoutInCell="1" allowOverlap="1" wp14:anchorId="01DAA0E3" wp14:editId="6AB23DB8">
                <wp:simplePos x="0" y="0"/>
                <wp:positionH relativeFrom="column">
                  <wp:posOffset>294005</wp:posOffset>
                </wp:positionH>
                <wp:positionV relativeFrom="paragraph">
                  <wp:posOffset>2654935</wp:posOffset>
                </wp:positionV>
                <wp:extent cx="187325" cy="179705"/>
                <wp:effectExtent l="0" t="0" r="3175" b="0"/>
                <wp:wrapTopAndBottom/>
                <wp:docPr id="720" name="Text Box 720"/>
                <wp:cNvGraphicFramePr/>
                <a:graphic xmlns:a="http://schemas.openxmlformats.org/drawingml/2006/main">
                  <a:graphicData uri="http://schemas.microsoft.com/office/word/2010/wordprocessingShape">
                    <wps:wsp>
                      <wps:cNvSpPr txBox="1"/>
                      <wps:spPr>
                        <a:xfrm>
                          <a:off x="0" y="0"/>
                          <a:ext cx="187325" cy="179705"/>
                        </a:xfrm>
                        <a:prstGeom prst="rect">
                          <a:avLst/>
                        </a:prstGeom>
                        <a:noFill/>
                        <a:ln w="6350">
                          <a:noFill/>
                        </a:ln>
                      </wps:spPr>
                      <wps:txbx>
                        <w:txbxContent>
                          <w:p w14:paraId="6FF40663" w14:textId="77777777" w:rsidR="00F61130" w:rsidRPr="006508D1" w:rsidRDefault="00F61130" w:rsidP="00A33FEA">
                            <w:r>
                              <w:t>CA</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01DAA0E3" id="Text Box 720" o:spid="_x0000_s1237" type="#_x0000_t202" style="position:absolute;margin-left:23.15pt;margin-top:209.05pt;width:14.75pt;height:14.15pt;z-index:2517104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QIHzqKQIAAE0EAAAOAAAAZHJzL2Uyb0RvYy54bWysVFFv2yAQfp+0/4B4X+y4StNZcaqsVaZJ&#13;&#10;UVspmfpMMMSWgGNAYme/fgeO06nb07QXcuaO7/i++8jivteKnITzLZiKTic5JcJwqFtzqOj33frT&#13;&#10;HSU+MFMzBUZU9Cw8vV9+/LDobCkKaEDVwhEEMb7sbEWbEGyZZZ43QjM/ASsMJiU4zQJ+ukNWO9Yh&#13;&#10;ulZZkee3WQeutg648B53H4ckXSZ8KQUPz1J6EYiqKN4tpNWldR/XbLlg5cEx27T8cg32D7fQrDXY&#13;&#10;9Ar1yAIjR9f+AaVb7sCDDBMOOgMpWy4SB2Qzzd+x2TbMisQFxfH2KpP/f7D86fTiSFtXdF6gPoZp&#13;&#10;HNJO9IF8gZ7EPVSos77Ewq3F0tBjAic97nvcjMR76XT8RUoE84h1vuob4Xg8dDe/KWaUcExN55/n&#13;&#10;+SyiZG+HrfPhqwBNYlBRh+NLqrLTxoehdCyJvQysW6XSCJUhXUVvb2Z5OnDNILgy2CNSGK4ao9Dv&#13;&#10;+0S6mF6J7KE+Iz8Hg0e85esWb7FhPrwwh6ZASmj08IyLVIDd4BJR0oD7+bf9WI+zwiwlHZqsov7H&#13;&#10;kTlBifpmcIrRkWPgxmA/BuaoHwB9O8UnZHkK8YALagylA/2K/l/FLphihmOvioYxfAiD1fH9cLFa&#13;&#10;pSL0nWVhY7aWR+ioY9R0178yZy/CB5zYE4z2Y+U7/YfaYQKrYwDZpuFEZQcVL4KjZ9N4L+8rPorf&#13;&#10;v1PV27/A8hcAAAD//wMAUEsDBBQABgAIAAAAIQDnovfF4QAAAA4BAAAPAAAAZHJzL2Rvd25yZXYu&#13;&#10;eG1sTE9NT8MwDL0j8R8iI3FjaaF0U9d0QgxuMGADCW5pE9qKxKmStCv/HnOCiy3bz++j3MzWsEn7&#13;&#10;0DsUkC4SYBobp3psBbwe7i9WwEKUqKRxqAV86wCb6vSklIVyR3zR0z62jEgwFFJAF+NQcB6aTlsZ&#13;&#10;Fm7QSLdP562MNPqWKy+PRG4Nv0ySnFvZIyl0ctC3nW6+9qMVYN6Df6iT+DFt28f4/MTHt7t0J8T5&#13;&#10;2bxdU7lZA4t6jn8f8JuB/ENFxmo3ogrMCMjyK0JST1cpMAIsrylPTYssz4BXJf8fo/oBAAD//wMA&#13;&#10;UEsBAi0AFAAGAAgAAAAhALaDOJL+AAAA4QEAABMAAAAAAAAAAAAAAAAAAAAAAFtDb250ZW50X1R5&#13;&#10;cGVzXS54bWxQSwECLQAUAAYACAAAACEAOP0h/9YAAACUAQAACwAAAAAAAAAAAAAAAAAvAQAAX3Jl&#13;&#10;bHMvLnJlbHNQSwECLQAUAAYACAAAACEAkCB86ikCAABNBAAADgAAAAAAAAAAAAAAAAAuAgAAZHJz&#13;&#10;L2Uyb0RvYy54bWxQSwECLQAUAAYACAAAACEA56L3xeEAAAAOAQAADwAAAAAAAAAAAAAAAACDBAAA&#13;&#10;ZHJzL2Rvd25yZXYueG1sUEsFBgAAAAAEAAQA8wAAAJEFAAAAAA==&#13;&#10;" filled="f" stroked="f" strokeweight=".5pt">
                <v:textbox inset="0,0,0,0">
                  <w:txbxContent>
                    <w:p w14:paraId="6FF40663" w14:textId="77777777" w:rsidR="00F61130" w:rsidRPr="006508D1" w:rsidRDefault="00F61130" w:rsidP="00A33FEA">
                      <w:r>
                        <w:t>CA</w:t>
                      </w:r>
                    </w:p>
                  </w:txbxContent>
                </v:textbox>
                <w10:wrap type="topAndBottom"/>
              </v:shape>
            </w:pict>
          </mc:Fallback>
        </mc:AlternateContent>
      </w:r>
      <w:r>
        <w:rPr>
          <w:noProof/>
        </w:rPr>
        <mc:AlternateContent>
          <mc:Choice Requires="wps">
            <w:drawing>
              <wp:anchor distT="0" distB="0" distL="114300" distR="114300" simplePos="0" relativeHeight="251709440" behindDoc="0" locked="0" layoutInCell="1" allowOverlap="1" wp14:anchorId="2CA45AB3" wp14:editId="52F6ABF0">
                <wp:simplePos x="0" y="0"/>
                <wp:positionH relativeFrom="column">
                  <wp:posOffset>2989580</wp:posOffset>
                </wp:positionH>
                <wp:positionV relativeFrom="paragraph">
                  <wp:posOffset>527050</wp:posOffset>
                </wp:positionV>
                <wp:extent cx="187325" cy="179705"/>
                <wp:effectExtent l="0" t="0" r="3175" b="0"/>
                <wp:wrapTopAndBottom/>
                <wp:docPr id="719" name="Text Box 719"/>
                <wp:cNvGraphicFramePr/>
                <a:graphic xmlns:a="http://schemas.openxmlformats.org/drawingml/2006/main">
                  <a:graphicData uri="http://schemas.microsoft.com/office/word/2010/wordprocessingShape">
                    <wps:wsp>
                      <wps:cNvSpPr txBox="1"/>
                      <wps:spPr>
                        <a:xfrm>
                          <a:off x="0" y="0"/>
                          <a:ext cx="187325" cy="179705"/>
                        </a:xfrm>
                        <a:prstGeom prst="rect">
                          <a:avLst/>
                        </a:prstGeom>
                        <a:noFill/>
                        <a:ln w="6350">
                          <a:noFill/>
                        </a:ln>
                      </wps:spPr>
                      <wps:txbx>
                        <w:txbxContent>
                          <w:p w14:paraId="1E07942D" w14:textId="77777777" w:rsidR="00F61130" w:rsidRPr="006508D1" w:rsidRDefault="00F61130" w:rsidP="00A33FEA">
                            <w:r>
                              <w:t>B</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2CA45AB3" id="Text Box 719" o:spid="_x0000_s1238" type="#_x0000_t202" style="position:absolute;margin-left:235.4pt;margin-top:41.5pt;width:14.75pt;height:14.15pt;z-index:2517094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dlcriKgIAAE0EAAAOAAAAZHJzL2Uyb0RvYy54bWysVMFu2zAMvQ/YPwi6L7ZTpGmNOEXWIsOA&#13;&#10;oi2QDD0rshQbkERNUmJnXz9KjtOi22nYRaFJiuR7fMrirteKHIXzLZiKFpOcEmE41K3ZV/THdv3l&#13;&#10;hhIfmKmZAiMqehKe3i0/f1p0thRTaEDVwhEsYnzZ2Yo2IdgyyzxvhGZ+AlYYDEpwmgX8dPusdqzD&#13;&#10;6lpl0zy/zjpwtXXAhffofRiCdJnqSyl4eJbSi0BURXG2kE6Xzl08s+WClXvHbNPy8xjsH6bQrDXY&#13;&#10;9FLqgQVGDq79o5RuuQMPMkw46AykbLlIGBBNkX9As2mYFQkLkuPthSb//8ryp+OLI21d0XlxS4lh&#13;&#10;Gpe0FX0gX6En0YcMddaXmLixmBp6DOCmR79HZwTeS6fjL0IiGEeuTxd+YzkeL93Mr6YzSjiGivnt&#13;&#10;PJ/FKtnbZet8+CZAk2hU1OH6Eqvs+OjDkDqmxF4G1q1SaYXKkK6i11ezPF24RLC4MtgjQhhGjVbo&#13;&#10;d30CPS2mI5Ad1CfE52DQiLd83eIUj8yHF+ZQFAgJhR6e8ZAKsBucLUoacL/+5o/5uCuMUtKhyCrq&#13;&#10;fx6YE5So7wa3GBU5Gm40dqNhDvoeULcFPiHLk4kXXFCjKR3oV9T/KnbBEDMce1U0jOZ9GKSO74eL&#13;&#10;1Soloe4sC49mY3ksHXmMnG77V+bsmfiAG3uCUX6s/MD/kDtsYHUIINu0nMjswOKZcNRsWu/5fcVH&#13;&#10;8f47Zb39Cyx/AwAA//8DAFBLAwQUAAYACAAAACEAY+YU0+MAAAAPAQAADwAAAGRycy9kb3ducmV2&#13;&#10;LnhtbEyPS0/DMBCE70j8B2uRuFE7hEeVxqkQhRvPtkhwc2KTRPgR2Zs0/HuWE1xWWu3M7DflenaW&#13;&#10;TSamPngJ2UIAM74JuvethP3u/mwJLKHyWtngjYRvk2BdHR+VqtDh4F/NtMWWUYhPhZLQIQ4F56np&#13;&#10;jFNpEQbj6fYZolNIa2y5jupA4c7ycyGuuFO9pw+dGsxtZ5qv7egk2PcUH2qBH9OmfcSXZz6+3WVP&#13;&#10;Up6ezJsVjZsVMDQz/jngtwPxQ0VgdRi9TsxKuLgWxI8SljkVI8GlEDmwmpRZlgOvSv6/R/UDAAD/&#13;&#10;/wMAUEsBAi0AFAAGAAgAAAAhALaDOJL+AAAA4QEAABMAAAAAAAAAAAAAAAAAAAAAAFtDb250ZW50&#13;&#10;X1R5cGVzXS54bWxQSwECLQAUAAYACAAAACEAOP0h/9YAAACUAQAACwAAAAAAAAAAAAAAAAAvAQAA&#13;&#10;X3JlbHMvLnJlbHNQSwECLQAUAAYACAAAACEA3ZXK4ioCAABNBAAADgAAAAAAAAAAAAAAAAAuAgAA&#13;&#10;ZHJzL2Uyb0RvYy54bWxQSwECLQAUAAYACAAAACEAY+YU0+MAAAAPAQAADwAAAAAAAAAAAAAAAACE&#13;&#10;BAAAZHJzL2Rvd25yZXYueG1sUEsFBgAAAAAEAAQA8wAAAJQFAAAAAA==&#13;&#10;" filled="f" stroked="f" strokeweight=".5pt">
                <v:textbox inset="0,0,0,0">
                  <w:txbxContent>
                    <w:p w14:paraId="1E07942D" w14:textId="77777777" w:rsidR="00F61130" w:rsidRPr="006508D1" w:rsidRDefault="00F61130" w:rsidP="00A33FEA">
                      <w:r>
                        <w:t>B</w:t>
                      </w:r>
                    </w:p>
                  </w:txbxContent>
                </v:textbox>
                <w10:wrap type="topAndBottom"/>
              </v:shape>
            </w:pict>
          </mc:Fallback>
        </mc:AlternateContent>
      </w:r>
      <w:r>
        <w:rPr>
          <w:noProof/>
        </w:rPr>
        <mc:AlternateContent>
          <mc:Choice Requires="wps">
            <w:drawing>
              <wp:anchor distT="0" distB="0" distL="114300" distR="114300" simplePos="0" relativeHeight="251708416" behindDoc="0" locked="0" layoutInCell="1" allowOverlap="1" wp14:anchorId="5B71DDC9" wp14:editId="5C2EF14D">
                <wp:simplePos x="0" y="0"/>
                <wp:positionH relativeFrom="column">
                  <wp:posOffset>278130</wp:posOffset>
                </wp:positionH>
                <wp:positionV relativeFrom="paragraph">
                  <wp:posOffset>527576</wp:posOffset>
                </wp:positionV>
                <wp:extent cx="187325" cy="179705"/>
                <wp:effectExtent l="0" t="0" r="3175" b="0"/>
                <wp:wrapTopAndBottom/>
                <wp:docPr id="718" name="Text Box 718"/>
                <wp:cNvGraphicFramePr/>
                <a:graphic xmlns:a="http://schemas.openxmlformats.org/drawingml/2006/main">
                  <a:graphicData uri="http://schemas.microsoft.com/office/word/2010/wordprocessingShape">
                    <wps:wsp>
                      <wps:cNvSpPr txBox="1"/>
                      <wps:spPr>
                        <a:xfrm>
                          <a:off x="0" y="0"/>
                          <a:ext cx="187325" cy="179705"/>
                        </a:xfrm>
                        <a:prstGeom prst="rect">
                          <a:avLst/>
                        </a:prstGeom>
                        <a:noFill/>
                        <a:ln w="6350">
                          <a:noFill/>
                        </a:ln>
                      </wps:spPr>
                      <wps:txbx>
                        <w:txbxContent>
                          <w:p w14:paraId="312B83ED" w14:textId="77777777" w:rsidR="00F61130" w:rsidRPr="006508D1" w:rsidRDefault="00F61130" w:rsidP="00A33FEA">
                            <w:r w:rsidRPr="006508D1">
                              <w:t>A</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5B71DDC9" id="Text Box 718" o:spid="_x0000_s1239" type="#_x0000_t202" style="position:absolute;margin-left:21.9pt;margin-top:41.55pt;width:14.75pt;height:14.15pt;z-index:2517084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qzzQ0KQIAAE0EAAAOAAAAZHJzL2Uyb0RvYy54bWysVF9v2yAQf5+074B4X2wnStNZcaqsVaZJ&#13;&#10;VVspmfpMMMSWgGNAYmeffgeO06nb07QXcuaOO35/yPKu14qchPMtmIoWk5wSYTjUrTlU9Ptu8+mW&#13;&#10;Eh+YqZkCIyp6Fp7erT5+WHa2FFNoQNXCEWxifNnZijYh2DLLPG+EZn4CVhhMSnCaBfx0h6x2rMPu&#13;&#10;WmXTPL/JOnC1dcCF97j7MCTpKvWXUvDwLKUXgaiK4t1CWl1a93HNVktWHhyzTcsv12D/cAvNWoND&#13;&#10;r60eWGDk6No/WumWO/Agw4SDzkDKlouEAdEU+Ts024ZZkbAgOd5eafL/ry1/Or040tYVXRQolWEa&#13;&#10;RdqJPpAv0JO4hwx11pdYuLVYGnpMoNLjvsfNCLyXTsdfhEQwj1yfr/zGdjweul3MpnNKOKaKxedF&#13;&#10;Po9dsrfD1vnwVYAmMaioQ/kSq+z06MNQOpbEWQY2rVJJQmVIV9Gb2TxPB64ZbK4MzogQhqvGKPT7&#13;&#10;PoGeFrMRyB7qM+JzMHjEW75p8RaPzIcX5tAUCAmNHp5xkQpwGlwiShpwP/+2H+tRK8xS0qHJKup/&#13;&#10;HJkTlKhvBlWMjhwDNwb7MTBHfQ/o2wKfkOUpxAMuqDGUDvQr+n8dp2CKGY6zKhrG8D4MVsf3w8V6&#13;&#10;nYrQd5aFR7O1PLaOPEZOd/0rc/ZCfEDFnmC0Hyvf8T/UDgqsjwFkm8SJzA4sXghHzyZ5L+8rPorf&#13;&#10;v1PV27/A6hcAAAD//wMAUEsDBBQABgAIAAAAIQC+7K6h4gAAAA0BAAAPAAAAZHJzL2Rvd25yZXYu&#13;&#10;eG1sTI/NTsMwEITvSLyDtUjcqGNSQZXGqRCFG7+lleDmxCaJsNeR7aTh7VlOcFlpNbOz35Sb2Vk2&#13;&#10;mRB7jxLEIgNmsPG6x1bC/u3+YgUsJoVaWY9GwreJsKlOT0pVaH/EVzPtUssoBGOhJHQpDQXnsemM&#13;&#10;U3HhB4OkffrgVKI1tFwHdaRwZ/llll1xp3qkD50azG1nmq/d6CTY9xge6ix9TNv2Mb088/FwJ56k&#13;&#10;PD+bt2saN2tgyczp7wJ+OxA/VARW+xF1ZFbCMif8JGGVC2CkX+c5sJp8QiyBVyX/36L6AQAA//8D&#13;&#10;AFBLAQItABQABgAIAAAAIQC2gziS/gAAAOEBAAATAAAAAAAAAAAAAAAAAAAAAABbQ29udGVudF9U&#13;&#10;eXBlc10ueG1sUEsBAi0AFAAGAAgAAAAhADj9If/WAAAAlAEAAAsAAAAAAAAAAAAAAAAALwEAAF9y&#13;&#10;ZWxzLy5yZWxzUEsBAi0AFAAGAAgAAAAhAOrPNDQpAgAATQQAAA4AAAAAAAAAAAAAAAAALgIAAGRy&#13;&#10;cy9lMm9Eb2MueG1sUEsBAi0AFAAGAAgAAAAhAL7srqHiAAAADQEAAA8AAAAAAAAAAAAAAAAAgwQA&#13;&#10;AGRycy9kb3ducmV2LnhtbFBLBQYAAAAABAAEAPMAAACSBQAAAAA=&#13;&#10;" filled="f" stroked="f" strokeweight=".5pt">
                <v:textbox inset="0,0,0,0">
                  <w:txbxContent>
                    <w:p w14:paraId="312B83ED" w14:textId="77777777" w:rsidR="00F61130" w:rsidRPr="006508D1" w:rsidRDefault="00F61130" w:rsidP="00A33FEA">
                      <w:r w:rsidRPr="006508D1">
                        <w:t>A</w:t>
                      </w:r>
                    </w:p>
                  </w:txbxContent>
                </v:textbox>
                <w10:wrap type="topAndBottom"/>
              </v:shape>
            </w:pict>
          </mc:Fallback>
        </mc:AlternateContent>
      </w:r>
      <w:r w:rsidR="004404EE" w:rsidRPr="008B3AD6">
        <w:br w:type="page"/>
      </w:r>
    </w:p>
    <w:p w14:paraId="501E769C" w14:textId="77777777" w:rsidR="00B52D4A" w:rsidRDefault="00B52D4A" w:rsidP="00B23FF8">
      <w:pPr>
        <w:spacing w:line="360" w:lineRule="auto"/>
      </w:pPr>
    </w:p>
    <w:p w14:paraId="066834D1" w14:textId="085F738A" w:rsidR="00B52D4A" w:rsidRDefault="00B52D4A" w:rsidP="00B52D4A">
      <w:pPr>
        <w:pStyle w:val="Heading2"/>
      </w:pPr>
      <w:bookmarkStart w:id="735" w:name="_Toc3716127"/>
      <w:r>
        <w:t>Supplementary Information for the development of a mathematical model describing the hepatic immune response</w:t>
      </w:r>
      <w:bookmarkEnd w:id="735"/>
      <w:r>
        <w:t xml:space="preserve"> </w:t>
      </w:r>
    </w:p>
    <w:p w14:paraId="51021493" w14:textId="77777777" w:rsidR="00B52D4A" w:rsidRPr="00B52D4A" w:rsidRDefault="00B52D4A" w:rsidP="00B23FF8">
      <w:pPr>
        <w:spacing w:line="360" w:lineRule="auto"/>
      </w:pPr>
    </w:p>
    <w:tbl>
      <w:tblPr>
        <w:tblW w:w="5000" w:type="pct"/>
        <w:tblLook w:val="04A0" w:firstRow="1" w:lastRow="0" w:firstColumn="1" w:lastColumn="0" w:noHBand="0" w:noVBand="1"/>
      </w:tblPr>
      <w:tblGrid>
        <w:gridCol w:w="1096"/>
        <w:gridCol w:w="1158"/>
        <w:gridCol w:w="1535"/>
        <w:gridCol w:w="1535"/>
        <w:gridCol w:w="2442"/>
        <w:gridCol w:w="3438"/>
        <w:gridCol w:w="3358"/>
      </w:tblGrid>
      <w:tr w:rsidR="00B52D4A" w:rsidRPr="00A55185" w14:paraId="6CE64DB2" w14:textId="77777777" w:rsidTr="00F7425F">
        <w:trPr>
          <w:trHeight w:val="720"/>
        </w:trPr>
        <w:tc>
          <w:tcPr>
            <w:tcW w:w="333" w:type="pct"/>
            <w:tcBorders>
              <w:top w:val="single" w:sz="4" w:space="0" w:color="auto"/>
              <w:left w:val="single" w:sz="4" w:space="0" w:color="auto"/>
              <w:bottom w:val="single" w:sz="4" w:space="0" w:color="auto"/>
              <w:right w:val="single" w:sz="4" w:space="0" w:color="auto"/>
            </w:tcBorders>
            <w:shd w:val="clear" w:color="000000" w:fill="BFBFBF"/>
            <w:vAlign w:val="center"/>
            <w:hideMark/>
          </w:tcPr>
          <w:p w14:paraId="66BEDCE3" w14:textId="77777777" w:rsidR="00B52D4A" w:rsidRPr="00A55185" w:rsidRDefault="00B52D4A" w:rsidP="00143E24">
            <w:pPr>
              <w:spacing w:line="240" w:lineRule="auto"/>
              <w:jc w:val="center"/>
              <w:rPr>
                <w:rFonts w:eastAsia="Times New Roman"/>
                <w:b/>
                <w:bCs/>
                <w:color w:val="000000"/>
                <w:sz w:val="16"/>
                <w:szCs w:val="16"/>
              </w:rPr>
            </w:pPr>
            <w:r w:rsidRPr="00A55185">
              <w:rPr>
                <w:rFonts w:eastAsia="Times New Roman"/>
                <w:b/>
                <w:bCs/>
                <w:color w:val="000000"/>
                <w:sz w:val="16"/>
                <w:szCs w:val="16"/>
              </w:rPr>
              <w:t>Statement</w:t>
            </w:r>
          </w:p>
        </w:tc>
        <w:tc>
          <w:tcPr>
            <w:tcW w:w="352" w:type="pct"/>
            <w:tcBorders>
              <w:top w:val="single" w:sz="4" w:space="0" w:color="auto"/>
              <w:left w:val="nil"/>
              <w:bottom w:val="single" w:sz="4" w:space="0" w:color="auto"/>
              <w:right w:val="single" w:sz="4" w:space="0" w:color="auto"/>
            </w:tcBorders>
            <w:shd w:val="clear" w:color="000000" w:fill="BFBFBF"/>
            <w:vAlign w:val="center"/>
            <w:hideMark/>
          </w:tcPr>
          <w:p w14:paraId="432CDBB0" w14:textId="77777777" w:rsidR="00B52D4A" w:rsidRPr="00A55185" w:rsidRDefault="00B52D4A" w:rsidP="00143E24">
            <w:pPr>
              <w:spacing w:line="240" w:lineRule="auto"/>
              <w:jc w:val="center"/>
              <w:rPr>
                <w:rFonts w:eastAsia="Times New Roman"/>
                <w:b/>
                <w:bCs/>
                <w:sz w:val="16"/>
                <w:szCs w:val="16"/>
              </w:rPr>
            </w:pPr>
            <w:r w:rsidRPr="00A55185">
              <w:rPr>
                <w:rFonts w:eastAsia="Times New Roman"/>
                <w:b/>
                <w:bCs/>
                <w:sz w:val="16"/>
                <w:szCs w:val="16"/>
              </w:rPr>
              <w:t>Statement Evidence</w:t>
            </w:r>
          </w:p>
        </w:tc>
        <w:tc>
          <w:tcPr>
            <w:tcW w:w="676" w:type="pct"/>
            <w:tcBorders>
              <w:top w:val="single" w:sz="4" w:space="0" w:color="auto"/>
              <w:left w:val="nil"/>
              <w:bottom w:val="single" w:sz="4" w:space="0" w:color="auto"/>
              <w:right w:val="single" w:sz="4" w:space="0" w:color="auto"/>
            </w:tcBorders>
            <w:shd w:val="clear" w:color="000000" w:fill="BFBFBF"/>
            <w:vAlign w:val="center"/>
            <w:hideMark/>
          </w:tcPr>
          <w:p w14:paraId="2AF4C601" w14:textId="77777777" w:rsidR="00B52D4A" w:rsidRPr="00A55185" w:rsidRDefault="00B52D4A" w:rsidP="00143E24">
            <w:pPr>
              <w:spacing w:line="240" w:lineRule="auto"/>
              <w:jc w:val="center"/>
              <w:rPr>
                <w:rFonts w:eastAsia="Times New Roman"/>
                <w:b/>
                <w:bCs/>
                <w:color w:val="000000"/>
                <w:sz w:val="16"/>
                <w:szCs w:val="16"/>
              </w:rPr>
            </w:pPr>
            <w:r w:rsidRPr="00A55185">
              <w:rPr>
                <w:rFonts w:eastAsia="Times New Roman"/>
                <w:b/>
                <w:bCs/>
                <w:color w:val="000000"/>
                <w:sz w:val="16"/>
                <w:szCs w:val="16"/>
              </w:rPr>
              <w:t>Domain Model Representation</w:t>
            </w:r>
          </w:p>
        </w:tc>
        <w:tc>
          <w:tcPr>
            <w:tcW w:w="676" w:type="pct"/>
            <w:tcBorders>
              <w:top w:val="single" w:sz="4" w:space="0" w:color="auto"/>
              <w:left w:val="nil"/>
              <w:bottom w:val="single" w:sz="4" w:space="0" w:color="auto"/>
              <w:right w:val="single" w:sz="4" w:space="0" w:color="auto"/>
            </w:tcBorders>
            <w:shd w:val="clear" w:color="000000" w:fill="BFBFBF"/>
            <w:vAlign w:val="center"/>
            <w:hideMark/>
          </w:tcPr>
          <w:p w14:paraId="0B5CF0C1" w14:textId="77777777" w:rsidR="00B52D4A" w:rsidRPr="00A55185" w:rsidRDefault="00B52D4A" w:rsidP="00143E24">
            <w:pPr>
              <w:spacing w:line="240" w:lineRule="auto"/>
              <w:jc w:val="center"/>
              <w:rPr>
                <w:rFonts w:eastAsia="Times New Roman"/>
                <w:b/>
                <w:bCs/>
                <w:color w:val="000000"/>
                <w:sz w:val="16"/>
                <w:szCs w:val="16"/>
              </w:rPr>
            </w:pPr>
            <w:r w:rsidRPr="00A55185">
              <w:rPr>
                <w:rFonts w:eastAsia="Times New Roman"/>
                <w:b/>
                <w:bCs/>
                <w:color w:val="000000"/>
                <w:sz w:val="16"/>
                <w:szCs w:val="16"/>
              </w:rPr>
              <w:t>Domain Assumption</w:t>
            </w:r>
          </w:p>
        </w:tc>
        <w:tc>
          <w:tcPr>
            <w:tcW w:w="987" w:type="pct"/>
            <w:tcBorders>
              <w:top w:val="single" w:sz="4" w:space="0" w:color="auto"/>
              <w:left w:val="nil"/>
              <w:bottom w:val="single" w:sz="4" w:space="0" w:color="auto"/>
              <w:right w:val="single" w:sz="4" w:space="0" w:color="auto"/>
            </w:tcBorders>
            <w:shd w:val="clear" w:color="000000" w:fill="BFBFBF"/>
            <w:vAlign w:val="center"/>
            <w:hideMark/>
          </w:tcPr>
          <w:p w14:paraId="078CCE2B" w14:textId="77777777" w:rsidR="00B52D4A" w:rsidRPr="00A55185" w:rsidRDefault="00B52D4A" w:rsidP="00143E24">
            <w:pPr>
              <w:spacing w:line="240" w:lineRule="auto"/>
              <w:jc w:val="center"/>
              <w:rPr>
                <w:rFonts w:eastAsia="Times New Roman"/>
                <w:b/>
                <w:bCs/>
                <w:color w:val="000000"/>
                <w:sz w:val="16"/>
                <w:szCs w:val="16"/>
              </w:rPr>
            </w:pPr>
            <w:r w:rsidRPr="00A55185">
              <w:rPr>
                <w:rFonts w:eastAsia="Times New Roman"/>
                <w:b/>
                <w:bCs/>
                <w:color w:val="000000"/>
                <w:sz w:val="16"/>
                <w:szCs w:val="16"/>
              </w:rPr>
              <w:t>Platform Model Representation</w:t>
            </w:r>
          </w:p>
        </w:tc>
        <w:tc>
          <w:tcPr>
            <w:tcW w:w="854" w:type="pct"/>
            <w:tcBorders>
              <w:top w:val="single" w:sz="4" w:space="0" w:color="auto"/>
              <w:left w:val="nil"/>
              <w:bottom w:val="single" w:sz="4" w:space="0" w:color="auto"/>
              <w:right w:val="single" w:sz="4" w:space="0" w:color="auto"/>
            </w:tcBorders>
            <w:shd w:val="clear" w:color="000000" w:fill="BFBFBF"/>
            <w:noWrap/>
            <w:vAlign w:val="center"/>
            <w:hideMark/>
          </w:tcPr>
          <w:p w14:paraId="3FCE07FC" w14:textId="77777777" w:rsidR="00B52D4A" w:rsidRPr="00A55185" w:rsidRDefault="00B52D4A" w:rsidP="00143E24">
            <w:pPr>
              <w:spacing w:line="240" w:lineRule="auto"/>
              <w:jc w:val="center"/>
              <w:rPr>
                <w:rFonts w:eastAsia="Times New Roman"/>
                <w:b/>
                <w:bCs/>
                <w:color w:val="000000"/>
                <w:sz w:val="16"/>
                <w:szCs w:val="16"/>
              </w:rPr>
            </w:pPr>
            <w:r w:rsidRPr="00A55185">
              <w:rPr>
                <w:rFonts w:eastAsia="Times New Roman"/>
                <w:b/>
                <w:bCs/>
                <w:color w:val="000000"/>
                <w:sz w:val="16"/>
                <w:szCs w:val="16"/>
              </w:rPr>
              <w:t>Simulation Model Representation (Figure 4.23)</w:t>
            </w:r>
          </w:p>
        </w:tc>
        <w:tc>
          <w:tcPr>
            <w:tcW w:w="1121" w:type="pct"/>
            <w:tcBorders>
              <w:top w:val="single" w:sz="4" w:space="0" w:color="auto"/>
              <w:left w:val="nil"/>
              <w:bottom w:val="single" w:sz="4" w:space="0" w:color="auto"/>
              <w:right w:val="single" w:sz="4" w:space="0" w:color="auto"/>
            </w:tcBorders>
            <w:shd w:val="clear" w:color="000000" w:fill="BFBFBF"/>
            <w:noWrap/>
            <w:vAlign w:val="center"/>
            <w:hideMark/>
          </w:tcPr>
          <w:p w14:paraId="5E152982" w14:textId="77777777" w:rsidR="00B52D4A" w:rsidRPr="00A55185" w:rsidRDefault="00B52D4A" w:rsidP="00143E24">
            <w:pPr>
              <w:spacing w:line="240" w:lineRule="auto"/>
              <w:jc w:val="center"/>
              <w:rPr>
                <w:rFonts w:eastAsia="Times New Roman"/>
                <w:b/>
                <w:bCs/>
                <w:color w:val="000000"/>
                <w:sz w:val="16"/>
                <w:szCs w:val="16"/>
              </w:rPr>
            </w:pPr>
            <w:r w:rsidRPr="00A55185">
              <w:rPr>
                <w:rFonts w:eastAsia="Times New Roman"/>
                <w:b/>
                <w:bCs/>
                <w:color w:val="000000"/>
                <w:sz w:val="16"/>
                <w:szCs w:val="16"/>
              </w:rPr>
              <w:t>Simulation Model Representation (Figure 5.2)</w:t>
            </w:r>
          </w:p>
        </w:tc>
      </w:tr>
      <w:tr w:rsidR="00B52D4A" w:rsidRPr="00A55185" w14:paraId="59CFD025" w14:textId="77777777" w:rsidTr="00F7425F">
        <w:trPr>
          <w:trHeight w:val="780"/>
        </w:trPr>
        <w:tc>
          <w:tcPr>
            <w:tcW w:w="333" w:type="pct"/>
            <w:tcBorders>
              <w:top w:val="nil"/>
              <w:left w:val="single" w:sz="4" w:space="0" w:color="auto"/>
              <w:bottom w:val="single" w:sz="4" w:space="0" w:color="auto"/>
              <w:right w:val="single" w:sz="4" w:space="0" w:color="auto"/>
            </w:tcBorders>
            <w:shd w:val="clear" w:color="auto" w:fill="auto"/>
            <w:vAlign w:val="center"/>
            <w:hideMark/>
          </w:tcPr>
          <w:p w14:paraId="5A3F8DF7" w14:textId="77777777" w:rsidR="00B52D4A" w:rsidRPr="00A55185" w:rsidRDefault="00B52D4A" w:rsidP="00143E24">
            <w:pPr>
              <w:spacing w:line="240" w:lineRule="auto"/>
              <w:jc w:val="center"/>
              <w:rPr>
                <w:rFonts w:eastAsia="Times New Roman"/>
                <w:color w:val="000000"/>
                <w:sz w:val="16"/>
                <w:szCs w:val="16"/>
              </w:rPr>
            </w:pPr>
            <w:r w:rsidRPr="00A55185">
              <w:rPr>
                <w:rFonts w:eastAsia="Times New Roman"/>
                <w:color w:val="000000"/>
                <w:sz w:val="16"/>
                <w:szCs w:val="16"/>
              </w:rPr>
              <w:t>Activated iNKTs can produce Modulatory Signals (IL-4)</w:t>
            </w:r>
          </w:p>
        </w:tc>
        <w:tc>
          <w:tcPr>
            <w:tcW w:w="352" w:type="pct"/>
            <w:tcBorders>
              <w:top w:val="nil"/>
              <w:left w:val="nil"/>
              <w:bottom w:val="single" w:sz="4" w:space="0" w:color="auto"/>
              <w:right w:val="single" w:sz="4" w:space="0" w:color="auto"/>
            </w:tcBorders>
            <w:shd w:val="clear" w:color="auto" w:fill="auto"/>
            <w:vAlign w:val="center"/>
            <w:hideMark/>
          </w:tcPr>
          <w:p w14:paraId="53361093" w14:textId="77777777" w:rsidR="00B52D4A" w:rsidRPr="00A55185" w:rsidRDefault="00B52D4A" w:rsidP="00143E24">
            <w:pPr>
              <w:spacing w:line="240" w:lineRule="auto"/>
              <w:jc w:val="center"/>
              <w:rPr>
                <w:rFonts w:eastAsia="Times New Roman"/>
                <w:sz w:val="16"/>
                <w:szCs w:val="16"/>
              </w:rPr>
            </w:pPr>
            <w:r w:rsidRPr="00A55185">
              <w:rPr>
                <w:rFonts w:eastAsia="Times New Roman"/>
                <w:sz w:val="16"/>
                <w:szCs w:val="16"/>
              </w:rPr>
              <w:t>(Tupin, Kinjo and Kronenberg, 2007)</w:t>
            </w:r>
          </w:p>
        </w:tc>
        <w:tc>
          <w:tcPr>
            <w:tcW w:w="676" w:type="pct"/>
            <w:tcBorders>
              <w:top w:val="nil"/>
              <w:left w:val="nil"/>
              <w:bottom w:val="single" w:sz="4" w:space="0" w:color="auto"/>
              <w:right w:val="single" w:sz="4" w:space="0" w:color="auto"/>
            </w:tcBorders>
            <w:shd w:val="clear" w:color="auto" w:fill="auto"/>
            <w:vAlign w:val="center"/>
            <w:hideMark/>
          </w:tcPr>
          <w:p w14:paraId="5C26BB0E" w14:textId="77777777" w:rsidR="00B52D4A" w:rsidRPr="00A55185" w:rsidRDefault="00B52D4A" w:rsidP="00143E24">
            <w:pPr>
              <w:spacing w:line="240" w:lineRule="auto"/>
              <w:jc w:val="center"/>
              <w:rPr>
                <w:rFonts w:eastAsia="Times New Roman"/>
                <w:color w:val="000000"/>
                <w:sz w:val="16"/>
                <w:szCs w:val="16"/>
              </w:rPr>
            </w:pPr>
            <w:r w:rsidRPr="00A55185">
              <w:rPr>
                <w:rFonts w:eastAsia="Times New Roman"/>
                <w:color w:val="000000"/>
                <w:sz w:val="16"/>
                <w:szCs w:val="16"/>
              </w:rPr>
              <w:t>iNKTs presented with antigen by Infected KCs produce Modulatory Signals (</w:t>
            </w:r>
            <w:r w:rsidRPr="00A55185">
              <w:rPr>
                <w:rFonts w:eastAsia="Times New Roman"/>
                <w:b/>
                <w:bCs/>
                <w:color w:val="000000"/>
                <w:sz w:val="16"/>
                <w:szCs w:val="16"/>
              </w:rPr>
              <w:t>Figure 4.11</w:t>
            </w:r>
            <w:r w:rsidRPr="00A55185">
              <w:rPr>
                <w:rFonts w:eastAsia="Times New Roman"/>
                <w:color w:val="000000"/>
                <w:sz w:val="16"/>
                <w:szCs w:val="16"/>
              </w:rPr>
              <w:t>)</w:t>
            </w:r>
          </w:p>
        </w:tc>
        <w:tc>
          <w:tcPr>
            <w:tcW w:w="676" w:type="pct"/>
            <w:tcBorders>
              <w:top w:val="nil"/>
              <w:left w:val="nil"/>
              <w:bottom w:val="single" w:sz="4" w:space="0" w:color="auto"/>
              <w:right w:val="single" w:sz="4" w:space="0" w:color="auto"/>
            </w:tcBorders>
            <w:shd w:val="clear" w:color="auto" w:fill="auto"/>
            <w:vAlign w:val="center"/>
            <w:hideMark/>
          </w:tcPr>
          <w:p w14:paraId="54E2F841" w14:textId="77777777" w:rsidR="00B52D4A" w:rsidRPr="00A55185" w:rsidRDefault="00B52D4A" w:rsidP="00143E24">
            <w:pPr>
              <w:spacing w:line="240" w:lineRule="auto"/>
              <w:jc w:val="center"/>
              <w:rPr>
                <w:rFonts w:eastAsia="Times New Roman"/>
                <w:color w:val="000000"/>
                <w:sz w:val="16"/>
                <w:szCs w:val="16"/>
              </w:rPr>
            </w:pPr>
            <w:r w:rsidRPr="00A55185">
              <w:rPr>
                <w:rFonts w:eastAsia="Times New Roman"/>
                <w:color w:val="000000"/>
                <w:sz w:val="16"/>
                <w:szCs w:val="16"/>
              </w:rPr>
              <w:t>iNKTs have no antigen specificty</w:t>
            </w:r>
          </w:p>
        </w:tc>
        <w:tc>
          <w:tcPr>
            <w:tcW w:w="987" w:type="pct"/>
            <w:tcBorders>
              <w:top w:val="nil"/>
              <w:left w:val="nil"/>
              <w:bottom w:val="single" w:sz="4" w:space="0" w:color="auto"/>
              <w:right w:val="single" w:sz="4" w:space="0" w:color="auto"/>
            </w:tcBorders>
            <w:shd w:val="clear" w:color="auto" w:fill="auto"/>
            <w:vAlign w:val="center"/>
            <w:hideMark/>
          </w:tcPr>
          <w:p w14:paraId="225AAC3C" w14:textId="77777777" w:rsidR="00B52D4A" w:rsidRPr="00A55185" w:rsidRDefault="00B52D4A" w:rsidP="00143E24">
            <w:pPr>
              <w:spacing w:line="240" w:lineRule="auto"/>
              <w:jc w:val="center"/>
              <w:rPr>
                <w:rFonts w:eastAsia="Times New Roman"/>
                <w:color w:val="000000"/>
                <w:sz w:val="16"/>
                <w:szCs w:val="16"/>
              </w:rPr>
            </w:pPr>
            <w:r w:rsidRPr="00A55185">
              <w:rPr>
                <w:rFonts w:eastAsia="Times New Roman"/>
                <w:color w:val="000000"/>
                <w:sz w:val="16"/>
                <w:szCs w:val="16"/>
              </w:rPr>
              <w:t>iNKT cells are subsumed into the T cell population to form a single population referred to as 'T cells' and there is no separate entity for modulatory signals. Instead a single population of T cells that exists in a patrolling state (</w:t>
            </w:r>
            <w:r w:rsidRPr="00A55185">
              <w:rPr>
                <w:rFonts w:eastAsia="Times New Roman"/>
                <w:b/>
                <w:bCs/>
                <w:color w:val="000000"/>
                <w:sz w:val="16"/>
                <w:szCs w:val="16"/>
              </w:rPr>
              <w:t>Figure 4.18</w:t>
            </w:r>
            <w:r w:rsidRPr="00A55185">
              <w:rPr>
                <w:rFonts w:eastAsia="Times New Roman"/>
                <w:color w:val="000000"/>
                <w:sz w:val="16"/>
                <w:szCs w:val="16"/>
              </w:rPr>
              <w:t>) is implemented.</w:t>
            </w:r>
          </w:p>
        </w:tc>
        <w:tc>
          <w:tcPr>
            <w:tcW w:w="854" w:type="pct"/>
            <w:tcBorders>
              <w:top w:val="nil"/>
              <w:left w:val="nil"/>
              <w:bottom w:val="single" w:sz="4" w:space="0" w:color="auto"/>
              <w:right w:val="single" w:sz="4" w:space="0" w:color="auto"/>
            </w:tcBorders>
            <w:shd w:val="clear" w:color="auto" w:fill="auto"/>
            <w:noWrap/>
            <w:vAlign w:val="center"/>
            <w:hideMark/>
          </w:tcPr>
          <w:p w14:paraId="0B8E2C61" w14:textId="77777777" w:rsidR="00B52D4A" w:rsidRPr="00A55185" w:rsidRDefault="00B52D4A" w:rsidP="00143E24">
            <w:pPr>
              <w:spacing w:line="240" w:lineRule="auto"/>
              <w:jc w:val="center"/>
              <w:rPr>
                <w:rFonts w:eastAsia="Times New Roman"/>
                <w:color w:val="000000"/>
                <w:sz w:val="16"/>
                <w:szCs w:val="16"/>
              </w:rPr>
            </w:pPr>
          </w:p>
        </w:tc>
        <w:tc>
          <w:tcPr>
            <w:tcW w:w="1121" w:type="pct"/>
            <w:tcBorders>
              <w:top w:val="nil"/>
              <w:left w:val="nil"/>
              <w:bottom w:val="single" w:sz="4" w:space="0" w:color="auto"/>
              <w:right w:val="single" w:sz="4" w:space="0" w:color="auto"/>
            </w:tcBorders>
            <w:shd w:val="clear" w:color="auto" w:fill="auto"/>
            <w:noWrap/>
            <w:vAlign w:val="center"/>
            <w:hideMark/>
          </w:tcPr>
          <w:p w14:paraId="684929A7" w14:textId="77777777" w:rsidR="00B52D4A" w:rsidRPr="00A55185" w:rsidRDefault="00B52D4A" w:rsidP="00143E24">
            <w:pPr>
              <w:spacing w:line="240" w:lineRule="auto"/>
              <w:jc w:val="center"/>
              <w:rPr>
                <w:rFonts w:eastAsia="Times New Roman"/>
                <w:color w:val="000000"/>
                <w:sz w:val="16"/>
                <w:szCs w:val="16"/>
              </w:rPr>
            </w:pPr>
          </w:p>
        </w:tc>
      </w:tr>
      <w:tr w:rsidR="00B52D4A" w:rsidRPr="00A55185" w14:paraId="24152DF1" w14:textId="77777777" w:rsidTr="00F7425F">
        <w:trPr>
          <w:trHeight w:val="1560"/>
        </w:trPr>
        <w:tc>
          <w:tcPr>
            <w:tcW w:w="333" w:type="pct"/>
            <w:tcBorders>
              <w:top w:val="nil"/>
              <w:left w:val="single" w:sz="4" w:space="0" w:color="auto"/>
              <w:bottom w:val="single" w:sz="4" w:space="0" w:color="auto"/>
              <w:right w:val="single" w:sz="4" w:space="0" w:color="auto"/>
            </w:tcBorders>
            <w:shd w:val="clear" w:color="auto" w:fill="auto"/>
            <w:vAlign w:val="center"/>
            <w:hideMark/>
          </w:tcPr>
          <w:p w14:paraId="14710B8A" w14:textId="77777777" w:rsidR="00B52D4A" w:rsidRPr="00A55185" w:rsidRDefault="00B52D4A" w:rsidP="00143E24">
            <w:pPr>
              <w:spacing w:line="240" w:lineRule="auto"/>
              <w:jc w:val="center"/>
              <w:rPr>
                <w:rFonts w:eastAsia="Times New Roman"/>
                <w:color w:val="000000"/>
                <w:sz w:val="16"/>
                <w:szCs w:val="16"/>
              </w:rPr>
            </w:pPr>
            <w:r w:rsidRPr="00A55185">
              <w:rPr>
                <w:rFonts w:eastAsia="Times New Roman"/>
                <w:color w:val="000000"/>
                <w:sz w:val="16"/>
                <w:szCs w:val="16"/>
              </w:rPr>
              <w:t>iNKTs can proliferate</w:t>
            </w:r>
          </w:p>
        </w:tc>
        <w:tc>
          <w:tcPr>
            <w:tcW w:w="352" w:type="pct"/>
            <w:tcBorders>
              <w:top w:val="nil"/>
              <w:left w:val="nil"/>
              <w:bottom w:val="single" w:sz="4" w:space="0" w:color="auto"/>
              <w:right w:val="single" w:sz="4" w:space="0" w:color="auto"/>
            </w:tcBorders>
            <w:shd w:val="clear" w:color="auto" w:fill="auto"/>
            <w:vAlign w:val="center"/>
            <w:hideMark/>
          </w:tcPr>
          <w:p w14:paraId="4FD4566B" w14:textId="77777777" w:rsidR="00B52D4A" w:rsidRPr="00A55185" w:rsidRDefault="00B52D4A" w:rsidP="00143E24">
            <w:pPr>
              <w:spacing w:line="240" w:lineRule="auto"/>
              <w:jc w:val="center"/>
              <w:rPr>
                <w:rFonts w:eastAsia="Times New Roman"/>
                <w:sz w:val="16"/>
                <w:szCs w:val="16"/>
              </w:rPr>
            </w:pPr>
            <w:r w:rsidRPr="00A55185">
              <w:rPr>
                <w:rFonts w:eastAsia="Times New Roman"/>
                <w:sz w:val="16"/>
                <w:szCs w:val="16"/>
              </w:rPr>
              <w:t>(Moyo et al., 2018)</w:t>
            </w:r>
          </w:p>
        </w:tc>
        <w:tc>
          <w:tcPr>
            <w:tcW w:w="676" w:type="pct"/>
            <w:tcBorders>
              <w:top w:val="nil"/>
              <w:left w:val="nil"/>
              <w:bottom w:val="single" w:sz="4" w:space="0" w:color="auto"/>
              <w:right w:val="single" w:sz="4" w:space="0" w:color="auto"/>
            </w:tcBorders>
            <w:shd w:val="clear" w:color="auto" w:fill="auto"/>
            <w:vAlign w:val="center"/>
            <w:hideMark/>
          </w:tcPr>
          <w:p w14:paraId="200423EF" w14:textId="77777777" w:rsidR="00B52D4A" w:rsidRPr="00A55185" w:rsidRDefault="00B52D4A" w:rsidP="00143E24">
            <w:pPr>
              <w:spacing w:line="240" w:lineRule="auto"/>
              <w:jc w:val="center"/>
              <w:rPr>
                <w:rFonts w:eastAsia="Times New Roman"/>
                <w:color w:val="000000"/>
                <w:sz w:val="16"/>
                <w:szCs w:val="16"/>
              </w:rPr>
            </w:pPr>
            <w:r w:rsidRPr="00A55185">
              <w:rPr>
                <w:rFonts w:eastAsia="Times New Roman"/>
                <w:color w:val="000000"/>
                <w:sz w:val="16"/>
                <w:szCs w:val="16"/>
              </w:rPr>
              <w:t>iNKTS in patrolling state may proliferate (</w:t>
            </w:r>
            <w:r w:rsidRPr="00A55185">
              <w:rPr>
                <w:rFonts w:eastAsia="Times New Roman"/>
                <w:b/>
                <w:bCs/>
                <w:color w:val="000000"/>
                <w:sz w:val="16"/>
                <w:szCs w:val="16"/>
              </w:rPr>
              <w:t>Figure 4.11)</w:t>
            </w:r>
          </w:p>
        </w:tc>
        <w:tc>
          <w:tcPr>
            <w:tcW w:w="676" w:type="pct"/>
            <w:tcBorders>
              <w:top w:val="nil"/>
              <w:left w:val="nil"/>
              <w:bottom w:val="single" w:sz="4" w:space="0" w:color="auto"/>
              <w:right w:val="single" w:sz="4" w:space="0" w:color="auto"/>
            </w:tcBorders>
            <w:shd w:val="clear" w:color="auto" w:fill="auto"/>
            <w:vAlign w:val="center"/>
            <w:hideMark/>
          </w:tcPr>
          <w:p w14:paraId="59E3523A" w14:textId="77777777" w:rsidR="00B52D4A" w:rsidRPr="00A55185" w:rsidRDefault="00B52D4A" w:rsidP="00143E24">
            <w:pPr>
              <w:spacing w:line="240" w:lineRule="auto"/>
              <w:jc w:val="center"/>
              <w:rPr>
                <w:rFonts w:eastAsia="Times New Roman"/>
                <w:color w:val="000000"/>
                <w:sz w:val="16"/>
                <w:szCs w:val="16"/>
              </w:rPr>
            </w:pPr>
            <w:r w:rsidRPr="00A55185">
              <w:rPr>
                <w:rFonts w:eastAsia="Times New Roman"/>
                <w:color w:val="000000"/>
                <w:sz w:val="16"/>
                <w:szCs w:val="16"/>
              </w:rPr>
              <w:t>iNKTs replicate when in resting state</w:t>
            </w:r>
          </w:p>
        </w:tc>
        <w:tc>
          <w:tcPr>
            <w:tcW w:w="987" w:type="pct"/>
            <w:tcBorders>
              <w:top w:val="nil"/>
              <w:left w:val="nil"/>
              <w:bottom w:val="single" w:sz="4" w:space="0" w:color="auto"/>
              <w:right w:val="single" w:sz="4" w:space="0" w:color="auto"/>
            </w:tcBorders>
            <w:shd w:val="clear" w:color="auto" w:fill="auto"/>
            <w:vAlign w:val="center"/>
            <w:hideMark/>
          </w:tcPr>
          <w:p w14:paraId="00D66313" w14:textId="77777777" w:rsidR="00B52D4A" w:rsidRPr="00A55185" w:rsidRDefault="00B52D4A" w:rsidP="00143E24">
            <w:pPr>
              <w:spacing w:line="240" w:lineRule="auto"/>
              <w:jc w:val="center"/>
              <w:rPr>
                <w:rFonts w:eastAsia="Times New Roman"/>
                <w:color w:val="000000"/>
                <w:sz w:val="16"/>
                <w:szCs w:val="16"/>
              </w:rPr>
            </w:pPr>
            <w:r w:rsidRPr="00A55185">
              <w:rPr>
                <w:rFonts w:eastAsia="Times New Roman"/>
                <w:color w:val="000000"/>
                <w:sz w:val="16"/>
                <w:szCs w:val="16"/>
              </w:rPr>
              <w:t>iNKT cells are subsumed into the T cell population to form a single population referred to as 'T cells' which can proliferate dependent upon the existing T cell population size and a parameter representing the rate of proliferation (</w:t>
            </w:r>
            <w:r w:rsidRPr="00A55185">
              <w:rPr>
                <w:rFonts w:eastAsia="Times New Roman"/>
                <w:b/>
                <w:bCs/>
                <w:color w:val="000000"/>
                <w:sz w:val="16"/>
                <w:szCs w:val="16"/>
              </w:rPr>
              <w:t>Figure 4.17</w:t>
            </w:r>
            <w:r w:rsidRPr="00A55185">
              <w:rPr>
                <w:rFonts w:eastAsia="Times New Roman"/>
                <w:color w:val="000000"/>
                <w:sz w:val="16"/>
                <w:szCs w:val="16"/>
              </w:rPr>
              <w:t>)</w:t>
            </w:r>
          </w:p>
        </w:tc>
        <w:tc>
          <w:tcPr>
            <w:tcW w:w="854" w:type="pct"/>
            <w:tcBorders>
              <w:top w:val="nil"/>
              <w:left w:val="nil"/>
              <w:bottom w:val="single" w:sz="4" w:space="0" w:color="auto"/>
              <w:right w:val="single" w:sz="4" w:space="0" w:color="auto"/>
            </w:tcBorders>
            <w:shd w:val="clear" w:color="auto" w:fill="auto"/>
            <w:vAlign w:val="center"/>
            <w:hideMark/>
          </w:tcPr>
          <w:p w14:paraId="3BA387E0" w14:textId="77777777" w:rsidR="00B52D4A" w:rsidRPr="00A55185" w:rsidRDefault="00B52D4A" w:rsidP="00143E24">
            <w:pPr>
              <w:spacing w:line="240" w:lineRule="auto"/>
              <w:jc w:val="center"/>
              <w:rPr>
                <w:rFonts w:eastAsia="Times New Roman"/>
                <w:color w:val="000000"/>
                <w:sz w:val="16"/>
                <w:szCs w:val="16"/>
              </w:rPr>
            </w:pPr>
            <w:r w:rsidRPr="00A55185">
              <w:rPr>
                <w:rFonts w:eastAsia="Times New Roman"/>
                <w:i/>
                <w:iCs/>
                <w:color w:val="000000"/>
                <w:sz w:val="16"/>
                <w:szCs w:val="16"/>
              </w:rPr>
              <w:t>T cell population growth = a</w:t>
            </w:r>
            <w:r w:rsidRPr="00A55185">
              <w:rPr>
                <w:rFonts w:eastAsia="Times New Roman"/>
                <w:i/>
                <w:iCs/>
                <w:color w:val="000000"/>
                <w:sz w:val="16"/>
                <w:szCs w:val="16"/>
                <w:vertAlign w:val="subscript"/>
              </w:rPr>
              <w:t>T</w:t>
            </w:r>
            <w:r w:rsidRPr="00A55185">
              <w:rPr>
                <w:rFonts w:eastAsia="Times New Roman"/>
                <w:i/>
                <w:iCs/>
                <w:color w:val="000000"/>
                <w:sz w:val="16"/>
                <w:szCs w:val="16"/>
              </w:rPr>
              <w:t xml:space="preserve"> x T x (1 - T/T</w:t>
            </w:r>
            <w:r w:rsidRPr="00A55185">
              <w:rPr>
                <w:rFonts w:eastAsia="Times New Roman"/>
                <w:i/>
                <w:iCs/>
                <w:color w:val="000000"/>
                <w:sz w:val="16"/>
                <w:szCs w:val="16"/>
                <w:vertAlign w:val="subscript"/>
              </w:rPr>
              <w:t>max</w:t>
            </w:r>
            <w:r w:rsidRPr="00A55185">
              <w:rPr>
                <w:rFonts w:eastAsia="Times New Roman"/>
                <w:i/>
                <w:iCs/>
                <w:color w:val="000000"/>
                <w:sz w:val="16"/>
                <w:szCs w:val="16"/>
              </w:rPr>
              <w:t>)</w:t>
            </w:r>
            <w:r w:rsidRPr="00A55185">
              <w:rPr>
                <w:rFonts w:eastAsia="Times New Roman"/>
                <w:color w:val="000000"/>
                <w:sz w:val="16"/>
                <w:szCs w:val="16"/>
              </w:rPr>
              <w:br/>
              <w:t>a</w:t>
            </w:r>
            <w:r w:rsidRPr="00A55185">
              <w:rPr>
                <w:rFonts w:eastAsia="Times New Roman"/>
                <w:color w:val="000000"/>
                <w:sz w:val="16"/>
                <w:szCs w:val="16"/>
                <w:vertAlign w:val="subscript"/>
              </w:rPr>
              <w:t>T</w:t>
            </w:r>
            <w:r w:rsidRPr="00A55185">
              <w:rPr>
                <w:rFonts w:eastAsia="Times New Roman"/>
                <w:color w:val="000000"/>
                <w:sz w:val="16"/>
                <w:szCs w:val="16"/>
              </w:rPr>
              <w:t xml:space="preserve"> = T cell proliferation rate</w:t>
            </w:r>
            <w:r w:rsidRPr="00A55185">
              <w:rPr>
                <w:rFonts w:eastAsia="Times New Roman"/>
                <w:color w:val="000000"/>
                <w:sz w:val="16"/>
                <w:szCs w:val="16"/>
              </w:rPr>
              <w:br/>
              <w:t>T</w:t>
            </w:r>
            <w:r w:rsidRPr="00A55185">
              <w:rPr>
                <w:rFonts w:eastAsia="Times New Roman"/>
                <w:color w:val="000000"/>
                <w:sz w:val="16"/>
                <w:szCs w:val="16"/>
                <w:vertAlign w:val="subscript"/>
              </w:rPr>
              <w:t>max</w:t>
            </w:r>
            <w:r w:rsidRPr="00A55185">
              <w:rPr>
                <w:rFonts w:eastAsia="Times New Roman"/>
                <w:color w:val="000000"/>
                <w:sz w:val="16"/>
                <w:szCs w:val="16"/>
              </w:rPr>
              <w:t xml:space="preserve"> = Maximal size of the T cell population</w:t>
            </w:r>
            <w:r w:rsidRPr="00A55185">
              <w:rPr>
                <w:rFonts w:eastAsia="Times New Roman"/>
                <w:color w:val="000000"/>
                <w:sz w:val="16"/>
                <w:szCs w:val="16"/>
              </w:rPr>
              <w:br/>
              <w:t>T = T cell population</w:t>
            </w:r>
          </w:p>
        </w:tc>
        <w:tc>
          <w:tcPr>
            <w:tcW w:w="1121" w:type="pct"/>
            <w:tcBorders>
              <w:top w:val="nil"/>
              <w:left w:val="nil"/>
              <w:bottom w:val="single" w:sz="4" w:space="0" w:color="auto"/>
              <w:right w:val="single" w:sz="4" w:space="0" w:color="auto"/>
            </w:tcBorders>
            <w:shd w:val="clear" w:color="auto" w:fill="auto"/>
            <w:vAlign w:val="center"/>
            <w:hideMark/>
          </w:tcPr>
          <w:p w14:paraId="0BA06A28" w14:textId="77777777" w:rsidR="00B52D4A" w:rsidRPr="00A55185" w:rsidRDefault="00B52D4A" w:rsidP="00143E24">
            <w:pPr>
              <w:spacing w:line="240" w:lineRule="auto"/>
              <w:jc w:val="center"/>
              <w:rPr>
                <w:rFonts w:eastAsia="Times New Roman"/>
                <w:color w:val="000000"/>
                <w:sz w:val="16"/>
                <w:szCs w:val="16"/>
              </w:rPr>
            </w:pPr>
            <w:r w:rsidRPr="00A55185">
              <w:rPr>
                <w:rFonts w:eastAsia="Times New Roman"/>
                <w:i/>
                <w:iCs/>
                <w:color w:val="000000"/>
                <w:sz w:val="16"/>
                <w:szCs w:val="16"/>
              </w:rPr>
              <w:t>T cell population change = l</w:t>
            </w:r>
            <w:r w:rsidRPr="00A55185">
              <w:rPr>
                <w:rFonts w:eastAsia="Times New Roman"/>
                <w:i/>
                <w:iCs/>
                <w:color w:val="000000"/>
                <w:sz w:val="16"/>
                <w:szCs w:val="16"/>
                <w:vertAlign w:val="subscript"/>
              </w:rPr>
              <w:t>T</w:t>
            </w:r>
            <w:r w:rsidRPr="00A55185">
              <w:rPr>
                <w:rFonts w:eastAsia="Times New Roman"/>
                <w:i/>
                <w:iCs/>
                <w:color w:val="000000"/>
                <w:sz w:val="16"/>
                <w:szCs w:val="16"/>
              </w:rPr>
              <w:t xml:space="preserve"> + T x (((a</w:t>
            </w:r>
            <w:r w:rsidRPr="00A55185">
              <w:rPr>
                <w:rFonts w:eastAsia="Times New Roman"/>
                <w:i/>
                <w:iCs/>
                <w:color w:val="000000"/>
                <w:sz w:val="16"/>
                <w:szCs w:val="16"/>
                <w:vertAlign w:val="subscript"/>
              </w:rPr>
              <w:t>T</w:t>
            </w:r>
            <w:r w:rsidRPr="00A55185">
              <w:rPr>
                <w:rFonts w:eastAsia="Times New Roman"/>
                <w:i/>
                <w:iCs/>
                <w:color w:val="000000"/>
                <w:sz w:val="16"/>
                <w:szCs w:val="16"/>
              </w:rPr>
              <w:t xml:space="preserve"> x M</w:t>
            </w:r>
            <w:r w:rsidRPr="00A55185">
              <w:rPr>
                <w:rFonts w:eastAsia="Times New Roman"/>
                <w:i/>
                <w:iCs/>
                <w:color w:val="000000"/>
                <w:sz w:val="16"/>
                <w:szCs w:val="16"/>
                <w:vertAlign w:val="subscript"/>
              </w:rPr>
              <w:t>i</w:t>
            </w:r>
            <w:r w:rsidRPr="00A55185">
              <w:rPr>
                <w:rFonts w:eastAsia="Times New Roman"/>
                <w:i/>
                <w:iCs/>
                <w:color w:val="000000"/>
                <w:sz w:val="16"/>
                <w:szCs w:val="16"/>
              </w:rPr>
              <w:t>)/(T + M</w:t>
            </w:r>
            <w:r w:rsidRPr="00A55185">
              <w:rPr>
                <w:rFonts w:eastAsia="Times New Roman"/>
                <w:i/>
                <w:iCs/>
                <w:color w:val="000000"/>
                <w:sz w:val="16"/>
                <w:szCs w:val="16"/>
                <w:vertAlign w:val="subscript"/>
              </w:rPr>
              <w:t>i</w:t>
            </w:r>
            <w:r w:rsidRPr="00A55185">
              <w:rPr>
                <w:rFonts w:eastAsia="Times New Roman"/>
                <w:i/>
                <w:iCs/>
                <w:color w:val="000000"/>
                <w:sz w:val="16"/>
                <w:szCs w:val="16"/>
              </w:rPr>
              <w:t>)) - u</w:t>
            </w:r>
            <w:r w:rsidRPr="00A55185">
              <w:rPr>
                <w:rFonts w:eastAsia="Times New Roman"/>
                <w:i/>
                <w:iCs/>
                <w:color w:val="000000"/>
                <w:sz w:val="16"/>
                <w:szCs w:val="16"/>
                <w:vertAlign w:val="subscript"/>
              </w:rPr>
              <w:t>T</w:t>
            </w:r>
            <w:r w:rsidRPr="00A55185">
              <w:rPr>
                <w:rFonts w:eastAsia="Times New Roman"/>
                <w:i/>
                <w:iCs/>
                <w:color w:val="000000"/>
                <w:sz w:val="16"/>
                <w:szCs w:val="16"/>
              </w:rPr>
              <w:t>)</w:t>
            </w:r>
            <w:r w:rsidRPr="00A55185">
              <w:rPr>
                <w:rFonts w:eastAsia="Times New Roman"/>
                <w:i/>
                <w:iCs/>
                <w:color w:val="000000"/>
                <w:sz w:val="16"/>
                <w:szCs w:val="16"/>
              </w:rPr>
              <w:br/>
            </w:r>
            <w:r w:rsidRPr="00A55185">
              <w:rPr>
                <w:rFonts w:eastAsia="Times New Roman"/>
                <w:color w:val="000000"/>
                <w:sz w:val="16"/>
                <w:szCs w:val="16"/>
              </w:rPr>
              <w:t>l</w:t>
            </w:r>
            <w:r w:rsidRPr="00A55185">
              <w:rPr>
                <w:rFonts w:eastAsia="Times New Roman"/>
                <w:color w:val="000000"/>
                <w:sz w:val="16"/>
                <w:szCs w:val="16"/>
                <w:vertAlign w:val="subscript"/>
              </w:rPr>
              <w:t>T</w:t>
            </w:r>
            <w:r w:rsidRPr="00A55185">
              <w:rPr>
                <w:rFonts w:eastAsia="Times New Roman"/>
                <w:color w:val="000000"/>
                <w:sz w:val="16"/>
                <w:szCs w:val="16"/>
              </w:rPr>
              <w:t xml:space="preserve"> = T cell supply rate</w:t>
            </w:r>
            <w:r w:rsidRPr="00A55185">
              <w:rPr>
                <w:rFonts w:eastAsia="Times New Roman"/>
                <w:color w:val="000000"/>
                <w:sz w:val="16"/>
                <w:szCs w:val="16"/>
              </w:rPr>
              <w:br/>
              <w:t>T = T cell population</w:t>
            </w:r>
            <w:r w:rsidRPr="00A55185">
              <w:rPr>
                <w:rFonts w:eastAsia="Times New Roman"/>
                <w:color w:val="000000"/>
                <w:sz w:val="16"/>
                <w:szCs w:val="16"/>
              </w:rPr>
              <w:br/>
              <w:t>a</w:t>
            </w:r>
            <w:r w:rsidRPr="00A55185">
              <w:rPr>
                <w:rFonts w:eastAsia="Times New Roman"/>
                <w:color w:val="000000"/>
                <w:sz w:val="16"/>
                <w:szCs w:val="16"/>
                <w:vertAlign w:val="subscript"/>
              </w:rPr>
              <w:t>T</w:t>
            </w:r>
            <w:r w:rsidRPr="00A55185">
              <w:rPr>
                <w:rFonts w:eastAsia="Times New Roman"/>
                <w:color w:val="000000"/>
                <w:sz w:val="16"/>
                <w:szCs w:val="16"/>
              </w:rPr>
              <w:t xml:space="preserve"> = T cell proliferation rate</w:t>
            </w:r>
            <w:r w:rsidRPr="00A55185">
              <w:rPr>
                <w:rFonts w:eastAsia="Times New Roman"/>
                <w:color w:val="000000"/>
                <w:sz w:val="16"/>
                <w:szCs w:val="16"/>
              </w:rPr>
              <w:br/>
              <w:t>M</w:t>
            </w:r>
            <w:r w:rsidRPr="00A55185">
              <w:rPr>
                <w:rFonts w:eastAsia="Times New Roman"/>
                <w:color w:val="000000"/>
                <w:sz w:val="16"/>
                <w:szCs w:val="16"/>
                <w:vertAlign w:val="subscript"/>
              </w:rPr>
              <w:t>i</w:t>
            </w:r>
            <w:r w:rsidRPr="00A55185">
              <w:rPr>
                <w:rFonts w:eastAsia="Times New Roman"/>
                <w:color w:val="000000"/>
                <w:sz w:val="16"/>
                <w:szCs w:val="16"/>
              </w:rPr>
              <w:t xml:space="preserve"> = Infected myeloid cell population</w:t>
            </w:r>
            <w:r w:rsidRPr="00A55185">
              <w:rPr>
                <w:rFonts w:eastAsia="Times New Roman"/>
                <w:color w:val="000000"/>
                <w:sz w:val="16"/>
                <w:szCs w:val="16"/>
              </w:rPr>
              <w:br/>
              <w:t>u</w:t>
            </w:r>
            <w:r w:rsidRPr="00A55185">
              <w:rPr>
                <w:rFonts w:eastAsia="Times New Roman"/>
                <w:color w:val="000000"/>
                <w:sz w:val="16"/>
                <w:szCs w:val="16"/>
                <w:vertAlign w:val="subscript"/>
              </w:rPr>
              <w:t>T</w:t>
            </w:r>
            <w:r w:rsidRPr="00A55185">
              <w:rPr>
                <w:rFonts w:eastAsia="Times New Roman"/>
                <w:color w:val="000000"/>
                <w:sz w:val="16"/>
                <w:szCs w:val="16"/>
              </w:rPr>
              <w:t xml:space="preserve"> = T cell exit rate</w:t>
            </w:r>
          </w:p>
        </w:tc>
      </w:tr>
      <w:tr w:rsidR="00B52D4A" w:rsidRPr="00A55185" w14:paraId="208F740F" w14:textId="77777777" w:rsidTr="00F7425F">
        <w:trPr>
          <w:trHeight w:val="1040"/>
        </w:trPr>
        <w:tc>
          <w:tcPr>
            <w:tcW w:w="333" w:type="pct"/>
            <w:tcBorders>
              <w:top w:val="nil"/>
              <w:left w:val="single" w:sz="4" w:space="0" w:color="auto"/>
              <w:bottom w:val="single" w:sz="4" w:space="0" w:color="auto"/>
              <w:right w:val="single" w:sz="4" w:space="0" w:color="auto"/>
            </w:tcBorders>
            <w:shd w:val="clear" w:color="auto" w:fill="auto"/>
            <w:vAlign w:val="center"/>
            <w:hideMark/>
          </w:tcPr>
          <w:p w14:paraId="5B902CDF" w14:textId="77777777" w:rsidR="00B52D4A" w:rsidRPr="00A55185" w:rsidRDefault="00B52D4A" w:rsidP="00143E24">
            <w:pPr>
              <w:spacing w:line="240" w:lineRule="auto"/>
              <w:jc w:val="center"/>
              <w:rPr>
                <w:rFonts w:eastAsia="Times New Roman"/>
                <w:color w:val="000000"/>
                <w:sz w:val="16"/>
                <w:szCs w:val="16"/>
              </w:rPr>
            </w:pPr>
            <w:r w:rsidRPr="00A55185">
              <w:rPr>
                <w:rFonts w:eastAsia="Times New Roman"/>
                <w:color w:val="000000"/>
                <w:sz w:val="16"/>
                <w:szCs w:val="16"/>
              </w:rPr>
              <w:t>T cells can travel to the Liver from other sites</w:t>
            </w:r>
          </w:p>
        </w:tc>
        <w:tc>
          <w:tcPr>
            <w:tcW w:w="352" w:type="pct"/>
            <w:tcBorders>
              <w:top w:val="nil"/>
              <w:left w:val="nil"/>
              <w:bottom w:val="single" w:sz="4" w:space="0" w:color="auto"/>
              <w:right w:val="single" w:sz="4" w:space="0" w:color="auto"/>
            </w:tcBorders>
            <w:shd w:val="clear" w:color="auto" w:fill="auto"/>
            <w:vAlign w:val="center"/>
            <w:hideMark/>
          </w:tcPr>
          <w:p w14:paraId="45165B4D" w14:textId="77777777" w:rsidR="00B52D4A" w:rsidRPr="00A55185" w:rsidRDefault="00B52D4A" w:rsidP="00143E24">
            <w:pPr>
              <w:spacing w:line="240" w:lineRule="auto"/>
              <w:jc w:val="center"/>
              <w:rPr>
                <w:rFonts w:eastAsia="Times New Roman"/>
                <w:sz w:val="16"/>
                <w:szCs w:val="16"/>
              </w:rPr>
            </w:pPr>
            <w:r w:rsidRPr="00A55185">
              <w:rPr>
                <w:rFonts w:eastAsia="Times New Roman"/>
                <w:sz w:val="16"/>
                <w:szCs w:val="16"/>
              </w:rPr>
              <w:t>(Engwerda and Kaye, 2000)</w:t>
            </w:r>
          </w:p>
        </w:tc>
        <w:tc>
          <w:tcPr>
            <w:tcW w:w="676" w:type="pct"/>
            <w:tcBorders>
              <w:top w:val="nil"/>
              <w:left w:val="nil"/>
              <w:bottom w:val="single" w:sz="4" w:space="0" w:color="auto"/>
              <w:right w:val="single" w:sz="4" w:space="0" w:color="auto"/>
            </w:tcBorders>
            <w:shd w:val="clear" w:color="auto" w:fill="auto"/>
            <w:vAlign w:val="center"/>
            <w:hideMark/>
          </w:tcPr>
          <w:p w14:paraId="05B96F38" w14:textId="77777777" w:rsidR="00B52D4A" w:rsidRPr="00A55185" w:rsidRDefault="00B52D4A" w:rsidP="00143E24">
            <w:pPr>
              <w:spacing w:line="240" w:lineRule="auto"/>
              <w:jc w:val="center"/>
              <w:rPr>
                <w:rFonts w:eastAsia="Times New Roman"/>
                <w:color w:val="000000"/>
                <w:sz w:val="16"/>
                <w:szCs w:val="16"/>
              </w:rPr>
            </w:pPr>
            <w:r w:rsidRPr="00A55185">
              <w:rPr>
                <w:rFonts w:eastAsia="Times New Roman"/>
                <w:color w:val="000000"/>
                <w:sz w:val="16"/>
                <w:szCs w:val="16"/>
              </w:rPr>
              <w:t>T cells detecting increases in Recruitment Factors and Pro-Inflammatory Cytokines leave Other Sites to enter the Liver (</w:t>
            </w:r>
            <w:r w:rsidRPr="00A55185">
              <w:rPr>
                <w:rFonts w:eastAsia="Times New Roman"/>
                <w:b/>
                <w:bCs/>
                <w:color w:val="000000"/>
                <w:sz w:val="16"/>
                <w:szCs w:val="16"/>
              </w:rPr>
              <w:t>Figure 4.7</w:t>
            </w:r>
            <w:r w:rsidRPr="00A55185">
              <w:rPr>
                <w:rFonts w:eastAsia="Times New Roman"/>
                <w:color w:val="000000"/>
                <w:sz w:val="16"/>
                <w:szCs w:val="16"/>
              </w:rPr>
              <w:t>)</w:t>
            </w:r>
          </w:p>
        </w:tc>
        <w:tc>
          <w:tcPr>
            <w:tcW w:w="676" w:type="pct"/>
            <w:tcBorders>
              <w:top w:val="nil"/>
              <w:left w:val="nil"/>
              <w:bottom w:val="single" w:sz="4" w:space="0" w:color="auto"/>
              <w:right w:val="single" w:sz="4" w:space="0" w:color="auto"/>
            </w:tcBorders>
            <w:shd w:val="clear" w:color="auto" w:fill="auto"/>
            <w:vAlign w:val="center"/>
            <w:hideMark/>
          </w:tcPr>
          <w:p w14:paraId="35EC6D71" w14:textId="77777777" w:rsidR="00B52D4A" w:rsidRPr="00A55185" w:rsidRDefault="00B52D4A" w:rsidP="00143E24">
            <w:pPr>
              <w:spacing w:line="240" w:lineRule="auto"/>
              <w:jc w:val="center"/>
              <w:rPr>
                <w:rFonts w:eastAsia="Times New Roman"/>
                <w:color w:val="000000"/>
                <w:sz w:val="16"/>
                <w:szCs w:val="16"/>
              </w:rPr>
            </w:pPr>
            <w:r w:rsidRPr="00A55185">
              <w:rPr>
                <w:rFonts w:eastAsia="Times New Roman"/>
                <w:color w:val="000000"/>
                <w:sz w:val="16"/>
                <w:szCs w:val="16"/>
              </w:rPr>
              <w:t>A simplification here is T cells have knowledge of Recruitment Factor and Pro-Inflammatory Signal levels at other sites which simplifies the detection of any gradient and subsequent trafficking</w:t>
            </w:r>
          </w:p>
        </w:tc>
        <w:tc>
          <w:tcPr>
            <w:tcW w:w="987" w:type="pct"/>
            <w:tcBorders>
              <w:top w:val="nil"/>
              <w:left w:val="nil"/>
              <w:bottom w:val="single" w:sz="4" w:space="0" w:color="auto"/>
              <w:right w:val="single" w:sz="4" w:space="0" w:color="auto"/>
            </w:tcBorders>
            <w:shd w:val="clear" w:color="auto" w:fill="auto"/>
            <w:vAlign w:val="center"/>
            <w:hideMark/>
          </w:tcPr>
          <w:p w14:paraId="4A2F676F" w14:textId="77777777" w:rsidR="00B52D4A" w:rsidRPr="00A55185" w:rsidRDefault="00B52D4A" w:rsidP="00143E24">
            <w:pPr>
              <w:spacing w:line="240" w:lineRule="auto"/>
              <w:jc w:val="center"/>
              <w:rPr>
                <w:rFonts w:eastAsia="Times New Roman"/>
                <w:color w:val="000000"/>
                <w:sz w:val="16"/>
                <w:szCs w:val="16"/>
              </w:rPr>
            </w:pPr>
            <w:r w:rsidRPr="00A55185">
              <w:rPr>
                <w:rFonts w:eastAsia="Times New Roman"/>
                <w:color w:val="000000"/>
                <w:sz w:val="16"/>
                <w:szCs w:val="16"/>
              </w:rPr>
              <w:t>There is no representation of an 'Other Site' within the Platform model. The liver is represented as a self-contained compartment, migratory processes which increase the T cell population are abstracted so that population growth arises through proliferation. (</w:t>
            </w:r>
            <w:r w:rsidRPr="00A55185">
              <w:rPr>
                <w:rFonts w:eastAsia="Times New Roman"/>
                <w:b/>
                <w:bCs/>
                <w:color w:val="000000"/>
                <w:sz w:val="16"/>
                <w:szCs w:val="16"/>
              </w:rPr>
              <w:t>Figure 4.17</w:t>
            </w:r>
            <w:r w:rsidRPr="00A55185">
              <w:rPr>
                <w:rFonts w:eastAsia="Times New Roman"/>
                <w:color w:val="000000"/>
                <w:sz w:val="16"/>
                <w:szCs w:val="16"/>
              </w:rPr>
              <w:t>)</w:t>
            </w:r>
          </w:p>
        </w:tc>
        <w:tc>
          <w:tcPr>
            <w:tcW w:w="854" w:type="pct"/>
            <w:tcBorders>
              <w:top w:val="nil"/>
              <w:left w:val="nil"/>
              <w:bottom w:val="single" w:sz="4" w:space="0" w:color="auto"/>
              <w:right w:val="single" w:sz="4" w:space="0" w:color="auto"/>
            </w:tcBorders>
            <w:shd w:val="clear" w:color="auto" w:fill="auto"/>
            <w:noWrap/>
            <w:vAlign w:val="center"/>
            <w:hideMark/>
          </w:tcPr>
          <w:p w14:paraId="179FEFEF" w14:textId="77777777" w:rsidR="00B52D4A" w:rsidRPr="00A55185" w:rsidRDefault="00B52D4A" w:rsidP="00143E24">
            <w:pPr>
              <w:spacing w:line="240" w:lineRule="auto"/>
              <w:jc w:val="center"/>
              <w:rPr>
                <w:rFonts w:eastAsia="Times New Roman"/>
                <w:color w:val="000000"/>
                <w:sz w:val="16"/>
                <w:szCs w:val="16"/>
              </w:rPr>
            </w:pPr>
          </w:p>
        </w:tc>
        <w:tc>
          <w:tcPr>
            <w:tcW w:w="1121" w:type="pct"/>
            <w:tcBorders>
              <w:top w:val="nil"/>
              <w:left w:val="nil"/>
              <w:bottom w:val="single" w:sz="4" w:space="0" w:color="auto"/>
              <w:right w:val="single" w:sz="4" w:space="0" w:color="auto"/>
            </w:tcBorders>
            <w:shd w:val="clear" w:color="auto" w:fill="auto"/>
            <w:noWrap/>
            <w:vAlign w:val="center"/>
            <w:hideMark/>
          </w:tcPr>
          <w:p w14:paraId="6DC458CC" w14:textId="77777777" w:rsidR="00B52D4A" w:rsidRPr="00A55185" w:rsidRDefault="00B52D4A" w:rsidP="00143E24">
            <w:pPr>
              <w:spacing w:line="240" w:lineRule="auto"/>
              <w:jc w:val="center"/>
              <w:rPr>
                <w:rFonts w:eastAsia="Times New Roman"/>
                <w:color w:val="000000"/>
                <w:sz w:val="16"/>
                <w:szCs w:val="16"/>
              </w:rPr>
            </w:pPr>
          </w:p>
        </w:tc>
      </w:tr>
      <w:tr w:rsidR="00B52D4A" w:rsidRPr="00A55185" w14:paraId="1D2D00A1" w14:textId="77777777" w:rsidTr="00F7425F">
        <w:trPr>
          <w:trHeight w:val="1040"/>
        </w:trPr>
        <w:tc>
          <w:tcPr>
            <w:tcW w:w="333" w:type="pct"/>
            <w:tcBorders>
              <w:top w:val="nil"/>
              <w:left w:val="single" w:sz="4" w:space="0" w:color="auto"/>
              <w:bottom w:val="single" w:sz="4" w:space="0" w:color="auto"/>
              <w:right w:val="single" w:sz="4" w:space="0" w:color="auto"/>
            </w:tcBorders>
            <w:shd w:val="clear" w:color="auto" w:fill="auto"/>
            <w:vAlign w:val="center"/>
            <w:hideMark/>
          </w:tcPr>
          <w:p w14:paraId="3A64374B" w14:textId="77777777" w:rsidR="00B52D4A" w:rsidRPr="00A55185" w:rsidRDefault="00B52D4A" w:rsidP="00143E24">
            <w:pPr>
              <w:spacing w:line="240" w:lineRule="auto"/>
              <w:jc w:val="center"/>
              <w:rPr>
                <w:rFonts w:eastAsia="Times New Roman"/>
                <w:color w:val="000000"/>
                <w:sz w:val="16"/>
                <w:szCs w:val="16"/>
              </w:rPr>
            </w:pPr>
            <w:r w:rsidRPr="00A55185">
              <w:rPr>
                <w:rFonts w:eastAsia="Times New Roman"/>
                <w:color w:val="000000"/>
                <w:sz w:val="16"/>
                <w:szCs w:val="16"/>
              </w:rPr>
              <w:t>Anti-Inflammatory Signals inactivate Kuppfer cells</w:t>
            </w:r>
          </w:p>
        </w:tc>
        <w:tc>
          <w:tcPr>
            <w:tcW w:w="352" w:type="pct"/>
            <w:tcBorders>
              <w:top w:val="nil"/>
              <w:left w:val="nil"/>
              <w:bottom w:val="single" w:sz="4" w:space="0" w:color="auto"/>
              <w:right w:val="single" w:sz="4" w:space="0" w:color="auto"/>
            </w:tcBorders>
            <w:shd w:val="clear" w:color="auto" w:fill="auto"/>
            <w:vAlign w:val="center"/>
            <w:hideMark/>
          </w:tcPr>
          <w:p w14:paraId="31AA1BE7" w14:textId="77777777" w:rsidR="00B52D4A" w:rsidRPr="00A55185" w:rsidRDefault="00B52D4A" w:rsidP="00143E24">
            <w:pPr>
              <w:spacing w:line="240" w:lineRule="auto"/>
              <w:jc w:val="center"/>
              <w:rPr>
                <w:rFonts w:eastAsia="Times New Roman"/>
                <w:sz w:val="16"/>
                <w:szCs w:val="16"/>
              </w:rPr>
            </w:pPr>
            <w:r w:rsidRPr="00A55185">
              <w:rPr>
                <w:rFonts w:eastAsia="Times New Roman"/>
                <w:sz w:val="16"/>
                <w:szCs w:val="16"/>
              </w:rPr>
              <w:t>(Kumar and Nylén, 2012; Zhang et al., 2013)</w:t>
            </w:r>
          </w:p>
        </w:tc>
        <w:tc>
          <w:tcPr>
            <w:tcW w:w="676" w:type="pct"/>
            <w:tcBorders>
              <w:top w:val="nil"/>
              <w:left w:val="nil"/>
              <w:bottom w:val="single" w:sz="4" w:space="0" w:color="auto"/>
              <w:right w:val="single" w:sz="4" w:space="0" w:color="auto"/>
            </w:tcBorders>
            <w:shd w:val="clear" w:color="auto" w:fill="auto"/>
            <w:vAlign w:val="center"/>
            <w:hideMark/>
          </w:tcPr>
          <w:p w14:paraId="65FD36B8" w14:textId="77777777" w:rsidR="00B52D4A" w:rsidRPr="00A55185" w:rsidRDefault="00B52D4A" w:rsidP="00143E24">
            <w:pPr>
              <w:spacing w:line="240" w:lineRule="auto"/>
              <w:jc w:val="center"/>
              <w:rPr>
                <w:rFonts w:eastAsia="Times New Roman"/>
                <w:color w:val="000000"/>
                <w:sz w:val="16"/>
                <w:szCs w:val="16"/>
              </w:rPr>
            </w:pPr>
            <w:r w:rsidRPr="00A55185">
              <w:rPr>
                <w:rFonts w:eastAsia="Times New Roman"/>
                <w:color w:val="000000"/>
                <w:sz w:val="16"/>
                <w:szCs w:val="16"/>
              </w:rPr>
              <w:t>Infected KCs detecting Anti-Inflammatory Signals transition to an anti-inflammatory state (</w:t>
            </w:r>
            <w:r w:rsidRPr="00A55185">
              <w:rPr>
                <w:rFonts w:eastAsia="Times New Roman"/>
                <w:b/>
                <w:bCs/>
                <w:color w:val="000000"/>
                <w:sz w:val="16"/>
                <w:szCs w:val="16"/>
              </w:rPr>
              <w:t>Figure 4.16</w:t>
            </w:r>
            <w:r w:rsidRPr="00A55185">
              <w:rPr>
                <w:rFonts w:eastAsia="Times New Roman"/>
                <w:color w:val="000000"/>
                <w:sz w:val="16"/>
                <w:szCs w:val="16"/>
              </w:rPr>
              <w:t xml:space="preserve">) </w:t>
            </w:r>
            <w:r w:rsidRPr="00A55185">
              <w:rPr>
                <w:rFonts w:eastAsia="Times New Roman"/>
                <w:color w:val="000000"/>
                <w:sz w:val="16"/>
                <w:szCs w:val="16"/>
              </w:rPr>
              <w:lastRenderedPageBreak/>
              <w:t>whereby they can produce anti-inflammatory cytokines (</w:t>
            </w:r>
            <w:r w:rsidRPr="00A55185">
              <w:rPr>
                <w:rFonts w:eastAsia="Times New Roman"/>
                <w:b/>
                <w:bCs/>
                <w:color w:val="000000"/>
                <w:sz w:val="16"/>
                <w:szCs w:val="16"/>
              </w:rPr>
              <w:t>Figure 4.15</w:t>
            </w:r>
            <w:r w:rsidRPr="00A55185">
              <w:rPr>
                <w:rFonts w:eastAsia="Times New Roman"/>
                <w:color w:val="000000"/>
                <w:sz w:val="16"/>
                <w:szCs w:val="16"/>
              </w:rPr>
              <w:t>)</w:t>
            </w:r>
          </w:p>
        </w:tc>
        <w:tc>
          <w:tcPr>
            <w:tcW w:w="676" w:type="pct"/>
            <w:tcBorders>
              <w:top w:val="nil"/>
              <w:left w:val="nil"/>
              <w:bottom w:val="single" w:sz="4" w:space="0" w:color="auto"/>
              <w:right w:val="single" w:sz="4" w:space="0" w:color="auto"/>
            </w:tcBorders>
            <w:shd w:val="clear" w:color="auto" w:fill="auto"/>
            <w:vAlign w:val="center"/>
            <w:hideMark/>
          </w:tcPr>
          <w:p w14:paraId="3E292DD3" w14:textId="77777777" w:rsidR="00B52D4A" w:rsidRPr="00A55185" w:rsidRDefault="00B52D4A" w:rsidP="00143E24">
            <w:pPr>
              <w:spacing w:line="240" w:lineRule="auto"/>
              <w:jc w:val="center"/>
              <w:rPr>
                <w:rFonts w:eastAsia="Times New Roman"/>
                <w:color w:val="000000"/>
                <w:sz w:val="16"/>
                <w:szCs w:val="16"/>
              </w:rPr>
            </w:pPr>
            <w:r w:rsidRPr="00A55185">
              <w:rPr>
                <w:rFonts w:eastAsia="Times New Roman"/>
                <w:color w:val="000000"/>
                <w:sz w:val="16"/>
                <w:szCs w:val="16"/>
              </w:rPr>
              <w:lastRenderedPageBreak/>
              <w:t>The M2 phenotype is represented by an anti-inflammatory state</w:t>
            </w:r>
          </w:p>
        </w:tc>
        <w:tc>
          <w:tcPr>
            <w:tcW w:w="987" w:type="pct"/>
            <w:tcBorders>
              <w:top w:val="nil"/>
              <w:left w:val="nil"/>
              <w:bottom w:val="single" w:sz="4" w:space="0" w:color="auto"/>
              <w:right w:val="single" w:sz="4" w:space="0" w:color="auto"/>
            </w:tcBorders>
            <w:shd w:val="clear" w:color="auto" w:fill="auto"/>
            <w:vAlign w:val="center"/>
            <w:hideMark/>
          </w:tcPr>
          <w:p w14:paraId="4CCFD097" w14:textId="77777777" w:rsidR="00B52D4A" w:rsidRPr="00A55185" w:rsidRDefault="00B52D4A" w:rsidP="00143E24">
            <w:pPr>
              <w:spacing w:line="240" w:lineRule="auto"/>
              <w:jc w:val="center"/>
              <w:rPr>
                <w:rFonts w:eastAsia="Times New Roman"/>
                <w:color w:val="000000"/>
                <w:sz w:val="16"/>
                <w:szCs w:val="16"/>
              </w:rPr>
            </w:pPr>
            <w:r w:rsidRPr="00A55185">
              <w:rPr>
                <w:rFonts w:eastAsia="Times New Roman"/>
                <w:color w:val="000000"/>
                <w:sz w:val="16"/>
                <w:szCs w:val="16"/>
              </w:rPr>
              <w:t xml:space="preserve">Kupffer cells and myeloid cells are grouped together to form a single population referred to as 'Myeloid cells' due to shared abilities between both Kupffer and myeloid cells in the domain model (albeit likely occuring at different </w:t>
            </w:r>
            <w:r w:rsidRPr="00A55185">
              <w:rPr>
                <w:rFonts w:eastAsia="Times New Roman"/>
                <w:color w:val="000000"/>
                <w:sz w:val="16"/>
                <w:szCs w:val="16"/>
              </w:rPr>
              <w:lastRenderedPageBreak/>
              <w:t>rates) and there is no explict representation of anti-inflammatory signals (</w:t>
            </w:r>
            <w:r w:rsidRPr="00A55185">
              <w:rPr>
                <w:rFonts w:eastAsia="Times New Roman"/>
                <w:b/>
                <w:bCs/>
                <w:color w:val="000000"/>
                <w:sz w:val="16"/>
                <w:szCs w:val="16"/>
              </w:rPr>
              <w:t>Figure 4.19</w:t>
            </w:r>
            <w:r w:rsidRPr="00A55185">
              <w:rPr>
                <w:rFonts w:eastAsia="Times New Roman"/>
                <w:color w:val="000000"/>
                <w:sz w:val="16"/>
                <w:szCs w:val="16"/>
              </w:rPr>
              <w:t>)</w:t>
            </w:r>
          </w:p>
        </w:tc>
        <w:tc>
          <w:tcPr>
            <w:tcW w:w="854" w:type="pct"/>
            <w:tcBorders>
              <w:top w:val="nil"/>
              <w:left w:val="nil"/>
              <w:bottom w:val="single" w:sz="4" w:space="0" w:color="auto"/>
              <w:right w:val="single" w:sz="4" w:space="0" w:color="auto"/>
            </w:tcBorders>
            <w:shd w:val="clear" w:color="auto" w:fill="auto"/>
            <w:noWrap/>
            <w:vAlign w:val="center"/>
            <w:hideMark/>
          </w:tcPr>
          <w:p w14:paraId="5B8221FF" w14:textId="77777777" w:rsidR="00B52D4A" w:rsidRPr="00A55185" w:rsidRDefault="00B52D4A" w:rsidP="00143E24">
            <w:pPr>
              <w:spacing w:line="240" w:lineRule="auto"/>
              <w:jc w:val="center"/>
              <w:rPr>
                <w:rFonts w:eastAsia="Times New Roman"/>
                <w:color w:val="000000"/>
                <w:sz w:val="16"/>
                <w:szCs w:val="16"/>
              </w:rPr>
            </w:pPr>
          </w:p>
        </w:tc>
        <w:tc>
          <w:tcPr>
            <w:tcW w:w="1121" w:type="pct"/>
            <w:tcBorders>
              <w:top w:val="nil"/>
              <w:left w:val="nil"/>
              <w:bottom w:val="single" w:sz="4" w:space="0" w:color="auto"/>
              <w:right w:val="single" w:sz="4" w:space="0" w:color="auto"/>
            </w:tcBorders>
            <w:shd w:val="clear" w:color="auto" w:fill="auto"/>
            <w:noWrap/>
            <w:vAlign w:val="center"/>
            <w:hideMark/>
          </w:tcPr>
          <w:p w14:paraId="2A5F181E" w14:textId="77777777" w:rsidR="00B52D4A" w:rsidRPr="00A55185" w:rsidRDefault="00B52D4A" w:rsidP="00143E24">
            <w:pPr>
              <w:spacing w:line="240" w:lineRule="auto"/>
              <w:jc w:val="center"/>
              <w:rPr>
                <w:rFonts w:eastAsia="Times New Roman"/>
                <w:color w:val="000000"/>
                <w:sz w:val="16"/>
                <w:szCs w:val="16"/>
              </w:rPr>
            </w:pPr>
          </w:p>
        </w:tc>
      </w:tr>
      <w:tr w:rsidR="00B52D4A" w:rsidRPr="00A55185" w14:paraId="0C31C4C2" w14:textId="77777777" w:rsidTr="00F7425F">
        <w:trPr>
          <w:trHeight w:val="1300"/>
        </w:trPr>
        <w:tc>
          <w:tcPr>
            <w:tcW w:w="333" w:type="pct"/>
            <w:tcBorders>
              <w:top w:val="nil"/>
              <w:left w:val="single" w:sz="4" w:space="0" w:color="auto"/>
              <w:bottom w:val="single" w:sz="4" w:space="0" w:color="auto"/>
              <w:right w:val="single" w:sz="4" w:space="0" w:color="auto"/>
            </w:tcBorders>
            <w:shd w:val="clear" w:color="auto" w:fill="auto"/>
            <w:vAlign w:val="center"/>
            <w:hideMark/>
          </w:tcPr>
          <w:p w14:paraId="627DF023" w14:textId="77777777" w:rsidR="00B52D4A" w:rsidRPr="00A55185" w:rsidRDefault="00B52D4A" w:rsidP="00143E24">
            <w:pPr>
              <w:spacing w:line="240" w:lineRule="auto"/>
              <w:jc w:val="center"/>
              <w:rPr>
                <w:rFonts w:eastAsia="Times New Roman"/>
                <w:color w:val="000000"/>
                <w:sz w:val="16"/>
                <w:szCs w:val="16"/>
              </w:rPr>
            </w:pPr>
            <w:r w:rsidRPr="00A55185">
              <w:rPr>
                <w:rFonts w:eastAsia="Times New Roman"/>
                <w:color w:val="000000"/>
                <w:sz w:val="16"/>
                <w:szCs w:val="16"/>
              </w:rPr>
              <w:t>Anti-Inflammatory Signals inhibit Pro-Inflammatory Signals</w:t>
            </w:r>
          </w:p>
        </w:tc>
        <w:tc>
          <w:tcPr>
            <w:tcW w:w="352" w:type="pct"/>
            <w:tcBorders>
              <w:top w:val="nil"/>
              <w:left w:val="nil"/>
              <w:bottom w:val="single" w:sz="4" w:space="0" w:color="auto"/>
              <w:right w:val="single" w:sz="4" w:space="0" w:color="auto"/>
            </w:tcBorders>
            <w:shd w:val="clear" w:color="auto" w:fill="auto"/>
            <w:vAlign w:val="center"/>
            <w:hideMark/>
          </w:tcPr>
          <w:p w14:paraId="14724BC7" w14:textId="77777777" w:rsidR="00B52D4A" w:rsidRPr="00A55185" w:rsidRDefault="00B52D4A" w:rsidP="00143E24">
            <w:pPr>
              <w:spacing w:line="240" w:lineRule="auto"/>
              <w:jc w:val="center"/>
              <w:rPr>
                <w:rFonts w:eastAsia="Times New Roman"/>
                <w:sz w:val="16"/>
                <w:szCs w:val="16"/>
              </w:rPr>
            </w:pPr>
            <w:r w:rsidRPr="00A55185">
              <w:rPr>
                <w:rFonts w:eastAsia="Times New Roman"/>
                <w:sz w:val="16"/>
                <w:szCs w:val="16"/>
              </w:rPr>
              <w:t>(Murray 2001; Yi, Cox and Zajac, 2010; Cope et al., 2011; Kumar and Nylén, 2012)</w:t>
            </w:r>
          </w:p>
        </w:tc>
        <w:tc>
          <w:tcPr>
            <w:tcW w:w="676" w:type="pct"/>
            <w:tcBorders>
              <w:top w:val="nil"/>
              <w:left w:val="nil"/>
              <w:bottom w:val="single" w:sz="4" w:space="0" w:color="auto"/>
              <w:right w:val="single" w:sz="4" w:space="0" w:color="auto"/>
            </w:tcBorders>
            <w:shd w:val="clear" w:color="auto" w:fill="auto"/>
            <w:vAlign w:val="center"/>
            <w:hideMark/>
          </w:tcPr>
          <w:p w14:paraId="7FD1DBB1" w14:textId="77777777" w:rsidR="00B52D4A" w:rsidRPr="00A55185" w:rsidRDefault="00B52D4A" w:rsidP="00143E24">
            <w:pPr>
              <w:spacing w:line="240" w:lineRule="auto"/>
              <w:jc w:val="center"/>
              <w:rPr>
                <w:rFonts w:eastAsia="Times New Roman"/>
                <w:i/>
                <w:iCs/>
                <w:color w:val="000000"/>
                <w:sz w:val="16"/>
                <w:szCs w:val="16"/>
              </w:rPr>
            </w:pPr>
            <w:r w:rsidRPr="00A55185">
              <w:rPr>
                <w:rFonts w:eastAsia="Times New Roman"/>
                <w:i/>
                <w:iCs/>
                <w:color w:val="000000"/>
                <w:sz w:val="16"/>
                <w:szCs w:val="16"/>
              </w:rPr>
              <w:t>Not Explicitly represented in Domain Model Diagrams</w:t>
            </w:r>
          </w:p>
        </w:tc>
        <w:tc>
          <w:tcPr>
            <w:tcW w:w="676" w:type="pct"/>
            <w:tcBorders>
              <w:top w:val="nil"/>
              <w:left w:val="nil"/>
              <w:bottom w:val="single" w:sz="4" w:space="0" w:color="auto"/>
              <w:right w:val="single" w:sz="4" w:space="0" w:color="auto"/>
            </w:tcBorders>
            <w:shd w:val="clear" w:color="auto" w:fill="auto"/>
            <w:vAlign w:val="center"/>
            <w:hideMark/>
          </w:tcPr>
          <w:p w14:paraId="30E623AA" w14:textId="715AB463" w:rsidR="00B52D4A" w:rsidRPr="00A55185" w:rsidRDefault="00B52D4A" w:rsidP="00143E24">
            <w:pPr>
              <w:spacing w:line="240" w:lineRule="auto"/>
              <w:jc w:val="center"/>
              <w:rPr>
                <w:rFonts w:eastAsia="Times New Roman"/>
                <w:color w:val="000000"/>
                <w:sz w:val="16"/>
                <w:szCs w:val="16"/>
              </w:rPr>
            </w:pPr>
            <w:r w:rsidRPr="00A55185">
              <w:rPr>
                <w:rFonts w:eastAsia="Times New Roman"/>
                <w:color w:val="000000"/>
                <w:sz w:val="16"/>
                <w:szCs w:val="16"/>
              </w:rPr>
              <w:t xml:space="preserve">Anti-Inflammatory Signals may be suppresive in many ways such as inhibition of a Th1 T cell phenotype, induction of anti-inflammatory phenotypes in </w:t>
            </w:r>
            <w:r w:rsidR="00F7425F" w:rsidRPr="00A55185">
              <w:rPr>
                <w:rFonts w:eastAsia="Times New Roman"/>
                <w:color w:val="000000"/>
                <w:sz w:val="16"/>
                <w:szCs w:val="16"/>
              </w:rPr>
              <w:t>macrophages and</w:t>
            </w:r>
            <w:r w:rsidRPr="00A55185">
              <w:rPr>
                <w:rFonts w:eastAsia="Times New Roman"/>
                <w:color w:val="000000"/>
                <w:sz w:val="16"/>
                <w:szCs w:val="16"/>
              </w:rPr>
              <w:t xml:space="preserve"> reduction of pro-inflammatory signal production. Here this is simplified such that Anti-Inflammatory Signals make cells less sensitive to Pro-Inflammatory Signals</w:t>
            </w:r>
          </w:p>
        </w:tc>
        <w:tc>
          <w:tcPr>
            <w:tcW w:w="987" w:type="pct"/>
            <w:tcBorders>
              <w:top w:val="nil"/>
              <w:left w:val="nil"/>
              <w:bottom w:val="single" w:sz="4" w:space="0" w:color="auto"/>
              <w:right w:val="single" w:sz="4" w:space="0" w:color="auto"/>
            </w:tcBorders>
            <w:shd w:val="clear" w:color="auto" w:fill="auto"/>
            <w:vAlign w:val="center"/>
            <w:hideMark/>
          </w:tcPr>
          <w:p w14:paraId="07F30F19" w14:textId="77777777" w:rsidR="00B52D4A" w:rsidRPr="00A55185" w:rsidRDefault="00B52D4A" w:rsidP="00143E24">
            <w:pPr>
              <w:spacing w:line="240" w:lineRule="auto"/>
              <w:jc w:val="center"/>
              <w:rPr>
                <w:rFonts w:eastAsia="Times New Roman"/>
                <w:color w:val="000000"/>
                <w:sz w:val="16"/>
                <w:szCs w:val="16"/>
              </w:rPr>
            </w:pPr>
            <w:r w:rsidRPr="00A55185">
              <w:rPr>
                <w:rFonts w:eastAsia="Times New Roman"/>
                <w:color w:val="000000"/>
                <w:sz w:val="16"/>
                <w:szCs w:val="16"/>
              </w:rPr>
              <w:t>There is no representation of Anti-Inflammatory or Pro-Inflammatory Signals instead the actions of the signals which modulate the anti-leishmanial response (Pro- and Anti-Inflammatory Signals) are abstracted such that the amount of anti-leishmanial compounds is proportional to the amount of myeloid cells and T cells within the system (</w:t>
            </w:r>
            <w:r w:rsidRPr="00A55185">
              <w:rPr>
                <w:rFonts w:eastAsia="Times New Roman"/>
                <w:b/>
                <w:bCs/>
                <w:color w:val="000000"/>
                <w:sz w:val="16"/>
                <w:szCs w:val="16"/>
              </w:rPr>
              <w:t>Figure 4.21</w:t>
            </w:r>
            <w:r w:rsidRPr="00A55185">
              <w:rPr>
                <w:rFonts w:eastAsia="Times New Roman"/>
                <w:color w:val="000000"/>
                <w:sz w:val="16"/>
                <w:szCs w:val="16"/>
              </w:rPr>
              <w:t>)</w:t>
            </w:r>
          </w:p>
        </w:tc>
        <w:tc>
          <w:tcPr>
            <w:tcW w:w="854" w:type="pct"/>
            <w:tcBorders>
              <w:top w:val="nil"/>
              <w:left w:val="nil"/>
              <w:bottom w:val="single" w:sz="4" w:space="0" w:color="auto"/>
              <w:right w:val="single" w:sz="4" w:space="0" w:color="auto"/>
            </w:tcBorders>
            <w:shd w:val="clear" w:color="auto" w:fill="auto"/>
            <w:noWrap/>
            <w:vAlign w:val="center"/>
            <w:hideMark/>
          </w:tcPr>
          <w:p w14:paraId="1296D97F" w14:textId="77777777" w:rsidR="00B52D4A" w:rsidRPr="00A55185" w:rsidRDefault="00B52D4A" w:rsidP="00143E24">
            <w:pPr>
              <w:spacing w:line="240" w:lineRule="auto"/>
              <w:jc w:val="center"/>
              <w:rPr>
                <w:rFonts w:eastAsia="Times New Roman"/>
                <w:color w:val="000000"/>
                <w:sz w:val="16"/>
                <w:szCs w:val="16"/>
              </w:rPr>
            </w:pPr>
          </w:p>
        </w:tc>
        <w:tc>
          <w:tcPr>
            <w:tcW w:w="1121" w:type="pct"/>
            <w:tcBorders>
              <w:top w:val="nil"/>
              <w:left w:val="nil"/>
              <w:bottom w:val="single" w:sz="4" w:space="0" w:color="auto"/>
              <w:right w:val="single" w:sz="4" w:space="0" w:color="auto"/>
            </w:tcBorders>
            <w:shd w:val="clear" w:color="auto" w:fill="auto"/>
            <w:noWrap/>
            <w:vAlign w:val="center"/>
            <w:hideMark/>
          </w:tcPr>
          <w:p w14:paraId="4022A571" w14:textId="77777777" w:rsidR="00B52D4A" w:rsidRPr="00A55185" w:rsidRDefault="00B52D4A" w:rsidP="00143E24">
            <w:pPr>
              <w:spacing w:line="240" w:lineRule="auto"/>
              <w:jc w:val="center"/>
              <w:rPr>
                <w:rFonts w:eastAsia="Times New Roman"/>
                <w:color w:val="000000"/>
                <w:sz w:val="16"/>
                <w:szCs w:val="16"/>
              </w:rPr>
            </w:pPr>
          </w:p>
        </w:tc>
      </w:tr>
      <w:tr w:rsidR="00B52D4A" w:rsidRPr="00A55185" w14:paraId="27D7BB51" w14:textId="77777777" w:rsidTr="00F7425F">
        <w:trPr>
          <w:trHeight w:val="1560"/>
        </w:trPr>
        <w:tc>
          <w:tcPr>
            <w:tcW w:w="333" w:type="pct"/>
            <w:tcBorders>
              <w:top w:val="nil"/>
              <w:left w:val="single" w:sz="4" w:space="0" w:color="auto"/>
              <w:bottom w:val="single" w:sz="4" w:space="0" w:color="auto"/>
              <w:right w:val="single" w:sz="4" w:space="0" w:color="auto"/>
            </w:tcBorders>
            <w:shd w:val="clear" w:color="auto" w:fill="auto"/>
            <w:vAlign w:val="center"/>
            <w:hideMark/>
          </w:tcPr>
          <w:p w14:paraId="6C55FEBF" w14:textId="77777777" w:rsidR="00B52D4A" w:rsidRPr="00A55185" w:rsidRDefault="00B52D4A" w:rsidP="00143E24">
            <w:pPr>
              <w:spacing w:line="240" w:lineRule="auto"/>
              <w:jc w:val="center"/>
              <w:rPr>
                <w:rFonts w:eastAsia="Times New Roman"/>
                <w:color w:val="000000"/>
                <w:sz w:val="16"/>
                <w:szCs w:val="16"/>
              </w:rPr>
            </w:pPr>
            <w:r w:rsidRPr="00A55185">
              <w:rPr>
                <w:rFonts w:eastAsia="Times New Roman"/>
                <w:color w:val="000000"/>
                <w:sz w:val="16"/>
                <w:szCs w:val="16"/>
              </w:rPr>
              <w:t>Anti-Inflammatory Signals inhibit T cell proliferation and induces exhuastion</w:t>
            </w:r>
          </w:p>
        </w:tc>
        <w:tc>
          <w:tcPr>
            <w:tcW w:w="352" w:type="pct"/>
            <w:tcBorders>
              <w:top w:val="nil"/>
              <w:left w:val="nil"/>
              <w:bottom w:val="single" w:sz="4" w:space="0" w:color="auto"/>
              <w:right w:val="single" w:sz="4" w:space="0" w:color="auto"/>
            </w:tcBorders>
            <w:shd w:val="clear" w:color="auto" w:fill="auto"/>
            <w:vAlign w:val="center"/>
            <w:hideMark/>
          </w:tcPr>
          <w:p w14:paraId="3A1ACF09" w14:textId="77777777" w:rsidR="00B52D4A" w:rsidRPr="00A55185" w:rsidRDefault="00B52D4A" w:rsidP="00143E24">
            <w:pPr>
              <w:spacing w:line="240" w:lineRule="auto"/>
              <w:jc w:val="center"/>
              <w:rPr>
                <w:rFonts w:eastAsia="Times New Roman"/>
                <w:sz w:val="16"/>
                <w:szCs w:val="16"/>
              </w:rPr>
            </w:pPr>
            <w:r w:rsidRPr="00A55185">
              <w:rPr>
                <w:rFonts w:eastAsia="Times New Roman"/>
                <w:sz w:val="16"/>
                <w:szCs w:val="16"/>
              </w:rPr>
              <w:t>(Goto and Lindoso, 2004; Yi, Cox and Zajac, 2010; Murray 2001)</w:t>
            </w:r>
          </w:p>
        </w:tc>
        <w:tc>
          <w:tcPr>
            <w:tcW w:w="676" w:type="pct"/>
            <w:tcBorders>
              <w:top w:val="nil"/>
              <w:left w:val="nil"/>
              <w:bottom w:val="single" w:sz="4" w:space="0" w:color="auto"/>
              <w:right w:val="single" w:sz="4" w:space="0" w:color="auto"/>
            </w:tcBorders>
            <w:shd w:val="clear" w:color="auto" w:fill="auto"/>
            <w:vAlign w:val="center"/>
            <w:hideMark/>
          </w:tcPr>
          <w:p w14:paraId="31856A9B" w14:textId="77777777" w:rsidR="00B52D4A" w:rsidRPr="00A55185" w:rsidRDefault="00B52D4A" w:rsidP="00143E24">
            <w:pPr>
              <w:spacing w:line="240" w:lineRule="auto"/>
              <w:jc w:val="center"/>
              <w:rPr>
                <w:rFonts w:eastAsia="Times New Roman"/>
                <w:color w:val="000000"/>
                <w:sz w:val="16"/>
                <w:szCs w:val="16"/>
              </w:rPr>
            </w:pPr>
            <w:r w:rsidRPr="00A55185">
              <w:rPr>
                <w:rFonts w:eastAsia="Times New Roman"/>
                <w:color w:val="000000"/>
                <w:sz w:val="16"/>
                <w:szCs w:val="16"/>
              </w:rPr>
              <w:t>T cells detecting Anti-inflammatory Signals apoptose (</w:t>
            </w:r>
            <w:r w:rsidRPr="00A55185">
              <w:rPr>
                <w:rFonts w:eastAsia="Times New Roman"/>
                <w:b/>
                <w:bCs/>
                <w:color w:val="000000"/>
                <w:sz w:val="16"/>
                <w:szCs w:val="16"/>
              </w:rPr>
              <w:t>Figure 4.7</w:t>
            </w:r>
            <w:r w:rsidRPr="00A55185">
              <w:rPr>
                <w:rFonts w:eastAsia="Times New Roman"/>
                <w:color w:val="000000"/>
                <w:sz w:val="16"/>
                <w:szCs w:val="16"/>
              </w:rPr>
              <w:t>)</w:t>
            </w:r>
          </w:p>
        </w:tc>
        <w:tc>
          <w:tcPr>
            <w:tcW w:w="676" w:type="pct"/>
            <w:tcBorders>
              <w:top w:val="nil"/>
              <w:left w:val="nil"/>
              <w:bottom w:val="single" w:sz="4" w:space="0" w:color="auto"/>
              <w:right w:val="single" w:sz="4" w:space="0" w:color="auto"/>
            </w:tcBorders>
            <w:shd w:val="clear" w:color="auto" w:fill="auto"/>
            <w:vAlign w:val="center"/>
            <w:hideMark/>
          </w:tcPr>
          <w:p w14:paraId="66578A15" w14:textId="77777777" w:rsidR="00B52D4A" w:rsidRPr="00A55185" w:rsidRDefault="00B52D4A" w:rsidP="00143E24">
            <w:pPr>
              <w:spacing w:line="240" w:lineRule="auto"/>
              <w:jc w:val="center"/>
              <w:rPr>
                <w:rFonts w:eastAsia="Times New Roman"/>
                <w:color w:val="000000"/>
                <w:sz w:val="16"/>
                <w:szCs w:val="16"/>
              </w:rPr>
            </w:pPr>
            <w:r w:rsidRPr="00A55185">
              <w:rPr>
                <w:rFonts w:eastAsia="Times New Roman"/>
                <w:color w:val="000000"/>
                <w:sz w:val="16"/>
                <w:szCs w:val="16"/>
              </w:rPr>
              <w:t>T cells detecting anti-inflammatory signals may first tranisiton into an anergic state before removal from the biological system, here this two-step process is instead represented as a single transition from detection to removal</w:t>
            </w:r>
          </w:p>
        </w:tc>
        <w:tc>
          <w:tcPr>
            <w:tcW w:w="987" w:type="pct"/>
            <w:tcBorders>
              <w:top w:val="nil"/>
              <w:left w:val="nil"/>
              <w:bottom w:val="single" w:sz="4" w:space="0" w:color="auto"/>
              <w:right w:val="single" w:sz="4" w:space="0" w:color="auto"/>
            </w:tcBorders>
            <w:shd w:val="clear" w:color="auto" w:fill="auto"/>
            <w:vAlign w:val="center"/>
            <w:hideMark/>
          </w:tcPr>
          <w:p w14:paraId="4759364C" w14:textId="77777777" w:rsidR="00B52D4A" w:rsidRPr="00A55185" w:rsidRDefault="00B52D4A" w:rsidP="00143E24">
            <w:pPr>
              <w:spacing w:line="240" w:lineRule="auto"/>
              <w:jc w:val="center"/>
              <w:rPr>
                <w:rFonts w:eastAsia="Times New Roman"/>
                <w:color w:val="000000"/>
                <w:sz w:val="16"/>
                <w:szCs w:val="16"/>
              </w:rPr>
            </w:pPr>
            <w:r w:rsidRPr="00A55185">
              <w:rPr>
                <w:rFonts w:eastAsia="Times New Roman"/>
                <w:color w:val="000000"/>
                <w:sz w:val="16"/>
                <w:szCs w:val="16"/>
              </w:rPr>
              <w:t>There is no representation of Anti-Inflammatory Signals instead the suppresive activity of Anti-Inflammatory signals on T cells is abstracted such that the parameter representing T cell death is a fixed rate reflecting the removal of T cells from the system (</w:t>
            </w:r>
            <w:r w:rsidRPr="00A55185">
              <w:rPr>
                <w:rFonts w:eastAsia="Times New Roman"/>
                <w:b/>
                <w:bCs/>
                <w:color w:val="000000"/>
                <w:sz w:val="16"/>
                <w:szCs w:val="16"/>
              </w:rPr>
              <w:t>Figure 4.21</w:t>
            </w:r>
            <w:r w:rsidRPr="00A55185">
              <w:rPr>
                <w:rFonts w:eastAsia="Times New Roman"/>
                <w:color w:val="000000"/>
                <w:sz w:val="16"/>
                <w:szCs w:val="16"/>
              </w:rPr>
              <w:t>)</w:t>
            </w:r>
          </w:p>
        </w:tc>
        <w:tc>
          <w:tcPr>
            <w:tcW w:w="854" w:type="pct"/>
            <w:tcBorders>
              <w:top w:val="nil"/>
              <w:left w:val="nil"/>
              <w:bottom w:val="single" w:sz="4" w:space="0" w:color="auto"/>
              <w:right w:val="single" w:sz="4" w:space="0" w:color="auto"/>
            </w:tcBorders>
            <w:shd w:val="clear" w:color="auto" w:fill="auto"/>
            <w:vAlign w:val="center"/>
            <w:hideMark/>
          </w:tcPr>
          <w:p w14:paraId="4484E650" w14:textId="77777777" w:rsidR="00B52D4A" w:rsidRPr="00A55185" w:rsidRDefault="00B52D4A" w:rsidP="00143E24">
            <w:pPr>
              <w:spacing w:line="240" w:lineRule="auto"/>
              <w:jc w:val="center"/>
              <w:rPr>
                <w:rFonts w:eastAsia="Times New Roman"/>
                <w:color w:val="000000"/>
                <w:sz w:val="16"/>
                <w:szCs w:val="16"/>
              </w:rPr>
            </w:pPr>
            <w:r w:rsidRPr="00A55185">
              <w:rPr>
                <w:rFonts w:eastAsia="Times New Roman"/>
                <w:i/>
                <w:iCs/>
                <w:color w:val="000000"/>
                <w:sz w:val="16"/>
                <w:szCs w:val="16"/>
              </w:rPr>
              <w:t>T cell population decline = -u</w:t>
            </w:r>
            <w:r w:rsidRPr="00A55185">
              <w:rPr>
                <w:rFonts w:eastAsia="Times New Roman"/>
                <w:i/>
                <w:iCs/>
                <w:color w:val="000000"/>
                <w:sz w:val="16"/>
                <w:szCs w:val="16"/>
                <w:vertAlign w:val="subscript"/>
              </w:rPr>
              <w:t>T</w:t>
            </w:r>
            <w:r w:rsidRPr="00A55185">
              <w:rPr>
                <w:rFonts w:eastAsia="Times New Roman"/>
                <w:i/>
                <w:iCs/>
                <w:color w:val="000000"/>
                <w:sz w:val="16"/>
                <w:szCs w:val="16"/>
              </w:rPr>
              <w:t xml:space="preserve"> x T</w:t>
            </w:r>
            <w:r w:rsidRPr="00A55185">
              <w:rPr>
                <w:rFonts w:eastAsia="Times New Roman"/>
                <w:color w:val="000000"/>
                <w:sz w:val="16"/>
                <w:szCs w:val="16"/>
              </w:rPr>
              <w:br/>
              <w:t>u</w:t>
            </w:r>
            <w:r w:rsidRPr="00A55185">
              <w:rPr>
                <w:rFonts w:eastAsia="Times New Roman"/>
                <w:color w:val="000000"/>
                <w:sz w:val="16"/>
                <w:szCs w:val="16"/>
                <w:vertAlign w:val="subscript"/>
              </w:rPr>
              <w:t>T</w:t>
            </w:r>
            <w:r w:rsidRPr="00A55185">
              <w:rPr>
                <w:rFonts w:eastAsia="Times New Roman"/>
                <w:color w:val="000000"/>
                <w:sz w:val="16"/>
                <w:szCs w:val="16"/>
              </w:rPr>
              <w:t xml:space="preserve"> = T cell deat rate</w:t>
            </w:r>
            <w:r w:rsidRPr="00A55185">
              <w:rPr>
                <w:rFonts w:eastAsia="Times New Roman"/>
                <w:color w:val="000000"/>
                <w:sz w:val="16"/>
                <w:szCs w:val="16"/>
              </w:rPr>
              <w:br/>
              <w:t>T = T cell population</w:t>
            </w:r>
          </w:p>
        </w:tc>
        <w:tc>
          <w:tcPr>
            <w:tcW w:w="1121" w:type="pct"/>
            <w:tcBorders>
              <w:top w:val="nil"/>
              <w:left w:val="nil"/>
              <w:bottom w:val="single" w:sz="4" w:space="0" w:color="auto"/>
              <w:right w:val="single" w:sz="4" w:space="0" w:color="auto"/>
            </w:tcBorders>
            <w:shd w:val="clear" w:color="auto" w:fill="auto"/>
            <w:vAlign w:val="center"/>
            <w:hideMark/>
          </w:tcPr>
          <w:p w14:paraId="398469B3" w14:textId="77777777" w:rsidR="00B52D4A" w:rsidRPr="00A55185" w:rsidRDefault="00B52D4A" w:rsidP="00143E24">
            <w:pPr>
              <w:spacing w:line="240" w:lineRule="auto"/>
              <w:jc w:val="center"/>
              <w:rPr>
                <w:rFonts w:eastAsia="Times New Roman"/>
                <w:color w:val="000000"/>
                <w:sz w:val="16"/>
                <w:szCs w:val="16"/>
              </w:rPr>
            </w:pPr>
            <w:r w:rsidRPr="00A55185">
              <w:rPr>
                <w:rFonts w:eastAsia="Times New Roman"/>
                <w:i/>
                <w:iCs/>
                <w:color w:val="000000"/>
                <w:sz w:val="16"/>
                <w:szCs w:val="16"/>
              </w:rPr>
              <w:t>T cell population change = l</w:t>
            </w:r>
            <w:r w:rsidRPr="00A55185">
              <w:rPr>
                <w:rFonts w:eastAsia="Times New Roman"/>
                <w:i/>
                <w:iCs/>
                <w:color w:val="000000"/>
                <w:sz w:val="16"/>
                <w:szCs w:val="16"/>
                <w:vertAlign w:val="subscript"/>
              </w:rPr>
              <w:t>T</w:t>
            </w:r>
            <w:r w:rsidRPr="00A55185">
              <w:rPr>
                <w:rFonts w:eastAsia="Times New Roman"/>
                <w:i/>
                <w:iCs/>
                <w:color w:val="000000"/>
                <w:sz w:val="16"/>
                <w:szCs w:val="16"/>
              </w:rPr>
              <w:t xml:space="preserve"> + T x (((a</w:t>
            </w:r>
            <w:r w:rsidRPr="00A55185">
              <w:rPr>
                <w:rFonts w:eastAsia="Times New Roman"/>
                <w:i/>
                <w:iCs/>
                <w:color w:val="000000"/>
                <w:sz w:val="16"/>
                <w:szCs w:val="16"/>
                <w:vertAlign w:val="subscript"/>
              </w:rPr>
              <w:t>T</w:t>
            </w:r>
            <w:r w:rsidRPr="00A55185">
              <w:rPr>
                <w:rFonts w:eastAsia="Times New Roman"/>
                <w:i/>
                <w:iCs/>
                <w:color w:val="000000"/>
                <w:sz w:val="16"/>
                <w:szCs w:val="16"/>
              </w:rPr>
              <w:t xml:space="preserve"> x M</w:t>
            </w:r>
            <w:r w:rsidRPr="00A55185">
              <w:rPr>
                <w:rFonts w:eastAsia="Times New Roman"/>
                <w:i/>
                <w:iCs/>
                <w:color w:val="000000"/>
                <w:sz w:val="16"/>
                <w:szCs w:val="16"/>
                <w:vertAlign w:val="subscript"/>
              </w:rPr>
              <w:t>i</w:t>
            </w:r>
            <w:r w:rsidRPr="00A55185">
              <w:rPr>
                <w:rFonts w:eastAsia="Times New Roman"/>
                <w:i/>
                <w:iCs/>
                <w:color w:val="000000"/>
                <w:sz w:val="16"/>
                <w:szCs w:val="16"/>
              </w:rPr>
              <w:t>)/(T + M</w:t>
            </w:r>
            <w:r w:rsidRPr="00A55185">
              <w:rPr>
                <w:rFonts w:eastAsia="Times New Roman"/>
                <w:i/>
                <w:iCs/>
                <w:color w:val="000000"/>
                <w:sz w:val="16"/>
                <w:szCs w:val="16"/>
                <w:vertAlign w:val="subscript"/>
              </w:rPr>
              <w:t>i</w:t>
            </w:r>
            <w:r w:rsidRPr="00A55185">
              <w:rPr>
                <w:rFonts w:eastAsia="Times New Roman"/>
                <w:i/>
                <w:iCs/>
                <w:color w:val="000000"/>
                <w:sz w:val="16"/>
                <w:szCs w:val="16"/>
              </w:rPr>
              <w:t>)) - u</w:t>
            </w:r>
            <w:r w:rsidRPr="00A55185">
              <w:rPr>
                <w:rFonts w:eastAsia="Times New Roman"/>
                <w:i/>
                <w:iCs/>
                <w:color w:val="000000"/>
                <w:sz w:val="16"/>
                <w:szCs w:val="16"/>
                <w:vertAlign w:val="subscript"/>
              </w:rPr>
              <w:t>T</w:t>
            </w:r>
            <w:r w:rsidRPr="00A55185">
              <w:rPr>
                <w:rFonts w:eastAsia="Times New Roman"/>
                <w:i/>
                <w:iCs/>
                <w:color w:val="000000"/>
                <w:sz w:val="16"/>
                <w:szCs w:val="16"/>
              </w:rPr>
              <w:t>)</w:t>
            </w:r>
            <w:r w:rsidRPr="00A55185">
              <w:rPr>
                <w:rFonts w:eastAsia="Times New Roman"/>
                <w:i/>
                <w:iCs/>
                <w:color w:val="000000"/>
                <w:sz w:val="16"/>
                <w:szCs w:val="16"/>
              </w:rPr>
              <w:br/>
            </w:r>
            <w:r w:rsidRPr="00A55185">
              <w:rPr>
                <w:rFonts w:eastAsia="Times New Roman"/>
                <w:color w:val="000000"/>
                <w:sz w:val="16"/>
                <w:szCs w:val="16"/>
              </w:rPr>
              <w:t>l</w:t>
            </w:r>
            <w:r w:rsidRPr="00A55185">
              <w:rPr>
                <w:rFonts w:eastAsia="Times New Roman"/>
                <w:color w:val="000000"/>
                <w:sz w:val="16"/>
                <w:szCs w:val="16"/>
                <w:vertAlign w:val="subscript"/>
              </w:rPr>
              <w:t>T</w:t>
            </w:r>
            <w:r w:rsidRPr="00A55185">
              <w:rPr>
                <w:rFonts w:eastAsia="Times New Roman"/>
                <w:color w:val="000000"/>
                <w:sz w:val="16"/>
                <w:szCs w:val="16"/>
              </w:rPr>
              <w:t xml:space="preserve"> = T cell supply rate</w:t>
            </w:r>
            <w:r w:rsidRPr="00A55185">
              <w:rPr>
                <w:rFonts w:eastAsia="Times New Roman"/>
                <w:color w:val="000000"/>
                <w:sz w:val="16"/>
                <w:szCs w:val="16"/>
              </w:rPr>
              <w:br/>
              <w:t>T = T cell population</w:t>
            </w:r>
            <w:r w:rsidRPr="00A55185">
              <w:rPr>
                <w:rFonts w:eastAsia="Times New Roman"/>
                <w:color w:val="000000"/>
                <w:sz w:val="16"/>
                <w:szCs w:val="16"/>
              </w:rPr>
              <w:br/>
              <w:t>a</w:t>
            </w:r>
            <w:r w:rsidRPr="00A55185">
              <w:rPr>
                <w:rFonts w:eastAsia="Times New Roman"/>
                <w:color w:val="000000"/>
                <w:sz w:val="16"/>
                <w:szCs w:val="16"/>
                <w:vertAlign w:val="subscript"/>
              </w:rPr>
              <w:t>T</w:t>
            </w:r>
            <w:r w:rsidRPr="00A55185">
              <w:rPr>
                <w:rFonts w:eastAsia="Times New Roman"/>
                <w:color w:val="000000"/>
                <w:sz w:val="16"/>
                <w:szCs w:val="16"/>
              </w:rPr>
              <w:t xml:space="preserve"> = T cell proliferation rate</w:t>
            </w:r>
            <w:r w:rsidRPr="00A55185">
              <w:rPr>
                <w:rFonts w:eastAsia="Times New Roman"/>
                <w:color w:val="000000"/>
                <w:sz w:val="16"/>
                <w:szCs w:val="16"/>
              </w:rPr>
              <w:br/>
              <w:t>M</w:t>
            </w:r>
            <w:r w:rsidRPr="00A55185">
              <w:rPr>
                <w:rFonts w:eastAsia="Times New Roman"/>
                <w:color w:val="000000"/>
                <w:sz w:val="16"/>
                <w:szCs w:val="16"/>
                <w:vertAlign w:val="subscript"/>
              </w:rPr>
              <w:t>i</w:t>
            </w:r>
            <w:r w:rsidRPr="00A55185">
              <w:rPr>
                <w:rFonts w:eastAsia="Times New Roman"/>
                <w:color w:val="000000"/>
                <w:sz w:val="16"/>
                <w:szCs w:val="16"/>
              </w:rPr>
              <w:t xml:space="preserve"> = Infected myeloid cell population</w:t>
            </w:r>
            <w:r w:rsidRPr="00A55185">
              <w:rPr>
                <w:rFonts w:eastAsia="Times New Roman"/>
                <w:color w:val="000000"/>
                <w:sz w:val="16"/>
                <w:szCs w:val="16"/>
              </w:rPr>
              <w:br/>
              <w:t>u</w:t>
            </w:r>
            <w:r w:rsidRPr="00A55185">
              <w:rPr>
                <w:rFonts w:eastAsia="Times New Roman"/>
                <w:color w:val="000000"/>
                <w:sz w:val="16"/>
                <w:szCs w:val="16"/>
                <w:vertAlign w:val="subscript"/>
              </w:rPr>
              <w:t>T</w:t>
            </w:r>
            <w:r w:rsidRPr="00A55185">
              <w:rPr>
                <w:rFonts w:eastAsia="Times New Roman"/>
                <w:color w:val="000000"/>
                <w:sz w:val="16"/>
                <w:szCs w:val="16"/>
              </w:rPr>
              <w:t xml:space="preserve"> = T cell exit rate</w:t>
            </w:r>
          </w:p>
        </w:tc>
      </w:tr>
      <w:tr w:rsidR="00B52D4A" w:rsidRPr="00A55185" w14:paraId="48CCDFE5" w14:textId="77777777" w:rsidTr="00F7425F">
        <w:trPr>
          <w:trHeight w:val="2080"/>
        </w:trPr>
        <w:tc>
          <w:tcPr>
            <w:tcW w:w="333" w:type="pct"/>
            <w:tcBorders>
              <w:top w:val="nil"/>
              <w:left w:val="single" w:sz="4" w:space="0" w:color="auto"/>
              <w:bottom w:val="single" w:sz="4" w:space="0" w:color="auto"/>
              <w:right w:val="single" w:sz="4" w:space="0" w:color="auto"/>
            </w:tcBorders>
            <w:shd w:val="clear" w:color="auto" w:fill="auto"/>
            <w:vAlign w:val="center"/>
            <w:hideMark/>
          </w:tcPr>
          <w:p w14:paraId="1A39CA40" w14:textId="77777777" w:rsidR="00B52D4A" w:rsidRPr="00A55185" w:rsidRDefault="00B52D4A" w:rsidP="00143E24">
            <w:pPr>
              <w:spacing w:line="240" w:lineRule="auto"/>
              <w:jc w:val="center"/>
              <w:rPr>
                <w:rFonts w:eastAsia="Times New Roman"/>
                <w:color w:val="000000"/>
                <w:sz w:val="16"/>
                <w:szCs w:val="16"/>
              </w:rPr>
            </w:pPr>
            <w:r w:rsidRPr="00A55185">
              <w:rPr>
                <w:rFonts w:eastAsia="Times New Roman"/>
                <w:color w:val="000000"/>
                <w:sz w:val="16"/>
                <w:szCs w:val="16"/>
              </w:rPr>
              <w:lastRenderedPageBreak/>
              <w:t xml:space="preserve">Anti-Leishmanial Compounds kill </w:t>
            </w:r>
            <w:r w:rsidRPr="00A55185">
              <w:rPr>
                <w:rFonts w:eastAsia="Times New Roman"/>
                <w:i/>
                <w:iCs/>
                <w:color w:val="000000"/>
                <w:sz w:val="16"/>
                <w:szCs w:val="16"/>
              </w:rPr>
              <w:t>L. donovani</w:t>
            </w:r>
          </w:p>
        </w:tc>
        <w:tc>
          <w:tcPr>
            <w:tcW w:w="352" w:type="pct"/>
            <w:tcBorders>
              <w:top w:val="nil"/>
              <w:left w:val="nil"/>
              <w:bottom w:val="single" w:sz="4" w:space="0" w:color="auto"/>
              <w:right w:val="single" w:sz="4" w:space="0" w:color="auto"/>
            </w:tcBorders>
            <w:shd w:val="clear" w:color="auto" w:fill="auto"/>
            <w:vAlign w:val="center"/>
            <w:hideMark/>
          </w:tcPr>
          <w:p w14:paraId="3610B917" w14:textId="77777777" w:rsidR="00B52D4A" w:rsidRPr="00A55185" w:rsidRDefault="00B52D4A" w:rsidP="00143E24">
            <w:pPr>
              <w:spacing w:line="240" w:lineRule="auto"/>
              <w:jc w:val="center"/>
              <w:rPr>
                <w:rFonts w:eastAsia="Times New Roman"/>
                <w:sz w:val="16"/>
                <w:szCs w:val="16"/>
              </w:rPr>
            </w:pPr>
            <w:r w:rsidRPr="00A55185">
              <w:rPr>
                <w:rFonts w:eastAsia="Times New Roman"/>
                <w:sz w:val="16"/>
                <w:szCs w:val="16"/>
              </w:rPr>
              <w:t>(Murray, 2001)</w:t>
            </w:r>
          </w:p>
        </w:tc>
        <w:tc>
          <w:tcPr>
            <w:tcW w:w="676" w:type="pct"/>
            <w:tcBorders>
              <w:top w:val="nil"/>
              <w:left w:val="nil"/>
              <w:bottom w:val="single" w:sz="4" w:space="0" w:color="auto"/>
              <w:right w:val="single" w:sz="4" w:space="0" w:color="auto"/>
            </w:tcBorders>
            <w:shd w:val="clear" w:color="auto" w:fill="auto"/>
            <w:vAlign w:val="center"/>
            <w:hideMark/>
          </w:tcPr>
          <w:p w14:paraId="3A9977E7" w14:textId="77777777" w:rsidR="00B52D4A" w:rsidRPr="00A55185" w:rsidRDefault="00B52D4A" w:rsidP="00143E24">
            <w:pPr>
              <w:spacing w:line="240" w:lineRule="auto"/>
              <w:jc w:val="center"/>
              <w:rPr>
                <w:rFonts w:eastAsia="Times New Roman"/>
                <w:color w:val="000000"/>
                <w:sz w:val="16"/>
                <w:szCs w:val="16"/>
              </w:rPr>
            </w:pPr>
            <w:r w:rsidRPr="00A55185">
              <w:rPr>
                <w:rFonts w:eastAsia="Times New Roman"/>
                <w:color w:val="000000"/>
                <w:sz w:val="16"/>
                <w:szCs w:val="16"/>
              </w:rPr>
              <w:t xml:space="preserve">Sufficient levels of anti-leishmanial compounds induces the death of </w:t>
            </w:r>
            <w:r w:rsidRPr="00A55185">
              <w:rPr>
                <w:rFonts w:eastAsia="Times New Roman"/>
                <w:i/>
                <w:iCs/>
                <w:color w:val="000000"/>
                <w:sz w:val="16"/>
                <w:szCs w:val="16"/>
              </w:rPr>
              <w:t>L. donovani</w:t>
            </w:r>
            <w:r w:rsidRPr="00A55185">
              <w:rPr>
                <w:rFonts w:eastAsia="Times New Roman"/>
                <w:color w:val="000000"/>
                <w:sz w:val="16"/>
                <w:szCs w:val="16"/>
              </w:rPr>
              <w:t>, either intracellular or extracellular (</w:t>
            </w:r>
            <w:r w:rsidRPr="00A55185">
              <w:rPr>
                <w:rFonts w:eastAsia="Times New Roman"/>
                <w:b/>
                <w:bCs/>
                <w:color w:val="000000"/>
                <w:sz w:val="16"/>
                <w:szCs w:val="16"/>
              </w:rPr>
              <w:t>Figure 4.13</w:t>
            </w:r>
            <w:r w:rsidRPr="00A55185">
              <w:rPr>
                <w:rFonts w:eastAsia="Times New Roman"/>
                <w:color w:val="000000"/>
                <w:sz w:val="16"/>
                <w:szCs w:val="16"/>
              </w:rPr>
              <w:t>)</w:t>
            </w:r>
          </w:p>
        </w:tc>
        <w:tc>
          <w:tcPr>
            <w:tcW w:w="676" w:type="pct"/>
            <w:tcBorders>
              <w:top w:val="nil"/>
              <w:left w:val="nil"/>
              <w:bottom w:val="single" w:sz="4" w:space="0" w:color="auto"/>
              <w:right w:val="single" w:sz="4" w:space="0" w:color="auto"/>
            </w:tcBorders>
            <w:shd w:val="clear" w:color="auto" w:fill="auto"/>
            <w:vAlign w:val="center"/>
            <w:hideMark/>
          </w:tcPr>
          <w:p w14:paraId="2C99BCE0" w14:textId="77777777" w:rsidR="00B52D4A" w:rsidRPr="00A55185" w:rsidRDefault="00B52D4A" w:rsidP="00143E24">
            <w:pPr>
              <w:spacing w:line="240" w:lineRule="auto"/>
              <w:jc w:val="center"/>
              <w:rPr>
                <w:rFonts w:eastAsia="Times New Roman"/>
                <w:color w:val="000000"/>
                <w:sz w:val="16"/>
                <w:szCs w:val="16"/>
              </w:rPr>
            </w:pPr>
            <w:r w:rsidRPr="00A55185">
              <w:rPr>
                <w:rFonts w:eastAsia="Times New Roman"/>
                <w:color w:val="000000"/>
                <w:sz w:val="16"/>
                <w:szCs w:val="16"/>
              </w:rPr>
              <w:t xml:space="preserve">Anti-leishmanial compounds, here a simplification for entities such as Reactive Oxygen and Nitrogen Species, kill intracellular and extracellular </w:t>
            </w:r>
            <w:r w:rsidRPr="00A55185">
              <w:rPr>
                <w:rFonts w:eastAsia="Times New Roman"/>
                <w:i/>
                <w:iCs/>
                <w:color w:val="000000"/>
                <w:sz w:val="16"/>
                <w:szCs w:val="16"/>
              </w:rPr>
              <w:t>L. donovani</w:t>
            </w:r>
            <w:r w:rsidRPr="00A55185">
              <w:rPr>
                <w:rFonts w:eastAsia="Times New Roman"/>
                <w:color w:val="000000"/>
                <w:sz w:val="16"/>
                <w:szCs w:val="16"/>
              </w:rPr>
              <w:t xml:space="preserve"> with a simple mechanism that detection of sufficient amounts of ALC results in death albeit with differing amounts needed for the different localisations</w:t>
            </w:r>
          </w:p>
        </w:tc>
        <w:tc>
          <w:tcPr>
            <w:tcW w:w="987" w:type="pct"/>
            <w:tcBorders>
              <w:top w:val="nil"/>
              <w:left w:val="nil"/>
              <w:bottom w:val="single" w:sz="4" w:space="0" w:color="auto"/>
              <w:right w:val="single" w:sz="4" w:space="0" w:color="auto"/>
            </w:tcBorders>
            <w:shd w:val="clear" w:color="auto" w:fill="auto"/>
            <w:vAlign w:val="center"/>
            <w:hideMark/>
          </w:tcPr>
          <w:p w14:paraId="20EF9CB1" w14:textId="77777777" w:rsidR="00B52D4A" w:rsidRPr="00A55185" w:rsidRDefault="00B52D4A" w:rsidP="00143E24">
            <w:pPr>
              <w:spacing w:line="240" w:lineRule="auto"/>
              <w:jc w:val="center"/>
              <w:rPr>
                <w:rFonts w:eastAsia="Times New Roman"/>
                <w:color w:val="000000"/>
                <w:sz w:val="16"/>
                <w:szCs w:val="16"/>
              </w:rPr>
            </w:pPr>
            <w:r w:rsidRPr="00A55185">
              <w:rPr>
                <w:rFonts w:eastAsia="Times New Roman"/>
                <w:color w:val="000000"/>
                <w:sz w:val="16"/>
                <w:szCs w:val="16"/>
              </w:rPr>
              <w:t xml:space="preserve">Anti-Leishmanial compounds are abstracted such that they are represented indirectly. The amount of myeloid cells and T cells is a proxy for the amount of ALC and so </w:t>
            </w:r>
            <w:r w:rsidRPr="00A55185">
              <w:rPr>
                <w:rFonts w:eastAsia="Times New Roman"/>
                <w:i/>
                <w:iCs/>
                <w:color w:val="000000"/>
                <w:sz w:val="16"/>
                <w:szCs w:val="16"/>
              </w:rPr>
              <w:t>L. donovani</w:t>
            </w:r>
            <w:r w:rsidRPr="00A55185">
              <w:rPr>
                <w:rFonts w:eastAsia="Times New Roman"/>
                <w:color w:val="000000"/>
                <w:sz w:val="16"/>
                <w:szCs w:val="16"/>
              </w:rPr>
              <w:t xml:space="preserve"> is killed dependent upon the abundance of these cells within the system (</w:t>
            </w:r>
            <w:r w:rsidRPr="00A55185">
              <w:rPr>
                <w:rFonts w:eastAsia="Times New Roman"/>
                <w:b/>
                <w:bCs/>
                <w:color w:val="000000"/>
                <w:sz w:val="16"/>
                <w:szCs w:val="16"/>
              </w:rPr>
              <w:t>Figure 4.21</w:t>
            </w:r>
            <w:r w:rsidRPr="00A55185">
              <w:rPr>
                <w:rFonts w:eastAsia="Times New Roman"/>
                <w:color w:val="000000"/>
                <w:sz w:val="16"/>
                <w:szCs w:val="16"/>
              </w:rPr>
              <w:t>)</w:t>
            </w:r>
          </w:p>
        </w:tc>
        <w:tc>
          <w:tcPr>
            <w:tcW w:w="854" w:type="pct"/>
            <w:tcBorders>
              <w:top w:val="nil"/>
              <w:left w:val="nil"/>
              <w:bottom w:val="single" w:sz="4" w:space="0" w:color="auto"/>
              <w:right w:val="single" w:sz="4" w:space="0" w:color="auto"/>
            </w:tcBorders>
            <w:shd w:val="clear" w:color="auto" w:fill="auto"/>
            <w:vAlign w:val="center"/>
            <w:hideMark/>
          </w:tcPr>
          <w:p w14:paraId="235AF870" w14:textId="77777777" w:rsidR="00B52D4A" w:rsidRPr="00A55185" w:rsidRDefault="00B52D4A" w:rsidP="00143E24">
            <w:pPr>
              <w:spacing w:line="240" w:lineRule="auto"/>
              <w:jc w:val="center"/>
              <w:rPr>
                <w:rFonts w:eastAsia="Times New Roman"/>
                <w:color w:val="000000"/>
                <w:sz w:val="16"/>
                <w:szCs w:val="16"/>
              </w:rPr>
            </w:pPr>
            <w:r w:rsidRPr="00A55185">
              <w:rPr>
                <w:rFonts w:eastAsia="Times New Roman"/>
                <w:i/>
                <w:iCs/>
                <w:color w:val="000000"/>
                <w:sz w:val="16"/>
                <w:szCs w:val="16"/>
              </w:rPr>
              <w:t xml:space="preserve">Death of </w:t>
            </w:r>
            <w:r w:rsidRPr="00A55185">
              <w:rPr>
                <w:rFonts w:eastAsia="Times New Roman"/>
                <w:color w:val="000000"/>
                <w:sz w:val="16"/>
                <w:szCs w:val="16"/>
              </w:rPr>
              <w:t>L. donovani</w:t>
            </w:r>
            <w:r w:rsidRPr="00A55185">
              <w:rPr>
                <w:rFonts w:eastAsia="Times New Roman"/>
                <w:i/>
                <w:iCs/>
                <w:color w:val="000000"/>
                <w:sz w:val="16"/>
                <w:szCs w:val="16"/>
              </w:rPr>
              <w:t xml:space="preserve"> = - (((M + T)/tau) / (A</w:t>
            </w:r>
            <w:r w:rsidRPr="00A55185">
              <w:rPr>
                <w:rFonts w:eastAsia="Times New Roman"/>
                <w:i/>
                <w:iCs/>
                <w:color w:val="000000"/>
                <w:sz w:val="16"/>
                <w:szCs w:val="16"/>
                <w:vertAlign w:val="subscript"/>
              </w:rPr>
              <w:t>50</w:t>
            </w:r>
            <w:r w:rsidRPr="00A55185">
              <w:rPr>
                <w:rFonts w:eastAsia="Times New Roman"/>
                <w:i/>
                <w:iCs/>
                <w:color w:val="000000"/>
                <w:sz w:val="16"/>
                <w:szCs w:val="16"/>
              </w:rPr>
              <w:t xml:space="preserve"> + (M + T)/tau)) x P</w:t>
            </w:r>
            <w:r w:rsidRPr="00A55185">
              <w:rPr>
                <w:rFonts w:eastAsia="Times New Roman"/>
                <w:i/>
                <w:iCs/>
                <w:color w:val="000000"/>
                <w:sz w:val="16"/>
                <w:szCs w:val="16"/>
                <w:vertAlign w:val="subscript"/>
              </w:rPr>
              <w:t>i</w:t>
            </w:r>
            <w:r w:rsidRPr="00A55185">
              <w:rPr>
                <w:rFonts w:eastAsia="Times New Roman"/>
                <w:color w:val="000000"/>
                <w:sz w:val="16"/>
                <w:szCs w:val="16"/>
              </w:rPr>
              <w:br/>
              <w:t>M = Myeloid cell population (Sum of infected and susceptible myeloid cells)</w:t>
            </w:r>
            <w:r w:rsidRPr="00A55185">
              <w:rPr>
                <w:rFonts w:eastAsia="Times New Roman"/>
                <w:color w:val="000000"/>
                <w:sz w:val="16"/>
                <w:szCs w:val="16"/>
              </w:rPr>
              <w:br/>
              <w:t>T = T cell population</w:t>
            </w:r>
            <w:r w:rsidRPr="00A55185">
              <w:rPr>
                <w:rFonts w:eastAsia="Times New Roman"/>
                <w:color w:val="000000"/>
                <w:sz w:val="16"/>
                <w:szCs w:val="16"/>
              </w:rPr>
              <w:br/>
              <w:t>tau = Time delay in ALC production</w:t>
            </w:r>
            <w:r w:rsidRPr="00A55185">
              <w:rPr>
                <w:rFonts w:eastAsia="Times New Roman"/>
                <w:color w:val="000000"/>
                <w:sz w:val="16"/>
                <w:szCs w:val="16"/>
              </w:rPr>
              <w:br/>
              <w:t>A</w:t>
            </w:r>
            <w:r w:rsidRPr="00A55185">
              <w:rPr>
                <w:rFonts w:eastAsia="Times New Roman"/>
                <w:color w:val="000000"/>
                <w:sz w:val="16"/>
                <w:szCs w:val="16"/>
                <w:vertAlign w:val="subscript"/>
              </w:rPr>
              <w:t>50</w:t>
            </w:r>
            <w:r w:rsidRPr="00A55185">
              <w:rPr>
                <w:rFonts w:eastAsia="Times New Roman"/>
                <w:color w:val="000000"/>
                <w:sz w:val="16"/>
                <w:szCs w:val="16"/>
              </w:rPr>
              <w:t xml:space="preserve"> = Amount of ALC required to kill 50% of the </w:t>
            </w:r>
            <w:r w:rsidRPr="00A55185">
              <w:rPr>
                <w:rFonts w:eastAsia="Times New Roman"/>
                <w:i/>
                <w:iCs/>
                <w:color w:val="000000"/>
                <w:sz w:val="16"/>
                <w:szCs w:val="16"/>
              </w:rPr>
              <w:t>L. donovani</w:t>
            </w:r>
            <w:r w:rsidRPr="00A55185">
              <w:rPr>
                <w:rFonts w:eastAsia="Times New Roman"/>
                <w:color w:val="000000"/>
                <w:sz w:val="16"/>
                <w:szCs w:val="16"/>
              </w:rPr>
              <w:t xml:space="preserve"> population</w:t>
            </w:r>
            <w:r w:rsidRPr="00A55185">
              <w:rPr>
                <w:rFonts w:eastAsia="Times New Roman"/>
                <w:color w:val="000000"/>
                <w:sz w:val="16"/>
                <w:szCs w:val="16"/>
              </w:rPr>
              <w:br/>
              <w:t>P</w:t>
            </w:r>
            <w:r w:rsidRPr="00A55185">
              <w:rPr>
                <w:rFonts w:eastAsia="Times New Roman"/>
                <w:color w:val="000000"/>
                <w:sz w:val="16"/>
                <w:szCs w:val="16"/>
                <w:vertAlign w:val="subscript"/>
              </w:rPr>
              <w:t xml:space="preserve">i </w:t>
            </w:r>
            <w:r w:rsidRPr="00A55185">
              <w:rPr>
                <w:rFonts w:eastAsia="Times New Roman"/>
                <w:color w:val="000000"/>
                <w:sz w:val="16"/>
                <w:szCs w:val="16"/>
              </w:rPr>
              <w:t xml:space="preserve">= Intracellular </w:t>
            </w:r>
            <w:r w:rsidRPr="00A55185">
              <w:rPr>
                <w:rFonts w:eastAsia="Times New Roman"/>
                <w:i/>
                <w:iCs/>
                <w:color w:val="000000"/>
                <w:sz w:val="16"/>
                <w:szCs w:val="16"/>
              </w:rPr>
              <w:t xml:space="preserve">L. donovani </w:t>
            </w:r>
            <w:r w:rsidRPr="00A55185">
              <w:rPr>
                <w:rFonts w:eastAsia="Times New Roman"/>
                <w:color w:val="000000"/>
                <w:sz w:val="16"/>
                <w:szCs w:val="16"/>
              </w:rPr>
              <w:t>population</w:t>
            </w:r>
          </w:p>
        </w:tc>
        <w:tc>
          <w:tcPr>
            <w:tcW w:w="1121" w:type="pct"/>
            <w:tcBorders>
              <w:top w:val="nil"/>
              <w:left w:val="nil"/>
              <w:bottom w:val="single" w:sz="4" w:space="0" w:color="auto"/>
              <w:right w:val="single" w:sz="4" w:space="0" w:color="auto"/>
            </w:tcBorders>
            <w:shd w:val="clear" w:color="auto" w:fill="auto"/>
            <w:vAlign w:val="center"/>
            <w:hideMark/>
          </w:tcPr>
          <w:p w14:paraId="73F994C3" w14:textId="77777777" w:rsidR="00B52D4A" w:rsidRPr="00A55185" w:rsidRDefault="00B52D4A" w:rsidP="00143E24">
            <w:pPr>
              <w:spacing w:line="240" w:lineRule="auto"/>
              <w:jc w:val="center"/>
              <w:rPr>
                <w:rFonts w:eastAsia="Times New Roman"/>
                <w:color w:val="000000"/>
                <w:sz w:val="16"/>
                <w:szCs w:val="16"/>
              </w:rPr>
            </w:pPr>
            <w:r w:rsidRPr="00A55185">
              <w:rPr>
                <w:rFonts w:eastAsia="Times New Roman"/>
                <w:i/>
                <w:iCs/>
                <w:color w:val="000000"/>
                <w:sz w:val="16"/>
                <w:szCs w:val="16"/>
              </w:rPr>
              <w:t xml:space="preserve">Death of </w:t>
            </w:r>
            <w:r w:rsidRPr="00A55185">
              <w:rPr>
                <w:rFonts w:eastAsia="Times New Roman"/>
                <w:color w:val="000000"/>
                <w:sz w:val="16"/>
                <w:szCs w:val="16"/>
              </w:rPr>
              <w:t>L. donovani</w:t>
            </w:r>
            <w:r w:rsidRPr="00A55185">
              <w:rPr>
                <w:rFonts w:eastAsia="Times New Roman"/>
                <w:i/>
                <w:iCs/>
                <w:color w:val="000000"/>
                <w:sz w:val="16"/>
                <w:szCs w:val="16"/>
              </w:rPr>
              <w:t xml:space="preserve"> = - (((M + T)/tau) / (A</w:t>
            </w:r>
            <w:r w:rsidRPr="00A55185">
              <w:rPr>
                <w:rFonts w:eastAsia="Times New Roman"/>
                <w:i/>
                <w:iCs/>
                <w:color w:val="000000"/>
                <w:sz w:val="16"/>
                <w:szCs w:val="16"/>
                <w:vertAlign w:val="subscript"/>
              </w:rPr>
              <w:t>50</w:t>
            </w:r>
            <w:r w:rsidRPr="00A55185">
              <w:rPr>
                <w:rFonts w:eastAsia="Times New Roman"/>
                <w:i/>
                <w:iCs/>
                <w:color w:val="000000"/>
                <w:sz w:val="16"/>
                <w:szCs w:val="16"/>
              </w:rPr>
              <w:t xml:space="preserve"> + (M + T)/tau)) x P</w:t>
            </w:r>
            <w:r w:rsidRPr="00A55185">
              <w:rPr>
                <w:rFonts w:eastAsia="Times New Roman"/>
                <w:i/>
                <w:iCs/>
                <w:color w:val="000000"/>
                <w:sz w:val="16"/>
                <w:szCs w:val="16"/>
                <w:vertAlign w:val="subscript"/>
              </w:rPr>
              <w:t>i</w:t>
            </w:r>
            <w:r w:rsidRPr="00A55185">
              <w:rPr>
                <w:rFonts w:eastAsia="Times New Roman"/>
                <w:color w:val="000000"/>
                <w:sz w:val="16"/>
                <w:szCs w:val="16"/>
              </w:rPr>
              <w:br/>
              <w:t>M = Myeloid cell population (Sum of infected and susceptible myeloid cells)</w:t>
            </w:r>
            <w:r w:rsidRPr="00A55185">
              <w:rPr>
                <w:rFonts w:eastAsia="Times New Roman"/>
                <w:color w:val="000000"/>
                <w:sz w:val="16"/>
                <w:szCs w:val="16"/>
              </w:rPr>
              <w:br/>
              <w:t>T = T cell population</w:t>
            </w:r>
            <w:r w:rsidRPr="00A55185">
              <w:rPr>
                <w:rFonts w:eastAsia="Times New Roman"/>
                <w:color w:val="000000"/>
                <w:sz w:val="16"/>
                <w:szCs w:val="16"/>
              </w:rPr>
              <w:br/>
              <w:t>tau = Time delay in ALC production</w:t>
            </w:r>
            <w:r w:rsidRPr="00A55185">
              <w:rPr>
                <w:rFonts w:eastAsia="Times New Roman"/>
                <w:color w:val="000000"/>
                <w:sz w:val="16"/>
                <w:szCs w:val="16"/>
              </w:rPr>
              <w:br/>
              <w:t>A</w:t>
            </w:r>
            <w:r w:rsidRPr="00A55185">
              <w:rPr>
                <w:rFonts w:eastAsia="Times New Roman"/>
                <w:color w:val="000000"/>
                <w:sz w:val="16"/>
                <w:szCs w:val="16"/>
                <w:vertAlign w:val="subscript"/>
              </w:rPr>
              <w:t>50</w:t>
            </w:r>
            <w:r w:rsidRPr="00A55185">
              <w:rPr>
                <w:rFonts w:eastAsia="Times New Roman"/>
                <w:color w:val="000000"/>
                <w:sz w:val="16"/>
                <w:szCs w:val="16"/>
              </w:rPr>
              <w:t xml:space="preserve"> = Amount of ALC required to kill 50% of the </w:t>
            </w:r>
            <w:r w:rsidRPr="00A55185">
              <w:rPr>
                <w:rFonts w:eastAsia="Times New Roman"/>
                <w:i/>
                <w:iCs/>
                <w:color w:val="000000"/>
                <w:sz w:val="16"/>
                <w:szCs w:val="16"/>
              </w:rPr>
              <w:t>L. donovani</w:t>
            </w:r>
            <w:r w:rsidRPr="00A55185">
              <w:rPr>
                <w:rFonts w:eastAsia="Times New Roman"/>
                <w:color w:val="000000"/>
                <w:sz w:val="16"/>
                <w:szCs w:val="16"/>
              </w:rPr>
              <w:t xml:space="preserve"> population</w:t>
            </w:r>
            <w:r w:rsidRPr="00A55185">
              <w:rPr>
                <w:rFonts w:eastAsia="Times New Roman"/>
                <w:color w:val="000000"/>
                <w:sz w:val="16"/>
                <w:szCs w:val="16"/>
              </w:rPr>
              <w:br/>
              <w:t>P</w:t>
            </w:r>
            <w:r w:rsidRPr="00A55185">
              <w:rPr>
                <w:rFonts w:eastAsia="Times New Roman"/>
                <w:color w:val="000000"/>
                <w:sz w:val="16"/>
                <w:szCs w:val="16"/>
                <w:vertAlign w:val="subscript"/>
              </w:rPr>
              <w:t xml:space="preserve">i </w:t>
            </w:r>
            <w:r w:rsidRPr="00A55185">
              <w:rPr>
                <w:rFonts w:eastAsia="Times New Roman"/>
                <w:color w:val="000000"/>
                <w:sz w:val="16"/>
                <w:szCs w:val="16"/>
              </w:rPr>
              <w:t xml:space="preserve">= Intracellular </w:t>
            </w:r>
            <w:r w:rsidRPr="00A55185">
              <w:rPr>
                <w:rFonts w:eastAsia="Times New Roman"/>
                <w:i/>
                <w:iCs/>
                <w:color w:val="000000"/>
                <w:sz w:val="16"/>
                <w:szCs w:val="16"/>
              </w:rPr>
              <w:t xml:space="preserve">L. donovani </w:t>
            </w:r>
            <w:r w:rsidRPr="00A55185">
              <w:rPr>
                <w:rFonts w:eastAsia="Times New Roman"/>
                <w:color w:val="000000"/>
                <w:sz w:val="16"/>
                <w:szCs w:val="16"/>
              </w:rPr>
              <w:t>population</w:t>
            </w:r>
          </w:p>
        </w:tc>
      </w:tr>
      <w:tr w:rsidR="00B52D4A" w:rsidRPr="00A55185" w14:paraId="1C0CE0A6" w14:textId="77777777" w:rsidTr="00F7425F">
        <w:trPr>
          <w:trHeight w:val="1300"/>
        </w:trPr>
        <w:tc>
          <w:tcPr>
            <w:tcW w:w="333" w:type="pct"/>
            <w:tcBorders>
              <w:top w:val="nil"/>
              <w:left w:val="single" w:sz="4" w:space="0" w:color="auto"/>
              <w:bottom w:val="single" w:sz="4" w:space="0" w:color="auto"/>
              <w:right w:val="single" w:sz="4" w:space="0" w:color="auto"/>
            </w:tcBorders>
            <w:shd w:val="clear" w:color="auto" w:fill="auto"/>
            <w:vAlign w:val="center"/>
            <w:hideMark/>
          </w:tcPr>
          <w:p w14:paraId="76B6331F" w14:textId="77777777" w:rsidR="00B52D4A" w:rsidRPr="00A55185" w:rsidRDefault="00B52D4A" w:rsidP="00143E24">
            <w:pPr>
              <w:spacing w:line="240" w:lineRule="auto"/>
              <w:jc w:val="center"/>
              <w:rPr>
                <w:rFonts w:eastAsia="Times New Roman"/>
                <w:color w:val="000000"/>
                <w:sz w:val="16"/>
                <w:szCs w:val="16"/>
              </w:rPr>
            </w:pPr>
            <w:r w:rsidRPr="00A55185">
              <w:rPr>
                <w:rFonts w:eastAsia="Times New Roman"/>
                <w:color w:val="000000"/>
                <w:sz w:val="16"/>
                <w:szCs w:val="16"/>
              </w:rPr>
              <w:t>Infected Kupffer cells can present antigen to T cells in the Liver</w:t>
            </w:r>
          </w:p>
        </w:tc>
        <w:tc>
          <w:tcPr>
            <w:tcW w:w="352" w:type="pct"/>
            <w:tcBorders>
              <w:top w:val="nil"/>
              <w:left w:val="nil"/>
              <w:bottom w:val="single" w:sz="4" w:space="0" w:color="auto"/>
              <w:right w:val="single" w:sz="4" w:space="0" w:color="auto"/>
            </w:tcBorders>
            <w:shd w:val="clear" w:color="auto" w:fill="auto"/>
            <w:vAlign w:val="center"/>
            <w:hideMark/>
          </w:tcPr>
          <w:p w14:paraId="46D431C9" w14:textId="77777777" w:rsidR="00B52D4A" w:rsidRPr="00A55185" w:rsidRDefault="00B52D4A" w:rsidP="00143E24">
            <w:pPr>
              <w:spacing w:line="240" w:lineRule="auto"/>
              <w:jc w:val="center"/>
              <w:rPr>
                <w:rFonts w:eastAsia="Times New Roman"/>
                <w:sz w:val="16"/>
                <w:szCs w:val="16"/>
              </w:rPr>
            </w:pPr>
            <w:r w:rsidRPr="00A55185">
              <w:rPr>
                <w:rFonts w:eastAsia="Times New Roman"/>
                <w:sz w:val="16"/>
                <w:szCs w:val="16"/>
              </w:rPr>
              <w:t>(Beattie et al., 2010; Stäger and Rafati, 2012)</w:t>
            </w:r>
          </w:p>
        </w:tc>
        <w:tc>
          <w:tcPr>
            <w:tcW w:w="676" w:type="pct"/>
            <w:tcBorders>
              <w:top w:val="nil"/>
              <w:left w:val="nil"/>
              <w:bottom w:val="single" w:sz="4" w:space="0" w:color="auto"/>
              <w:right w:val="single" w:sz="4" w:space="0" w:color="auto"/>
            </w:tcBorders>
            <w:shd w:val="clear" w:color="auto" w:fill="auto"/>
            <w:vAlign w:val="center"/>
            <w:hideMark/>
          </w:tcPr>
          <w:p w14:paraId="5586B9DE" w14:textId="77777777" w:rsidR="00B52D4A" w:rsidRPr="00A55185" w:rsidRDefault="00B52D4A" w:rsidP="00143E24">
            <w:pPr>
              <w:spacing w:line="240" w:lineRule="auto"/>
              <w:jc w:val="center"/>
              <w:rPr>
                <w:rFonts w:eastAsia="Times New Roman"/>
                <w:color w:val="000000"/>
                <w:sz w:val="16"/>
                <w:szCs w:val="16"/>
              </w:rPr>
            </w:pPr>
            <w:r w:rsidRPr="00A55185">
              <w:rPr>
                <w:rFonts w:eastAsia="Times New Roman"/>
                <w:color w:val="000000"/>
                <w:sz w:val="16"/>
                <w:szCs w:val="16"/>
              </w:rPr>
              <w:t xml:space="preserve">In infected KCs where anti-leishmanial compounds have killed </w:t>
            </w:r>
            <w:r w:rsidRPr="00A55185">
              <w:rPr>
                <w:rFonts w:eastAsia="Times New Roman"/>
                <w:i/>
                <w:iCs/>
                <w:color w:val="000000"/>
                <w:sz w:val="16"/>
                <w:szCs w:val="16"/>
              </w:rPr>
              <w:t xml:space="preserve">L. donovani </w:t>
            </w:r>
            <w:r w:rsidRPr="00A55185">
              <w:rPr>
                <w:rFonts w:eastAsia="Times New Roman"/>
                <w:color w:val="000000"/>
                <w:sz w:val="16"/>
                <w:szCs w:val="16"/>
              </w:rPr>
              <w:t>those KCs can present antigen to T cells (</w:t>
            </w:r>
            <w:r w:rsidRPr="00A55185">
              <w:rPr>
                <w:rFonts w:eastAsia="Times New Roman"/>
                <w:b/>
                <w:bCs/>
                <w:color w:val="000000"/>
                <w:sz w:val="16"/>
                <w:szCs w:val="16"/>
              </w:rPr>
              <w:t>Figure 4.15</w:t>
            </w:r>
            <w:r w:rsidRPr="00A55185">
              <w:rPr>
                <w:rFonts w:eastAsia="Times New Roman"/>
                <w:color w:val="000000"/>
                <w:sz w:val="16"/>
                <w:szCs w:val="16"/>
              </w:rPr>
              <w:t>)</w:t>
            </w:r>
          </w:p>
        </w:tc>
        <w:tc>
          <w:tcPr>
            <w:tcW w:w="676" w:type="pct"/>
            <w:tcBorders>
              <w:top w:val="nil"/>
              <w:left w:val="nil"/>
              <w:bottom w:val="single" w:sz="4" w:space="0" w:color="auto"/>
              <w:right w:val="single" w:sz="4" w:space="0" w:color="auto"/>
            </w:tcBorders>
            <w:shd w:val="clear" w:color="auto" w:fill="auto"/>
            <w:vAlign w:val="center"/>
            <w:hideMark/>
          </w:tcPr>
          <w:p w14:paraId="2C956F4A" w14:textId="77777777" w:rsidR="00B52D4A" w:rsidRPr="00A55185" w:rsidRDefault="00B52D4A" w:rsidP="00143E24">
            <w:pPr>
              <w:spacing w:line="240" w:lineRule="auto"/>
              <w:jc w:val="center"/>
              <w:rPr>
                <w:rFonts w:eastAsia="Times New Roman"/>
                <w:color w:val="000000"/>
                <w:sz w:val="16"/>
                <w:szCs w:val="16"/>
              </w:rPr>
            </w:pPr>
            <w:r w:rsidRPr="00A55185">
              <w:rPr>
                <w:rFonts w:eastAsia="Times New Roman"/>
                <w:color w:val="000000"/>
                <w:sz w:val="16"/>
                <w:szCs w:val="16"/>
              </w:rPr>
              <w:t>There is no antigen specificty represented regarding the presentation of antigen to T cells by Kupffer cells, it is assumed that presentation will be recognised by all naïve T cells</w:t>
            </w:r>
          </w:p>
        </w:tc>
        <w:tc>
          <w:tcPr>
            <w:tcW w:w="987" w:type="pct"/>
            <w:tcBorders>
              <w:top w:val="nil"/>
              <w:left w:val="nil"/>
              <w:bottom w:val="single" w:sz="4" w:space="0" w:color="auto"/>
              <w:right w:val="single" w:sz="4" w:space="0" w:color="auto"/>
            </w:tcBorders>
            <w:shd w:val="clear" w:color="auto" w:fill="auto"/>
            <w:vAlign w:val="center"/>
            <w:hideMark/>
          </w:tcPr>
          <w:p w14:paraId="7BDB2419" w14:textId="77777777" w:rsidR="00B52D4A" w:rsidRPr="00A55185" w:rsidRDefault="00B52D4A" w:rsidP="00143E24">
            <w:pPr>
              <w:spacing w:line="240" w:lineRule="auto"/>
              <w:jc w:val="center"/>
              <w:rPr>
                <w:rFonts w:eastAsia="Times New Roman"/>
                <w:color w:val="000000"/>
                <w:sz w:val="16"/>
                <w:szCs w:val="16"/>
              </w:rPr>
            </w:pPr>
            <w:r w:rsidRPr="00A55185">
              <w:rPr>
                <w:rFonts w:eastAsia="Times New Roman"/>
                <w:color w:val="000000"/>
                <w:sz w:val="16"/>
                <w:szCs w:val="16"/>
              </w:rPr>
              <w:t>Antigen presentation is not represented within the model, instead the assumption that myeloid cells and T cells acting as a proxy for the amount of ALC is used to also abstract the concept of T cell activation through antigen presentation, this is assumed through increasing numbers of T cells and myeloid cells would result in higher levels of successful T cell activation</w:t>
            </w:r>
          </w:p>
        </w:tc>
        <w:tc>
          <w:tcPr>
            <w:tcW w:w="854" w:type="pct"/>
            <w:tcBorders>
              <w:top w:val="nil"/>
              <w:left w:val="nil"/>
              <w:bottom w:val="single" w:sz="4" w:space="0" w:color="auto"/>
              <w:right w:val="single" w:sz="4" w:space="0" w:color="auto"/>
            </w:tcBorders>
            <w:shd w:val="clear" w:color="auto" w:fill="auto"/>
            <w:noWrap/>
            <w:vAlign w:val="center"/>
            <w:hideMark/>
          </w:tcPr>
          <w:p w14:paraId="2104D875" w14:textId="77777777" w:rsidR="00B52D4A" w:rsidRPr="00A55185" w:rsidRDefault="00B52D4A" w:rsidP="00143E24">
            <w:pPr>
              <w:spacing w:line="240" w:lineRule="auto"/>
              <w:jc w:val="center"/>
              <w:rPr>
                <w:rFonts w:eastAsia="Times New Roman"/>
                <w:color w:val="000000"/>
                <w:sz w:val="16"/>
                <w:szCs w:val="16"/>
              </w:rPr>
            </w:pPr>
          </w:p>
        </w:tc>
        <w:tc>
          <w:tcPr>
            <w:tcW w:w="1121" w:type="pct"/>
            <w:tcBorders>
              <w:top w:val="nil"/>
              <w:left w:val="nil"/>
              <w:bottom w:val="single" w:sz="4" w:space="0" w:color="auto"/>
              <w:right w:val="single" w:sz="4" w:space="0" w:color="auto"/>
            </w:tcBorders>
            <w:shd w:val="clear" w:color="auto" w:fill="auto"/>
            <w:noWrap/>
            <w:vAlign w:val="center"/>
            <w:hideMark/>
          </w:tcPr>
          <w:p w14:paraId="51F0C044" w14:textId="77777777" w:rsidR="00B52D4A" w:rsidRPr="00A55185" w:rsidRDefault="00B52D4A" w:rsidP="00143E24">
            <w:pPr>
              <w:spacing w:line="240" w:lineRule="auto"/>
              <w:jc w:val="center"/>
              <w:rPr>
                <w:rFonts w:eastAsia="Times New Roman"/>
                <w:color w:val="000000"/>
                <w:sz w:val="16"/>
                <w:szCs w:val="16"/>
              </w:rPr>
            </w:pPr>
          </w:p>
        </w:tc>
      </w:tr>
      <w:tr w:rsidR="00B52D4A" w:rsidRPr="00A55185" w14:paraId="1DA1A618" w14:textId="77777777" w:rsidTr="00F7425F">
        <w:trPr>
          <w:trHeight w:val="1300"/>
        </w:trPr>
        <w:tc>
          <w:tcPr>
            <w:tcW w:w="333" w:type="pct"/>
            <w:tcBorders>
              <w:top w:val="nil"/>
              <w:left w:val="single" w:sz="4" w:space="0" w:color="auto"/>
              <w:bottom w:val="single" w:sz="4" w:space="0" w:color="auto"/>
              <w:right w:val="single" w:sz="4" w:space="0" w:color="auto"/>
            </w:tcBorders>
            <w:shd w:val="clear" w:color="auto" w:fill="auto"/>
            <w:vAlign w:val="center"/>
            <w:hideMark/>
          </w:tcPr>
          <w:p w14:paraId="35130205" w14:textId="77777777" w:rsidR="00B52D4A" w:rsidRPr="00A55185" w:rsidRDefault="00B52D4A" w:rsidP="00143E24">
            <w:pPr>
              <w:spacing w:line="240" w:lineRule="auto"/>
              <w:jc w:val="center"/>
              <w:rPr>
                <w:rFonts w:eastAsia="Times New Roman"/>
                <w:color w:val="000000"/>
                <w:sz w:val="16"/>
                <w:szCs w:val="16"/>
              </w:rPr>
            </w:pPr>
            <w:r w:rsidRPr="00A55185">
              <w:rPr>
                <w:rFonts w:eastAsia="Times New Roman"/>
                <w:color w:val="000000"/>
                <w:sz w:val="16"/>
                <w:szCs w:val="16"/>
              </w:rPr>
              <w:t>Infected Kupffer cells can produce Recruitment Signals</w:t>
            </w:r>
          </w:p>
        </w:tc>
        <w:tc>
          <w:tcPr>
            <w:tcW w:w="352" w:type="pct"/>
            <w:tcBorders>
              <w:top w:val="nil"/>
              <w:left w:val="nil"/>
              <w:bottom w:val="single" w:sz="4" w:space="0" w:color="auto"/>
              <w:right w:val="single" w:sz="4" w:space="0" w:color="auto"/>
            </w:tcBorders>
            <w:shd w:val="clear" w:color="auto" w:fill="auto"/>
            <w:vAlign w:val="center"/>
            <w:hideMark/>
          </w:tcPr>
          <w:p w14:paraId="354138C2" w14:textId="77777777" w:rsidR="00B52D4A" w:rsidRPr="00A55185" w:rsidRDefault="00B52D4A" w:rsidP="00143E24">
            <w:pPr>
              <w:spacing w:line="240" w:lineRule="auto"/>
              <w:jc w:val="center"/>
              <w:rPr>
                <w:rFonts w:eastAsia="Times New Roman"/>
                <w:sz w:val="16"/>
                <w:szCs w:val="16"/>
              </w:rPr>
            </w:pPr>
            <w:r w:rsidRPr="00A55185">
              <w:rPr>
                <w:rFonts w:eastAsia="Times New Roman"/>
                <w:sz w:val="16"/>
                <w:szCs w:val="16"/>
              </w:rPr>
              <w:t>(Stanley and Engwerda, 2007)</w:t>
            </w:r>
          </w:p>
        </w:tc>
        <w:tc>
          <w:tcPr>
            <w:tcW w:w="676" w:type="pct"/>
            <w:tcBorders>
              <w:top w:val="nil"/>
              <w:left w:val="nil"/>
              <w:bottom w:val="single" w:sz="4" w:space="0" w:color="auto"/>
              <w:right w:val="single" w:sz="4" w:space="0" w:color="auto"/>
            </w:tcBorders>
            <w:shd w:val="clear" w:color="auto" w:fill="auto"/>
            <w:vAlign w:val="center"/>
            <w:hideMark/>
          </w:tcPr>
          <w:p w14:paraId="222B3422" w14:textId="77777777" w:rsidR="00B52D4A" w:rsidRPr="00A55185" w:rsidRDefault="00B52D4A" w:rsidP="00143E24">
            <w:pPr>
              <w:spacing w:line="240" w:lineRule="auto"/>
              <w:jc w:val="center"/>
              <w:rPr>
                <w:rFonts w:eastAsia="Times New Roman"/>
                <w:color w:val="000000"/>
                <w:sz w:val="16"/>
                <w:szCs w:val="16"/>
              </w:rPr>
            </w:pPr>
            <w:r w:rsidRPr="00A55185">
              <w:rPr>
                <w:rFonts w:eastAsia="Times New Roman"/>
                <w:color w:val="000000"/>
                <w:sz w:val="16"/>
                <w:szCs w:val="16"/>
              </w:rPr>
              <w:t>Upon infection KCs produce Recruitment Factors (</w:t>
            </w:r>
            <w:r w:rsidRPr="00A55185">
              <w:rPr>
                <w:rFonts w:eastAsia="Times New Roman"/>
                <w:b/>
                <w:bCs/>
                <w:color w:val="000000"/>
                <w:sz w:val="16"/>
                <w:szCs w:val="16"/>
              </w:rPr>
              <w:t>Figure 4.15</w:t>
            </w:r>
            <w:r w:rsidRPr="00A55185">
              <w:rPr>
                <w:rFonts w:eastAsia="Times New Roman"/>
                <w:color w:val="000000"/>
                <w:sz w:val="16"/>
                <w:szCs w:val="16"/>
              </w:rPr>
              <w:t>)</w:t>
            </w:r>
          </w:p>
        </w:tc>
        <w:tc>
          <w:tcPr>
            <w:tcW w:w="676" w:type="pct"/>
            <w:tcBorders>
              <w:top w:val="nil"/>
              <w:left w:val="nil"/>
              <w:bottom w:val="single" w:sz="4" w:space="0" w:color="auto"/>
              <w:right w:val="single" w:sz="4" w:space="0" w:color="auto"/>
            </w:tcBorders>
            <w:shd w:val="clear" w:color="auto" w:fill="auto"/>
            <w:vAlign w:val="center"/>
            <w:hideMark/>
          </w:tcPr>
          <w:p w14:paraId="6E7BC508" w14:textId="77777777" w:rsidR="00B52D4A" w:rsidRPr="00A55185" w:rsidRDefault="00B52D4A" w:rsidP="00143E24">
            <w:pPr>
              <w:spacing w:line="240" w:lineRule="auto"/>
              <w:jc w:val="center"/>
              <w:rPr>
                <w:rFonts w:eastAsia="Times New Roman"/>
                <w:color w:val="000000"/>
                <w:sz w:val="16"/>
                <w:szCs w:val="16"/>
              </w:rPr>
            </w:pPr>
            <w:r w:rsidRPr="00A55185">
              <w:rPr>
                <w:rFonts w:eastAsia="Times New Roman"/>
                <w:color w:val="000000"/>
                <w:sz w:val="16"/>
                <w:szCs w:val="16"/>
              </w:rPr>
              <w:t xml:space="preserve">Internalisation of parasite leads to signalling pathways that mediate the release of recruitment factors, a simplification previously described. Here the process is represented such that infected KCs will all produce recruitment factors upon infection with no delay and no </w:t>
            </w:r>
            <w:r w:rsidRPr="00A55185">
              <w:rPr>
                <w:rFonts w:eastAsia="Times New Roman"/>
                <w:color w:val="000000"/>
                <w:sz w:val="16"/>
                <w:szCs w:val="16"/>
              </w:rPr>
              <w:lastRenderedPageBreak/>
              <w:t>inherent heterogeneity in the amounts produced between infected KCs</w:t>
            </w:r>
          </w:p>
        </w:tc>
        <w:tc>
          <w:tcPr>
            <w:tcW w:w="987" w:type="pct"/>
            <w:tcBorders>
              <w:top w:val="nil"/>
              <w:left w:val="nil"/>
              <w:bottom w:val="single" w:sz="4" w:space="0" w:color="auto"/>
              <w:right w:val="single" w:sz="4" w:space="0" w:color="auto"/>
            </w:tcBorders>
            <w:shd w:val="clear" w:color="auto" w:fill="auto"/>
            <w:vAlign w:val="center"/>
            <w:hideMark/>
          </w:tcPr>
          <w:p w14:paraId="1D42A517" w14:textId="77777777" w:rsidR="00B52D4A" w:rsidRPr="00A55185" w:rsidRDefault="00B52D4A" w:rsidP="00143E24">
            <w:pPr>
              <w:spacing w:line="240" w:lineRule="auto"/>
              <w:jc w:val="center"/>
              <w:rPr>
                <w:rFonts w:eastAsia="Times New Roman"/>
                <w:color w:val="000000"/>
                <w:sz w:val="16"/>
                <w:szCs w:val="16"/>
              </w:rPr>
            </w:pPr>
            <w:r w:rsidRPr="00A55185">
              <w:rPr>
                <w:rFonts w:eastAsia="Times New Roman"/>
                <w:color w:val="000000"/>
                <w:sz w:val="16"/>
                <w:szCs w:val="16"/>
              </w:rPr>
              <w:lastRenderedPageBreak/>
              <w:t>Recruitment signals are not represented within the platform model neither is an 'Other site' from they cells can migrate from, instead  population growth occurs through proliferation which is a simplification of population growth from both migration and proliferation</w:t>
            </w:r>
          </w:p>
        </w:tc>
        <w:tc>
          <w:tcPr>
            <w:tcW w:w="854" w:type="pct"/>
            <w:tcBorders>
              <w:top w:val="nil"/>
              <w:left w:val="nil"/>
              <w:bottom w:val="single" w:sz="4" w:space="0" w:color="auto"/>
              <w:right w:val="single" w:sz="4" w:space="0" w:color="auto"/>
            </w:tcBorders>
            <w:shd w:val="clear" w:color="auto" w:fill="auto"/>
            <w:noWrap/>
            <w:vAlign w:val="center"/>
            <w:hideMark/>
          </w:tcPr>
          <w:p w14:paraId="20C42D76" w14:textId="77777777" w:rsidR="00B52D4A" w:rsidRPr="00A55185" w:rsidRDefault="00B52D4A" w:rsidP="00143E24">
            <w:pPr>
              <w:spacing w:line="240" w:lineRule="auto"/>
              <w:jc w:val="center"/>
              <w:rPr>
                <w:rFonts w:eastAsia="Times New Roman"/>
                <w:color w:val="000000"/>
                <w:sz w:val="16"/>
                <w:szCs w:val="16"/>
              </w:rPr>
            </w:pPr>
          </w:p>
        </w:tc>
        <w:tc>
          <w:tcPr>
            <w:tcW w:w="1121" w:type="pct"/>
            <w:tcBorders>
              <w:top w:val="nil"/>
              <w:left w:val="nil"/>
              <w:bottom w:val="single" w:sz="4" w:space="0" w:color="auto"/>
              <w:right w:val="single" w:sz="4" w:space="0" w:color="auto"/>
            </w:tcBorders>
            <w:shd w:val="clear" w:color="auto" w:fill="auto"/>
            <w:noWrap/>
            <w:vAlign w:val="center"/>
            <w:hideMark/>
          </w:tcPr>
          <w:p w14:paraId="2110D3FF" w14:textId="77777777" w:rsidR="00B52D4A" w:rsidRPr="00A55185" w:rsidRDefault="00B52D4A" w:rsidP="00143E24">
            <w:pPr>
              <w:spacing w:line="240" w:lineRule="auto"/>
              <w:jc w:val="center"/>
              <w:rPr>
                <w:rFonts w:eastAsia="Times New Roman"/>
                <w:color w:val="000000"/>
                <w:sz w:val="16"/>
                <w:szCs w:val="16"/>
              </w:rPr>
            </w:pPr>
          </w:p>
        </w:tc>
      </w:tr>
      <w:tr w:rsidR="00B52D4A" w:rsidRPr="00A55185" w14:paraId="5B54AAFC" w14:textId="77777777" w:rsidTr="00F7425F">
        <w:trPr>
          <w:trHeight w:val="1300"/>
        </w:trPr>
        <w:tc>
          <w:tcPr>
            <w:tcW w:w="333" w:type="pct"/>
            <w:tcBorders>
              <w:top w:val="nil"/>
              <w:left w:val="single" w:sz="4" w:space="0" w:color="auto"/>
              <w:bottom w:val="single" w:sz="4" w:space="0" w:color="auto"/>
              <w:right w:val="single" w:sz="4" w:space="0" w:color="auto"/>
            </w:tcBorders>
            <w:shd w:val="clear" w:color="auto" w:fill="auto"/>
            <w:vAlign w:val="center"/>
            <w:hideMark/>
          </w:tcPr>
          <w:p w14:paraId="5D6DB2FF" w14:textId="77777777" w:rsidR="00B52D4A" w:rsidRPr="00A55185" w:rsidRDefault="00B52D4A" w:rsidP="00143E24">
            <w:pPr>
              <w:spacing w:line="240" w:lineRule="auto"/>
              <w:jc w:val="center"/>
              <w:rPr>
                <w:rFonts w:eastAsia="Times New Roman"/>
                <w:color w:val="000000"/>
                <w:sz w:val="16"/>
                <w:szCs w:val="16"/>
              </w:rPr>
            </w:pPr>
            <w:r w:rsidRPr="00A55185">
              <w:rPr>
                <w:rFonts w:eastAsia="Times New Roman"/>
                <w:color w:val="000000"/>
                <w:sz w:val="16"/>
                <w:szCs w:val="16"/>
              </w:rPr>
              <w:t>iNKT cells can produce Pro-Inflammatory Signals</w:t>
            </w:r>
          </w:p>
        </w:tc>
        <w:tc>
          <w:tcPr>
            <w:tcW w:w="352" w:type="pct"/>
            <w:tcBorders>
              <w:top w:val="nil"/>
              <w:left w:val="nil"/>
              <w:bottom w:val="single" w:sz="4" w:space="0" w:color="auto"/>
              <w:right w:val="single" w:sz="4" w:space="0" w:color="auto"/>
            </w:tcBorders>
            <w:shd w:val="clear" w:color="auto" w:fill="auto"/>
            <w:vAlign w:val="center"/>
            <w:hideMark/>
          </w:tcPr>
          <w:p w14:paraId="5478B707" w14:textId="77777777" w:rsidR="00B52D4A" w:rsidRPr="00A55185" w:rsidRDefault="00B52D4A" w:rsidP="00143E24">
            <w:pPr>
              <w:spacing w:line="240" w:lineRule="auto"/>
              <w:jc w:val="center"/>
              <w:rPr>
                <w:rFonts w:eastAsia="Times New Roman"/>
                <w:sz w:val="16"/>
                <w:szCs w:val="16"/>
              </w:rPr>
            </w:pPr>
            <w:r w:rsidRPr="00A55185">
              <w:rPr>
                <w:rFonts w:eastAsia="Times New Roman"/>
                <w:sz w:val="16"/>
                <w:szCs w:val="16"/>
              </w:rPr>
              <w:t>(Amprey et al., 2004)</w:t>
            </w:r>
          </w:p>
        </w:tc>
        <w:tc>
          <w:tcPr>
            <w:tcW w:w="676" w:type="pct"/>
            <w:tcBorders>
              <w:top w:val="nil"/>
              <w:left w:val="nil"/>
              <w:bottom w:val="single" w:sz="4" w:space="0" w:color="auto"/>
              <w:right w:val="single" w:sz="4" w:space="0" w:color="auto"/>
            </w:tcBorders>
            <w:shd w:val="clear" w:color="auto" w:fill="auto"/>
            <w:vAlign w:val="center"/>
            <w:hideMark/>
          </w:tcPr>
          <w:p w14:paraId="361271F1" w14:textId="77777777" w:rsidR="00B52D4A" w:rsidRPr="00A55185" w:rsidRDefault="00B52D4A" w:rsidP="00143E24">
            <w:pPr>
              <w:spacing w:line="240" w:lineRule="auto"/>
              <w:jc w:val="center"/>
              <w:rPr>
                <w:rFonts w:eastAsia="Times New Roman"/>
                <w:color w:val="000000"/>
                <w:sz w:val="16"/>
                <w:szCs w:val="16"/>
              </w:rPr>
            </w:pPr>
            <w:r w:rsidRPr="00A55185">
              <w:rPr>
                <w:rFonts w:eastAsia="Times New Roman"/>
                <w:color w:val="000000"/>
                <w:sz w:val="16"/>
                <w:szCs w:val="16"/>
              </w:rPr>
              <w:t>iNKTs presented with antigen by Infected KCs produce Pro-Inflammatory Signals (</w:t>
            </w:r>
            <w:r w:rsidRPr="00A55185">
              <w:rPr>
                <w:rFonts w:eastAsia="Times New Roman"/>
                <w:b/>
                <w:bCs/>
                <w:color w:val="000000"/>
                <w:sz w:val="16"/>
                <w:szCs w:val="16"/>
              </w:rPr>
              <w:t>Figure 4.11</w:t>
            </w:r>
            <w:r w:rsidRPr="00A55185">
              <w:rPr>
                <w:rFonts w:eastAsia="Times New Roman"/>
                <w:color w:val="000000"/>
                <w:sz w:val="16"/>
                <w:szCs w:val="16"/>
              </w:rPr>
              <w:t>)</w:t>
            </w:r>
          </w:p>
        </w:tc>
        <w:tc>
          <w:tcPr>
            <w:tcW w:w="676" w:type="pct"/>
            <w:tcBorders>
              <w:top w:val="nil"/>
              <w:left w:val="nil"/>
              <w:bottom w:val="single" w:sz="4" w:space="0" w:color="auto"/>
              <w:right w:val="single" w:sz="4" w:space="0" w:color="auto"/>
            </w:tcBorders>
            <w:shd w:val="clear" w:color="auto" w:fill="auto"/>
            <w:vAlign w:val="center"/>
            <w:hideMark/>
          </w:tcPr>
          <w:p w14:paraId="7CAA01B0" w14:textId="77777777" w:rsidR="00B52D4A" w:rsidRPr="00A55185" w:rsidRDefault="00B52D4A" w:rsidP="00143E24">
            <w:pPr>
              <w:spacing w:line="240" w:lineRule="auto"/>
              <w:jc w:val="center"/>
              <w:rPr>
                <w:rFonts w:eastAsia="Times New Roman"/>
                <w:color w:val="000000"/>
                <w:sz w:val="16"/>
                <w:szCs w:val="16"/>
              </w:rPr>
            </w:pPr>
            <w:r w:rsidRPr="00A55185">
              <w:rPr>
                <w:rFonts w:eastAsia="Times New Roman"/>
                <w:color w:val="000000"/>
                <w:sz w:val="16"/>
                <w:szCs w:val="16"/>
              </w:rPr>
              <w:t>iNKT cells when recognising antigen from infected KCs will produce Pro-Inflammatory Signals without delay and with no need for additional stimuli</w:t>
            </w:r>
          </w:p>
        </w:tc>
        <w:tc>
          <w:tcPr>
            <w:tcW w:w="987" w:type="pct"/>
            <w:tcBorders>
              <w:top w:val="nil"/>
              <w:left w:val="nil"/>
              <w:bottom w:val="single" w:sz="4" w:space="0" w:color="auto"/>
              <w:right w:val="single" w:sz="4" w:space="0" w:color="auto"/>
            </w:tcBorders>
            <w:shd w:val="clear" w:color="auto" w:fill="auto"/>
            <w:vAlign w:val="center"/>
            <w:hideMark/>
          </w:tcPr>
          <w:p w14:paraId="210FC6A8" w14:textId="77777777" w:rsidR="00B52D4A" w:rsidRPr="00A55185" w:rsidRDefault="00B52D4A" w:rsidP="00143E24">
            <w:pPr>
              <w:spacing w:line="240" w:lineRule="auto"/>
              <w:jc w:val="center"/>
              <w:rPr>
                <w:rFonts w:eastAsia="Times New Roman"/>
                <w:color w:val="000000"/>
                <w:sz w:val="16"/>
                <w:szCs w:val="16"/>
              </w:rPr>
            </w:pPr>
            <w:r w:rsidRPr="00A55185">
              <w:rPr>
                <w:rFonts w:eastAsia="Times New Roman"/>
                <w:color w:val="000000"/>
                <w:sz w:val="16"/>
                <w:szCs w:val="16"/>
              </w:rPr>
              <w:t>There is no representation of Anti-Inflammatory or Pro-Inflammatory Signals instead the actions of the signals which modulate the anti-leishmanial response (Pro- and Anti-Inflammatory Signals) are abstracted such that the amount of anti-leishmanial compounds is proportional to the amount of myeloid cells and T cells within the system (</w:t>
            </w:r>
            <w:r w:rsidRPr="00A55185">
              <w:rPr>
                <w:rFonts w:eastAsia="Times New Roman"/>
                <w:b/>
                <w:bCs/>
                <w:color w:val="000000"/>
                <w:sz w:val="16"/>
                <w:szCs w:val="16"/>
              </w:rPr>
              <w:t>Figure 4.21</w:t>
            </w:r>
            <w:r w:rsidRPr="00A55185">
              <w:rPr>
                <w:rFonts w:eastAsia="Times New Roman"/>
                <w:color w:val="000000"/>
                <w:sz w:val="16"/>
                <w:szCs w:val="16"/>
              </w:rPr>
              <w:t>)</w:t>
            </w:r>
          </w:p>
        </w:tc>
        <w:tc>
          <w:tcPr>
            <w:tcW w:w="854" w:type="pct"/>
            <w:tcBorders>
              <w:top w:val="nil"/>
              <w:left w:val="nil"/>
              <w:bottom w:val="single" w:sz="4" w:space="0" w:color="auto"/>
              <w:right w:val="single" w:sz="4" w:space="0" w:color="auto"/>
            </w:tcBorders>
            <w:shd w:val="clear" w:color="auto" w:fill="auto"/>
            <w:noWrap/>
            <w:vAlign w:val="center"/>
            <w:hideMark/>
          </w:tcPr>
          <w:p w14:paraId="7544EF79" w14:textId="77777777" w:rsidR="00B52D4A" w:rsidRPr="00A55185" w:rsidRDefault="00B52D4A" w:rsidP="00143E24">
            <w:pPr>
              <w:spacing w:line="240" w:lineRule="auto"/>
              <w:jc w:val="center"/>
              <w:rPr>
                <w:rFonts w:eastAsia="Times New Roman"/>
                <w:color w:val="000000"/>
                <w:sz w:val="16"/>
                <w:szCs w:val="16"/>
              </w:rPr>
            </w:pPr>
          </w:p>
        </w:tc>
        <w:tc>
          <w:tcPr>
            <w:tcW w:w="1121" w:type="pct"/>
            <w:tcBorders>
              <w:top w:val="nil"/>
              <w:left w:val="nil"/>
              <w:bottom w:val="single" w:sz="4" w:space="0" w:color="auto"/>
              <w:right w:val="single" w:sz="4" w:space="0" w:color="auto"/>
            </w:tcBorders>
            <w:shd w:val="clear" w:color="auto" w:fill="auto"/>
            <w:noWrap/>
            <w:vAlign w:val="center"/>
            <w:hideMark/>
          </w:tcPr>
          <w:p w14:paraId="70A3E9FE" w14:textId="77777777" w:rsidR="00B52D4A" w:rsidRPr="00A55185" w:rsidRDefault="00B52D4A" w:rsidP="00143E24">
            <w:pPr>
              <w:spacing w:line="240" w:lineRule="auto"/>
              <w:jc w:val="center"/>
              <w:rPr>
                <w:rFonts w:eastAsia="Times New Roman"/>
                <w:color w:val="000000"/>
                <w:sz w:val="16"/>
                <w:szCs w:val="16"/>
              </w:rPr>
            </w:pPr>
          </w:p>
        </w:tc>
      </w:tr>
      <w:tr w:rsidR="00B52D4A" w:rsidRPr="00A55185" w14:paraId="2D1BD761" w14:textId="77777777" w:rsidTr="00F7425F">
        <w:trPr>
          <w:trHeight w:val="1040"/>
        </w:trPr>
        <w:tc>
          <w:tcPr>
            <w:tcW w:w="333" w:type="pct"/>
            <w:tcBorders>
              <w:top w:val="nil"/>
              <w:left w:val="single" w:sz="4" w:space="0" w:color="auto"/>
              <w:bottom w:val="single" w:sz="4" w:space="0" w:color="auto"/>
              <w:right w:val="single" w:sz="4" w:space="0" w:color="auto"/>
            </w:tcBorders>
            <w:shd w:val="clear" w:color="auto" w:fill="auto"/>
            <w:vAlign w:val="center"/>
            <w:hideMark/>
          </w:tcPr>
          <w:p w14:paraId="5A306D2C" w14:textId="77777777" w:rsidR="00B52D4A" w:rsidRPr="00A55185" w:rsidRDefault="00B52D4A" w:rsidP="00143E24">
            <w:pPr>
              <w:spacing w:line="240" w:lineRule="auto"/>
              <w:jc w:val="center"/>
              <w:rPr>
                <w:rFonts w:eastAsia="Times New Roman"/>
                <w:color w:val="000000"/>
                <w:sz w:val="16"/>
                <w:szCs w:val="16"/>
              </w:rPr>
            </w:pPr>
            <w:r w:rsidRPr="00A55185">
              <w:rPr>
                <w:rFonts w:eastAsia="Times New Roman"/>
                <w:color w:val="000000"/>
                <w:sz w:val="16"/>
                <w:szCs w:val="16"/>
              </w:rPr>
              <w:t>iNKT cells can produce Recruitment Factors</w:t>
            </w:r>
          </w:p>
        </w:tc>
        <w:tc>
          <w:tcPr>
            <w:tcW w:w="352" w:type="pct"/>
            <w:tcBorders>
              <w:top w:val="nil"/>
              <w:left w:val="nil"/>
              <w:bottom w:val="single" w:sz="4" w:space="0" w:color="auto"/>
              <w:right w:val="single" w:sz="4" w:space="0" w:color="auto"/>
            </w:tcBorders>
            <w:shd w:val="clear" w:color="auto" w:fill="auto"/>
            <w:vAlign w:val="center"/>
            <w:hideMark/>
          </w:tcPr>
          <w:p w14:paraId="0ED912D8" w14:textId="77777777" w:rsidR="00B52D4A" w:rsidRPr="00A55185" w:rsidRDefault="00B52D4A" w:rsidP="00143E24">
            <w:pPr>
              <w:spacing w:line="240" w:lineRule="auto"/>
              <w:jc w:val="center"/>
              <w:rPr>
                <w:rFonts w:eastAsia="Times New Roman"/>
                <w:sz w:val="16"/>
                <w:szCs w:val="16"/>
              </w:rPr>
            </w:pPr>
            <w:r w:rsidRPr="00A55185">
              <w:rPr>
                <w:rFonts w:eastAsia="Times New Roman"/>
                <w:sz w:val="16"/>
                <w:szCs w:val="16"/>
              </w:rPr>
              <w:t>(Kima and Soong, 2013)</w:t>
            </w:r>
          </w:p>
        </w:tc>
        <w:tc>
          <w:tcPr>
            <w:tcW w:w="676" w:type="pct"/>
            <w:tcBorders>
              <w:top w:val="nil"/>
              <w:left w:val="nil"/>
              <w:bottom w:val="single" w:sz="4" w:space="0" w:color="auto"/>
              <w:right w:val="single" w:sz="4" w:space="0" w:color="auto"/>
            </w:tcBorders>
            <w:shd w:val="clear" w:color="auto" w:fill="auto"/>
            <w:vAlign w:val="center"/>
            <w:hideMark/>
          </w:tcPr>
          <w:p w14:paraId="38B4A47D" w14:textId="77777777" w:rsidR="00B52D4A" w:rsidRPr="00A55185" w:rsidRDefault="00B52D4A" w:rsidP="00143E24">
            <w:pPr>
              <w:spacing w:line="240" w:lineRule="auto"/>
              <w:jc w:val="center"/>
              <w:rPr>
                <w:rFonts w:eastAsia="Times New Roman"/>
                <w:color w:val="000000"/>
                <w:sz w:val="16"/>
                <w:szCs w:val="16"/>
              </w:rPr>
            </w:pPr>
            <w:r w:rsidRPr="00A55185">
              <w:rPr>
                <w:rFonts w:eastAsia="Times New Roman"/>
                <w:color w:val="000000"/>
                <w:sz w:val="16"/>
                <w:szCs w:val="16"/>
              </w:rPr>
              <w:t>iNKTs presented with antigen by Infected KCs produce Recruitment Factors (</w:t>
            </w:r>
            <w:r w:rsidRPr="00A55185">
              <w:rPr>
                <w:rFonts w:eastAsia="Times New Roman"/>
                <w:b/>
                <w:bCs/>
                <w:color w:val="000000"/>
                <w:sz w:val="16"/>
                <w:szCs w:val="16"/>
              </w:rPr>
              <w:t>Figure 4.11</w:t>
            </w:r>
            <w:r w:rsidRPr="00A55185">
              <w:rPr>
                <w:rFonts w:eastAsia="Times New Roman"/>
                <w:color w:val="000000"/>
                <w:sz w:val="16"/>
                <w:szCs w:val="16"/>
              </w:rPr>
              <w:t>)</w:t>
            </w:r>
          </w:p>
        </w:tc>
        <w:tc>
          <w:tcPr>
            <w:tcW w:w="676" w:type="pct"/>
            <w:tcBorders>
              <w:top w:val="nil"/>
              <w:left w:val="nil"/>
              <w:bottom w:val="single" w:sz="4" w:space="0" w:color="auto"/>
              <w:right w:val="single" w:sz="4" w:space="0" w:color="auto"/>
            </w:tcBorders>
            <w:shd w:val="clear" w:color="auto" w:fill="auto"/>
            <w:vAlign w:val="center"/>
            <w:hideMark/>
          </w:tcPr>
          <w:p w14:paraId="051715D9" w14:textId="77777777" w:rsidR="00B52D4A" w:rsidRPr="00A55185" w:rsidRDefault="00B52D4A" w:rsidP="00143E24">
            <w:pPr>
              <w:spacing w:line="240" w:lineRule="auto"/>
              <w:jc w:val="center"/>
              <w:rPr>
                <w:rFonts w:eastAsia="Times New Roman"/>
                <w:color w:val="000000"/>
                <w:sz w:val="16"/>
                <w:szCs w:val="16"/>
              </w:rPr>
            </w:pPr>
            <w:r w:rsidRPr="00A55185">
              <w:rPr>
                <w:rFonts w:eastAsia="Times New Roman"/>
                <w:color w:val="000000"/>
                <w:sz w:val="16"/>
                <w:szCs w:val="16"/>
              </w:rPr>
              <w:t>iNKT cells when recognising antigen from infected KCs will produce Recruitment Factors without delay and with no need for additional stimuli</w:t>
            </w:r>
          </w:p>
        </w:tc>
        <w:tc>
          <w:tcPr>
            <w:tcW w:w="987" w:type="pct"/>
            <w:tcBorders>
              <w:top w:val="nil"/>
              <w:left w:val="nil"/>
              <w:bottom w:val="single" w:sz="4" w:space="0" w:color="auto"/>
              <w:right w:val="single" w:sz="4" w:space="0" w:color="auto"/>
            </w:tcBorders>
            <w:shd w:val="clear" w:color="auto" w:fill="auto"/>
            <w:vAlign w:val="center"/>
            <w:hideMark/>
          </w:tcPr>
          <w:p w14:paraId="61ADCF6A" w14:textId="77777777" w:rsidR="00B52D4A" w:rsidRPr="00A55185" w:rsidRDefault="00B52D4A" w:rsidP="00143E24">
            <w:pPr>
              <w:spacing w:line="240" w:lineRule="auto"/>
              <w:jc w:val="center"/>
              <w:rPr>
                <w:rFonts w:eastAsia="Times New Roman"/>
                <w:color w:val="000000"/>
                <w:sz w:val="16"/>
                <w:szCs w:val="16"/>
              </w:rPr>
            </w:pPr>
            <w:r w:rsidRPr="00A55185">
              <w:rPr>
                <w:rFonts w:eastAsia="Times New Roman"/>
                <w:color w:val="000000"/>
                <w:sz w:val="16"/>
                <w:szCs w:val="16"/>
              </w:rPr>
              <w:t>Recruitment signals are not represented within the platform model neither is an 'Other site' from they cells can migrate from, instead  population growth occurs through proliferation which is a simplification of population growth from both migration and proliferation</w:t>
            </w:r>
          </w:p>
        </w:tc>
        <w:tc>
          <w:tcPr>
            <w:tcW w:w="854" w:type="pct"/>
            <w:tcBorders>
              <w:top w:val="nil"/>
              <w:left w:val="nil"/>
              <w:bottom w:val="single" w:sz="4" w:space="0" w:color="auto"/>
              <w:right w:val="single" w:sz="4" w:space="0" w:color="auto"/>
            </w:tcBorders>
            <w:shd w:val="clear" w:color="auto" w:fill="auto"/>
            <w:noWrap/>
            <w:vAlign w:val="center"/>
            <w:hideMark/>
          </w:tcPr>
          <w:p w14:paraId="63FB0E71" w14:textId="77777777" w:rsidR="00B52D4A" w:rsidRPr="00A55185" w:rsidRDefault="00B52D4A" w:rsidP="00143E24">
            <w:pPr>
              <w:spacing w:line="240" w:lineRule="auto"/>
              <w:jc w:val="center"/>
              <w:rPr>
                <w:rFonts w:eastAsia="Times New Roman"/>
                <w:color w:val="000000"/>
                <w:sz w:val="16"/>
                <w:szCs w:val="16"/>
              </w:rPr>
            </w:pPr>
          </w:p>
        </w:tc>
        <w:tc>
          <w:tcPr>
            <w:tcW w:w="1121" w:type="pct"/>
            <w:tcBorders>
              <w:top w:val="nil"/>
              <w:left w:val="nil"/>
              <w:bottom w:val="single" w:sz="4" w:space="0" w:color="auto"/>
              <w:right w:val="single" w:sz="4" w:space="0" w:color="auto"/>
            </w:tcBorders>
            <w:shd w:val="clear" w:color="auto" w:fill="auto"/>
            <w:noWrap/>
            <w:vAlign w:val="center"/>
            <w:hideMark/>
          </w:tcPr>
          <w:p w14:paraId="3165E556" w14:textId="77777777" w:rsidR="00B52D4A" w:rsidRPr="00A55185" w:rsidRDefault="00B52D4A" w:rsidP="00143E24">
            <w:pPr>
              <w:spacing w:line="240" w:lineRule="auto"/>
              <w:jc w:val="center"/>
              <w:rPr>
                <w:rFonts w:eastAsia="Times New Roman"/>
                <w:color w:val="000000"/>
                <w:sz w:val="16"/>
                <w:szCs w:val="16"/>
              </w:rPr>
            </w:pPr>
          </w:p>
        </w:tc>
      </w:tr>
      <w:tr w:rsidR="00B52D4A" w:rsidRPr="00A55185" w14:paraId="57D63AE3" w14:textId="77777777" w:rsidTr="00F7425F">
        <w:trPr>
          <w:trHeight w:val="1300"/>
        </w:trPr>
        <w:tc>
          <w:tcPr>
            <w:tcW w:w="333" w:type="pct"/>
            <w:tcBorders>
              <w:top w:val="nil"/>
              <w:left w:val="single" w:sz="4" w:space="0" w:color="auto"/>
              <w:bottom w:val="single" w:sz="4" w:space="0" w:color="auto"/>
              <w:right w:val="single" w:sz="4" w:space="0" w:color="auto"/>
            </w:tcBorders>
            <w:shd w:val="clear" w:color="auto" w:fill="auto"/>
            <w:vAlign w:val="center"/>
            <w:hideMark/>
          </w:tcPr>
          <w:p w14:paraId="2022747D" w14:textId="77777777" w:rsidR="00B52D4A" w:rsidRPr="00A55185" w:rsidRDefault="00B52D4A" w:rsidP="00143E24">
            <w:pPr>
              <w:spacing w:line="240" w:lineRule="auto"/>
              <w:jc w:val="center"/>
              <w:rPr>
                <w:rFonts w:eastAsia="Times New Roman"/>
                <w:color w:val="000000"/>
                <w:sz w:val="16"/>
                <w:szCs w:val="16"/>
              </w:rPr>
            </w:pPr>
            <w:r w:rsidRPr="00A55185">
              <w:rPr>
                <w:rFonts w:eastAsia="Times New Roman"/>
                <w:color w:val="000000"/>
                <w:sz w:val="16"/>
                <w:szCs w:val="16"/>
              </w:rPr>
              <w:t>Infected Kupffer cells can present Antigen to iNKT cells in the Liver</w:t>
            </w:r>
          </w:p>
        </w:tc>
        <w:tc>
          <w:tcPr>
            <w:tcW w:w="352" w:type="pct"/>
            <w:tcBorders>
              <w:top w:val="nil"/>
              <w:left w:val="nil"/>
              <w:bottom w:val="single" w:sz="4" w:space="0" w:color="auto"/>
              <w:right w:val="single" w:sz="4" w:space="0" w:color="auto"/>
            </w:tcBorders>
            <w:shd w:val="clear" w:color="auto" w:fill="auto"/>
            <w:vAlign w:val="center"/>
            <w:hideMark/>
          </w:tcPr>
          <w:p w14:paraId="64DBA77D" w14:textId="77777777" w:rsidR="00B52D4A" w:rsidRPr="00A55185" w:rsidRDefault="00B52D4A" w:rsidP="00143E24">
            <w:pPr>
              <w:spacing w:line="240" w:lineRule="auto"/>
              <w:jc w:val="center"/>
              <w:rPr>
                <w:rFonts w:eastAsia="Times New Roman"/>
                <w:sz w:val="16"/>
                <w:szCs w:val="16"/>
              </w:rPr>
            </w:pPr>
            <w:r w:rsidRPr="00A55185">
              <w:rPr>
                <w:rFonts w:eastAsia="Times New Roman"/>
                <w:sz w:val="16"/>
                <w:szCs w:val="16"/>
              </w:rPr>
              <w:t>(Amprey et al., 2004)</w:t>
            </w:r>
          </w:p>
        </w:tc>
        <w:tc>
          <w:tcPr>
            <w:tcW w:w="676" w:type="pct"/>
            <w:tcBorders>
              <w:top w:val="nil"/>
              <w:left w:val="nil"/>
              <w:bottom w:val="single" w:sz="4" w:space="0" w:color="auto"/>
              <w:right w:val="single" w:sz="4" w:space="0" w:color="auto"/>
            </w:tcBorders>
            <w:shd w:val="clear" w:color="auto" w:fill="auto"/>
            <w:vAlign w:val="center"/>
            <w:hideMark/>
          </w:tcPr>
          <w:p w14:paraId="59B55C92" w14:textId="77777777" w:rsidR="00B52D4A" w:rsidRPr="00A55185" w:rsidRDefault="00B52D4A" w:rsidP="00143E24">
            <w:pPr>
              <w:spacing w:line="240" w:lineRule="auto"/>
              <w:jc w:val="center"/>
              <w:rPr>
                <w:rFonts w:eastAsia="Times New Roman"/>
                <w:color w:val="000000"/>
                <w:sz w:val="16"/>
                <w:szCs w:val="16"/>
              </w:rPr>
            </w:pPr>
            <w:r w:rsidRPr="00A55185">
              <w:rPr>
                <w:rFonts w:eastAsia="Times New Roman"/>
                <w:color w:val="000000"/>
                <w:sz w:val="16"/>
                <w:szCs w:val="16"/>
              </w:rPr>
              <w:t>In infected KCs where anti-leishmanial compounds have killed L. donovani those KCs can present antigen to iNKT cells (</w:t>
            </w:r>
            <w:r w:rsidRPr="00A55185">
              <w:rPr>
                <w:rFonts w:eastAsia="Times New Roman"/>
                <w:b/>
                <w:bCs/>
                <w:color w:val="000000"/>
                <w:sz w:val="16"/>
                <w:szCs w:val="16"/>
              </w:rPr>
              <w:t>Figure 4.15</w:t>
            </w:r>
            <w:r w:rsidRPr="00A55185">
              <w:rPr>
                <w:rFonts w:eastAsia="Times New Roman"/>
                <w:color w:val="000000"/>
                <w:sz w:val="16"/>
                <w:szCs w:val="16"/>
              </w:rPr>
              <w:t>)</w:t>
            </w:r>
          </w:p>
        </w:tc>
        <w:tc>
          <w:tcPr>
            <w:tcW w:w="676" w:type="pct"/>
            <w:tcBorders>
              <w:top w:val="nil"/>
              <w:left w:val="nil"/>
              <w:bottom w:val="single" w:sz="4" w:space="0" w:color="auto"/>
              <w:right w:val="single" w:sz="4" w:space="0" w:color="auto"/>
            </w:tcBorders>
            <w:shd w:val="clear" w:color="auto" w:fill="auto"/>
            <w:vAlign w:val="center"/>
            <w:hideMark/>
          </w:tcPr>
          <w:p w14:paraId="1DAD380A" w14:textId="77777777" w:rsidR="00B52D4A" w:rsidRPr="00A55185" w:rsidRDefault="00B52D4A" w:rsidP="00143E24">
            <w:pPr>
              <w:spacing w:line="240" w:lineRule="auto"/>
              <w:jc w:val="center"/>
              <w:rPr>
                <w:rFonts w:eastAsia="Times New Roman"/>
                <w:color w:val="000000"/>
                <w:sz w:val="16"/>
                <w:szCs w:val="16"/>
              </w:rPr>
            </w:pPr>
            <w:r w:rsidRPr="00A55185">
              <w:rPr>
                <w:rFonts w:eastAsia="Times New Roman"/>
                <w:color w:val="000000"/>
                <w:sz w:val="16"/>
                <w:szCs w:val="16"/>
              </w:rPr>
              <w:t xml:space="preserve">Leishmanial antigens presented to iNKTs are typically recognised by the CD1d receptor on iNKTs however in this domain model there is no distinction between CD1d and other antigen presentation molecules and no inherent antigen specificity or differences in avidity for these presentation molecules, instead </w:t>
            </w:r>
            <w:r w:rsidRPr="00A55185">
              <w:rPr>
                <w:rFonts w:eastAsia="Times New Roman"/>
                <w:color w:val="000000"/>
                <w:sz w:val="16"/>
                <w:szCs w:val="16"/>
              </w:rPr>
              <w:lastRenderedPageBreak/>
              <w:t>the distribution of CD1d is assumed to be specific to iNKTs</w:t>
            </w:r>
          </w:p>
        </w:tc>
        <w:tc>
          <w:tcPr>
            <w:tcW w:w="987" w:type="pct"/>
            <w:tcBorders>
              <w:top w:val="nil"/>
              <w:left w:val="nil"/>
              <w:bottom w:val="single" w:sz="4" w:space="0" w:color="auto"/>
              <w:right w:val="single" w:sz="4" w:space="0" w:color="auto"/>
            </w:tcBorders>
            <w:shd w:val="clear" w:color="auto" w:fill="auto"/>
            <w:vAlign w:val="center"/>
            <w:hideMark/>
          </w:tcPr>
          <w:p w14:paraId="194B99CC" w14:textId="77777777" w:rsidR="00B52D4A" w:rsidRPr="00A55185" w:rsidRDefault="00B52D4A" w:rsidP="00143E24">
            <w:pPr>
              <w:spacing w:line="240" w:lineRule="auto"/>
              <w:jc w:val="center"/>
              <w:rPr>
                <w:rFonts w:eastAsia="Times New Roman"/>
                <w:color w:val="000000"/>
                <w:sz w:val="16"/>
                <w:szCs w:val="16"/>
              </w:rPr>
            </w:pPr>
            <w:r w:rsidRPr="00A55185">
              <w:rPr>
                <w:rFonts w:eastAsia="Times New Roman"/>
                <w:color w:val="000000"/>
                <w:sz w:val="16"/>
                <w:szCs w:val="16"/>
              </w:rPr>
              <w:lastRenderedPageBreak/>
              <w:t>Antigen presentation is not represented within the model, instead the assumption that myeloid cells and T cells acting as a proxy for the amount of ALC is used to also abstract the concept of T cell activation through antigen presentation, this is assumed through increasing numbers of T cells and myeloid cells would result in higher levels of successful T cell activation</w:t>
            </w:r>
          </w:p>
        </w:tc>
        <w:tc>
          <w:tcPr>
            <w:tcW w:w="854" w:type="pct"/>
            <w:tcBorders>
              <w:top w:val="nil"/>
              <w:left w:val="nil"/>
              <w:bottom w:val="single" w:sz="4" w:space="0" w:color="auto"/>
              <w:right w:val="single" w:sz="4" w:space="0" w:color="auto"/>
            </w:tcBorders>
            <w:shd w:val="clear" w:color="auto" w:fill="auto"/>
            <w:noWrap/>
            <w:vAlign w:val="center"/>
            <w:hideMark/>
          </w:tcPr>
          <w:p w14:paraId="0457E980" w14:textId="77777777" w:rsidR="00B52D4A" w:rsidRPr="00A55185" w:rsidRDefault="00B52D4A" w:rsidP="00143E24">
            <w:pPr>
              <w:spacing w:line="240" w:lineRule="auto"/>
              <w:jc w:val="center"/>
              <w:rPr>
                <w:rFonts w:eastAsia="Times New Roman"/>
                <w:color w:val="000000"/>
                <w:sz w:val="16"/>
                <w:szCs w:val="16"/>
              </w:rPr>
            </w:pPr>
          </w:p>
        </w:tc>
        <w:tc>
          <w:tcPr>
            <w:tcW w:w="1121" w:type="pct"/>
            <w:tcBorders>
              <w:top w:val="nil"/>
              <w:left w:val="nil"/>
              <w:bottom w:val="single" w:sz="4" w:space="0" w:color="auto"/>
              <w:right w:val="single" w:sz="4" w:space="0" w:color="auto"/>
            </w:tcBorders>
            <w:shd w:val="clear" w:color="auto" w:fill="auto"/>
            <w:noWrap/>
            <w:vAlign w:val="center"/>
            <w:hideMark/>
          </w:tcPr>
          <w:p w14:paraId="3BA5846E" w14:textId="77777777" w:rsidR="00B52D4A" w:rsidRPr="00A55185" w:rsidRDefault="00B52D4A" w:rsidP="00143E24">
            <w:pPr>
              <w:spacing w:line="240" w:lineRule="auto"/>
              <w:jc w:val="center"/>
              <w:rPr>
                <w:rFonts w:eastAsia="Times New Roman"/>
                <w:color w:val="000000"/>
                <w:sz w:val="16"/>
                <w:szCs w:val="16"/>
              </w:rPr>
            </w:pPr>
          </w:p>
        </w:tc>
      </w:tr>
      <w:tr w:rsidR="00B52D4A" w:rsidRPr="00A55185" w14:paraId="05284454" w14:textId="77777777" w:rsidTr="00F7425F">
        <w:trPr>
          <w:trHeight w:val="1300"/>
        </w:trPr>
        <w:tc>
          <w:tcPr>
            <w:tcW w:w="333" w:type="pct"/>
            <w:tcBorders>
              <w:top w:val="nil"/>
              <w:left w:val="single" w:sz="4" w:space="0" w:color="auto"/>
              <w:bottom w:val="single" w:sz="4" w:space="0" w:color="auto"/>
              <w:right w:val="single" w:sz="4" w:space="0" w:color="auto"/>
            </w:tcBorders>
            <w:shd w:val="clear" w:color="auto" w:fill="auto"/>
            <w:vAlign w:val="center"/>
            <w:hideMark/>
          </w:tcPr>
          <w:p w14:paraId="509E08E1" w14:textId="77777777" w:rsidR="00B52D4A" w:rsidRPr="00A55185" w:rsidRDefault="00B52D4A" w:rsidP="00143E24">
            <w:pPr>
              <w:spacing w:line="240" w:lineRule="auto"/>
              <w:jc w:val="center"/>
              <w:rPr>
                <w:rFonts w:eastAsia="Times New Roman"/>
                <w:color w:val="000000"/>
                <w:sz w:val="16"/>
                <w:szCs w:val="16"/>
              </w:rPr>
            </w:pPr>
            <w:r w:rsidRPr="00A55185">
              <w:rPr>
                <w:rFonts w:eastAsia="Times New Roman"/>
                <w:color w:val="000000"/>
                <w:sz w:val="16"/>
                <w:szCs w:val="16"/>
              </w:rPr>
              <w:t>Kupffer cells can produce Anti-Inflammatory Signals</w:t>
            </w:r>
          </w:p>
        </w:tc>
        <w:tc>
          <w:tcPr>
            <w:tcW w:w="352" w:type="pct"/>
            <w:tcBorders>
              <w:top w:val="nil"/>
              <w:left w:val="nil"/>
              <w:bottom w:val="single" w:sz="4" w:space="0" w:color="auto"/>
              <w:right w:val="single" w:sz="4" w:space="0" w:color="auto"/>
            </w:tcBorders>
            <w:shd w:val="clear" w:color="auto" w:fill="auto"/>
            <w:vAlign w:val="center"/>
            <w:hideMark/>
          </w:tcPr>
          <w:p w14:paraId="59C78796" w14:textId="77777777" w:rsidR="00B52D4A" w:rsidRPr="00A55185" w:rsidRDefault="00B52D4A" w:rsidP="00143E24">
            <w:pPr>
              <w:spacing w:line="240" w:lineRule="auto"/>
              <w:jc w:val="center"/>
              <w:rPr>
                <w:rFonts w:eastAsia="Times New Roman"/>
                <w:sz w:val="16"/>
                <w:szCs w:val="16"/>
              </w:rPr>
            </w:pPr>
            <w:r w:rsidRPr="00A55185">
              <w:rPr>
                <w:rFonts w:eastAsia="Times New Roman"/>
                <w:sz w:val="16"/>
                <w:szCs w:val="16"/>
              </w:rPr>
              <w:t>(Kumar and Nylén, 2012; Zhang et al., 2013)</w:t>
            </w:r>
          </w:p>
        </w:tc>
        <w:tc>
          <w:tcPr>
            <w:tcW w:w="676" w:type="pct"/>
            <w:tcBorders>
              <w:top w:val="nil"/>
              <w:left w:val="nil"/>
              <w:bottom w:val="single" w:sz="4" w:space="0" w:color="auto"/>
              <w:right w:val="single" w:sz="4" w:space="0" w:color="auto"/>
            </w:tcBorders>
            <w:shd w:val="clear" w:color="auto" w:fill="auto"/>
            <w:vAlign w:val="center"/>
            <w:hideMark/>
          </w:tcPr>
          <w:p w14:paraId="56A97C41" w14:textId="77777777" w:rsidR="00B52D4A" w:rsidRPr="00A55185" w:rsidRDefault="00B52D4A" w:rsidP="00143E24">
            <w:pPr>
              <w:spacing w:line="240" w:lineRule="auto"/>
              <w:jc w:val="center"/>
              <w:rPr>
                <w:rFonts w:eastAsia="Times New Roman"/>
                <w:color w:val="000000"/>
                <w:sz w:val="16"/>
                <w:szCs w:val="16"/>
              </w:rPr>
            </w:pPr>
            <w:r w:rsidRPr="00A55185">
              <w:rPr>
                <w:rFonts w:eastAsia="Times New Roman"/>
                <w:color w:val="000000"/>
                <w:sz w:val="16"/>
                <w:szCs w:val="16"/>
              </w:rPr>
              <w:t>KCs detecting Anti-Inflammatory Signals transition to an anti-inflammatory state (</w:t>
            </w:r>
            <w:r w:rsidRPr="00A55185">
              <w:rPr>
                <w:rFonts w:eastAsia="Times New Roman"/>
                <w:b/>
                <w:bCs/>
                <w:color w:val="000000"/>
                <w:sz w:val="16"/>
                <w:szCs w:val="16"/>
              </w:rPr>
              <w:t>Figure 4.16</w:t>
            </w:r>
            <w:r w:rsidRPr="00A55185">
              <w:rPr>
                <w:rFonts w:eastAsia="Times New Roman"/>
                <w:color w:val="000000"/>
                <w:sz w:val="16"/>
                <w:szCs w:val="16"/>
              </w:rPr>
              <w:t>) whereby they can produce anti-inflammatory cytokines (</w:t>
            </w:r>
            <w:r w:rsidRPr="00A55185">
              <w:rPr>
                <w:rFonts w:eastAsia="Times New Roman"/>
                <w:b/>
                <w:bCs/>
                <w:color w:val="000000"/>
                <w:sz w:val="16"/>
                <w:szCs w:val="16"/>
              </w:rPr>
              <w:t>Figure 4.15</w:t>
            </w:r>
            <w:r w:rsidRPr="00A55185">
              <w:rPr>
                <w:rFonts w:eastAsia="Times New Roman"/>
                <w:color w:val="000000"/>
                <w:sz w:val="16"/>
                <w:szCs w:val="16"/>
              </w:rPr>
              <w:t>)</w:t>
            </w:r>
          </w:p>
        </w:tc>
        <w:tc>
          <w:tcPr>
            <w:tcW w:w="676" w:type="pct"/>
            <w:tcBorders>
              <w:top w:val="nil"/>
              <w:left w:val="nil"/>
              <w:bottom w:val="single" w:sz="4" w:space="0" w:color="auto"/>
              <w:right w:val="single" w:sz="4" w:space="0" w:color="auto"/>
            </w:tcBorders>
            <w:shd w:val="clear" w:color="auto" w:fill="auto"/>
            <w:vAlign w:val="center"/>
            <w:hideMark/>
          </w:tcPr>
          <w:p w14:paraId="3F109FA2" w14:textId="77777777" w:rsidR="00B52D4A" w:rsidRPr="00A55185" w:rsidRDefault="00B52D4A" w:rsidP="00143E24">
            <w:pPr>
              <w:spacing w:line="240" w:lineRule="auto"/>
              <w:jc w:val="center"/>
              <w:rPr>
                <w:rFonts w:eastAsia="Times New Roman"/>
                <w:color w:val="000000"/>
                <w:sz w:val="16"/>
                <w:szCs w:val="16"/>
              </w:rPr>
            </w:pPr>
            <w:r w:rsidRPr="00A55185">
              <w:rPr>
                <w:rFonts w:eastAsia="Times New Roman"/>
                <w:color w:val="000000"/>
                <w:sz w:val="16"/>
                <w:szCs w:val="16"/>
              </w:rPr>
              <w:t>Here it is assumed that the production of Anti-Inflammatory Signals is restricted to the Anti-Inflammatory KC phenotype (a representation of the biological M2 phenotype)</w:t>
            </w:r>
          </w:p>
        </w:tc>
        <w:tc>
          <w:tcPr>
            <w:tcW w:w="987" w:type="pct"/>
            <w:tcBorders>
              <w:top w:val="nil"/>
              <w:left w:val="nil"/>
              <w:bottom w:val="single" w:sz="4" w:space="0" w:color="auto"/>
              <w:right w:val="single" w:sz="4" w:space="0" w:color="auto"/>
            </w:tcBorders>
            <w:shd w:val="clear" w:color="auto" w:fill="auto"/>
            <w:vAlign w:val="center"/>
            <w:hideMark/>
          </w:tcPr>
          <w:p w14:paraId="7BC8D168" w14:textId="77777777" w:rsidR="00B52D4A" w:rsidRPr="00A55185" w:rsidRDefault="00B52D4A" w:rsidP="00143E24">
            <w:pPr>
              <w:spacing w:line="240" w:lineRule="auto"/>
              <w:jc w:val="center"/>
              <w:rPr>
                <w:rFonts w:eastAsia="Times New Roman"/>
                <w:color w:val="000000"/>
                <w:sz w:val="16"/>
                <w:szCs w:val="16"/>
              </w:rPr>
            </w:pPr>
            <w:r w:rsidRPr="00A55185">
              <w:rPr>
                <w:rFonts w:eastAsia="Times New Roman"/>
                <w:color w:val="000000"/>
                <w:sz w:val="16"/>
                <w:szCs w:val="16"/>
              </w:rPr>
              <w:t>There is no representation of Anti-Inflammatory or Pro-Inflammatory Signals instead the actions of the signals which modulate the anti-leishmanial response (Pro- and Anti-Inflammatory Signals) are abstracted such that the amount of anti-leishmanial compounds is proportional to the amount of myeloid cells and T cells within the system (</w:t>
            </w:r>
            <w:r w:rsidRPr="00A55185">
              <w:rPr>
                <w:rFonts w:eastAsia="Times New Roman"/>
                <w:b/>
                <w:bCs/>
                <w:color w:val="000000"/>
                <w:sz w:val="16"/>
                <w:szCs w:val="16"/>
              </w:rPr>
              <w:t>Figure 4.21</w:t>
            </w:r>
            <w:r w:rsidRPr="00A55185">
              <w:rPr>
                <w:rFonts w:eastAsia="Times New Roman"/>
                <w:color w:val="000000"/>
                <w:sz w:val="16"/>
                <w:szCs w:val="16"/>
              </w:rPr>
              <w:t>)</w:t>
            </w:r>
          </w:p>
        </w:tc>
        <w:tc>
          <w:tcPr>
            <w:tcW w:w="854" w:type="pct"/>
            <w:tcBorders>
              <w:top w:val="nil"/>
              <w:left w:val="nil"/>
              <w:bottom w:val="single" w:sz="4" w:space="0" w:color="auto"/>
              <w:right w:val="single" w:sz="4" w:space="0" w:color="auto"/>
            </w:tcBorders>
            <w:shd w:val="clear" w:color="auto" w:fill="auto"/>
            <w:noWrap/>
            <w:vAlign w:val="center"/>
            <w:hideMark/>
          </w:tcPr>
          <w:p w14:paraId="62166E87" w14:textId="77777777" w:rsidR="00B52D4A" w:rsidRPr="00A55185" w:rsidRDefault="00B52D4A" w:rsidP="00143E24">
            <w:pPr>
              <w:spacing w:line="240" w:lineRule="auto"/>
              <w:jc w:val="center"/>
              <w:rPr>
                <w:rFonts w:eastAsia="Times New Roman"/>
                <w:color w:val="000000"/>
                <w:sz w:val="16"/>
                <w:szCs w:val="16"/>
              </w:rPr>
            </w:pPr>
          </w:p>
        </w:tc>
        <w:tc>
          <w:tcPr>
            <w:tcW w:w="1121" w:type="pct"/>
            <w:tcBorders>
              <w:top w:val="nil"/>
              <w:left w:val="nil"/>
              <w:bottom w:val="single" w:sz="4" w:space="0" w:color="auto"/>
              <w:right w:val="single" w:sz="4" w:space="0" w:color="auto"/>
            </w:tcBorders>
            <w:shd w:val="clear" w:color="auto" w:fill="auto"/>
            <w:noWrap/>
            <w:vAlign w:val="center"/>
            <w:hideMark/>
          </w:tcPr>
          <w:p w14:paraId="119B12AD" w14:textId="77777777" w:rsidR="00B52D4A" w:rsidRPr="00A55185" w:rsidRDefault="00B52D4A" w:rsidP="00143E24">
            <w:pPr>
              <w:spacing w:line="240" w:lineRule="auto"/>
              <w:jc w:val="center"/>
              <w:rPr>
                <w:rFonts w:eastAsia="Times New Roman"/>
                <w:color w:val="000000"/>
                <w:sz w:val="16"/>
                <w:szCs w:val="16"/>
              </w:rPr>
            </w:pPr>
          </w:p>
        </w:tc>
      </w:tr>
      <w:tr w:rsidR="00B52D4A" w:rsidRPr="00A55185" w14:paraId="59C9E678" w14:textId="77777777" w:rsidTr="00F7425F">
        <w:trPr>
          <w:trHeight w:val="2080"/>
        </w:trPr>
        <w:tc>
          <w:tcPr>
            <w:tcW w:w="333" w:type="pct"/>
            <w:tcBorders>
              <w:top w:val="nil"/>
              <w:left w:val="single" w:sz="4" w:space="0" w:color="auto"/>
              <w:bottom w:val="single" w:sz="4" w:space="0" w:color="auto"/>
              <w:right w:val="single" w:sz="4" w:space="0" w:color="auto"/>
            </w:tcBorders>
            <w:shd w:val="clear" w:color="auto" w:fill="auto"/>
            <w:vAlign w:val="center"/>
            <w:hideMark/>
          </w:tcPr>
          <w:p w14:paraId="74D1F6F2" w14:textId="77777777" w:rsidR="00B52D4A" w:rsidRPr="00A55185" w:rsidRDefault="00B52D4A" w:rsidP="00143E24">
            <w:pPr>
              <w:spacing w:line="240" w:lineRule="auto"/>
              <w:jc w:val="center"/>
              <w:rPr>
                <w:rFonts w:eastAsia="Times New Roman"/>
                <w:color w:val="000000"/>
                <w:sz w:val="16"/>
                <w:szCs w:val="16"/>
              </w:rPr>
            </w:pPr>
            <w:r w:rsidRPr="00A55185">
              <w:rPr>
                <w:rFonts w:eastAsia="Times New Roman"/>
                <w:color w:val="000000"/>
                <w:sz w:val="16"/>
                <w:szCs w:val="16"/>
              </w:rPr>
              <w:t>Kupffer cells can produce Anti-Leishmanial Compounds</w:t>
            </w:r>
          </w:p>
        </w:tc>
        <w:tc>
          <w:tcPr>
            <w:tcW w:w="352" w:type="pct"/>
            <w:tcBorders>
              <w:top w:val="nil"/>
              <w:left w:val="nil"/>
              <w:bottom w:val="single" w:sz="4" w:space="0" w:color="auto"/>
              <w:right w:val="single" w:sz="4" w:space="0" w:color="auto"/>
            </w:tcBorders>
            <w:shd w:val="clear" w:color="auto" w:fill="auto"/>
            <w:vAlign w:val="center"/>
            <w:hideMark/>
          </w:tcPr>
          <w:p w14:paraId="35FB971A" w14:textId="77777777" w:rsidR="00B52D4A" w:rsidRPr="00A55185" w:rsidRDefault="00B52D4A" w:rsidP="00143E24">
            <w:pPr>
              <w:spacing w:line="240" w:lineRule="auto"/>
              <w:jc w:val="center"/>
              <w:rPr>
                <w:rFonts w:eastAsia="Times New Roman"/>
                <w:sz w:val="16"/>
                <w:szCs w:val="16"/>
              </w:rPr>
            </w:pPr>
            <w:r w:rsidRPr="00A55185">
              <w:rPr>
                <w:rFonts w:eastAsia="Times New Roman"/>
                <w:sz w:val="16"/>
                <w:szCs w:val="16"/>
              </w:rPr>
              <w:t>(Kumar and Nylén, 2012; Zhang et al., 2013)</w:t>
            </w:r>
          </w:p>
        </w:tc>
        <w:tc>
          <w:tcPr>
            <w:tcW w:w="676" w:type="pct"/>
            <w:tcBorders>
              <w:top w:val="nil"/>
              <w:left w:val="nil"/>
              <w:bottom w:val="single" w:sz="4" w:space="0" w:color="auto"/>
              <w:right w:val="single" w:sz="4" w:space="0" w:color="auto"/>
            </w:tcBorders>
            <w:shd w:val="clear" w:color="auto" w:fill="auto"/>
            <w:vAlign w:val="center"/>
            <w:hideMark/>
          </w:tcPr>
          <w:p w14:paraId="0FE09D96" w14:textId="77777777" w:rsidR="00B52D4A" w:rsidRPr="00A55185" w:rsidRDefault="00B52D4A" w:rsidP="00143E24">
            <w:pPr>
              <w:spacing w:line="240" w:lineRule="auto"/>
              <w:jc w:val="center"/>
              <w:rPr>
                <w:rFonts w:eastAsia="Times New Roman"/>
                <w:color w:val="000000"/>
                <w:sz w:val="16"/>
                <w:szCs w:val="16"/>
              </w:rPr>
            </w:pPr>
            <w:r w:rsidRPr="00A55185">
              <w:rPr>
                <w:rFonts w:eastAsia="Times New Roman"/>
                <w:color w:val="000000"/>
                <w:sz w:val="16"/>
                <w:szCs w:val="16"/>
              </w:rPr>
              <w:t>Kupffer cells in an Anti-Inflammatory phenotype (</w:t>
            </w:r>
            <w:r w:rsidRPr="00A55185">
              <w:rPr>
                <w:rFonts w:eastAsia="Times New Roman"/>
                <w:b/>
                <w:bCs/>
                <w:color w:val="000000"/>
                <w:sz w:val="16"/>
                <w:szCs w:val="16"/>
              </w:rPr>
              <w:t>Figure 4.16</w:t>
            </w:r>
            <w:r w:rsidRPr="00A55185">
              <w:rPr>
                <w:rFonts w:eastAsia="Times New Roman"/>
                <w:color w:val="000000"/>
                <w:sz w:val="16"/>
                <w:szCs w:val="16"/>
              </w:rPr>
              <w:t>) produce Anti-Inflammatory Signals (</w:t>
            </w:r>
            <w:r w:rsidRPr="00A55185">
              <w:rPr>
                <w:rFonts w:eastAsia="Times New Roman"/>
                <w:b/>
                <w:bCs/>
                <w:color w:val="000000"/>
                <w:sz w:val="16"/>
                <w:szCs w:val="16"/>
              </w:rPr>
              <w:t>Figure 4.15</w:t>
            </w:r>
            <w:r w:rsidRPr="00A55185">
              <w:rPr>
                <w:rFonts w:eastAsia="Times New Roman"/>
                <w:color w:val="000000"/>
                <w:sz w:val="16"/>
                <w:szCs w:val="16"/>
              </w:rPr>
              <w:t>)</w:t>
            </w:r>
          </w:p>
        </w:tc>
        <w:tc>
          <w:tcPr>
            <w:tcW w:w="676" w:type="pct"/>
            <w:tcBorders>
              <w:top w:val="nil"/>
              <w:left w:val="nil"/>
              <w:bottom w:val="single" w:sz="4" w:space="0" w:color="auto"/>
              <w:right w:val="single" w:sz="4" w:space="0" w:color="auto"/>
            </w:tcBorders>
            <w:shd w:val="clear" w:color="auto" w:fill="auto"/>
            <w:vAlign w:val="center"/>
            <w:hideMark/>
          </w:tcPr>
          <w:p w14:paraId="370A2E80" w14:textId="77777777" w:rsidR="00B52D4A" w:rsidRPr="00A55185" w:rsidRDefault="00B52D4A" w:rsidP="00143E24">
            <w:pPr>
              <w:spacing w:line="240" w:lineRule="auto"/>
              <w:jc w:val="center"/>
              <w:rPr>
                <w:rFonts w:eastAsia="Times New Roman"/>
                <w:color w:val="000000"/>
                <w:sz w:val="16"/>
                <w:szCs w:val="16"/>
              </w:rPr>
            </w:pPr>
            <w:r w:rsidRPr="00A55185">
              <w:rPr>
                <w:rFonts w:eastAsia="Times New Roman"/>
                <w:color w:val="000000"/>
                <w:sz w:val="16"/>
                <w:szCs w:val="16"/>
              </w:rPr>
              <w:t>Here it is assumed that the production of Anti-Inflammatory Signals is restricted to the Anti-Inflammatory KC phenotype (a representation of the biological M2 phenotype) and that once in the Anti-Inflammatoy phenotype there is an immediate production of Anti-Inflammatory Signals</w:t>
            </w:r>
          </w:p>
        </w:tc>
        <w:tc>
          <w:tcPr>
            <w:tcW w:w="987" w:type="pct"/>
            <w:tcBorders>
              <w:top w:val="nil"/>
              <w:left w:val="nil"/>
              <w:bottom w:val="single" w:sz="4" w:space="0" w:color="auto"/>
              <w:right w:val="single" w:sz="4" w:space="0" w:color="auto"/>
            </w:tcBorders>
            <w:shd w:val="clear" w:color="auto" w:fill="auto"/>
            <w:vAlign w:val="center"/>
            <w:hideMark/>
          </w:tcPr>
          <w:p w14:paraId="1CA6C862" w14:textId="77777777" w:rsidR="00B52D4A" w:rsidRPr="00A55185" w:rsidRDefault="00B52D4A" w:rsidP="00143E24">
            <w:pPr>
              <w:spacing w:line="240" w:lineRule="auto"/>
              <w:jc w:val="center"/>
              <w:rPr>
                <w:rFonts w:eastAsia="Times New Roman"/>
                <w:color w:val="000000"/>
                <w:sz w:val="16"/>
                <w:szCs w:val="16"/>
              </w:rPr>
            </w:pPr>
            <w:r w:rsidRPr="00A55185">
              <w:rPr>
                <w:rFonts w:eastAsia="Times New Roman"/>
                <w:color w:val="000000"/>
                <w:sz w:val="16"/>
                <w:szCs w:val="16"/>
              </w:rPr>
              <w:t>Kupffer cells and myeloid cells are grouped together to form a single population referred to as 'Myeloid cells' and the abundance of this population and T cells serves as a proxy for the amount of ALC within the system (</w:t>
            </w:r>
            <w:r w:rsidRPr="00A55185">
              <w:rPr>
                <w:rFonts w:eastAsia="Times New Roman"/>
                <w:b/>
                <w:bCs/>
                <w:color w:val="000000"/>
                <w:sz w:val="16"/>
                <w:szCs w:val="16"/>
              </w:rPr>
              <w:t>Figure 4.21</w:t>
            </w:r>
            <w:r w:rsidRPr="00A55185">
              <w:rPr>
                <w:rFonts w:eastAsia="Times New Roman"/>
                <w:color w:val="000000"/>
                <w:sz w:val="16"/>
                <w:szCs w:val="16"/>
              </w:rPr>
              <w:t>)</w:t>
            </w:r>
          </w:p>
        </w:tc>
        <w:tc>
          <w:tcPr>
            <w:tcW w:w="854" w:type="pct"/>
            <w:tcBorders>
              <w:top w:val="nil"/>
              <w:left w:val="nil"/>
              <w:bottom w:val="single" w:sz="4" w:space="0" w:color="auto"/>
              <w:right w:val="single" w:sz="4" w:space="0" w:color="auto"/>
            </w:tcBorders>
            <w:shd w:val="clear" w:color="auto" w:fill="auto"/>
            <w:vAlign w:val="center"/>
            <w:hideMark/>
          </w:tcPr>
          <w:p w14:paraId="45620FF3" w14:textId="77777777" w:rsidR="00B52D4A" w:rsidRPr="00A55185" w:rsidRDefault="00B52D4A" w:rsidP="00143E24">
            <w:pPr>
              <w:spacing w:line="240" w:lineRule="auto"/>
              <w:jc w:val="center"/>
              <w:rPr>
                <w:rFonts w:eastAsia="Times New Roman"/>
                <w:color w:val="000000"/>
                <w:sz w:val="16"/>
                <w:szCs w:val="16"/>
              </w:rPr>
            </w:pPr>
            <w:r w:rsidRPr="00A55185">
              <w:rPr>
                <w:rFonts w:eastAsia="Times New Roman"/>
                <w:i/>
                <w:iCs/>
                <w:color w:val="000000"/>
                <w:sz w:val="16"/>
                <w:szCs w:val="16"/>
              </w:rPr>
              <w:t xml:space="preserve">Death of </w:t>
            </w:r>
            <w:r w:rsidRPr="00A55185">
              <w:rPr>
                <w:rFonts w:eastAsia="Times New Roman"/>
                <w:color w:val="000000"/>
                <w:sz w:val="16"/>
                <w:szCs w:val="16"/>
              </w:rPr>
              <w:t>L. donovani</w:t>
            </w:r>
            <w:r w:rsidRPr="00A55185">
              <w:rPr>
                <w:rFonts w:eastAsia="Times New Roman"/>
                <w:i/>
                <w:iCs/>
                <w:color w:val="000000"/>
                <w:sz w:val="16"/>
                <w:szCs w:val="16"/>
              </w:rPr>
              <w:t xml:space="preserve"> = - (((M + T)/tau) / (A</w:t>
            </w:r>
            <w:r w:rsidRPr="00A55185">
              <w:rPr>
                <w:rFonts w:eastAsia="Times New Roman"/>
                <w:i/>
                <w:iCs/>
                <w:color w:val="000000"/>
                <w:sz w:val="16"/>
                <w:szCs w:val="16"/>
                <w:vertAlign w:val="subscript"/>
              </w:rPr>
              <w:t>50</w:t>
            </w:r>
            <w:r w:rsidRPr="00A55185">
              <w:rPr>
                <w:rFonts w:eastAsia="Times New Roman"/>
                <w:i/>
                <w:iCs/>
                <w:color w:val="000000"/>
                <w:sz w:val="16"/>
                <w:szCs w:val="16"/>
              </w:rPr>
              <w:t xml:space="preserve"> + (M + T)/tau)) x P</w:t>
            </w:r>
            <w:r w:rsidRPr="00A55185">
              <w:rPr>
                <w:rFonts w:eastAsia="Times New Roman"/>
                <w:i/>
                <w:iCs/>
                <w:color w:val="000000"/>
                <w:sz w:val="16"/>
                <w:szCs w:val="16"/>
                <w:vertAlign w:val="subscript"/>
              </w:rPr>
              <w:t>i</w:t>
            </w:r>
            <w:r w:rsidRPr="00A55185">
              <w:rPr>
                <w:rFonts w:eastAsia="Times New Roman"/>
                <w:color w:val="000000"/>
                <w:sz w:val="16"/>
                <w:szCs w:val="16"/>
              </w:rPr>
              <w:br/>
              <w:t>M = Myeloid cell population (Sum of infected and susceptible myeloid cells)</w:t>
            </w:r>
            <w:r w:rsidRPr="00A55185">
              <w:rPr>
                <w:rFonts w:eastAsia="Times New Roman"/>
                <w:color w:val="000000"/>
                <w:sz w:val="16"/>
                <w:szCs w:val="16"/>
              </w:rPr>
              <w:br/>
              <w:t>T = T cell population</w:t>
            </w:r>
            <w:r w:rsidRPr="00A55185">
              <w:rPr>
                <w:rFonts w:eastAsia="Times New Roman"/>
                <w:color w:val="000000"/>
                <w:sz w:val="16"/>
                <w:szCs w:val="16"/>
              </w:rPr>
              <w:br/>
              <w:t>tau = Time delay in ALC production</w:t>
            </w:r>
            <w:r w:rsidRPr="00A55185">
              <w:rPr>
                <w:rFonts w:eastAsia="Times New Roman"/>
                <w:color w:val="000000"/>
                <w:sz w:val="16"/>
                <w:szCs w:val="16"/>
              </w:rPr>
              <w:br/>
              <w:t>A</w:t>
            </w:r>
            <w:r w:rsidRPr="00A55185">
              <w:rPr>
                <w:rFonts w:eastAsia="Times New Roman"/>
                <w:color w:val="000000"/>
                <w:sz w:val="16"/>
                <w:szCs w:val="16"/>
                <w:vertAlign w:val="subscript"/>
              </w:rPr>
              <w:t>50</w:t>
            </w:r>
            <w:r w:rsidRPr="00A55185">
              <w:rPr>
                <w:rFonts w:eastAsia="Times New Roman"/>
                <w:color w:val="000000"/>
                <w:sz w:val="16"/>
                <w:szCs w:val="16"/>
              </w:rPr>
              <w:t xml:space="preserve"> = Amount of ALC required to kill 50% of the </w:t>
            </w:r>
            <w:r w:rsidRPr="00A55185">
              <w:rPr>
                <w:rFonts w:eastAsia="Times New Roman"/>
                <w:i/>
                <w:iCs/>
                <w:color w:val="000000"/>
                <w:sz w:val="16"/>
                <w:szCs w:val="16"/>
              </w:rPr>
              <w:t>L. donovani</w:t>
            </w:r>
            <w:r w:rsidRPr="00A55185">
              <w:rPr>
                <w:rFonts w:eastAsia="Times New Roman"/>
                <w:color w:val="000000"/>
                <w:sz w:val="16"/>
                <w:szCs w:val="16"/>
              </w:rPr>
              <w:t xml:space="preserve"> population</w:t>
            </w:r>
            <w:r w:rsidRPr="00A55185">
              <w:rPr>
                <w:rFonts w:eastAsia="Times New Roman"/>
                <w:color w:val="000000"/>
                <w:sz w:val="16"/>
                <w:szCs w:val="16"/>
              </w:rPr>
              <w:br/>
              <w:t>P</w:t>
            </w:r>
            <w:r w:rsidRPr="00A55185">
              <w:rPr>
                <w:rFonts w:eastAsia="Times New Roman"/>
                <w:color w:val="000000"/>
                <w:sz w:val="16"/>
                <w:szCs w:val="16"/>
                <w:vertAlign w:val="subscript"/>
              </w:rPr>
              <w:t xml:space="preserve">i </w:t>
            </w:r>
            <w:r w:rsidRPr="00A55185">
              <w:rPr>
                <w:rFonts w:eastAsia="Times New Roman"/>
                <w:color w:val="000000"/>
                <w:sz w:val="16"/>
                <w:szCs w:val="16"/>
              </w:rPr>
              <w:t xml:space="preserve">= Intracellular </w:t>
            </w:r>
            <w:r w:rsidRPr="00A55185">
              <w:rPr>
                <w:rFonts w:eastAsia="Times New Roman"/>
                <w:i/>
                <w:iCs/>
                <w:color w:val="000000"/>
                <w:sz w:val="16"/>
                <w:szCs w:val="16"/>
              </w:rPr>
              <w:t xml:space="preserve">L. donovani </w:t>
            </w:r>
            <w:r w:rsidRPr="00A55185">
              <w:rPr>
                <w:rFonts w:eastAsia="Times New Roman"/>
                <w:color w:val="000000"/>
                <w:sz w:val="16"/>
                <w:szCs w:val="16"/>
              </w:rPr>
              <w:t>population</w:t>
            </w:r>
          </w:p>
        </w:tc>
        <w:tc>
          <w:tcPr>
            <w:tcW w:w="1121" w:type="pct"/>
            <w:tcBorders>
              <w:top w:val="nil"/>
              <w:left w:val="nil"/>
              <w:bottom w:val="single" w:sz="4" w:space="0" w:color="auto"/>
              <w:right w:val="single" w:sz="4" w:space="0" w:color="auto"/>
            </w:tcBorders>
            <w:shd w:val="clear" w:color="auto" w:fill="auto"/>
            <w:vAlign w:val="center"/>
            <w:hideMark/>
          </w:tcPr>
          <w:p w14:paraId="5E0AA788" w14:textId="77777777" w:rsidR="00B52D4A" w:rsidRPr="00A55185" w:rsidRDefault="00B52D4A" w:rsidP="00143E24">
            <w:pPr>
              <w:spacing w:line="240" w:lineRule="auto"/>
              <w:jc w:val="center"/>
              <w:rPr>
                <w:rFonts w:eastAsia="Times New Roman"/>
                <w:color w:val="000000"/>
                <w:sz w:val="16"/>
                <w:szCs w:val="16"/>
              </w:rPr>
            </w:pPr>
            <w:r w:rsidRPr="00A55185">
              <w:rPr>
                <w:rFonts w:eastAsia="Times New Roman"/>
                <w:i/>
                <w:iCs/>
                <w:color w:val="000000"/>
                <w:sz w:val="16"/>
                <w:szCs w:val="16"/>
              </w:rPr>
              <w:t xml:space="preserve">Death of </w:t>
            </w:r>
            <w:r w:rsidRPr="00A55185">
              <w:rPr>
                <w:rFonts w:eastAsia="Times New Roman"/>
                <w:color w:val="000000"/>
                <w:sz w:val="16"/>
                <w:szCs w:val="16"/>
              </w:rPr>
              <w:t>L. donovani</w:t>
            </w:r>
            <w:r w:rsidRPr="00A55185">
              <w:rPr>
                <w:rFonts w:eastAsia="Times New Roman"/>
                <w:i/>
                <w:iCs/>
                <w:color w:val="000000"/>
                <w:sz w:val="16"/>
                <w:szCs w:val="16"/>
              </w:rPr>
              <w:t xml:space="preserve"> = - (((M + T)/tau) / (A</w:t>
            </w:r>
            <w:r w:rsidRPr="00A55185">
              <w:rPr>
                <w:rFonts w:eastAsia="Times New Roman"/>
                <w:i/>
                <w:iCs/>
                <w:color w:val="000000"/>
                <w:sz w:val="16"/>
                <w:szCs w:val="16"/>
                <w:vertAlign w:val="subscript"/>
              </w:rPr>
              <w:t>50</w:t>
            </w:r>
            <w:r w:rsidRPr="00A55185">
              <w:rPr>
                <w:rFonts w:eastAsia="Times New Roman"/>
                <w:i/>
                <w:iCs/>
                <w:color w:val="000000"/>
                <w:sz w:val="16"/>
                <w:szCs w:val="16"/>
              </w:rPr>
              <w:t xml:space="preserve"> + (M + T)/tau)) x P</w:t>
            </w:r>
            <w:r w:rsidRPr="00A55185">
              <w:rPr>
                <w:rFonts w:eastAsia="Times New Roman"/>
                <w:i/>
                <w:iCs/>
                <w:color w:val="000000"/>
                <w:sz w:val="16"/>
                <w:szCs w:val="16"/>
                <w:vertAlign w:val="subscript"/>
              </w:rPr>
              <w:t>i</w:t>
            </w:r>
            <w:r w:rsidRPr="00A55185">
              <w:rPr>
                <w:rFonts w:eastAsia="Times New Roman"/>
                <w:color w:val="000000"/>
                <w:sz w:val="16"/>
                <w:szCs w:val="16"/>
              </w:rPr>
              <w:br/>
              <w:t>M = Myeloid cell population (Sum of infected and susceptible myeloid cells)</w:t>
            </w:r>
            <w:r w:rsidRPr="00A55185">
              <w:rPr>
                <w:rFonts w:eastAsia="Times New Roman"/>
                <w:color w:val="000000"/>
                <w:sz w:val="16"/>
                <w:szCs w:val="16"/>
              </w:rPr>
              <w:br/>
              <w:t>T = T cell population</w:t>
            </w:r>
            <w:r w:rsidRPr="00A55185">
              <w:rPr>
                <w:rFonts w:eastAsia="Times New Roman"/>
                <w:color w:val="000000"/>
                <w:sz w:val="16"/>
                <w:szCs w:val="16"/>
              </w:rPr>
              <w:br/>
              <w:t>tau = Time delay in ALC production</w:t>
            </w:r>
            <w:r w:rsidRPr="00A55185">
              <w:rPr>
                <w:rFonts w:eastAsia="Times New Roman"/>
                <w:color w:val="000000"/>
                <w:sz w:val="16"/>
                <w:szCs w:val="16"/>
              </w:rPr>
              <w:br/>
              <w:t>A</w:t>
            </w:r>
            <w:r w:rsidRPr="00A55185">
              <w:rPr>
                <w:rFonts w:eastAsia="Times New Roman"/>
                <w:color w:val="000000"/>
                <w:sz w:val="16"/>
                <w:szCs w:val="16"/>
                <w:vertAlign w:val="subscript"/>
              </w:rPr>
              <w:t>50</w:t>
            </w:r>
            <w:r w:rsidRPr="00A55185">
              <w:rPr>
                <w:rFonts w:eastAsia="Times New Roman"/>
                <w:color w:val="000000"/>
                <w:sz w:val="16"/>
                <w:szCs w:val="16"/>
              </w:rPr>
              <w:t xml:space="preserve"> = Amount of ALC required to kill 50% of the </w:t>
            </w:r>
            <w:r w:rsidRPr="00A55185">
              <w:rPr>
                <w:rFonts w:eastAsia="Times New Roman"/>
                <w:i/>
                <w:iCs/>
                <w:color w:val="000000"/>
                <w:sz w:val="16"/>
                <w:szCs w:val="16"/>
              </w:rPr>
              <w:t>L. donovani</w:t>
            </w:r>
            <w:r w:rsidRPr="00A55185">
              <w:rPr>
                <w:rFonts w:eastAsia="Times New Roman"/>
                <w:color w:val="000000"/>
                <w:sz w:val="16"/>
                <w:szCs w:val="16"/>
              </w:rPr>
              <w:t xml:space="preserve"> population</w:t>
            </w:r>
            <w:r w:rsidRPr="00A55185">
              <w:rPr>
                <w:rFonts w:eastAsia="Times New Roman"/>
                <w:color w:val="000000"/>
                <w:sz w:val="16"/>
                <w:szCs w:val="16"/>
              </w:rPr>
              <w:br/>
              <w:t>P</w:t>
            </w:r>
            <w:r w:rsidRPr="00A55185">
              <w:rPr>
                <w:rFonts w:eastAsia="Times New Roman"/>
                <w:color w:val="000000"/>
                <w:sz w:val="16"/>
                <w:szCs w:val="16"/>
                <w:vertAlign w:val="subscript"/>
              </w:rPr>
              <w:t xml:space="preserve">i </w:t>
            </w:r>
            <w:r w:rsidRPr="00A55185">
              <w:rPr>
                <w:rFonts w:eastAsia="Times New Roman"/>
                <w:color w:val="000000"/>
                <w:sz w:val="16"/>
                <w:szCs w:val="16"/>
              </w:rPr>
              <w:t xml:space="preserve">= Intracellular </w:t>
            </w:r>
            <w:r w:rsidRPr="00A55185">
              <w:rPr>
                <w:rFonts w:eastAsia="Times New Roman"/>
                <w:i/>
                <w:iCs/>
                <w:color w:val="000000"/>
                <w:sz w:val="16"/>
                <w:szCs w:val="16"/>
              </w:rPr>
              <w:t xml:space="preserve">L. donovani </w:t>
            </w:r>
            <w:r w:rsidRPr="00A55185">
              <w:rPr>
                <w:rFonts w:eastAsia="Times New Roman"/>
                <w:color w:val="000000"/>
                <w:sz w:val="16"/>
                <w:szCs w:val="16"/>
              </w:rPr>
              <w:t>population</w:t>
            </w:r>
          </w:p>
        </w:tc>
      </w:tr>
      <w:tr w:rsidR="00B52D4A" w:rsidRPr="00A55185" w14:paraId="36476B71" w14:textId="77777777" w:rsidTr="00F7425F">
        <w:trPr>
          <w:trHeight w:val="2080"/>
        </w:trPr>
        <w:tc>
          <w:tcPr>
            <w:tcW w:w="333" w:type="pct"/>
            <w:tcBorders>
              <w:top w:val="nil"/>
              <w:left w:val="single" w:sz="4" w:space="0" w:color="auto"/>
              <w:bottom w:val="single" w:sz="4" w:space="0" w:color="auto"/>
              <w:right w:val="single" w:sz="4" w:space="0" w:color="auto"/>
            </w:tcBorders>
            <w:shd w:val="clear" w:color="auto" w:fill="auto"/>
            <w:vAlign w:val="center"/>
            <w:hideMark/>
          </w:tcPr>
          <w:p w14:paraId="319B702C" w14:textId="77777777" w:rsidR="00B52D4A" w:rsidRPr="00A55185" w:rsidRDefault="00B52D4A" w:rsidP="00143E24">
            <w:pPr>
              <w:spacing w:line="240" w:lineRule="auto"/>
              <w:jc w:val="center"/>
              <w:rPr>
                <w:rFonts w:eastAsia="Times New Roman"/>
                <w:i/>
                <w:iCs/>
                <w:color w:val="000000"/>
                <w:sz w:val="16"/>
                <w:szCs w:val="16"/>
              </w:rPr>
            </w:pPr>
            <w:r w:rsidRPr="00A55185">
              <w:rPr>
                <w:rFonts w:eastAsia="Times New Roman"/>
                <w:i/>
                <w:iCs/>
                <w:color w:val="000000"/>
                <w:sz w:val="16"/>
                <w:szCs w:val="16"/>
              </w:rPr>
              <w:lastRenderedPageBreak/>
              <w:t xml:space="preserve">L. donovani </w:t>
            </w:r>
            <w:r w:rsidRPr="00A55185">
              <w:rPr>
                <w:rFonts w:eastAsia="Times New Roman"/>
                <w:color w:val="000000"/>
                <w:sz w:val="16"/>
                <w:szCs w:val="16"/>
              </w:rPr>
              <w:t>can infect Kupffer cells &amp; myeloid cells</w:t>
            </w:r>
          </w:p>
        </w:tc>
        <w:tc>
          <w:tcPr>
            <w:tcW w:w="352" w:type="pct"/>
            <w:tcBorders>
              <w:top w:val="nil"/>
              <w:left w:val="nil"/>
              <w:bottom w:val="single" w:sz="4" w:space="0" w:color="auto"/>
              <w:right w:val="single" w:sz="4" w:space="0" w:color="auto"/>
            </w:tcBorders>
            <w:shd w:val="clear" w:color="auto" w:fill="auto"/>
            <w:vAlign w:val="center"/>
            <w:hideMark/>
          </w:tcPr>
          <w:p w14:paraId="332B1503" w14:textId="77777777" w:rsidR="00B52D4A" w:rsidRPr="00A55185" w:rsidRDefault="00B52D4A" w:rsidP="00143E24">
            <w:pPr>
              <w:spacing w:line="240" w:lineRule="auto"/>
              <w:jc w:val="center"/>
              <w:rPr>
                <w:rFonts w:eastAsia="Times New Roman"/>
                <w:sz w:val="16"/>
                <w:szCs w:val="16"/>
              </w:rPr>
            </w:pPr>
            <w:r w:rsidRPr="00A55185">
              <w:rPr>
                <w:rFonts w:eastAsia="Times New Roman"/>
                <w:sz w:val="16"/>
                <w:szCs w:val="16"/>
              </w:rPr>
              <w:t>(Murray and Cohn, 1988; Beattie et al., 2010; McElrath, Terrazas et al., 2017)</w:t>
            </w:r>
          </w:p>
        </w:tc>
        <w:tc>
          <w:tcPr>
            <w:tcW w:w="676" w:type="pct"/>
            <w:tcBorders>
              <w:top w:val="nil"/>
              <w:left w:val="nil"/>
              <w:bottom w:val="single" w:sz="4" w:space="0" w:color="auto"/>
              <w:right w:val="single" w:sz="4" w:space="0" w:color="auto"/>
            </w:tcBorders>
            <w:shd w:val="clear" w:color="auto" w:fill="auto"/>
            <w:vAlign w:val="center"/>
            <w:hideMark/>
          </w:tcPr>
          <w:p w14:paraId="16D1E371" w14:textId="77777777" w:rsidR="00B52D4A" w:rsidRPr="00A55185" w:rsidRDefault="00B52D4A" w:rsidP="00143E24">
            <w:pPr>
              <w:spacing w:line="240" w:lineRule="auto"/>
              <w:jc w:val="center"/>
              <w:rPr>
                <w:rFonts w:eastAsia="Times New Roman"/>
                <w:color w:val="000000"/>
                <w:sz w:val="16"/>
                <w:szCs w:val="16"/>
              </w:rPr>
            </w:pPr>
            <w:r w:rsidRPr="00A55185">
              <w:rPr>
                <w:rFonts w:eastAsia="Times New Roman"/>
                <w:color w:val="000000"/>
                <w:sz w:val="16"/>
                <w:szCs w:val="16"/>
              </w:rPr>
              <w:t xml:space="preserve">Phagocytosis of </w:t>
            </w:r>
            <w:r w:rsidRPr="00A55185">
              <w:rPr>
                <w:rFonts w:eastAsia="Times New Roman"/>
                <w:i/>
                <w:iCs/>
                <w:color w:val="000000"/>
                <w:sz w:val="16"/>
                <w:szCs w:val="16"/>
              </w:rPr>
              <w:t xml:space="preserve">L. donovani </w:t>
            </w:r>
            <w:r w:rsidRPr="00A55185">
              <w:rPr>
                <w:rFonts w:eastAsia="Times New Roman"/>
                <w:color w:val="000000"/>
                <w:sz w:val="16"/>
                <w:szCs w:val="16"/>
              </w:rPr>
              <w:t>by myeloid or Kupffer cells leads to their infection (</w:t>
            </w:r>
            <w:r w:rsidRPr="00A55185">
              <w:rPr>
                <w:rFonts w:eastAsia="Times New Roman"/>
                <w:b/>
                <w:bCs/>
                <w:color w:val="000000"/>
                <w:sz w:val="16"/>
                <w:szCs w:val="16"/>
              </w:rPr>
              <w:t>Figure 4.9</w:t>
            </w:r>
            <w:r w:rsidRPr="00A55185">
              <w:rPr>
                <w:rFonts w:eastAsia="Times New Roman"/>
                <w:color w:val="000000"/>
                <w:sz w:val="16"/>
                <w:szCs w:val="16"/>
              </w:rPr>
              <w:t xml:space="preserve">; </w:t>
            </w:r>
            <w:r w:rsidRPr="00A55185">
              <w:rPr>
                <w:rFonts w:eastAsia="Times New Roman"/>
                <w:b/>
                <w:bCs/>
                <w:color w:val="000000"/>
                <w:sz w:val="16"/>
                <w:szCs w:val="16"/>
              </w:rPr>
              <w:t>Figure 4.15</w:t>
            </w:r>
            <w:r w:rsidRPr="00A55185">
              <w:rPr>
                <w:rFonts w:eastAsia="Times New Roman"/>
                <w:color w:val="000000"/>
                <w:sz w:val="16"/>
                <w:szCs w:val="16"/>
              </w:rPr>
              <w:t>)</w:t>
            </w:r>
          </w:p>
        </w:tc>
        <w:tc>
          <w:tcPr>
            <w:tcW w:w="676" w:type="pct"/>
            <w:tcBorders>
              <w:top w:val="nil"/>
              <w:left w:val="nil"/>
              <w:bottom w:val="single" w:sz="4" w:space="0" w:color="auto"/>
              <w:right w:val="single" w:sz="4" w:space="0" w:color="auto"/>
            </w:tcBorders>
            <w:shd w:val="clear" w:color="auto" w:fill="auto"/>
            <w:vAlign w:val="center"/>
            <w:hideMark/>
          </w:tcPr>
          <w:p w14:paraId="0D0F273E" w14:textId="77777777" w:rsidR="00B52D4A" w:rsidRPr="00A55185" w:rsidRDefault="00B52D4A" w:rsidP="00143E24">
            <w:pPr>
              <w:spacing w:line="240" w:lineRule="auto"/>
              <w:jc w:val="center"/>
              <w:rPr>
                <w:rFonts w:eastAsia="Times New Roman"/>
                <w:color w:val="000000"/>
                <w:sz w:val="16"/>
                <w:szCs w:val="16"/>
              </w:rPr>
            </w:pPr>
            <w:r w:rsidRPr="00A55185">
              <w:rPr>
                <w:rFonts w:eastAsia="Times New Roman"/>
                <w:color w:val="000000"/>
                <w:sz w:val="16"/>
                <w:szCs w:val="16"/>
              </w:rPr>
              <w:t xml:space="preserve">The inherent assumption in the domain representation is that all contacts between </w:t>
            </w:r>
            <w:r w:rsidRPr="00A55185">
              <w:rPr>
                <w:rFonts w:eastAsia="Times New Roman"/>
                <w:i/>
                <w:iCs/>
                <w:color w:val="000000"/>
                <w:sz w:val="16"/>
                <w:szCs w:val="16"/>
              </w:rPr>
              <w:t>L. donovani</w:t>
            </w:r>
            <w:r w:rsidRPr="00A55185">
              <w:rPr>
                <w:rFonts w:eastAsia="Times New Roman"/>
                <w:color w:val="000000"/>
                <w:sz w:val="16"/>
                <w:szCs w:val="16"/>
              </w:rPr>
              <w:t xml:space="preserve"> and either Kupffer or myeloid cells will lead to phagocytosis</w:t>
            </w:r>
          </w:p>
        </w:tc>
        <w:tc>
          <w:tcPr>
            <w:tcW w:w="987" w:type="pct"/>
            <w:tcBorders>
              <w:top w:val="nil"/>
              <w:left w:val="nil"/>
              <w:bottom w:val="single" w:sz="4" w:space="0" w:color="auto"/>
              <w:right w:val="single" w:sz="4" w:space="0" w:color="auto"/>
            </w:tcBorders>
            <w:shd w:val="clear" w:color="auto" w:fill="auto"/>
            <w:vAlign w:val="center"/>
            <w:hideMark/>
          </w:tcPr>
          <w:p w14:paraId="19612A0D" w14:textId="77777777" w:rsidR="00B52D4A" w:rsidRPr="00A55185" w:rsidRDefault="00B52D4A" w:rsidP="00143E24">
            <w:pPr>
              <w:spacing w:line="240" w:lineRule="auto"/>
              <w:jc w:val="center"/>
              <w:rPr>
                <w:rFonts w:eastAsia="Times New Roman"/>
                <w:color w:val="000000"/>
                <w:sz w:val="16"/>
                <w:szCs w:val="16"/>
              </w:rPr>
            </w:pPr>
            <w:r w:rsidRPr="00A55185">
              <w:rPr>
                <w:rFonts w:eastAsia="Times New Roman"/>
                <w:color w:val="000000"/>
                <w:sz w:val="16"/>
                <w:szCs w:val="16"/>
              </w:rPr>
              <w:t>Kupffer cells and myeloid cells are grouped together to form a single population referred to as 'Myeloid cells'. This population can exist in either a susceptible or infected state (</w:t>
            </w:r>
            <w:r w:rsidRPr="00A55185">
              <w:rPr>
                <w:rFonts w:eastAsia="Times New Roman"/>
                <w:b/>
                <w:bCs/>
                <w:color w:val="000000"/>
                <w:sz w:val="16"/>
                <w:szCs w:val="16"/>
              </w:rPr>
              <w:t>Figure 4.20</w:t>
            </w:r>
            <w:r w:rsidRPr="00A55185">
              <w:rPr>
                <w:rFonts w:eastAsia="Times New Roman"/>
                <w:color w:val="000000"/>
                <w:sz w:val="16"/>
                <w:szCs w:val="16"/>
              </w:rPr>
              <w:t xml:space="preserve">) whereby contact with </w:t>
            </w:r>
            <w:r w:rsidRPr="00A55185">
              <w:rPr>
                <w:rFonts w:eastAsia="Times New Roman"/>
                <w:i/>
                <w:iCs/>
                <w:color w:val="000000"/>
                <w:sz w:val="16"/>
                <w:szCs w:val="16"/>
              </w:rPr>
              <w:t>L. donovani</w:t>
            </w:r>
            <w:r w:rsidRPr="00A55185">
              <w:rPr>
                <w:rFonts w:eastAsia="Times New Roman"/>
                <w:color w:val="000000"/>
                <w:sz w:val="16"/>
                <w:szCs w:val="16"/>
              </w:rPr>
              <w:t xml:space="preserve"> may result in infection dependent upon a parameter reflecting the probability of a successful infection contact (</w:t>
            </w:r>
            <w:r w:rsidRPr="00A55185">
              <w:rPr>
                <w:rFonts w:eastAsia="Times New Roman"/>
                <w:b/>
                <w:bCs/>
                <w:color w:val="000000"/>
                <w:sz w:val="16"/>
                <w:szCs w:val="16"/>
              </w:rPr>
              <w:t>Figure 4.19</w:t>
            </w:r>
            <w:r w:rsidRPr="00A55185">
              <w:rPr>
                <w:rFonts w:eastAsia="Times New Roman"/>
                <w:color w:val="000000"/>
                <w:sz w:val="16"/>
                <w:szCs w:val="16"/>
              </w:rPr>
              <w:t>)</w:t>
            </w:r>
          </w:p>
        </w:tc>
        <w:tc>
          <w:tcPr>
            <w:tcW w:w="854" w:type="pct"/>
            <w:tcBorders>
              <w:top w:val="nil"/>
              <w:left w:val="nil"/>
              <w:bottom w:val="single" w:sz="4" w:space="0" w:color="auto"/>
              <w:right w:val="single" w:sz="4" w:space="0" w:color="auto"/>
            </w:tcBorders>
            <w:shd w:val="clear" w:color="auto" w:fill="auto"/>
            <w:vAlign w:val="center"/>
            <w:hideMark/>
          </w:tcPr>
          <w:p w14:paraId="3F96F4DD" w14:textId="77777777" w:rsidR="00B52D4A" w:rsidRPr="00A55185" w:rsidRDefault="00B52D4A" w:rsidP="00143E24">
            <w:pPr>
              <w:spacing w:line="240" w:lineRule="auto"/>
              <w:jc w:val="center"/>
              <w:rPr>
                <w:rFonts w:eastAsia="Times New Roman"/>
                <w:i/>
                <w:iCs/>
                <w:color w:val="000000"/>
                <w:sz w:val="16"/>
                <w:szCs w:val="16"/>
              </w:rPr>
            </w:pPr>
            <w:r w:rsidRPr="00A55185">
              <w:rPr>
                <w:rFonts w:eastAsia="Times New Roman"/>
                <w:i/>
                <w:iCs/>
                <w:color w:val="000000"/>
                <w:sz w:val="16"/>
                <w:szCs w:val="16"/>
              </w:rPr>
              <w:t>Suscepible Myeloid Cells = - β x M</w:t>
            </w:r>
            <w:r w:rsidRPr="00A55185">
              <w:rPr>
                <w:rFonts w:eastAsia="Times New Roman"/>
                <w:i/>
                <w:iCs/>
                <w:color w:val="000000"/>
                <w:sz w:val="16"/>
                <w:szCs w:val="16"/>
                <w:vertAlign w:val="subscript"/>
              </w:rPr>
              <w:t>s</w:t>
            </w:r>
            <w:r w:rsidRPr="00A55185">
              <w:rPr>
                <w:rFonts w:eastAsia="Times New Roman"/>
                <w:i/>
                <w:iCs/>
                <w:color w:val="000000"/>
                <w:sz w:val="16"/>
                <w:szCs w:val="16"/>
              </w:rPr>
              <w:t xml:space="preserve"> x P</w:t>
            </w:r>
            <w:r w:rsidRPr="00A55185">
              <w:rPr>
                <w:rFonts w:eastAsia="Times New Roman"/>
                <w:i/>
                <w:iCs/>
                <w:color w:val="000000"/>
                <w:sz w:val="16"/>
                <w:szCs w:val="16"/>
                <w:vertAlign w:val="subscript"/>
              </w:rPr>
              <w:t>e</w:t>
            </w:r>
            <w:r w:rsidRPr="00A55185">
              <w:rPr>
                <w:rFonts w:eastAsia="Times New Roman"/>
                <w:i/>
                <w:iCs/>
                <w:color w:val="000000"/>
                <w:sz w:val="16"/>
                <w:szCs w:val="16"/>
              </w:rPr>
              <w:br/>
              <w:t>Infected Myeloid Cells =  β x M</w:t>
            </w:r>
            <w:r w:rsidRPr="00A55185">
              <w:rPr>
                <w:rFonts w:eastAsia="Times New Roman"/>
                <w:i/>
                <w:iCs/>
                <w:color w:val="000000"/>
                <w:sz w:val="16"/>
                <w:szCs w:val="16"/>
                <w:vertAlign w:val="subscript"/>
              </w:rPr>
              <w:t>s</w:t>
            </w:r>
            <w:r w:rsidRPr="00A55185">
              <w:rPr>
                <w:rFonts w:eastAsia="Times New Roman"/>
                <w:i/>
                <w:iCs/>
                <w:color w:val="000000"/>
                <w:sz w:val="16"/>
                <w:szCs w:val="16"/>
              </w:rPr>
              <w:t xml:space="preserve"> x P</w:t>
            </w:r>
            <w:r w:rsidRPr="00A55185">
              <w:rPr>
                <w:rFonts w:eastAsia="Times New Roman"/>
                <w:i/>
                <w:iCs/>
                <w:color w:val="000000"/>
                <w:sz w:val="16"/>
                <w:szCs w:val="16"/>
                <w:vertAlign w:val="subscript"/>
              </w:rPr>
              <w:t>e</w:t>
            </w:r>
            <w:r w:rsidRPr="00A55185">
              <w:rPr>
                <w:rFonts w:eastAsia="Times New Roman"/>
                <w:i/>
                <w:iCs/>
                <w:color w:val="000000"/>
                <w:sz w:val="16"/>
                <w:szCs w:val="16"/>
              </w:rPr>
              <w:br/>
              <w:t xml:space="preserve">Extracellular </w:t>
            </w:r>
            <w:r w:rsidRPr="00A55185">
              <w:rPr>
                <w:rFonts w:eastAsia="Times New Roman"/>
                <w:color w:val="000000"/>
                <w:sz w:val="16"/>
                <w:szCs w:val="16"/>
              </w:rPr>
              <w:t>L. donovani = - c x β x M</w:t>
            </w:r>
            <w:r w:rsidRPr="00A55185">
              <w:rPr>
                <w:rFonts w:eastAsia="Times New Roman"/>
                <w:color w:val="000000"/>
                <w:sz w:val="16"/>
                <w:szCs w:val="16"/>
                <w:vertAlign w:val="subscript"/>
              </w:rPr>
              <w:t xml:space="preserve">s </w:t>
            </w:r>
            <w:r w:rsidRPr="00A55185">
              <w:rPr>
                <w:rFonts w:eastAsia="Times New Roman"/>
                <w:color w:val="000000"/>
                <w:sz w:val="16"/>
                <w:szCs w:val="16"/>
              </w:rPr>
              <w:t>x P</w:t>
            </w:r>
            <w:r w:rsidRPr="00A55185">
              <w:rPr>
                <w:rFonts w:eastAsia="Times New Roman"/>
                <w:color w:val="000000"/>
                <w:sz w:val="16"/>
                <w:szCs w:val="16"/>
                <w:vertAlign w:val="subscript"/>
              </w:rPr>
              <w:t>e</w:t>
            </w:r>
            <w:r w:rsidRPr="00A55185">
              <w:rPr>
                <w:rFonts w:eastAsia="Times New Roman"/>
                <w:color w:val="000000"/>
                <w:sz w:val="16"/>
                <w:szCs w:val="16"/>
              </w:rPr>
              <w:br/>
            </w:r>
            <w:r w:rsidRPr="00A55185">
              <w:rPr>
                <w:rFonts w:eastAsia="Times New Roman"/>
                <w:i/>
                <w:iCs/>
                <w:color w:val="000000"/>
                <w:sz w:val="16"/>
                <w:szCs w:val="16"/>
              </w:rPr>
              <w:t>Intracellular</w:t>
            </w:r>
            <w:r w:rsidRPr="00A55185">
              <w:rPr>
                <w:rFonts w:eastAsia="Times New Roman"/>
                <w:color w:val="000000"/>
                <w:sz w:val="16"/>
                <w:szCs w:val="16"/>
              </w:rPr>
              <w:t xml:space="preserve"> L. donovani = c x β x M</w:t>
            </w:r>
            <w:r w:rsidRPr="00A55185">
              <w:rPr>
                <w:rFonts w:eastAsia="Times New Roman"/>
                <w:color w:val="000000"/>
                <w:sz w:val="16"/>
                <w:szCs w:val="16"/>
                <w:vertAlign w:val="subscript"/>
              </w:rPr>
              <w:t xml:space="preserve">s </w:t>
            </w:r>
            <w:r w:rsidRPr="00A55185">
              <w:rPr>
                <w:rFonts w:eastAsia="Times New Roman"/>
                <w:color w:val="000000"/>
                <w:sz w:val="16"/>
                <w:szCs w:val="16"/>
              </w:rPr>
              <w:t>x P</w:t>
            </w:r>
            <w:r w:rsidRPr="00A55185">
              <w:rPr>
                <w:rFonts w:eastAsia="Times New Roman"/>
                <w:color w:val="000000"/>
                <w:sz w:val="16"/>
                <w:szCs w:val="16"/>
                <w:vertAlign w:val="subscript"/>
              </w:rPr>
              <w:t xml:space="preserve">e </w:t>
            </w:r>
            <w:r w:rsidRPr="00A55185">
              <w:rPr>
                <w:rFonts w:eastAsia="Times New Roman"/>
                <w:color w:val="000000"/>
                <w:sz w:val="16"/>
                <w:szCs w:val="16"/>
              </w:rPr>
              <w:br/>
              <w:t xml:space="preserve">c = Number of internalised </w:t>
            </w:r>
            <w:r w:rsidRPr="00A55185">
              <w:rPr>
                <w:rFonts w:eastAsia="Times New Roman"/>
                <w:i/>
                <w:iCs/>
                <w:color w:val="000000"/>
                <w:sz w:val="16"/>
                <w:szCs w:val="16"/>
              </w:rPr>
              <w:t>L. donovani</w:t>
            </w:r>
            <w:r w:rsidRPr="00A55185">
              <w:rPr>
                <w:rFonts w:eastAsia="Times New Roman"/>
                <w:color w:val="000000"/>
                <w:sz w:val="16"/>
                <w:szCs w:val="16"/>
              </w:rPr>
              <w:t xml:space="preserve"> per infection event</w:t>
            </w:r>
            <w:r w:rsidRPr="00A55185">
              <w:rPr>
                <w:rFonts w:eastAsia="Times New Roman"/>
                <w:color w:val="000000"/>
                <w:sz w:val="16"/>
                <w:szCs w:val="16"/>
              </w:rPr>
              <w:br/>
              <w:t>β = Rate of infection</w:t>
            </w:r>
            <w:r w:rsidRPr="00A55185">
              <w:rPr>
                <w:rFonts w:eastAsia="Times New Roman"/>
                <w:color w:val="000000"/>
                <w:sz w:val="16"/>
                <w:szCs w:val="16"/>
              </w:rPr>
              <w:br/>
              <w:t>M</w:t>
            </w:r>
            <w:r w:rsidRPr="00A55185">
              <w:rPr>
                <w:rFonts w:eastAsia="Times New Roman"/>
                <w:color w:val="000000"/>
                <w:sz w:val="16"/>
                <w:szCs w:val="16"/>
                <w:vertAlign w:val="subscript"/>
              </w:rPr>
              <w:t>s</w:t>
            </w:r>
            <w:r w:rsidRPr="00A55185">
              <w:rPr>
                <w:rFonts w:eastAsia="Times New Roman"/>
                <w:color w:val="000000"/>
                <w:sz w:val="16"/>
                <w:szCs w:val="16"/>
              </w:rPr>
              <w:t xml:space="preserve"> = Susceptible myeloid cell population</w:t>
            </w:r>
            <w:r w:rsidRPr="00A55185">
              <w:rPr>
                <w:rFonts w:eastAsia="Times New Roman"/>
                <w:color w:val="000000"/>
                <w:sz w:val="16"/>
                <w:szCs w:val="16"/>
              </w:rPr>
              <w:br/>
              <w:t>P</w:t>
            </w:r>
            <w:r w:rsidRPr="00A55185">
              <w:rPr>
                <w:rFonts w:eastAsia="Times New Roman"/>
                <w:color w:val="000000"/>
                <w:sz w:val="16"/>
                <w:szCs w:val="16"/>
                <w:vertAlign w:val="subscript"/>
              </w:rPr>
              <w:t>e</w:t>
            </w:r>
            <w:r w:rsidRPr="00A55185">
              <w:rPr>
                <w:rFonts w:eastAsia="Times New Roman"/>
                <w:color w:val="000000"/>
                <w:sz w:val="16"/>
                <w:szCs w:val="16"/>
              </w:rPr>
              <w:t xml:space="preserve"> = Extracellular </w:t>
            </w:r>
            <w:r w:rsidRPr="00A55185">
              <w:rPr>
                <w:rFonts w:eastAsia="Times New Roman"/>
                <w:i/>
                <w:iCs/>
                <w:color w:val="000000"/>
                <w:sz w:val="16"/>
                <w:szCs w:val="16"/>
              </w:rPr>
              <w:t xml:space="preserve">L. donovani </w:t>
            </w:r>
            <w:r w:rsidRPr="00A55185">
              <w:rPr>
                <w:rFonts w:eastAsia="Times New Roman"/>
                <w:color w:val="000000"/>
                <w:sz w:val="16"/>
                <w:szCs w:val="16"/>
              </w:rPr>
              <w:t>population</w:t>
            </w:r>
          </w:p>
        </w:tc>
        <w:tc>
          <w:tcPr>
            <w:tcW w:w="1121" w:type="pct"/>
            <w:tcBorders>
              <w:top w:val="nil"/>
              <w:left w:val="nil"/>
              <w:bottom w:val="single" w:sz="4" w:space="0" w:color="auto"/>
              <w:right w:val="single" w:sz="4" w:space="0" w:color="auto"/>
            </w:tcBorders>
            <w:shd w:val="clear" w:color="auto" w:fill="auto"/>
            <w:vAlign w:val="center"/>
            <w:hideMark/>
          </w:tcPr>
          <w:p w14:paraId="1D3C8858" w14:textId="77777777" w:rsidR="00B52D4A" w:rsidRPr="00A55185" w:rsidRDefault="00B52D4A" w:rsidP="00143E24">
            <w:pPr>
              <w:spacing w:line="240" w:lineRule="auto"/>
              <w:jc w:val="center"/>
              <w:rPr>
                <w:rFonts w:eastAsia="Times New Roman"/>
                <w:i/>
                <w:iCs/>
                <w:color w:val="000000"/>
                <w:sz w:val="16"/>
                <w:szCs w:val="16"/>
              </w:rPr>
            </w:pPr>
            <w:r w:rsidRPr="00A55185">
              <w:rPr>
                <w:rFonts w:eastAsia="Times New Roman"/>
                <w:i/>
                <w:iCs/>
                <w:color w:val="000000"/>
                <w:sz w:val="16"/>
                <w:szCs w:val="16"/>
              </w:rPr>
              <w:t>Suscepible Myeloid Cells = - β x M</w:t>
            </w:r>
            <w:r w:rsidRPr="00A55185">
              <w:rPr>
                <w:rFonts w:eastAsia="Times New Roman"/>
                <w:i/>
                <w:iCs/>
                <w:color w:val="000000"/>
                <w:sz w:val="16"/>
                <w:szCs w:val="16"/>
                <w:vertAlign w:val="subscript"/>
              </w:rPr>
              <w:t>s</w:t>
            </w:r>
            <w:r w:rsidRPr="00A55185">
              <w:rPr>
                <w:rFonts w:eastAsia="Times New Roman"/>
                <w:i/>
                <w:iCs/>
                <w:color w:val="000000"/>
                <w:sz w:val="16"/>
                <w:szCs w:val="16"/>
              </w:rPr>
              <w:t xml:space="preserve"> x P</w:t>
            </w:r>
            <w:r w:rsidRPr="00A55185">
              <w:rPr>
                <w:rFonts w:eastAsia="Times New Roman"/>
                <w:i/>
                <w:iCs/>
                <w:color w:val="000000"/>
                <w:sz w:val="16"/>
                <w:szCs w:val="16"/>
                <w:vertAlign w:val="subscript"/>
              </w:rPr>
              <w:t>e</w:t>
            </w:r>
            <w:r w:rsidRPr="00A55185">
              <w:rPr>
                <w:rFonts w:eastAsia="Times New Roman"/>
                <w:i/>
                <w:iCs/>
                <w:color w:val="000000"/>
                <w:sz w:val="16"/>
                <w:szCs w:val="16"/>
              </w:rPr>
              <w:br/>
              <w:t>Infected Myeloid Cells =  β x M</w:t>
            </w:r>
            <w:r w:rsidRPr="00A55185">
              <w:rPr>
                <w:rFonts w:eastAsia="Times New Roman"/>
                <w:i/>
                <w:iCs/>
                <w:color w:val="000000"/>
                <w:sz w:val="16"/>
                <w:szCs w:val="16"/>
                <w:vertAlign w:val="subscript"/>
              </w:rPr>
              <w:t>s</w:t>
            </w:r>
            <w:r w:rsidRPr="00A55185">
              <w:rPr>
                <w:rFonts w:eastAsia="Times New Roman"/>
                <w:i/>
                <w:iCs/>
                <w:color w:val="000000"/>
                <w:sz w:val="16"/>
                <w:szCs w:val="16"/>
              </w:rPr>
              <w:t xml:space="preserve"> x P</w:t>
            </w:r>
            <w:r w:rsidRPr="00A55185">
              <w:rPr>
                <w:rFonts w:eastAsia="Times New Roman"/>
                <w:i/>
                <w:iCs/>
                <w:color w:val="000000"/>
                <w:sz w:val="16"/>
                <w:szCs w:val="16"/>
                <w:vertAlign w:val="subscript"/>
              </w:rPr>
              <w:t>e</w:t>
            </w:r>
            <w:r w:rsidRPr="00A55185">
              <w:rPr>
                <w:rFonts w:eastAsia="Times New Roman"/>
                <w:i/>
                <w:iCs/>
                <w:color w:val="000000"/>
                <w:sz w:val="16"/>
                <w:szCs w:val="16"/>
              </w:rPr>
              <w:br/>
              <w:t xml:space="preserve">Extracellular </w:t>
            </w:r>
            <w:r w:rsidRPr="00A55185">
              <w:rPr>
                <w:rFonts w:eastAsia="Times New Roman"/>
                <w:color w:val="000000"/>
                <w:sz w:val="16"/>
                <w:szCs w:val="16"/>
              </w:rPr>
              <w:t>L. donovani = - c x β x M</w:t>
            </w:r>
            <w:r w:rsidRPr="00A55185">
              <w:rPr>
                <w:rFonts w:eastAsia="Times New Roman"/>
                <w:color w:val="000000"/>
                <w:sz w:val="16"/>
                <w:szCs w:val="16"/>
                <w:vertAlign w:val="subscript"/>
              </w:rPr>
              <w:t xml:space="preserve">s </w:t>
            </w:r>
            <w:r w:rsidRPr="00A55185">
              <w:rPr>
                <w:rFonts w:eastAsia="Times New Roman"/>
                <w:color w:val="000000"/>
                <w:sz w:val="16"/>
                <w:szCs w:val="16"/>
              </w:rPr>
              <w:t>x P</w:t>
            </w:r>
            <w:r w:rsidRPr="00A55185">
              <w:rPr>
                <w:rFonts w:eastAsia="Times New Roman"/>
                <w:color w:val="000000"/>
                <w:sz w:val="16"/>
                <w:szCs w:val="16"/>
                <w:vertAlign w:val="subscript"/>
              </w:rPr>
              <w:t>e</w:t>
            </w:r>
            <w:r w:rsidRPr="00A55185">
              <w:rPr>
                <w:rFonts w:eastAsia="Times New Roman"/>
                <w:color w:val="000000"/>
                <w:sz w:val="16"/>
                <w:szCs w:val="16"/>
              </w:rPr>
              <w:br/>
            </w:r>
            <w:r w:rsidRPr="00A55185">
              <w:rPr>
                <w:rFonts w:eastAsia="Times New Roman"/>
                <w:i/>
                <w:iCs/>
                <w:color w:val="000000"/>
                <w:sz w:val="16"/>
                <w:szCs w:val="16"/>
              </w:rPr>
              <w:t>Intracellular</w:t>
            </w:r>
            <w:r w:rsidRPr="00A55185">
              <w:rPr>
                <w:rFonts w:eastAsia="Times New Roman"/>
                <w:color w:val="000000"/>
                <w:sz w:val="16"/>
                <w:szCs w:val="16"/>
              </w:rPr>
              <w:t xml:space="preserve"> L. donovani = c x β x M</w:t>
            </w:r>
            <w:r w:rsidRPr="00A55185">
              <w:rPr>
                <w:rFonts w:eastAsia="Times New Roman"/>
                <w:color w:val="000000"/>
                <w:sz w:val="16"/>
                <w:szCs w:val="16"/>
                <w:vertAlign w:val="subscript"/>
              </w:rPr>
              <w:t xml:space="preserve">s </w:t>
            </w:r>
            <w:r w:rsidRPr="00A55185">
              <w:rPr>
                <w:rFonts w:eastAsia="Times New Roman"/>
                <w:color w:val="000000"/>
                <w:sz w:val="16"/>
                <w:szCs w:val="16"/>
              </w:rPr>
              <w:t>x P</w:t>
            </w:r>
            <w:r w:rsidRPr="00A55185">
              <w:rPr>
                <w:rFonts w:eastAsia="Times New Roman"/>
                <w:color w:val="000000"/>
                <w:sz w:val="16"/>
                <w:szCs w:val="16"/>
                <w:vertAlign w:val="subscript"/>
              </w:rPr>
              <w:t xml:space="preserve">e </w:t>
            </w:r>
            <w:r w:rsidRPr="00A55185">
              <w:rPr>
                <w:rFonts w:eastAsia="Times New Roman"/>
                <w:color w:val="000000"/>
                <w:sz w:val="16"/>
                <w:szCs w:val="16"/>
              </w:rPr>
              <w:br/>
              <w:t xml:space="preserve">c = Number of internalised </w:t>
            </w:r>
            <w:r w:rsidRPr="00A55185">
              <w:rPr>
                <w:rFonts w:eastAsia="Times New Roman"/>
                <w:i/>
                <w:iCs/>
                <w:color w:val="000000"/>
                <w:sz w:val="16"/>
                <w:szCs w:val="16"/>
              </w:rPr>
              <w:t>L. donovani</w:t>
            </w:r>
            <w:r w:rsidRPr="00A55185">
              <w:rPr>
                <w:rFonts w:eastAsia="Times New Roman"/>
                <w:color w:val="000000"/>
                <w:sz w:val="16"/>
                <w:szCs w:val="16"/>
              </w:rPr>
              <w:t xml:space="preserve"> per infection event</w:t>
            </w:r>
            <w:r w:rsidRPr="00A55185">
              <w:rPr>
                <w:rFonts w:eastAsia="Times New Roman"/>
                <w:color w:val="000000"/>
                <w:sz w:val="16"/>
                <w:szCs w:val="16"/>
              </w:rPr>
              <w:br/>
              <w:t>β = Rate of infection</w:t>
            </w:r>
            <w:r w:rsidRPr="00A55185">
              <w:rPr>
                <w:rFonts w:eastAsia="Times New Roman"/>
                <w:color w:val="000000"/>
                <w:sz w:val="16"/>
                <w:szCs w:val="16"/>
              </w:rPr>
              <w:br/>
              <w:t>M</w:t>
            </w:r>
            <w:r w:rsidRPr="00A55185">
              <w:rPr>
                <w:rFonts w:eastAsia="Times New Roman"/>
                <w:color w:val="000000"/>
                <w:sz w:val="16"/>
                <w:szCs w:val="16"/>
                <w:vertAlign w:val="subscript"/>
              </w:rPr>
              <w:t>s</w:t>
            </w:r>
            <w:r w:rsidRPr="00A55185">
              <w:rPr>
                <w:rFonts w:eastAsia="Times New Roman"/>
                <w:color w:val="000000"/>
                <w:sz w:val="16"/>
                <w:szCs w:val="16"/>
              </w:rPr>
              <w:t xml:space="preserve"> = Susceptible myeloid cell population</w:t>
            </w:r>
            <w:r w:rsidRPr="00A55185">
              <w:rPr>
                <w:rFonts w:eastAsia="Times New Roman"/>
                <w:color w:val="000000"/>
                <w:sz w:val="16"/>
                <w:szCs w:val="16"/>
              </w:rPr>
              <w:br/>
              <w:t>P</w:t>
            </w:r>
            <w:r w:rsidRPr="00A55185">
              <w:rPr>
                <w:rFonts w:eastAsia="Times New Roman"/>
                <w:color w:val="000000"/>
                <w:sz w:val="16"/>
                <w:szCs w:val="16"/>
                <w:vertAlign w:val="subscript"/>
              </w:rPr>
              <w:t>e</w:t>
            </w:r>
            <w:r w:rsidRPr="00A55185">
              <w:rPr>
                <w:rFonts w:eastAsia="Times New Roman"/>
                <w:color w:val="000000"/>
                <w:sz w:val="16"/>
                <w:szCs w:val="16"/>
              </w:rPr>
              <w:t xml:space="preserve"> = Extracellular </w:t>
            </w:r>
            <w:r w:rsidRPr="00A55185">
              <w:rPr>
                <w:rFonts w:eastAsia="Times New Roman"/>
                <w:i/>
                <w:iCs/>
                <w:color w:val="000000"/>
                <w:sz w:val="16"/>
                <w:szCs w:val="16"/>
              </w:rPr>
              <w:t xml:space="preserve">L. donovani </w:t>
            </w:r>
            <w:r w:rsidRPr="00A55185">
              <w:rPr>
                <w:rFonts w:eastAsia="Times New Roman"/>
                <w:color w:val="000000"/>
                <w:sz w:val="16"/>
                <w:szCs w:val="16"/>
              </w:rPr>
              <w:t>population</w:t>
            </w:r>
          </w:p>
        </w:tc>
      </w:tr>
      <w:tr w:rsidR="00B52D4A" w:rsidRPr="00A55185" w14:paraId="641EB2CA" w14:textId="77777777" w:rsidTr="00F7425F">
        <w:trPr>
          <w:trHeight w:val="1040"/>
        </w:trPr>
        <w:tc>
          <w:tcPr>
            <w:tcW w:w="333" w:type="pct"/>
            <w:tcBorders>
              <w:top w:val="nil"/>
              <w:left w:val="single" w:sz="4" w:space="0" w:color="auto"/>
              <w:bottom w:val="single" w:sz="4" w:space="0" w:color="auto"/>
              <w:right w:val="single" w:sz="4" w:space="0" w:color="auto"/>
            </w:tcBorders>
            <w:shd w:val="clear" w:color="auto" w:fill="auto"/>
            <w:vAlign w:val="center"/>
            <w:hideMark/>
          </w:tcPr>
          <w:p w14:paraId="6CF18EDD" w14:textId="77777777" w:rsidR="00B52D4A" w:rsidRPr="00A55185" w:rsidRDefault="00B52D4A" w:rsidP="00143E24">
            <w:pPr>
              <w:spacing w:line="240" w:lineRule="auto"/>
              <w:jc w:val="center"/>
              <w:rPr>
                <w:rFonts w:eastAsia="Times New Roman"/>
                <w:color w:val="000000"/>
                <w:sz w:val="16"/>
                <w:szCs w:val="16"/>
              </w:rPr>
            </w:pPr>
            <w:r w:rsidRPr="00A55185">
              <w:rPr>
                <w:rFonts w:eastAsia="Times New Roman"/>
                <w:i/>
                <w:iCs/>
                <w:color w:val="000000"/>
                <w:sz w:val="16"/>
                <w:szCs w:val="16"/>
              </w:rPr>
              <w:t>L. donovani</w:t>
            </w:r>
            <w:r w:rsidRPr="00A55185">
              <w:rPr>
                <w:rFonts w:eastAsia="Times New Roman"/>
                <w:color w:val="000000"/>
                <w:sz w:val="16"/>
                <w:szCs w:val="16"/>
              </w:rPr>
              <w:t xml:space="preserve"> inhibits normal T cell function</w:t>
            </w:r>
          </w:p>
        </w:tc>
        <w:tc>
          <w:tcPr>
            <w:tcW w:w="352" w:type="pct"/>
            <w:tcBorders>
              <w:top w:val="nil"/>
              <w:left w:val="nil"/>
              <w:bottom w:val="single" w:sz="4" w:space="0" w:color="auto"/>
              <w:right w:val="single" w:sz="4" w:space="0" w:color="auto"/>
            </w:tcBorders>
            <w:shd w:val="clear" w:color="auto" w:fill="auto"/>
            <w:vAlign w:val="center"/>
            <w:hideMark/>
          </w:tcPr>
          <w:p w14:paraId="0A0292B3" w14:textId="77777777" w:rsidR="00B52D4A" w:rsidRPr="00A55185" w:rsidRDefault="00B52D4A" w:rsidP="00143E24">
            <w:pPr>
              <w:spacing w:line="240" w:lineRule="auto"/>
              <w:jc w:val="center"/>
              <w:rPr>
                <w:rFonts w:eastAsia="Times New Roman"/>
                <w:sz w:val="16"/>
                <w:szCs w:val="16"/>
              </w:rPr>
            </w:pPr>
            <w:r w:rsidRPr="00A55185">
              <w:rPr>
                <w:rFonts w:eastAsia="Times New Roman"/>
                <w:sz w:val="16"/>
                <w:szCs w:val="16"/>
              </w:rPr>
              <w:t>(Alexander, Kaye and Engwerda, 2001)</w:t>
            </w:r>
          </w:p>
        </w:tc>
        <w:tc>
          <w:tcPr>
            <w:tcW w:w="676" w:type="pct"/>
            <w:tcBorders>
              <w:top w:val="nil"/>
              <w:left w:val="nil"/>
              <w:bottom w:val="single" w:sz="4" w:space="0" w:color="auto"/>
              <w:right w:val="single" w:sz="4" w:space="0" w:color="auto"/>
            </w:tcBorders>
            <w:shd w:val="clear" w:color="auto" w:fill="auto"/>
            <w:vAlign w:val="center"/>
            <w:hideMark/>
          </w:tcPr>
          <w:p w14:paraId="1FC28B69" w14:textId="77777777" w:rsidR="00B52D4A" w:rsidRPr="00A55185" w:rsidRDefault="00B52D4A" w:rsidP="00143E24">
            <w:pPr>
              <w:spacing w:line="240" w:lineRule="auto"/>
              <w:jc w:val="center"/>
              <w:rPr>
                <w:rFonts w:eastAsia="Times New Roman"/>
                <w:i/>
                <w:iCs/>
                <w:color w:val="000000"/>
                <w:sz w:val="16"/>
                <w:szCs w:val="16"/>
              </w:rPr>
            </w:pPr>
            <w:r w:rsidRPr="00A55185">
              <w:rPr>
                <w:rFonts w:eastAsia="Times New Roman"/>
                <w:i/>
                <w:iCs/>
                <w:color w:val="000000"/>
                <w:sz w:val="16"/>
                <w:szCs w:val="16"/>
              </w:rPr>
              <w:t>Not Explicitly represented in Domain Model Diagrams</w:t>
            </w:r>
          </w:p>
        </w:tc>
        <w:tc>
          <w:tcPr>
            <w:tcW w:w="676" w:type="pct"/>
            <w:tcBorders>
              <w:top w:val="nil"/>
              <w:left w:val="nil"/>
              <w:bottom w:val="single" w:sz="4" w:space="0" w:color="auto"/>
              <w:right w:val="single" w:sz="4" w:space="0" w:color="auto"/>
            </w:tcBorders>
            <w:shd w:val="clear" w:color="auto" w:fill="auto"/>
            <w:vAlign w:val="center"/>
            <w:hideMark/>
          </w:tcPr>
          <w:p w14:paraId="056AFF55" w14:textId="77777777" w:rsidR="00B52D4A" w:rsidRPr="00A55185" w:rsidRDefault="00B52D4A" w:rsidP="00143E24">
            <w:pPr>
              <w:spacing w:line="240" w:lineRule="auto"/>
              <w:jc w:val="center"/>
              <w:rPr>
                <w:rFonts w:eastAsia="Times New Roman"/>
                <w:color w:val="000000"/>
                <w:sz w:val="16"/>
                <w:szCs w:val="16"/>
              </w:rPr>
            </w:pPr>
            <w:r w:rsidRPr="00A55185">
              <w:rPr>
                <w:rFonts w:eastAsia="Times New Roman"/>
                <w:i/>
                <w:iCs/>
                <w:color w:val="000000"/>
                <w:sz w:val="16"/>
                <w:szCs w:val="16"/>
              </w:rPr>
              <w:t>L. donovani</w:t>
            </w:r>
            <w:r w:rsidRPr="00A55185">
              <w:rPr>
                <w:rFonts w:eastAsia="Times New Roman"/>
                <w:color w:val="000000"/>
                <w:sz w:val="16"/>
                <w:szCs w:val="16"/>
              </w:rPr>
              <w:t xml:space="preserve"> enacts it's inhibition of T cell function through pushing infected Kupffer cells into an anti-inflammatory phenotype thus producing anti-inflammatory signals</w:t>
            </w:r>
          </w:p>
        </w:tc>
        <w:tc>
          <w:tcPr>
            <w:tcW w:w="987" w:type="pct"/>
            <w:tcBorders>
              <w:top w:val="nil"/>
              <w:left w:val="nil"/>
              <w:bottom w:val="single" w:sz="4" w:space="0" w:color="auto"/>
              <w:right w:val="single" w:sz="4" w:space="0" w:color="auto"/>
            </w:tcBorders>
            <w:shd w:val="clear" w:color="auto" w:fill="auto"/>
            <w:vAlign w:val="center"/>
            <w:hideMark/>
          </w:tcPr>
          <w:p w14:paraId="74D21E97" w14:textId="77777777" w:rsidR="00B52D4A" w:rsidRPr="00A55185" w:rsidRDefault="00B52D4A" w:rsidP="00143E24">
            <w:pPr>
              <w:spacing w:line="240" w:lineRule="auto"/>
              <w:jc w:val="center"/>
              <w:rPr>
                <w:rFonts w:eastAsia="Times New Roman"/>
                <w:color w:val="000000"/>
                <w:sz w:val="16"/>
                <w:szCs w:val="16"/>
              </w:rPr>
            </w:pPr>
            <w:r w:rsidRPr="00A55185">
              <w:rPr>
                <w:rFonts w:eastAsia="Times New Roman"/>
                <w:color w:val="000000"/>
                <w:sz w:val="16"/>
                <w:szCs w:val="16"/>
              </w:rPr>
              <w:t>There is no representation of Anti-Inflammatory Signals instead the suppresive activity of Anti-Inflammatory signals on T cells is abstracted such that the parameter representing T cell death is a fixed rate reflecting the removal of T cells from the system (</w:t>
            </w:r>
            <w:r w:rsidRPr="00A55185">
              <w:rPr>
                <w:rFonts w:eastAsia="Times New Roman"/>
                <w:b/>
                <w:bCs/>
                <w:color w:val="000000"/>
                <w:sz w:val="16"/>
                <w:szCs w:val="16"/>
              </w:rPr>
              <w:t>Figure 4.21</w:t>
            </w:r>
            <w:r w:rsidRPr="00A55185">
              <w:rPr>
                <w:rFonts w:eastAsia="Times New Roman"/>
                <w:color w:val="000000"/>
                <w:sz w:val="16"/>
                <w:szCs w:val="16"/>
              </w:rPr>
              <w:t>)</w:t>
            </w:r>
          </w:p>
        </w:tc>
        <w:tc>
          <w:tcPr>
            <w:tcW w:w="854" w:type="pct"/>
            <w:tcBorders>
              <w:top w:val="nil"/>
              <w:left w:val="nil"/>
              <w:bottom w:val="single" w:sz="4" w:space="0" w:color="auto"/>
              <w:right w:val="single" w:sz="4" w:space="0" w:color="auto"/>
            </w:tcBorders>
            <w:shd w:val="clear" w:color="auto" w:fill="auto"/>
            <w:noWrap/>
            <w:vAlign w:val="center"/>
            <w:hideMark/>
          </w:tcPr>
          <w:p w14:paraId="3BEC8855" w14:textId="77777777" w:rsidR="00B52D4A" w:rsidRPr="00A55185" w:rsidRDefault="00B52D4A" w:rsidP="00143E24">
            <w:pPr>
              <w:spacing w:line="240" w:lineRule="auto"/>
              <w:jc w:val="center"/>
              <w:rPr>
                <w:rFonts w:eastAsia="Times New Roman"/>
                <w:color w:val="000000"/>
                <w:sz w:val="16"/>
                <w:szCs w:val="16"/>
              </w:rPr>
            </w:pPr>
          </w:p>
        </w:tc>
        <w:tc>
          <w:tcPr>
            <w:tcW w:w="1121" w:type="pct"/>
            <w:tcBorders>
              <w:top w:val="nil"/>
              <w:left w:val="nil"/>
              <w:bottom w:val="single" w:sz="4" w:space="0" w:color="auto"/>
              <w:right w:val="single" w:sz="4" w:space="0" w:color="auto"/>
            </w:tcBorders>
            <w:shd w:val="clear" w:color="auto" w:fill="auto"/>
            <w:noWrap/>
            <w:vAlign w:val="center"/>
            <w:hideMark/>
          </w:tcPr>
          <w:p w14:paraId="7C36F9EB" w14:textId="77777777" w:rsidR="00B52D4A" w:rsidRPr="00A55185" w:rsidRDefault="00B52D4A" w:rsidP="00143E24">
            <w:pPr>
              <w:spacing w:line="240" w:lineRule="auto"/>
              <w:jc w:val="center"/>
              <w:rPr>
                <w:rFonts w:eastAsia="Times New Roman"/>
                <w:color w:val="000000"/>
                <w:sz w:val="16"/>
                <w:szCs w:val="16"/>
              </w:rPr>
            </w:pPr>
          </w:p>
        </w:tc>
      </w:tr>
      <w:tr w:rsidR="00B52D4A" w:rsidRPr="00A55185" w14:paraId="15EB0750" w14:textId="77777777" w:rsidTr="00F7425F">
        <w:trPr>
          <w:trHeight w:val="1300"/>
        </w:trPr>
        <w:tc>
          <w:tcPr>
            <w:tcW w:w="333" w:type="pct"/>
            <w:tcBorders>
              <w:top w:val="nil"/>
              <w:left w:val="single" w:sz="4" w:space="0" w:color="auto"/>
              <w:bottom w:val="single" w:sz="4" w:space="0" w:color="auto"/>
              <w:right w:val="single" w:sz="4" w:space="0" w:color="auto"/>
            </w:tcBorders>
            <w:shd w:val="clear" w:color="auto" w:fill="auto"/>
            <w:vAlign w:val="center"/>
            <w:hideMark/>
          </w:tcPr>
          <w:p w14:paraId="08BDEA7E" w14:textId="77777777" w:rsidR="00B52D4A" w:rsidRPr="00A55185" w:rsidRDefault="00B52D4A" w:rsidP="00143E24">
            <w:pPr>
              <w:spacing w:line="240" w:lineRule="auto"/>
              <w:jc w:val="center"/>
              <w:rPr>
                <w:rFonts w:eastAsia="Times New Roman"/>
                <w:color w:val="000000"/>
                <w:sz w:val="16"/>
                <w:szCs w:val="16"/>
              </w:rPr>
            </w:pPr>
            <w:r w:rsidRPr="00A55185">
              <w:rPr>
                <w:rFonts w:eastAsia="Times New Roman"/>
                <w:i/>
                <w:iCs/>
                <w:color w:val="000000"/>
                <w:sz w:val="16"/>
                <w:szCs w:val="16"/>
              </w:rPr>
              <w:t>L. donovani</w:t>
            </w:r>
            <w:r w:rsidRPr="00A55185">
              <w:rPr>
                <w:rFonts w:eastAsia="Times New Roman"/>
                <w:color w:val="000000"/>
                <w:sz w:val="16"/>
                <w:szCs w:val="16"/>
              </w:rPr>
              <w:t xml:space="preserve"> promotes Anti-Inflammatory Signal production by Kupffer cells</w:t>
            </w:r>
          </w:p>
        </w:tc>
        <w:tc>
          <w:tcPr>
            <w:tcW w:w="352" w:type="pct"/>
            <w:tcBorders>
              <w:top w:val="nil"/>
              <w:left w:val="nil"/>
              <w:bottom w:val="single" w:sz="4" w:space="0" w:color="auto"/>
              <w:right w:val="single" w:sz="4" w:space="0" w:color="auto"/>
            </w:tcBorders>
            <w:shd w:val="clear" w:color="auto" w:fill="auto"/>
            <w:vAlign w:val="center"/>
            <w:hideMark/>
          </w:tcPr>
          <w:p w14:paraId="78D9A7F4" w14:textId="77777777" w:rsidR="00B52D4A" w:rsidRPr="00A55185" w:rsidRDefault="00B52D4A" w:rsidP="00143E24">
            <w:pPr>
              <w:spacing w:line="240" w:lineRule="auto"/>
              <w:jc w:val="center"/>
              <w:rPr>
                <w:rFonts w:eastAsia="Times New Roman"/>
                <w:sz w:val="16"/>
                <w:szCs w:val="16"/>
              </w:rPr>
            </w:pPr>
            <w:r w:rsidRPr="00A55185">
              <w:rPr>
                <w:rFonts w:eastAsia="Times New Roman"/>
                <w:sz w:val="16"/>
                <w:szCs w:val="16"/>
              </w:rPr>
              <w:t>(Albergante et al., 2013)</w:t>
            </w:r>
          </w:p>
        </w:tc>
        <w:tc>
          <w:tcPr>
            <w:tcW w:w="676" w:type="pct"/>
            <w:tcBorders>
              <w:top w:val="nil"/>
              <w:left w:val="nil"/>
              <w:bottom w:val="single" w:sz="4" w:space="0" w:color="auto"/>
              <w:right w:val="single" w:sz="4" w:space="0" w:color="auto"/>
            </w:tcBorders>
            <w:shd w:val="clear" w:color="auto" w:fill="auto"/>
            <w:vAlign w:val="center"/>
            <w:hideMark/>
          </w:tcPr>
          <w:p w14:paraId="510D4715" w14:textId="77777777" w:rsidR="00B52D4A" w:rsidRPr="00A55185" w:rsidRDefault="00B52D4A" w:rsidP="00143E24">
            <w:pPr>
              <w:spacing w:line="240" w:lineRule="auto"/>
              <w:jc w:val="center"/>
              <w:rPr>
                <w:rFonts w:eastAsia="Times New Roman"/>
                <w:i/>
                <w:iCs/>
                <w:color w:val="000000"/>
                <w:sz w:val="16"/>
                <w:szCs w:val="16"/>
              </w:rPr>
            </w:pPr>
            <w:r w:rsidRPr="00A55185">
              <w:rPr>
                <w:rFonts w:eastAsia="Times New Roman"/>
                <w:i/>
                <w:iCs/>
                <w:color w:val="000000"/>
                <w:sz w:val="16"/>
                <w:szCs w:val="16"/>
              </w:rPr>
              <w:t>L. donovani</w:t>
            </w:r>
            <w:r w:rsidRPr="00A55185">
              <w:rPr>
                <w:rFonts w:eastAsia="Times New Roman"/>
                <w:color w:val="000000"/>
                <w:sz w:val="16"/>
                <w:szCs w:val="16"/>
              </w:rPr>
              <w:t xml:space="preserve"> can induce Kupffer cells to develop an Anti-Inflammatory phenotype (</w:t>
            </w:r>
            <w:r w:rsidRPr="00A55185">
              <w:rPr>
                <w:rFonts w:eastAsia="Times New Roman"/>
                <w:b/>
                <w:bCs/>
                <w:color w:val="000000"/>
                <w:sz w:val="16"/>
                <w:szCs w:val="16"/>
              </w:rPr>
              <w:t>Figure 4.16)</w:t>
            </w:r>
          </w:p>
        </w:tc>
        <w:tc>
          <w:tcPr>
            <w:tcW w:w="676" w:type="pct"/>
            <w:tcBorders>
              <w:top w:val="nil"/>
              <w:left w:val="nil"/>
              <w:bottom w:val="single" w:sz="4" w:space="0" w:color="auto"/>
              <w:right w:val="single" w:sz="4" w:space="0" w:color="auto"/>
            </w:tcBorders>
            <w:shd w:val="clear" w:color="auto" w:fill="auto"/>
            <w:vAlign w:val="center"/>
            <w:hideMark/>
          </w:tcPr>
          <w:p w14:paraId="056CCBD2" w14:textId="77777777" w:rsidR="00B52D4A" w:rsidRPr="00A55185" w:rsidRDefault="00B52D4A" w:rsidP="00143E24">
            <w:pPr>
              <w:spacing w:line="240" w:lineRule="auto"/>
              <w:jc w:val="center"/>
              <w:rPr>
                <w:rFonts w:eastAsia="Times New Roman"/>
                <w:i/>
                <w:iCs/>
                <w:color w:val="000000"/>
                <w:sz w:val="16"/>
                <w:szCs w:val="16"/>
              </w:rPr>
            </w:pPr>
            <w:r w:rsidRPr="00A55185">
              <w:rPr>
                <w:rFonts w:eastAsia="Times New Roman"/>
                <w:color w:val="000000"/>
                <w:sz w:val="16"/>
                <w:szCs w:val="16"/>
              </w:rPr>
              <w:t xml:space="preserve">Here this process is simplified so that </w:t>
            </w:r>
            <w:r w:rsidRPr="00A55185">
              <w:rPr>
                <w:rFonts w:eastAsia="Times New Roman"/>
                <w:i/>
                <w:iCs/>
                <w:color w:val="000000"/>
                <w:sz w:val="16"/>
                <w:szCs w:val="16"/>
              </w:rPr>
              <w:t xml:space="preserve">L. donovani </w:t>
            </w:r>
            <w:r w:rsidRPr="00A55185">
              <w:rPr>
                <w:rFonts w:eastAsia="Times New Roman"/>
                <w:color w:val="000000"/>
                <w:sz w:val="16"/>
                <w:szCs w:val="16"/>
              </w:rPr>
              <w:t>does not directly enact Anti-Inflammatory Signal production, instead it pushes KCs to develop an anti-inflammatory phenotype which makes them produce anti-inflammatory signals</w:t>
            </w:r>
          </w:p>
        </w:tc>
        <w:tc>
          <w:tcPr>
            <w:tcW w:w="987" w:type="pct"/>
            <w:tcBorders>
              <w:top w:val="nil"/>
              <w:left w:val="nil"/>
              <w:bottom w:val="single" w:sz="4" w:space="0" w:color="auto"/>
              <w:right w:val="single" w:sz="4" w:space="0" w:color="auto"/>
            </w:tcBorders>
            <w:shd w:val="clear" w:color="auto" w:fill="auto"/>
            <w:vAlign w:val="center"/>
            <w:hideMark/>
          </w:tcPr>
          <w:p w14:paraId="39D3ECF0" w14:textId="77777777" w:rsidR="00B52D4A" w:rsidRPr="00A55185" w:rsidRDefault="00B52D4A" w:rsidP="00143E24">
            <w:pPr>
              <w:spacing w:line="240" w:lineRule="auto"/>
              <w:jc w:val="center"/>
              <w:rPr>
                <w:rFonts w:eastAsia="Times New Roman"/>
                <w:color w:val="000000"/>
                <w:sz w:val="16"/>
                <w:szCs w:val="16"/>
              </w:rPr>
            </w:pPr>
            <w:r w:rsidRPr="00A55185">
              <w:rPr>
                <w:rFonts w:eastAsia="Times New Roman"/>
                <w:color w:val="000000"/>
                <w:sz w:val="16"/>
                <w:szCs w:val="16"/>
              </w:rPr>
              <w:t>There is no representation of Anti-Inflammatory or Pro-Inflammatory Signals instead the actions of the signals which modulate the anti-leishmanial response (Pro- and Anti-Inflammatory Signals) are abstracted such that the amount of anti-leishmanial compounds is proportional to the amount of myeloid cells and T cells within the system (</w:t>
            </w:r>
            <w:r w:rsidRPr="00A55185">
              <w:rPr>
                <w:rFonts w:eastAsia="Times New Roman"/>
                <w:b/>
                <w:bCs/>
                <w:color w:val="000000"/>
                <w:sz w:val="16"/>
                <w:szCs w:val="16"/>
              </w:rPr>
              <w:t>Figure 4.21</w:t>
            </w:r>
            <w:r w:rsidRPr="00A55185">
              <w:rPr>
                <w:rFonts w:eastAsia="Times New Roman"/>
                <w:color w:val="000000"/>
                <w:sz w:val="16"/>
                <w:szCs w:val="16"/>
              </w:rPr>
              <w:t>)</w:t>
            </w:r>
          </w:p>
        </w:tc>
        <w:tc>
          <w:tcPr>
            <w:tcW w:w="854" w:type="pct"/>
            <w:tcBorders>
              <w:top w:val="nil"/>
              <w:left w:val="nil"/>
              <w:bottom w:val="single" w:sz="4" w:space="0" w:color="auto"/>
              <w:right w:val="single" w:sz="4" w:space="0" w:color="auto"/>
            </w:tcBorders>
            <w:shd w:val="clear" w:color="auto" w:fill="auto"/>
            <w:noWrap/>
            <w:vAlign w:val="center"/>
            <w:hideMark/>
          </w:tcPr>
          <w:p w14:paraId="12358F21" w14:textId="77777777" w:rsidR="00B52D4A" w:rsidRPr="00A55185" w:rsidRDefault="00B52D4A" w:rsidP="00143E24">
            <w:pPr>
              <w:spacing w:line="240" w:lineRule="auto"/>
              <w:jc w:val="center"/>
              <w:rPr>
                <w:rFonts w:eastAsia="Times New Roman"/>
                <w:color w:val="000000"/>
                <w:sz w:val="16"/>
                <w:szCs w:val="16"/>
              </w:rPr>
            </w:pPr>
          </w:p>
        </w:tc>
        <w:tc>
          <w:tcPr>
            <w:tcW w:w="1121" w:type="pct"/>
            <w:tcBorders>
              <w:top w:val="nil"/>
              <w:left w:val="nil"/>
              <w:bottom w:val="single" w:sz="4" w:space="0" w:color="auto"/>
              <w:right w:val="single" w:sz="4" w:space="0" w:color="auto"/>
            </w:tcBorders>
            <w:shd w:val="clear" w:color="auto" w:fill="auto"/>
            <w:noWrap/>
            <w:vAlign w:val="center"/>
            <w:hideMark/>
          </w:tcPr>
          <w:p w14:paraId="2BC09398" w14:textId="77777777" w:rsidR="00B52D4A" w:rsidRPr="00A55185" w:rsidRDefault="00B52D4A" w:rsidP="00143E24">
            <w:pPr>
              <w:spacing w:line="240" w:lineRule="auto"/>
              <w:jc w:val="center"/>
              <w:rPr>
                <w:rFonts w:eastAsia="Times New Roman"/>
                <w:color w:val="000000"/>
                <w:sz w:val="16"/>
                <w:szCs w:val="16"/>
              </w:rPr>
            </w:pPr>
          </w:p>
        </w:tc>
      </w:tr>
      <w:tr w:rsidR="00B52D4A" w:rsidRPr="00A55185" w14:paraId="78A3C6C8" w14:textId="77777777" w:rsidTr="00F7425F">
        <w:trPr>
          <w:trHeight w:val="1040"/>
        </w:trPr>
        <w:tc>
          <w:tcPr>
            <w:tcW w:w="333" w:type="pct"/>
            <w:tcBorders>
              <w:top w:val="nil"/>
              <w:left w:val="single" w:sz="4" w:space="0" w:color="auto"/>
              <w:bottom w:val="single" w:sz="4" w:space="0" w:color="auto"/>
              <w:right w:val="single" w:sz="4" w:space="0" w:color="auto"/>
            </w:tcBorders>
            <w:shd w:val="clear" w:color="auto" w:fill="auto"/>
            <w:vAlign w:val="center"/>
            <w:hideMark/>
          </w:tcPr>
          <w:p w14:paraId="74843A69" w14:textId="77777777" w:rsidR="00B52D4A" w:rsidRPr="00A55185" w:rsidRDefault="00B52D4A" w:rsidP="00143E24">
            <w:pPr>
              <w:spacing w:line="240" w:lineRule="auto"/>
              <w:jc w:val="center"/>
              <w:rPr>
                <w:rFonts w:eastAsia="Times New Roman"/>
                <w:color w:val="000000"/>
                <w:sz w:val="16"/>
                <w:szCs w:val="16"/>
              </w:rPr>
            </w:pPr>
            <w:r w:rsidRPr="00A55185">
              <w:rPr>
                <w:rFonts w:eastAsia="Times New Roman"/>
                <w:color w:val="000000"/>
                <w:sz w:val="16"/>
                <w:szCs w:val="16"/>
              </w:rPr>
              <w:t>Modulatory Signals activate T cells to produce Anti-Inflammatory Signals</w:t>
            </w:r>
          </w:p>
        </w:tc>
        <w:tc>
          <w:tcPr>
            <w:tcW w:w="352" w:type="pct"/>
            <w:tcBorders>
              <w:top w:val="nil"/>
              <w:left w:val="nil"/>
              <w:bottom w:val="single" w:sz="4" w:space="0" w:color="auto"/>
              <w:right w:val="single" w:sz="4" w:space="0" w:color="auto"/>
            </w:tcBorders>
            <w:shd w:val="clear" w:color="auto" w:fill="auto"/>
            <w:vAlign w:val="center"/>
            <w:hideMark/>
          </w:tcPr>
          <w:p w14:paraId="0FC1D0BF" w14:textId="77777777" w:rsidR="00B52D4A" w:rsidRPr="00A55185" w:rsidRDefault="00B52D4A" w:rsidP="00143E24">
            <w:pPr>
              <w:spacing w:line="240" w:lineRule="auto"/>
              <w:jc w:val="center"/>
              <w:rPr>
                <w:rFonts w:eastAsia="Times New Roman"/>
                <w:sz w:val="16"/>
                <w:szCs w:val="16"/>
              </w:rPr>
            </w:pPr>
            <w:r w:rsidRPr="00A55185">
              <w:rPr>
                <w:rFonts w:eastAsia="Times New Roman"/>
                <w:sz w:val="16"/>
                <w:szCs w:val="16"/>
              </w:rPr>
              <w:t>(Bushell and Wood, 1999; Le Gros et al., 1990; Yi, Cox and Zajac, 2010; Moore et al., 2013)</w:t>
            </w:r>
          </w:p>
        </w:tc>
        <w:tc>
          <w:tcPr>
            <w:tcW w:w="676" w:type="pct"/>
            <w:tcBorders>
              <w:top w:val="nil"/>
              <w:left w:val="nil"/>
              <w:bottom w:val="single" w:sz="4" w:space="0" w:color="auto"/>
              <w:right w:val="single" w:sz="4" w:space="0" w:color="auto"/>
            </w:tcBorders>
            <w:shd w:val="clear" w:color="auto" w:fill="auto"/>
            <w:vAlign w:val="center"/>
            <w:hideMark/>
          </w:tcPr>
          <w:p w14:paraId="1971F9F1" w14:textId="77777777" w:rsidR="00B52D4A" w:rsidRPr="00A55185" w:rsidRDefault="00B52D4A" w:rsidP="00143E24">
            <w:pPr>
              <w:spacing w:line="240" w:lineRule="auto"/>
              <w:jc w:val="center"/>
              <w:rPr>
                <w:rFonts w:eastAsia="Times New Roman"/>
                <w:color w:val="000000"/>
                <w:sz w:val="16"/>
                <w:szCs w:val="16"/>
              </w:rPr>
            </w:pPr>
            <w:r w:rsidRPr="00A55185">
              <w:rPr>
                <w:rFonts w:eastAsia="Times New Roman"/>
                <w:color w:val="000000"/>
                <w:sz w:val="16"/>
                <w:szCs w:val="16"/>
              </w:rPr>
              <w:t>T cells detecting Modulatory Signals AND presented antigen by myeloid cells produce Anti-Inflammatory cytokines (</w:t>
            </w:r>
            <w:r w:rsidRPr="00A55185">
              <w:rPr>
                <w:rFonts w:eastAsia="Times New Roman"/>
                <w:b/>
                <w:bCs/>
                <w:color w:val="000000"/>
                <w:sz w:val="16"/>
                <w:szCs w:val="16"/>
              </w:rPr>
              <w:t>Figure 4.7</w:t>
            </w:r>
            <w:r w:rsidRPr="00A55185">
              <w:rPr>
                <w:rFonts w:eastAsia="Times New Roman"/>
                <w:color w:val="000000"/>
                <w:sz w:val="16"/>
                <w:szCs w:val="16"/>
              </w:rPr>
              <w:t>)</w:t>
            </w:r>
          </w:p>
        </w:tc>
        <w:tc>
          <w:tcPr>
            <w:tcW w:w="676" w:type="pct"/>
            <w:tcBorders>
              <w:top w:val="nil"/>
              <w:left w:val="nil"/>
              <w:bottom w:val="single" w:sz="4" w:space="0" w:color="auto"/>
              <w:right w:val="single" w:sz="4" w:space="0" w:color="auto"/>
            </w:tcBorders>
            <w:shd w:val="clear" w:color="auto" w:fill="auto"/>
            <w:vAlign w:val="center"/>
            <w:hideMark/>
          </w:tcPr>
          <w:p w14:paraId="448E6220" w14:textId="77777777" w:rsidR="00B52D4A" w:rsidRPr="00A55185" w:rsidRDefault="00B52D4A" w:rsidP="00143E24">
            <w:pPr>
              <w:spacing w:line="240" w:lineRule="auto"/>
              <w:jc w:val="center"/>
              <w:rPr>
                <w:rFonts w:eastAsia="Times New Roman"/>
                <w:color w:val="000000"/>
                <w:sz w:val="16"/>
                <w:szCs w:val="16"/>
              </w:rPr>
            </w:pPr>
            <w:r w:rsidRPr="00A55185">
              <w:rPr>
                <w:rFonts w:eastAsia="Times New Roman"/>
                <w:color w:val="000000"/>
                <w:sz w:val="16"/>
                <w:szCs w:val="16"/>
              </w:rPr>
              <w:t>Modulatory Signal detection by T cells and antigen presentation by myeloid cells is an approxmiation of CD4</w:t>
            </w:r>
            <w:r w:rsidRPr="00A55185">
              <w:rPr>
                <w:rFonts w:eastAsia="Times New Roman"/>
                <w:color w:val="000000"/>
                <w:sz w:val="16"/>
                <w:szCs w:val="16"/>
                <w:vertAlign w:val="superscript"/>
              </w:rPr>
              <w:t>+</w:t>
            </w:r>
            <w:r w:rsidRPr="00A55185">
              <w:rPr>
                <w:rFonts w:eastAsia="Times New Roman"/>
                <w:color w:val="000000"/>
                <w:sz w:val="16"/>
                <w:szCs w:val="16"/>
              </w:rPr>
              <w:t xml:space="preserve"> Th</w:t>
            </w:r>
            <w:r w:rsidRPr="00A55185">
              <w:rPr>
                <w:rFonts w:eastAsia="Times New Roman"/>
                <w:color w:val="000000"/>
                <w:sz w:val="16"/>
                <w:szCs w:val="16"/>
                <w:vertAlign w:val="subscript"/>
              </w:rPr>
              <w:t>2</w:t>
            </w:r>
            <w:r w:rsidRPr="00A55185">
              <w:rPr>
                <w:rFonts w:eastAsia="Times New Roman"/>
                <w:color w:val="000000"/>
                <w:sz w:val="16"/>
                <w:szCs w:val="16"/>
              </w:rPr>
              <w:t xml:space="preserve"> response generation (whereby biologically IL-4 and MHC-II antigen </w:t>
            </w:r>
            <w:r w:rsidRPr="00A55185">
              <w:rPr>
                <w:rFonts w:eastAsia="Times New Roman"/>
                <w:color w:val="000000"/>
                <w:sz w:val="16"/>
                <w:szCs w:val="16"/>
              </w:rPr>
              <w:lastRenderedPageBreak/>
              <w:t>presentation would generate a Th</w:t>
            </w:r>
            <w:r w:rsidRPr="00A55185">
              <w:rPr>
                <w:rFonts w:eastAsia="Times New Roman"/>
                <w:color w:val="000000"/>
                <w:sz w:val="16"/>
                <w:szCs w:val="16"/>
                <w:vertAlign w:val="subscript"/>
              </w:rPr>
              <w:t>2</w:t>
            </w:r>
            <w:r w:rsidRPr="00A55185">
              <w:rPr>
                <w:rFonts w:eastAsia="Times New Roman"/>
                <w:color w:val="000000"/>
                <w:sz w:val="16"/>
                <w:szCs w:val="16"/>
              </w:rPr>
              <w:t xml:space="preserve"> response)</w:t>
            </w:r>
          </w:p>
        </w:tc>
        <w:tc>
          <w:tcPr>
            <w:tcW w:w="987" w:type="pct"/>
            <w:tcBorders>
              <w:top w:val="nil"/>
              <w:left w:val="nil"/>
              <w:bottom w:val="single" w:sz="4" w:space="0" w:color="auto"/>
              <w:right w:val="single" w:sz="4" w:space="0" w:color="auto"/>
            </w:tcBorders>
            <w:shd w:val="clear" w:color="auto" w:fill="auto"/>
            <w:vAlign w:val="center"/>
            <w:hideMark/>
          </w:tcPr>
          <w:p w14:paraId="25573BB8" w14:textId="77777777" w:rsidR="00B52D4A" w:rsidRPr="00A55185" w:rsidRDefault="00B52D4A" w:rsidP="00143E24">
            <w:pPr>
              <w:spacing w:line="240" w:lineRule="auto"/>
              <w:jc w:val="center"/>
              <w:rPr>
                <w:rFonts w:eastAsia="Times New Roman"/>
                <w:color w:val="000000"/>
                <w:sz w:val="16"/>
                <w:szCs w:val="16"/>
              </w:rPr>
            </w:pPr>
            <w:r w:rsidRPr="00A55185">
              <w:rPr>
                <w:rFonts w:eastAsia="Times New Roman"/>
                <w:color w:val="000000"/>
                <w:sz w:val="16"/>
                <w:szCs w:val="16"/>
              </w:rPr>
              <w:lastRenderedPageBreak/>
              <w:t>There is no representation of Modulatory or Anti-Inflammatory Signals</w:t>
            </w:r>
          </w:p>
        </w:tc>
        <w:tc>
          <w:tcPr>
            <w:tcW w:w="854" w:type="pct"/>
            <w:tcBorders>
              <w:top w:val="nil"/>
              <w:left w:val="nil"/>
              <w:bottom w:val="single" w:sz="4" w:space="0" w:color="auto"/>
              <w:right w:val="single" w:sz="4" w:space="0" w:color="auto"/>
            </w:tcBorders>
            <w:shd w:val="clear" w:color="auto" w:fill="auto"/>
            <w:noWrap/>
            <w:vAlign w:val="center"/>
            <w:hideMark/>
          </w:tcPr>
          <w:p w14:paraId="1E9AD05F" w14:textId="77777777" w:rsidR="00B52D4A" w:rsidRPr="00A55185" w:rsidRDefault="00B52D4A" w:rsidP="00143E24">
            <w:pPr>
              <w:spacing w:line="240" w:lineRule="auto"/>
              <w:jc w:val="center"/>
              <w:rPr>
                <w:rFonts w:eastAsia="Times New Roman"/>
                <w:color w:val="000000"/>
                <w:sz w:val="16"/>
                <w:szCs w:val="16"/>
              </w:rPr>
            </w:pPr>
          </w:p>
        </w:tc>
        <w:tc>
          <w:tcPr>
            <w:tcW w:w="1121" w:type="pct"/>
            <w:tcBorders>
              <w:top w:val="nil"/>
              <w:left w:val="nil"/>
              <w:bottom w:val="single" w:sz="4" w:space="0" w:color="auto"/>
              <w:right w:val="single" w:sz="4" w:space="0" w:color="auto"/>
            </w:tcBorders>
            <w:shd w:val="clear" w:color="auto" w:fill="auto"/>
            <w:noWrap/>
            <w:vAlign w:val="center"/>
            <w:hideMark/>
          </w:tcPr>
          <w:p w14:paraId="34388DC6" w14:textId="77777777" w:rsidR="00B52D4A" w:rsidRPr="00A55185" w:rsidRDefault="00B52D4A" w:rsidP="00143E24">
            <w:pPr>
              <w:spacing w:line="240" w:lineRule="auto"/>
              <w:jc w:val="center"/>
              <w:rPr>
                <w:rFonts w:eastAsia="Times New Roman"/>
                <w:color w:val="000000"/>
                <w:sz w:val="16"/>
                <w:szCs w:val="16"/>
              </w:rPr>
            </w:pPr>
          </w:p>
        </w:tc>
      </w:tr>
      <w:tr w:rsidR="00B52D4A" w:rsidRPr="00A55185" w14:paraId="50AE130B" w14:textId="77777777" w:rsidTr="00F7425F">
        <w:trPr>
          <w:trHeight w:val="1300"/>
        </w:trPr>
        <w:tc>
          <w:tcPr>
            <w:tcW w:w="333" w:type="pct"/>
            <w:tcBorders>
              <w:top w:val="nil"/>
              <w:left w:val="single" w:sz="4" w:space="0" w:color="auto"/>
              <w:bottom w:val="single" w:sz="4" w:space="0" w:color="auto"/>
              <w:right w:val="single" w:sz="4" w:space="0" w:color="auto"/>
            </w:tcBorders>
            <w:shd w:val="clear" w:color="auto" w:fill="auto"/>
            <w:vAlign w:val="center"/>
            <w:hideMark/>
          </w:tcPr>
          <w:p w14:paraId="3E0DEF67" w14:textId="77777777" w:rsidR="00B52D4A" w:rsidRPr="00A55185" w:rsidRDefault="00B52D4A" w:rsidP="00143E24">
            <w:pPr>
              <w:spacing w:line="240" w:lineRule="auto"/>
              <w:jc w:val="center"/>
              <w:rPr>
                <w:rFonts w:eastAsia="Times New Roman"/>
                <w:color w:val="000000"/>
                <w:sz w:val="16"/>
                <w:szCs w:val="16"/>
              </w:rPr>
            </w:pPr>
            <w:r w:rsidRPr="00A55185">
              <w:rPr>
                <w:rFonts w:eastAsia="Times New Roman"/>
                <w:color w:val="000000"/>
                <w:sz w:val="16"/>
                <w:szCs w:val="16"/>
              </w:rPr>
              <w:t>Myeloid cells present antigen to T cells in the Liver</w:t>
            </w:r>
          </w:p>
        </w:tc>
        <w:tc>
          <w:tcPr>
            <w:tcW w:w="352" w:type="pct"/>
            <w:tcBorders>
              <w:top w:val="nil"/>
              <w:left w:val="nil"/>
              <w:bottom w:val="single" w:sz="4" w:space="0" w:color="auto"/>
              <w:right w:val="single" w:sz="4" w:space="0" w:color="auto"/>
            </w:tcBorders>
            <w:shd w:val="clear" w:color="auto" w:fill="auto"/>
            <w:vAlign w:val="center"/>
            <w:hideMark/>
          </w:tcPr>
          <w:p w14:paraId="37A608ED" w14:textId="77777777" w:rsidR="00B52D4A" w:rsidRPr="00A55185" w:rsidRDefault="00B52D4A" w:rsidP="00143E24">
            <w:pPr>
              <w:spacing w:line="240" w:lineRule="auto"/>
              <w:jc w:val="center"/>
              <w:rPr>
                <w:rFonts w:eastAsia="Times New Roman"/>
                <w:sz w:val="16"/>
                <w:szCs w:val="16"/>
              </w:rPr>
            </w:pPr>
            <w:r w:rsidRPr="00A55185">
              <w:rPr>
                <w:rFonts w:eastAsia="Times New Roman"/>
                <w:sz w:val="16"/>
                <w:szCs w:val="16"/>
              </w:rPr>
              <w:t>(Engwerda and Kaye, 2000)</w:t>
            </w:r>
          </w:p>
        </w:tc>
        <w:tc>
          <w:tcPr>
            <w:tcW w:w="676" w:type="pct"/>
            <w:tcBorders>
              <w:top w:val="nil"/>
              <w:left w:val="nil"/>
              <w:bottom w:val="single" w:sz="4" w:space="0" w:color="auto"/>
              <w:right w:val="single" w:sz="4" w:space="0" w:color="auto"/>
            </w:tcBorders>
            <w:shd w:val="clear" w:color="auto" w:fill="auto"/>
            <w:vAlign w:val="center"/>
            <w:hideMark/>
          </w:tcPr>
          <w:p w14:paraId="77B14303" w14:textId="77777777" w:rsidR="00B52D4A" w:rsidRPr="00A55185" w:rsidRDefault="00B52D4A" w:rsidP="00143E24">
            <w:pPr>
              <w:spacing w:line="240" w:lineRule="auto"/>
              <w:jc w:val="center"/>
              <w:rPr>
                <w:rFonts w:eastAsia="Times New Roman"/>
                <w:color w:val="000000"/>
                <w:sz w:val="16"/>
                <w:szCs w:val="16"/>
              </w:rPr>
            </w:pPr>
            <w:r w:rsidRPr="00A55185">
              <w:rPr>
                <w:rFonts w:eastAsia="Times New Roman"/>
                <w:color w:val="000000"/>
                <w:sz w:val="16"/>
                <w:szCs w:val="16"/>
              </w:rPr>
              <w:t xml:space="preserve">Infected myeloid cells within the liver having killed some amount of their intracellular </w:t>
            </w:r>
            <w:r w:rsidRPr="00A55185">
              <w:rPr>
                <w:rFonts w:eastAsia="Times New Roman"/>
                <w:i/>
                <w:iCs/>
                <w:color w:val="000000"/>
                <w:sz w:val="16"/>
                <w:szCs w:val="16"/>
              </w:rPr>
              <w:t xml:space="preserve">L. donovani, </w:t>
            </w:r>
            <w:r w:rsidRPr="00A55185">
              <w:rPr>
                <w:rFonts w:eastAsia="Times New Roman"/>
                <w:color w:val="000000"/>
                <w:sz w:val="16"/>
                <w:szCs w:val="16"/>
              </w:rPr>
              <w:t xml:space="preserve">through ALC production, present </w:t>
            </w:r>
            <w:r w:rsidRPr="00A55185">
              <w:rPr>
                <w:rFonts w:eastAsia="Times New Roman"/>
                <w:i/>
                <w:iCs/>
                <w:color w:val="000000"/>
                <w:sz w:val="16"/>
                <w:szCs w:val="16"/>
              </w:rPr>
              <w:t>L. donovani</w:t>
            </w:r>
            <w:r w:rsidRPr="00A55185">
              <w:rPr>
                <w:rFonts w:eastAsia="Times New Roman"/>
                <w:color w:val="000000"/>
                <w:sz w:val="16"/>
                <w:szCs w:val="16"/>
              </w:rPr>
              <w:t xml:space="preserve"> antigen to other cells (</w:t>
            </w:r>
            <w:r w:rsidRPr="00A55185">
              <w:rPr>
                <w:rFonts w:eastAsia="Times New Roman"/>
                <w:b/>
                <w:bCs/>
                <w:color w:val="000000"/>
                <w:sz w:val="16"/>
                <w:szCs w:val="16"/>
              </w:rPr>
              <w:t>Figure 4.9</w:t>
            </w:r>
            <w:r w:rsidRPr="00A55185">
              <w:rPr>
                <w:rFonts w:eastAsia="Times New Roman"/>
                <w:color w:val="000000"/>
                <w:sz w:val="16"/>
                <w:szCs w:val="16"/>
              </w:rPr>
              <w:t>)</w:t>
            </w:r>
          </w:p>
        </w:tc>
        <w:tc>
          <w:tcPr>
            <w:tcW w:w="676" w:type="pct"/>
            <w:tcBorders>
              <w:top w:val="nil"/>
              <w:left w:val="nil"/>
              <w:bottom w:val="single" w:sz="4" w:space="0" w:color="auto"/>
              <w:right w:val="single" w:sz="4" w:space="0" w:color="auto"/>
            </w:tcBorders>
            <w:shd w:val="clear" w:color="auto" w:fill="auto"/>
            <w:vAlign w:val="center"/>
            <w:hideMark/>
          </w:tcPr>
          <w:p w14:paraId="6664BEE7" w14:textId="77777777" w:rsidR="00B52D4A" w:rsidRPr="00A55185" w:rsidRDefault="00B52D4A" w:rsidP="00143E24">
            <w:pPr>
              <w:spacing w:line="240" w:lineRule="auto"/>
              <w:jc w:val="center"/>
              <w:rPr>
                <w:rFonts w:eastAsia="Times New Roman"/>
                <w:color w:val="000000"/>
                <w:sz w:val="16"/>
                <w:szCs w:val="16"/>
              </w:rPr>
            </w:pPr>
            <w:r w:rsidRPr="00A55185">
              <w:rPr>
                <w:rFonts w:eastAsia="Times New Roman"/>
                <w:color w:val="000000"/>
                <w:sz w:val="16"/>
                <w:szCs w:val="16"/>
              </w:rPr>
              <w:t>Antigen presentation is dependent on the death of intracellular parasite, there is no inherent antigen specificty with all naïve T cells able to recognise antigen presented</w:t>
            </w:r>
          </w:p>
        </w:tc>
        <w:tc>
          <w:tcPr>
            <w:tcW w:w="987" w:type="pct"/>
            <w:tcBorders>
              <w:top w:val="nil"/>
              <w:left w:val="nil"/>
              <w:bottom w:val="single" w:sz="4" w:space="0" w:color="auto"/>
              <w:right w:val="single" w:sz="4" w:space="0" w:color="auto"/>
            </w:tcBorders>
            <w:shd w:val="clear" w:color="auto" w:fill="auto"/>
            <w:vAlign w:val="center"/>
            <w:hideMark/>
          </w:tcPr>
          <w:p w14:paraId="41FC84A7" w14:textId="77777777" w:rsidR="00B52D4A" w:rsidRPr="00A55185" w:rsidRDefault="00B52D4A" w:rsidP="00143E24">
            <w:pPr>
              <w:spacing w:line="240" w:lineRule="auto"/>
              <w:jc w:val="center"/>
              <w:rPr>
                <w:rFonts w:eastAsia="Times New Roman"/>
                <w:color w:val="000000"/>
                <w:sz w:val="16"/>
                <w:szCs w:val="16"/>
              </w:rPr>
            </w:pPr>
            <w:r w:rsidRPr="00A55185">
              <w:rPr>
                <w:rFonts w:eastAsia="Times New Roman"/>
                <w:color w:val="000000"/>
                <w:sz w:val="16"/>
                <w:szCs w:val="16"/>
              </w:rPr>
              <w:t>Antigen presentation is not represented within the model, instead the assumption that myeloid cells and T cells acting as a proxy for the amount of ALC is used to also abstract the concept of T cell activation through antigen presentation, this is assumed through increasing numbers of T cells and myeloid cells would result in higher levels of successful T cell activation</w:t>
            </w:r>
          </w:p>
        </w:tc>
        <w:tc>
          <w:tcPr>
            <w:tcW w:w="854" w:type="pct"/>
            <w:tcBorders>
              <w:top w:val="nil"/>
              <w:left w:val="nil"/>
              <w:bottom w:val="single" w:sz="4" w:space="0" w:color="auto"/>
              <w:right w:val="single" w:sz="4" w:space="0" w:color="auto"/>
            </w:tcBorders>
            <w:shd w:val="clear" w:color="auto" w:fill="auto"/>
            <w:noWrap/>
            <w:vAlign w:val="center"/>
            <w:hideMark/>
          </w:tcPr>
          <w:p w14:paraId="0F79C141" w14:textId="77777777" w:rsidR="00B52D4A" w:rsidRPr="00A55185" w:rsidRDefault="00B52D4A" w:rsidP="00143E24">
            <w:pPr>
              <w:spacing w:line="240" w:lineRule="auto"/>
              <w:jc w:val="center"/>
              <w:rPr>
                <w:rFonts w:eastAsia="Times New Roman"/>
                <w:color w:val="000000"/>
                <w:sz w:val="16"/>
                <w:szCs w:val="16"/>
              </w:rPr>
            </w:pPr>
          </w:p>
        </w:tc>
        <w:tc>
          <w:tcPr>
            <w:tcW w:w="1121" w:type="pct"/>
            <w:tcBorders>
              <w:top w:val="nil"/>
              <w:left w:val="nil"/>
              <w:bottom w:val="single" w:sz="4" w:space="0" w:color="auto"/>
              <w:right w:val="single" w:sz="4" w:space="0" w:color="auto"/>
            </w:tcBorders>
            <w:shd w:val="clear" w:color="auto" w:fill="auto"/>
            <w:noWrap/>
            <w:vAlign w:val="center"/>
            <w:hideMark/>
          </w:tcPr>
          <w:p w14:paraId="4CF79222" w14:textId="77777777" w:rsidR="00B52D4A" w:rsidRPr="00A55185" w:rsidRDefault="00B52D4A" w:rsidP="00143E24">
            <w:pPr>
              <w:spacing w:line="240" w:lineRule="auto"/>
              <w:jc w:val="center"/>
              <w:rPr>
                <w:rFonts w:eastAsia="Times New Roman"/>
                <w:color w:val="000000"/>
                <w:sz w:val="16"/>
                <w:szCs w:val="16"/>
              </w:rPr>
            </w:pPr>
          </w:p>
        </w:tc>
      </w:tr>
      <w:tr w:rsidR="00B52D4A" w:rsidRPr="00A55185" w14:paraId="1AFC3F53" w14:textId="77777777" w:rsidTr="00F7425F">
        <w:trPr>
          <w:trHeight w:val="2080"/>
        </w:trPr>
        <w:tc>
          <w:tcPr>
            <w:tcW w:w="333" w:type="pct"/>
            <w:tcBorders>
              <w:top w:val="nil"/>
              <w:left w:val="single" w:sz="4" w:space="0" w:color="auto"/>
              <w:bottom w:val="single" w:sz="4" w:space="0" w:color="auto"/>
              <w:right w:val="single" w:sz="4" w:space="0" w:color="auto"/>
            </w:tcBorders>
            <w:shd w:val="clear" w:color="auto" w:fill="auto"/>
            <w:vAlign w:val="center"/>
            <w:hideMark/>
          </w:tcPr>
          <w:p w14:paraId="411D6E07" w14:textId="77777777" w:rsidR="00B52D4A" w:rsidRPr="00A55185" w:rsidRDefault="00B52D4A" w:rsidP="00143E24">
            <w:pPr>
              <w:spacing w:line="240" w:lineRule="auto"/>
              <w:jc w:val="center"/>
              <w:rPr>
                <w:rFonts w:eastAsia="Times New Roman"/>
                <w:color w:val="000000"/>
                <w:sz w:val="16"/>
                <w:szCs w:val="16"/>
              </w:rPr>
            </w:pPr>
            <w:r w:rsidRPr="00A55185">
              <w:rPr>
                <w:rFonts w:eastAsia="Times New Roman"/>
                <w:color w:val="000000"/>
                <w:sz w:val="16"/>
                <w:szCs w:val="16"/>
              </w:rPr>
              <w:t>Myeloid cells can produce Anti-Leishmanial Compounds</w:t>
            </w:r>
          </w:p>
        </w:tc>
        <w:tc>
          <w:tcPr>
            <w:tcW w:w="352" w:type="pct"/>
            <w:tcBorders>
              <w:top w:val="nil"/>
              <w:left w:val="nil"/>
              <w:bottom w:val="single" w:sz="4" w:space="0" w:color="auto"/>
              <w:right w:val="single" w:sz="4" w:space="0" w:color="auto"/>
            </w:tcBorders>
            <w:shd w:val="clear" w:color="auto" w:fill="auto"/>
            <w:vAlign w:val="center"/>
            <w:hideMark/>
          </w:tcPr>
          <w:p w14:paraId="2112E500" w14:textId="77777777" w:rsidR="00B52D4A" w:rsidRPr="00A55185" w:rsidRDefault="00B52D4A" w:rsidP="00143E24">
            <w:pPr>
              <w:spacing w:line="240" w:lineRule="auto"/>
              <w:jc w:val="center"/>
              <w:rPr>
                <w:rFonts w:eastAsia="Times New Roman"/>
                <w:sz w:val="16"/>
                <w:szCs w:val="16"/>
              </w:rPr>
            </w:pPr>
            <w:r w:rsidRPr="00A55185">
              <w:rPr>
                <w:rFonts w:eastAsia="Times New Roman"/>
                <w:sz w:val="16"/>
                <w:szCs w:val="16"/>
              </w:rPr>
              <w:t>(Shi and Pamer, 2014)</w:t>
            </w:r>
          </w:p>
        </w:tc>
        <w:tc>
          <w:tcPr>
            <w:tcW w:w="676" w:type="pct"/>
            <w:tcBorders>
              <w:top w:val="nil"/>
              <w:left w:val="nil"/>
              <w:bottom w:val="single" w:sz="4" w:space="0" w:color="auto"/>
              <w:right w:val="single" w:sz="4" w:space="0" w:color="auto"/>
            </w:tcBorders>
            <w:shd w:val="clear" w:color="auto" w:fill="auto"/>
            <w:vAlign w:val="center"/>
            <w:hideMark/>
          </w:tcPr>
          <w:p w14:paraId="6CE7FE66" w14:textId="77777777" w:rsidR="00B52D4A" w:rsidRPr="00A55185" w:rsidRDefault="00B52D4A" w:rsidP="00143E24">
            <w:pPr>
              <w:spacing w:line="240" w:lineRule="auto"/>
              <w:jc w:val="center"/>
              <w:rPr>
                <w:rFonts w:eastAsia="Times New Roman"/>
                <w:color w:val="000000"/>
                <w:sz w:val="16"/>
                <w:szCs w:val="16"/>
              </w:rPr>
            </w:pPr>
            <w:r w:rsidRPr="00A55185">
              <w:rPr>
                <w:rFonts w:eastAsia="Times New Roman"/>
                <w:color w:val="000000"/>
                <w:sz w:val="16"/>
                <w:szCs w:val="16"/>
              </w:rPr>
              <w:t>Myeloid cells detect pro-inflammatory signals leading to their production of anti-leishmanial compounds (</w:t>
            </w:r>
            <w:r w:rsidRPr="00A55185">
              <w:rPr>
                <w:rFonts w:eastAsia="Times New Roman"/>
                <w:b/>
                <w:bCs/>
                <w:color w:val="000000"/>
                <w:sz w:val="16"/>
                <w:szCs w:val="16"/>
              </w:rPr>
              <w:t>Figure 4.9</w:t>
            </w:r>
            <w:r w:rsidRPr="00A55185">
              <w:rPr>
                <w:rFonts w:eastAsia="Times New Roman"/>
                <w:color w:val="000000"/>
                <w:sz w:val="16"/>
                <w:szCs w:val="16"/>
              </w:rPr>
              <w:t>) or myeloid cells are infected and inherently produce anti-leishmanial compounds (</w:t>
            </w:r>
            <w:r w:rsidRPr="00A55185">
              <w:rPr>
                <w:rFonts w:eastAsia="Times New Roman"/>
                <w:b/>
                <w:bCs/>
                <w:color w:val="000000"/>
                <w:sz w:val="16"/>
                <w:szCs w:val="16"/>
              </w:rPr>
              <w:t>Figure 4.9</w:t>
            </w:r>
            <w:r w:rsidRPr="00A55185">
              <w:rPr>
                <w:rFonts w:eastAsia="Times New Roman"/>
                <w:color w:val="000000"/>
                <w:sz w:val="16"/>
                <w:szCs w:val="16"/>
              </w:rPr>
              <w:t>)</w:t>
            </w:r>
          </w:p>
        </w:tc>
        <w:tc>
          <w:tcPr>
            <w:tcW w:w="676" w:type="pct"/>
            <w:tcBorders>
              <w:top w:val="nil"/>
              <w:left w:val="nil"/>
              <w:bottom w:val="single" w:sz="4" w:space="0" w:color="auto"/>
              <w:right w:val="single" w:sz="4" w:space="0" w:color="auto"/>
            </w:tcBorders>
            <w:shd w:val="clear" w:color="auto" w:fill="auto"/>
            <w:vAlign w:val="center"/>
            <w:hideMark/>
          </w:tcPr>
          <w:p w14:paraId="1B17813F" w14:textId="77777777" w:rsidR="00B52D4A" w:rsidRPr="00A55185" w:rsidRDefault="00B52D4A" w:rsidP="00143E24">
            <w:pPr>
              <w:spacing w:line="240" w:lineRule="auto"/>
              <w:jc w:val="center"/>
              <w:rPr>
                <w:rFonts w:eastAsia="Times New Roman"/>
                <w:color w:val="000000"/>
                <w:sz w:val="16"/>
                <w:szCs w:val="16"/>
              </w:rPr>
            </w:pPr>
            <w:r w:rsidRPr="00A55185">
              <w:rPr>
                <w:rFonts w:eastAsia="Times New Roman"/>
                <w:color w:val="000000"/>
                <w:sz w:val="16"/>
                <w:szCs w:val="16"/>
              </w:rPr>
              <w:t>Pro-Inflammatory Signals are the only signal needed for myeloid cells to produce anti-leishmanial compounds which occurs immediately after detection</w:t>
            </w:r>
          </w:p>
        </w:tc>
        <w:tc>
          <w:tcPr>
            <w:tcW w:w="987" w:type="pct"/>
            <w:tcBorders>
              <w:top w:val="nil"/>
              <w:left w:val="nil"/>
              <w:bottom w:val="single" w:sz="4" w:space="0" w:color="auto"/>
              <w:right w:val="single" w:sz="4" w:space="0" w:color="auto"/>
            </w:tcBorders>
            <w:shd w:val="clear" w:color="auto" w:fill="auto"/>
            <w:vAlign w:val="center"/>
            <w:hideMark/>
          </w:tcPr>
          <w:p w14:paraId="6FC620D4" w14:textId="77777777" w:rsidR="00B52D4A" w:rsidRPr="00A55185" w:rsidRDefault="00B52D4A" w:rsidP="00143E24">
            <w:pPr>
              <w:spacing w:line="240" w:lineRule="auto"/>
              <w:jc w:val="center"/>
              <w:rPr>
                <w:rFonts w:eastAsia="Times New Roman"/>
                <w:color w:val="000000"/>
                <w:sz w:val="16"/>
                <w:szCs w:val="16"/>
              </w:rPr>
            </w:pPr>
            <w:r w:rsidRPr="00A55185">
              <w:rPr>
                <w:rFonts w:eastAsia="Times New Roman"/>
                <w:color w:val="000000"/>
                <w:sz w:val="16"/>
                <w:szCs w:val="16"/>
              </w:rPr>
              <w:t>Anti-Leishmanial compounds are abstracted such that they are represented indirectly. The amount of myeloid cells and T cells is a proxy for the amount of ALC and so L. donovani is killed dependent upon the abundance of these cells within the system (</w:t>
            </w:r>
            <w:r w:rsidRPr="00A55185">
              <w:rPr>
                <w:rFonts w:eastAsia="Times New Roman"/>
                <w:b/>
                <w:bCs/>
                <w:color w:val="000000"/>
                <w:sz w:val="16"/>
                <w:szCs w:val="16"/>
              </w:rPr>
              <w:t>Figure 4.21</w:t>
            </w:r>
            <w:r w:rsidRPr="00A55185">
              <w:rPr>
                <w:rFonts w:eastAsia="Times New Roman"/>
                <w:color w:val="000000"/>
                <w:sz w:val="16"/>
                <w:szCs w:val="16"/>
              </w:rPr>
              <w:t>)</w:t>
            </w:r>
          </w:p>
        </w:tc>
        <w:tc>
          <w:tcPr>
            <w:tcW w:w="854" w:type="pct"/>
            <w:tcBorders>
              <w:top w:val="nil"/>
              <w:left w:val="nil"/>
              <w:bottom w:val="single" w:sz="4" w:space="0" w:color="auto"/>
              <w:right w:val="single" w:sz="4" w:space="0" w:color="auto"/>
            </w:tcBorders>
            <w:shd w:val="clear" w:color="auto" w:fill="auto"/>
            <w:vAlign w:val="center"/>
            <w:hideMark/>
          </w:tcPr>
          <w:p w14:paraId="1EE66824" w14:textId="77777777" w:rsidR="00B52D4A" w:rsidRPr="00A55185" w:rsidRDefault="00B52D4A" w:rsidP="00143E24">
            <w:pPr>
              <w:spacing w:line="240" w:lineRule="auto"/>
              <w:jc w:val="center"/>
              <w:rPr>
                <w:rFonts w:eastAsia="Times New Roman"/>
                <w:color w:val="000000"/>
                <w:sz w:val="16"/>
                <w:szCs w:val="16"/>
              </w:rPr>
            </w:pPr>
            <w:r w:rsidRPr="00A55185">
              <w:rPr>
                <w:rFonts w:eastAsia="Times New Roman"/>
                <w:i/>
                <w:iCs/>
                <w:color w:val="000000"/>
                <w:sz w:val="16"/>
                <w:szCs w:val="16"/>
              </w:rPr>
              <w:t xml:space="preserve">Death of </w:t>
            </w:r>
            <w:r w:rsidRPr="00A55185">
              <w:rPr>
                <w:rFonts w:eastAsia="Times New Roman"/>
                <w:color w:val="000000"/>
                <w:sz w:val="16"/>
                <w:szCs w:val="16"/>
              </w:rPr>
              <w:t>L. donovani</w:t>
            </w:r>
            <w:r w:rsidRPr="00A55185">
              <w:rPr>
                <w:rFonts w:eastAsia="Times New Roman"/>
                <w:i/>
                <w:iCs/>
                <w:color w:val="000000"/>
                <w:sz w:val="16"/>
                <w:szCs w:val="16"/>
              </w:rPr>
              <w:t xml:space="preserve"> = - (((M + T)/tau) / (A</w:t>
            </w:r>
            <w:r w:rsidRPr="00A55185">
              <w:rPr>
                <w:rFonts w:eastAsia="Times New Roman"/>
                <w:i/>
                <w:iCs/>
                <w:color w:val="000000"/>
                <w:sz w:val="16"/>
                <w:szCs w:val="16"/>
                <w:vertAlign w:val="subscript"/>
              </w:rPr>
              <w:t>50</w:t>
            </w:r>
            <w:r w:rsidRPr="00A55185">
              <w:rPr>
                <w:rFonts w:eastAsia="Times New Roman"/>
                <w:i/>
                <w:iCs/>
                <w:color w:val="000000"/>
                <w:sz w:val="16"/>
                <w:szCs w:val="16"/>
              </w:rPr>
              <w:t xml:space="preserve"> + (M + T)/tau)) x P</w:t>
            </w:r>
            <w:r w:rsidRPr="00A55185">
              <w:rPr>
                <w:rFonts w:eastAsia="Times New Roman"/>
                <w:i/>
                <w:iCs/>
                <w:color w:val="000000"/>
                <w:sz w:val="16"/>
                <w:szCs w:val="16"/>
                <w:vertAlign w:val="subscript"/>
              </w:rPr>
              <w:t>i</w:t>
            </w:r>
            <w:r w:rsidRPr="00A55185">
              <w:rPr>
                <w:rFonts w:eastAsia="Times New Roman"/>
                <w:color w:val="000000"/>
                <w:sz w:val="16"/>
                <w:szCs w:val="16"/>
              </w:rPr>
              <w:br/>
              <w:t>M = Myeloid cell population (Sum of infected and susceptible myeloid cells)</w:t>
            </w:r>
            <w:r w:rsidRPr="00A55185">
              <w:rPr>
                <w:rFonts w:eastAsia="Times New Roman"/>
                <w:color w:val="000000"/>
                <w:sz w:val="16"/>
                <w:szCs w:val="16"/>
              </w:rPr>
              <w:br/>
              <w:t>T = T cell population</w:t>
            </w:r>
            <w:r w:rsidRPr="00A55185">
              <w:rPr>
                <w:rFonts w:eastAsia="Times New Roman"/>
                <w:color w:val="000000"/>
                <w:sz w:val="16"/>
                <w:szCs w:val="16"/>
              </w:rPr>
              <w:br/>
              <w:t>tau = Time delay in ALC production</w:t>
            </w:r>
            <w:r w:rsidRPr="00A55185">
              <w:rPr>
                <w:rFonts w:eastAsia="Times New Roman"/>
                <w:color w:val="000000"/>
                <w:sz w:val="16"/>
                <w:szCs w:val="16"/>
              </w:rPr>
              <w:br/>
              <w:t>A</w:t>
            </w:r>
            <w:r w:rsidRPr="00A55185">
              <w:rPr>
                <w:rFonts w:eastAsia="Times New Roman"/>
                <w:color w:val="000000"/>
                <w:sz w:val="16"/>
                <w:szCs w:val="16"/>
                <w:vertAlign w:val="subscript"/>
              </w:rPr>
              <w:t>50</w:t>
            </w:r>
            <w:r w:rsidRPr="00A55185">
              <w:rPr>
                <w:rFonts w:eastAsia="Times New Roman"/>
                <w:color w:val="000000"/>
                <w:sz w:val="16"/>
                <w:szCs w:val="16"/>
              </w:rPr>
              <w:t xml:space="preserve"> = Amount of ALC required to kill 50% of the </w:t>
            </w:r>
            <w:r w:rsidRPr="00A55185">
              <w:rPr>
                <w:rFonts w:eastAsia="Times New Roman"/>
                <w:i/>
                <w:iCs/>
                <w:color w:val="000000"/>
                <w:sz w:val="16"/>
                <w:szCs w:val="16"/>
              </w:rPr>
              <w:t>L. donovani</w:t>
            </w:r>
            <w:r w:rsidRPr="00A55185">
              <w:rPr>
                <w:rFonts w:eastAsia="Times New Roman"/>
                <w:color w:val="000000"/>
                <w:sz w:val="16"/>
                <w:szCs w:val="16"/>
              </w:rPr>
              <w:t xml:space="preserve"> population</w:t>
            </w:r>
            <w:r w:rsidRPr="00A55185">
              <w:rPr>
                <w:rFonts w:eastAsia="Times New Roman"/>
                <w:color w:val="000000"/>
                <w:sz w:val="16"/>
                <w:szCs w:val="16"/>
              </w:rPr>
              <w:br/>
              <w:t>P</w:t>
            </w:r>
            <w:r w:rsidRPr="00A55185">
              <w:rPr>
                <w:rFonts w:eastAsia="Times New Roman"/>
                <w:color w:val="000000"/>
                <w:sz w:val="16"/>
                <w:szCs w:val="16"/>
                <w:vertAlign w:val="subscript"/>
              </w:rPr>
              <w:t xml:space="preserve">i </w:t>
            </w:r>
            <w:r w:rsidRPr="00A55185">
              <w:rPr>
                <w:rFonts w:eastAsia="Times New Roman"/>
                <w:color w:val="000000"/>
                <w:sz w:val="16"/>
                <w:szCs w:val="16"/>
              </w:rPr>
              <w:t xml:space="preserve">= Intracellular </w:t>
            </w:r>
            <w:r w:rsidRPr="00A55185">
              <w:rPr>
                <w:rFonts w:eastAsia="Times New Roman"/>
                <w:i/>
                <w:iCs/>
                <w:color w:val="000000"/>
                <w:sz w:val="16"/>
                <w:szCs w:val="16"/>
              </w:rPr>
              <w:t xml:space="preserve">L. donovani </w:t>
            </w:r>
            <w:r w:rsidRPr="00A55185">
              <w:rPr>
                <w:rFonts w:eastAsia="Times New Roman"/>
                <w:color w:val="000000"/>
                <w:sz w:val="16"/>
                <w:szCs w:val="16"/>
              </w:rPr>
              <w:t>population</w:t>
            </w:r>
          </w:p>
        </w:tc>
        <w:tc>
          <w:tcPr>
            <w:tcW w:w="1121" w:type="pct"/>
            <w:tcBorders>
              <w:top w:val="nil"/>
              <w:left w:val="nil"/>
              <w:bottom w:val="single" w:sz="4" w:space="0" w:color="auto"/>
              <w:right w:val="single" w:sz="4" w:space="0" w:color="auto"/>
            </w:tcBorders>
            <w:shd w:val="clear" w:color="auto" w:fill="auto"/>
            <w:vAlign w:val="center"/>
            <w:hideMark/>
          </w:tcPr>
          <w:p w14:paraId="08360220" w14:textId="77777777" w:rsidR="00B52D4A" w:rsidRPr="00A55185" w:rsidRDefault="00B52D4A" w:rsidP="00143E24">
            <w:pPr>
              <w:spacing w:line="240" w:lineRule="auto"/>
              <w:jc w:val="center"/>
              <w:rPr>
                <w:rFonts w:eastAsia="Times New Roman"/>
                <w:color w:val="000000"/>
                <w:sz w:val="16"/>
                <w:szCs w:val="16"/>
              </w:rPr>
            </w:pPr>
            <w:r w:rsidRPr="00A55185">
              <w:rPr>
                <w:rFonts w:eastAsia="Times New Roman"/>
                <w:i/>
                <w:iCs/>
                <w:color w:val="000000"/>
                <w:sz w:val="16"/>
                <w:szCs w:val="16"/>
              </w:rPr>
              <w:t xml:space="preserve">Death of </w:t>
            </w:r>
            <w:r w:rsidRPr="00A55185">
              <w:rPr>
                <w:rFonts w:eastAsia="Times New Roman"/>
                <w:color w:val="000000"/>
                <w:sz w:val="16"/>
                <w:szCs w:val="16"/>
              </w:rPr>
              <w:t>L. donovani</w:t>
            </w:r>
            <w:r w:rsidRPr="00A55185">
              <w:rPr>
                <w:rFonts w:eastAsia="Times New Roman"/>
                <w:i/>
                <w:iCs/>
                <w:color w:val="000000"/>
                <w:sz w:val="16"/>
                <w:szCs w:val="16"/>
              </w:rPr>
              <w:t xml:space="preserve"> = - (((M + T)/tau) / (A</w:t>
            </w:r>
            <w:r w:rsidRPr="00A55185">
              <w:rPr>
                <w:rFonts w:eastAsia="Times New Roman"/>
                <w:i/>
                <w:iCs/>
                <w:color w:val="000000"/>
                <w:sz w:val="16"/>
                <w:szCs w:val="16"/>
                <w:vertAlign w:val="subscript"/>
              </w:rPr>
              <w:t>50</w:t>
            </w:r>
            <w:r w:rsidRPr="00A55185">
              <w:rPr>
                <w:rFonts w:eastAsia="Times New Roman"/>
                <w:i/>
                <w:iCs/>
                <w:color w:val="000000"/>
                <w:sz w:val="16"/>
                <w:szCs w:val="16"/>
              </w:rPr>
              <w:t xml:space="preserve"> + (M + T)/tau)) x P</w:t>
            </w:r>
            <w:r w:rsidRPr="00A55185">
              <w:rPr>
                <w:rFonts w:eastAsia="Times New Roman"/>
                <w:i/>
                <w:iCs/>
                <w:color w:val="000000"/>
                <w:sz w:val="16"/>
                <w:szCs w:val="16"/>
                <w:vertAlign w:val="subscript"/>
              </w:rPr>
              <w:t>i</w:t>
            </w:r>
            <w:r w:rsidRPr="00A55185">
              <w:rPr>
                <w:rFonts w:eastAsia="Times New Roman"/>
                <w:color w:val="000000"/>
                <w:sz w:val="16"/>
                <w:szCs w:val="16"/>
              </w:rPr>
              <w:br/>
              <w:t>M = Myeloid cell population (Sum of infected and susceptible myeloid cells)</w:t>
            </w:r>
            <w:r w:rsidRPr="00A55185">
              <w:rPr>
                <w:rFonts w:eastAsia="Times New Roman"/>
                <w:color w:val="000000"/>
                <w:sz w:val="16"/>
                <w:szCs w:val="16"/>
              </w:rPr>
              <w:br/>
              <w:t>T = T cell population</w:t>
            </w:r>
            <w:r w:rsidRPr="00A55185">
              <w:rPr>
                <w:rFonts w:eastAsia="Times New Roman"/>
                <w:color w:val="000000"/>
                <w:sz w:val="16"/>
                <w:szCs w:val="16"/>
              </w:rPr>
              <w:br/>
              <w:t>tau = Time delay in ALC production</w:t>
            </w:r>
            <w:r w:rsidRPr="00A55185">
              <w:rPr>
                <w:rFonts w:eastAsia="Times New Roman"/>
                <w:color w:val="000000"/>
                <w:sz w:val="16"/>
                <w:szCs w:val="16"/>
              </w:rPr>
              <w:br/>
              <w:t>A</w:t>
            </w:r>
            <w:r w:rsidRPr="00A55185">
              <w:rPr>
                <w:rFonts w:eastAsia="Times New Roman"/>
                <w:color w:val="000000"/>
                <w:sz w:val="16"/>
                <w:szCs w:val="16"/>
                <w:vertAlign w:val="subscript"/>
              </w:rPr>
              <w:t>50</w:t>
            </w:r>
            <w:r w:rsidRPr="00A55185">
              <w:rPr>
                <w:rFonts w:eastAsia="Times New Roman"/>
                <w:color w:val="000000"/>
                <w:sz w:val="16"/>
                <w:szCs w:val="16"/>
              </w:rPr>
              <w:t xml:space="preserve"> = Amount of ALC required to kill 50% of the </w:t>
            </w:r>
            <w:r w:rsidRPr="00A55185">
              <w:rPr>
                <w:rFonts w:eastAsia="Times New Roman"/>
                <w:i/>
                <w:iCs/>
                <w:color w:val="000000"/>
                <w:sz w:val="16"/>
                <w:szCs w:val="16"/>
              </w:rPr>
              <w:t>L. donovani</w:t>
            </w:r>
            <w:r w:rsidRPr="00A55185">
              <w:rPr>
                <w:rFonts w:eastAsia="Times New Roman"/>
                <w:color w:val="000000"/>
                <w:sz w:val="16"/>
                <w:szCs w:val="16"/>
              </w:rPr>
              <w:t xml:space="preserve"> population</w:t>
            </w:r>
            <w:r w:rsidRPr="00A55185">
              <w:rPr>
                <w:rFonts w:eastAsia="Times New Roman"/>
                <w:color w:val="000000"/>
                <w:sz w:val="16"/>
                <w:szCs w:val="16"/>
              </w:rPr>
              <w:br/>
              <w:t>P</w:t>
            </w:r>
            <w:r w:rsidRPr="00A55185">
              <w:rPr>
                <w:rFonts w:eastAsia="Times New Roman"/>
                <w:color w:val="000000"/>
                <w:sz w:val="16"/>
                <w:szCs w:val="16"/>
                <w:vertAlign w:val="subscript"/>
              </w:rPr>
              <w:t xml:space="preserve">i </w:t>
            </w:r>
            <w:r w:rsidRPr="00A55185">
              <w:rPr>
                <w:rFonts w:eastAsia="Times New Roman"/>
                <w:color w:val="000000"/>
                <w:sz w:val="16"/>
                <w:szCs w:val="16"/>
              </w:rPr>
              <w:t xml:space="preserve">= Intracellular </w:t>
            </w:r>
            <w:r w:rsidRPr="00A55185">
              <w:rPr>
                <w:rFonts w:eastAsia="Times New Roman"/>
                <w:i/>
                <w:iCs/>
                <w:color w:val="000000"/>
                <w:sz w:val="16"/>
                <w:szCs w:val="16"/>
              </w:rPr>
              <w:t xml:space="preserve">L. donovani </w:t>
            </w:r>
            <w:r w:rsidRPr="00A55185">
              <w:rPr>
                <w:rFonts w:eastAsia="Times New Roman"/>
                <w:color w:val="000000"/>
                <w:sz w:val="16"/>
                <w:szCs w:val="16"/>
              </w:rPr>
              <w:t>population</w:t>
            </w:r>
          </w:p>
        </w:tc>
      </w:tr>
      <w:tr w:rsidR="00B52D4A" w:rsidRPr="00A55185" w14:paraId="1D011F00" w14:textId="77777777" w:rsidTr="00F7425F">
        <w:trPr>
          <w:trHeight w:val="1040"/>
        </w:trPr>
        <w:tc>
          <w:tcPr>
            <w:tcW w:w="333" w:type="pct"/>
            <w:tcBorders>
              <w:top w:val="nil"/>
              <w:left w:val="single" w:sz="4" w:space="0" w:color="auto"/>
              <w:bottom w:val="single" w:sz="4" w:space="0" w:color="auto"/>
              <w:right w:val="single" w:sz="4" w:space="0" w:color="auto"/>
            </w:tcBorders>
            <w:shd w:val="clear" w:color="auto" w:fill="auto"/>
            <w:vAlign w:val="center"/>
            <w:hideMark/>
          </w:tcPr>
          <w:p w14:paraId="5A160162" w14:textId="77777777" w:rsidR="00B52D4A" w:rsidRPr="00A55185" w:rsidRDefault="00B52D4A" w:rsidP="00143E24">
            <w:pPr>
              <w:spacing w:line="240" w:lineRule="auto"/>
              <w:jc w:val="center"/>
              <w:rPr>
                <w:rFonts w:eastAsia="Times New Roman"/>
                <w:color w:val="000000"/>
                <w:sz w:val="16"/>
                <w:szCs w:val="16"/>
              </w:rPr>
            </w:pPr>
            <w:r w:rsidRPr="00A55185">
              <w:rPr>
                <w:rFonts w:eastAsia="Times New Roman"/>
                <w:color w:val="000000"/>
                <w:sz w:val="16"/>
                <w:szCs w:val="16"/>
              </w:rPr>
              <w:t>Myeloid cells can produce Pro-Inflammatory Signals</w:t>
            </w:r>
          </w:p>
        </w:tc>
        <w:tc>
          <w:tcPr>
            <w:tcW w:w="352" w:type="pct"/>
            <w:tcBorders>
              <w:top w:val="nil"/>
              <w:left w:val="nil"/>
              <w:bottom w:val="single" w:sz="4" w:space="0" w:color="auto"/>
              <w:right w:val="single" w:sz="4" w:space="0" w:color="auto"/>
            </w:tcBorders>
            <w:shd w:val="clear" w:color="auto" w:fill="auto"/>
            <w:vAlign w:val="center"/>
            <w:hideMark/>
          </w:tcPr>
          <w:p w14:paraId="193FE937" w14:textId="77777777" w:rsidR="00B52D4A" w:rsidRPr="00A55185" w:rsidRDefault="00B52D4A" w:rsidP="00143E24">
            <w:pPr>
              <w:spacing w:line="240" w:lineRule="auto"/>
              <w:jc w:val="center"/>
              <w:rPr>
                <w:rFonts w:eastAsia="Times New Roman"/>
                <w:sz w:val="16"/>
                <w:szCs w:val="16"/>
              </w:rPr>
            </w:pPr>
            <w:r w:rsidRPr="00A55185">
              <w:rPr>
                <w:rFonts w:eastAsia="Times New Roman"/>
                <w:sz w:val="16"/>
                <w:szCs w:val="16"/>
              </w:rPr>
              <w:t>(Cervia, Rosen and Murray 1993: Kolaczkowska and Kubes, 2013; Shi and Pamer, 2014)</w:t>
            </w:r>
          </w:p>
        </w:tc>
        <w:tc>
          <w:tcPr>
            <w:tcW w:w="676" w:type="pct"/>
            <w:tcBorders>
              <w:top w:val="nil"/>
              <w:left w:val="nil"/>
              <w:bottom w:val="single" w:sz="4" w:space="0" w:color="auto"/>
              <w:right w:val="single" w:sz="4" w:space="0" w:color="auto"/>
            </w:tcBorders>
            <w:shd w:val="clear" w:color="auto" w:fill="auto"/>
            <w:vAlign w:val="center"/>
            <w:hideMark/>
          </w:tcPr>
          <w:p w14:paraId="43E2A9F0" w14:textId="77777777" w:rsidR="00B52D4A" w:rsidRPr="00A55185" w:rsidRDefault="00B52D4A" w:rsidP="00143E24">
            <w:pPr>
              <w:spacing w:line="240" w:lineRule="auto"/>
              <w:jc w:val="center"/>
              <w:rPr>
                <w:rFonts w:eastAsia="Times New Roman"/>
                <w:color w:val="000000"/>
                <w:sz w:val="16"/>
                <w:szCs w:val="16"/>
              </w:rPr>
            </w:pPr>
            <w:r w:rsidRPr="00A55185">
              <w:rPr>
                <w:rFonts w:eastAsia="Times New Roman"/>
                <w:color w:val="000000"/>
                <w:sz w:val="16"/>
                <w:szCs w:val="16"/>
              </w:rPr>
              <w:t>Myeloid cells detect pro-inflammatory signals leading to their production of pro-inflammatory signals (</w:t>
            </w:r>
            <w:r w:rsidRPr="00A55185">
              <w:rPr>
                <w:rFonts w:eastAsia="Times New Roman"/>
                <w:b/>
                <w:bCs/>
                <w:color w:val="000000"/>
                <w:sz w:val="16"/>
                <w:szCs w:val="16"/>
              </w:rPr>
              <w:t>Figure 4.9</w:t>
            </w:r>
            <w:r w:rsidRPr="00A55185">
              <w:rPr>
                <w:rFonts w:eastAsia="Times New Roman"/>
                <w:color w:val="000000"/>
                <w:sz w:val="16"/>
                <w:szCs w:val="16"/>
              </w:rPr>
              <w:t>)</w:t>
            </w:r>
          </w:p>
        </w:tc>
        <w:tc>
          <w:tcPr>
            <w:tcW w:w="676" w:type="pct"/>
            <w:tcBorders>
              <w:top w:val="nil"/>
              <w:left w:val="nil"/>
              <w:bottom w:val="single" w:sz="4" w:space="0" w:color="auto"/>
              <w:right w:val="single" w:sz="4" w:space="0" w:color="auto"/>
            </w:tcBorders>
            <w:shd w:val="clear" w:color="auto" w:fill="auto"/>
            <w:vAlign w:val="center"/>
            <w:hideMark/>
          </w:tcPr>
          <w:p w14:paraId="699E368C" w14:textId="77777777" w:rsidR="00B52D4A" w:rsidRPr="00A55185" w:rsidRDefault="00B52D4A" w:rsidP="00143E24">
            <w:pPr>
              <w:spacing w:line="240" w:lineRule="auto"/>
              <w:jc w:val="center"/>
              <w:rPr>
                <w:rFonts w:eastAsia="Times New Roman"/>
                <w:color w:val="000000"/>
                <w:sz w:val="16"/>
                <w:szCs w:val="16"/>
              </w:rPr>
            </w:pPr>
            <w:r w:rsidRPr="00A55185">
              <w:rPr>
                <w:rFonts w:eastAsia="Times New Roman"/>
                <w:color w:val="000000"/>
                <w:sz w:val="16"/>
                <w:szCs w:val="16"/>
              </w:rPr>
              <w:t>Myeloid cells can have direct and indirect roles in inflammatory processes which here is condensed such that myeloid cells when activated by pro-inflammatory signals in turn produce pro-inflammatory signals</w:t>
            </w:r>
          </w:p>
        </w:tc>
        <w:tc>
          <w:tcPr>
            <w:tcW w:w="987" w:type="pct"/>
            <w:tcBorders>
              <w:top w:val="nil"/>
              <w:left w:val="nil"/>
              <w:bottom w:val="single" w:sz="4" w:space="0" w:color="auto"/>
              <w:right w:val="single" w:sz="4" w:space="0" w:color="auto"/>
            </w:tcBorders>
            <w:shd w:val="clear" w:color="auto" w:fill="auto"/>
            <w:vAlign w:val="center"/>
            <w:hideMark/>
          </w:tcPr>
          <w:p w14:paraId="759F9B4E" w14:textId="77777777" w:rsidR="00B52D4A" w:rsidRPr="00A55185" w:rsidRDefault="00B52D4A" w:rsidP="00143E24">
            <w:pPr>
              <w:spacing w:line="240" w:lineRule="auto"/>
              <w:jc w:val="center"/>
              <w:rPr>
                <w:rFonts w:eastAsia="Times New Roman"/>
                <w:color w:val="000000"/>
                <w:sz w:val="16"/>
                <w:szCs w:val="16"/>
              </w:rPr>
            </w:pPr>
            <w:r w:rsidRPr="00A55185">
              <w:rPr>
                <w:rFonts w:eastAsia="Times New Roman"/>
                <w:color w:val="000000"/>
                <w:sz w:val="16"/>
                <w:szCs w:val="16"/>
              </w:rPr>
              <w:t>There is no representation of Pro-Inflammatory Signals instead the actions of the signals which modulate the anti-leishmanial response (Pro- and Anti-Inflammatory Signals) are abstracted such that the amount of anti-leishmanial compounds is proportional to the amount of myeloid cells and T cells within the system (</w:t>
            </w:r>
            <w:r w:rsidRPr="00A55185">
              <w:rPr>
                <w:rFonts w:eastAsia="Times New Roman"/>
                <w:b/>
                <w:bCs/>
                <w:color w:val="000000"/>
                <w:sz w:val="16"/>
                <w:szCs w:val="16"/>
              </w:rPr>
              <w:t>Figure 4.21</w:t>
            </w:r>
            <w:r w:rsidRPr="00A55185">
              <w:rPr>
                <w:rFonts w:eastAsia="Times New Roman"/>
                <w:color w:val="000000"/>
                <w:sz w:val="16"/>
                <w:szCs w:val="16"/>
              </w:rPr>
              <w:t>)</w:t>
            </w:r>
          </w:p>
        </w:tc>
        <w:tc>
          <w:tcPr>
            <w:tcW w:w="854" w:type="pct"/>
            <w:tcBorders>
              <w:top w:val="nil"/>
              <w:left w:val="nil"/>
              <w:bottom w:val="single" w:sz="4" w:space="0" w:color="auto"/>
              <w:right w:val="single" w:sz="4" w:space="0" w:color="auto"/>
            </w:tcBorders>
            <w:shd w:val="clear" w:color="auto" w:fill="auto"/>
            <w:noWrap/>
            <w:vAlign w:val="center"/>
            <w:hideMark/>
          </w:tcPr>
          <w:p w14:paraId="0716089C" w14:textId="77777777" w:rsidR="00B52D4A" w:rsidRPr="00A55185" w:rsidRDefault="00B52D4A" w:rsidP="00143E24">
            <w:pPr>
              <w:spacing w:line="240" w:lineRule="auto"/>
              <w:jc w:val="center"/>
              <w:rPr>
                <w:rFonts w:eastAsia="Times New Roman"/>
                <w:color w:val="000000"/>
                <w:sz w:val="16"/>
                <w:szCs w:val="16"/>
              </w:rPr>
            </w:pPr>
          </w:p>
        </w:tc>
        <w:tc>
          <w:tcPr>
            <w:tcW w:w="1121" w:type="pct"/>
            <w:tcBorders>
              <w:top w:val="nil"/>
              <w:left w:val="nil"/>
              <w:bottom w:val="single" w:sz="4" w:space="0" w:color="auto"/>
              <w:right w:val="single" w:sz="4" w:space="0" w:color="auto"/>
            </w:tcBorders>
            <w:shd w:val="clear" w:color="auto" w:fill="auto"/>
            <w:noWrap/>
            <w:vAlign w:val="center"/>
            <w:hideMark/>
          </w:tcPr>
          <w:p w14:paraId="7354F327" w14:textId="77777777" w:rsidR="00B52D4A" w:rsidRPr="00A55185" w:rsidRDefault="00B52D4A" w:rsidP="00143E24">
            <w:pPr>
              <w:spacing w:line="240" w:lineRule="auto"/>
              <w:jc w:val="center"/>
              <w:rPr>
                <w:rFonts w:eastAsia="Times New Roman"/>
                <w:color w:val="000000"/>
                <w:sz w:val="16"/>
                <w:szCs w:val="16"/>
              </w:rPr>
            </w:pPr>
          </w:p>
        </w:tc>
      </w:tr>
      <w:tr w:rsidR="00B52D4A" w:rsidRPr="00A55185" w14:paraId="238D8408" w14:textId="77777777" w:rsidTr="00F7425F">
        <w:trPr>
          <w:trHeight w:val="1040"/>
        </w:trPr>
        <w:tc>
          <w:tcPr>
            <w:tcW w:w="333" w:type="pct"/>
            <w:tcBorders>
              <w:top w:val="nil"/>
              <w:left w:val="single" w:sz="4" w:space="0" w:color="auto"/>
              <w:bottom w:val="single" w:sz="4" w:space="0" w:color="auto"/>
              <w:right w:val="single" w:sz="4" w:space="0" w:color="auto"/>
            </w:tcBorders>
            <w:shd w:val="clear" w:color="auto" w:fill="auto"/>
            <w:vAlign w:val="center"/>
            <w:hideMark/>
          </w:tcPr>
          <w:p w14:paraId="4F0EF1FB" w14:textId="77777777" w:rsidR="00B52D4A" w:rsidRPr="00A55185" w:rsidRDefault="00B52D4A" w:rsidP="00143E24">
            <w:pPr>
              <w:spacing w:line="240" w:lineRule="auto"/>
              <w:jc w:val="center"/>
              <w:rPr>
                <w:rFonts w:eastAsia="Times New Roman"/>
                <w:color w:val="000000"/>
                <w:sz w:val="16"/>
                <w:szCs w:val="16"/>
              </w:rPr>
            </w:pPr>
            <w:r w:rsidRPr="00A55185">
              <w:rPr>
                <w:rFonts w:eastAsia="Times New Roman"/>
                <w:color w:val="000000"/>
                <w:sz w:val="16"/>
                <w:szCs w:val="16"/>
              </w:rPr>
              <w:lastRenderedPageBreak/>
              <w:t>Myeloid cells can produce Recruitment Factors</w:t>
            </w:r>
          </w:p>
        </w:tc>
        <w:tc>
          <w:tcPr>
            <w:tcW w:w="352" w:type="pct"/>
            <w:tcBorders>
              <w:top w:val="nil"/>
              <w:left w:val="nil"/>
              <w:bottom w:val="single" w:sz="4" w:space="0" w:color="auto"/>
              <w:right w:val="single" w:sz="4" w:space="0" w:color="auto"/>
            </w:tcBorders>
            <w:shd w:val="clear" w:color="auto" w:fill="auto"/>
            <w:vAlign w:val="center"/>
            <w:hideMark/>
          </w:tcPr>
          <w:p w14:paraId="0B65FFC1" w14:textId="77777777" w:rsidR="00B52D4A" w:rsidRPr="00A55185" w:rsidRDefault="00B52D4A" w:rsidP="00143E24">
            <w:pPr>
              <w:spacing w:line="240" w:lineRule="auto"/>
              <w:jc w:val="center"/>
              <w:rPr>
                <w:rFonts w:eastAsia="Times New Roman"/>
                <w:sz w:val="16"/>
                <w:szCs w:val="16"/>
              </w:rPr>
            </w:pPr>
            <w:r w:rsidRPr="00A55185">
              <w:rPr>
                <w:rFonts w:eastAsia="Times New Roman"/>
                <w:sz w:val="16"/>
                <w:szCs w:val="16"/>
              </w:rPr>
              <w:t>(Murray, 2001; Zhang et al., 2013; Kolaczkowska and Kubes, 2013)</w:t>
            </w:r>
          </w:p>
        </w:tc>
        <w:tc>
          <w:tcPr>
            <w:tcW w:w="676" w:type="pct"/>
            <w:tcBorders>
              <w:top w:val="nil"/>
              <w:left w:val="nil"/>
              <w:bottom w:val="single" w:sz="4" w:space="0" w:color="auto"/>
              <w:right w:val="single" w:sz="4" w:space="0" w:color="auto"/>
            </w:tcBorders>
            <w:shd w:val="clear" w:color="auto" w:fill="auto"/>
            <w:vAlign w:val="center"/>
            <w:hideMark/>
          </w:tcPr>
          <w:p w14:paraId="63115339" w14:textId="77777777" w:rsidR="00B52D4A" w:rsidRPr="00A55185" w:rsidRDefault="00B52D4A" w:rsidP="00143E24">
            <w:pPr>
              <w:spacing w:line="240" w:lineRule="auto"/>
              <w:jc w:val="center"/>
              <w:rPr>
                <w:rFonts w:eastAsia="Times New Roman"/>
                <w:color w:val="000000"/>
                <w:sz w:val="16"/>
                <w:szCs w:val="16"/>
              </w:rPr>
            </w:pPr>
            <w:r w:rsidRPr="00A55185">
              <w:rPr>
                <w:rFonts w:eastAsia="Times New Roman"/>
                <w:color w:val="000000"/>
                <w:sz w:val="16"/>
                <w:szCs w:val="16"/>
              </w:rPr>
              <w:t>Myeloid cells detect pro-inflammatory signals leading to their production of recruitment factors (</w:t>
            </w:r>
            <w:r w:rsidRPr="00A55185">
              <w:rPr>
                <w:rFonts w:eastAsia="Times New Roman"/>
                <w:b/>
                <w:bCs/>
                <w:color w:val="000000"/>
                <w:sz w:val="16"/>
                <w:szCs w:val="16"/>
              </w:rPr>
              <w:t>Figure 4.9</w:t>
            </w:r>
            <w:r w:rsidRPr="00A55185">
              <w:rPr>
                <w:rFonts w:eastAsia="Times New Roman"/>
                <w:color w:val="000000"/>
                <w:sz w:val="16"/>
                <w:szCs w:val="16"/>
              </w:rPr>
              <w:t>)</w:t>
            </w:r>
          </w:p>
        </w:tc>
        <w:tc>
          <w:tcPr>
            <w:tcW w:w="676" w:type="pct"/>
            <w:tcBorders>
              <w:top w:val="nil"/>
              <w:left w:val="nil"/>
              <w:bottom w:val="single" w:sz="4" w:space="0" w:color="auto"/>
              <w:right w:val="single" w:sz="4" w:space="0" w:color="auto"/>
            </w:tcBorders>
            <w:shd w:val="clear" w:color="auto" w:fill="auto"/>
            <w:vAlign w:val="center"/>
            <w:hideMark/>
          </w:tcPr>
          <w:p w14:paraId="2AB28FD2" w14:textId="77777777" w:rsidR="00B52D4A" w:rsidRPr="00A55185" w:rsidRDefault="00B52D4A" w:rsidP="00143E24">
            <w:pPr>
              <w:spacing w:line="240" w:lineRule="auto"/>
              <w:jc w:val="center"/>
              <w:rPr>
                <w:rFonts w:eastAsia="Times New Roman"/>
                <w:color w:val="000000"/>
                <w:sz w:val="16"/>
                <w:szCs w:val="16"/>
              </w:rPr>
            </w:pPr>
            <w:r w:rsidRPr="00A55185">
              <w:rPr>
                <w:rFonts w:eastAsia="Times New Roman"/>
                <w:color w:val="000000"/>
                <w:sz w:val="16"/>
                <w:szCs w:val="16"/>
              </w:rPr>
              <w:t>Pro-Inflammatory Signals are the only signal needed for myeloid cells to produce recruitment factors which occurs immediately after detection</w:t>
            </w:r>
          </w:p>
        </w:tc>
        <w:tc>
          <w:tcPr>
            <w:tcW w:w="987" w:type="pct"/>
            <w:tcBorders>
              <w:top w:val="nil"/>
              <w:left w:val="nil"/>
              <w:bottom w:val="single" w:sz="4" w:space="0" w:color="auto"/>
              <w:right w:val="single" w:sz="4" w:space="0" w:color="auto"/>
            </w:tcBorders>
            <w:shd w:val="clear" w:color="auto" w:fill="auto"/>
            <w:vAlign w:val="center"/>
            <w:hideMark/>
          </w:tcPr>
          <w:p w14:paraId="1F442429" w14:textId="77777777" w:rsidR="00B52D4A" w:rsidRPr="00A55185" w:rsidRDefault="00B52D4A" w:rsidP="00143E24">
            <w:pPr>
              <w:spacing w:line="240" w:lineRule="auto"/>
              <w:jc w:val="center"/>
              <w:rPr>
                <w:rFonts w:eastAsia="Times New Roman"/>
                <w:color w:val="000000"/>
                <w:sz w:val="16"/>
                <w:szCs w:val="16"/>
              </w:rPr>
            </w:pPr>
            <w:r w:rsidRPr="00A55185">
              <w:rPr>
                <w:rFonts w:eastAsia="Times New Roman"/>
                <w:color w:val="000000"/>
                <w:sz w:val="16"/>
                <w:szCs w:val="16"/>
              </w:rPr>
              <w:t>There is no representation of an 'Other Site' within the Platform model. The liver is represented as a self-contained compartment, migratory processes which increase the myeloid cell population are abstracted so that population growth arises through proliferation (</w:t>
            </w:r>
            <w:r w:rsidRPr="00A55185">
              <w:rPr>
                <w:rFonts w:eastAsia="Times New Roman"/>
                <w:b/>
                <w:bCs/>
                <w:color w:val="000000"/>
                <w:sz w:val="16"/>
                <w:szCs w:val="16"/>
              </w:rPr>
              <w:t>Figure 4.19</w:t>
            </w:r>
            <w:r w:rsidRPr="00A55185">
              <w:rPr>
                <w:rFonts w:eastAsia="Times New Roman"/>
                <w:color w:val="000000"/>
                <w:sz w:val="16"/>
                <w:szCs w:val="16"/>
              </w:rPr>
              <w:t>)</w:t>
            </w:r>
          </w:p>
        </w:tc>
        <w:tc>
          <w:tcPr>
            <w:tcW w:w="854" w:type="pct"/>
            <w:tcBorders>
              <w:top w:val="nil"/>
              <w:left w:val="nil"/>
              <w:bottom w:val="single" w:sz="4" w:space="0" w:color="auto"/>
              <w:right w:val="single" w:sz="4" w:space="0" w:color="auto"/>
            </w:tcBorders>
            <w:shd w:val="clear" w:color="auto" w:fill="auto"/>
            <w:noWrap/>
            <w:vAlign w:val="center"/>
            <w:hideMark/>
          </w:tcPr>
          <w:p w14:paraId="142C0D91" w14:textId="77777777" w:rsidR="00B52D4A" w:rsidRPr="00A55185" w:rsidRDefault="00B52D4A" w:rsidP="00143E24">
            <w:pPr>
              <w:spacing w:line="240" w:lineRule="auto"/>
              <w:jc w:val="center"/>
              <w:rPr>
                <w:rFonts w:eastAsia="Times New Roman"/>
                <w:color w:val="000000"/>
                <w:sz w:val="16"/>
                <w:szCs w:val="16"/>
              </w:rPr>
            </w:pPr>
          </w:p>
        </w:tc>
        <w:tc>
          <w:tcPr>
            <w:tcW w:w="1121" w:type="pct"/>
            <w:tcBorders>
              <w:top w:val="nil"/>
              <w:left w:val="nil"/>
              <w:bottom w:val="single" w:sz="4" w:space="0" w:color="auto"/>
              <w:right w:val="single" w:sz="4" w:space="0" w:color="auto"/>
            </w:tcBorders>
            <w:shd w:val="clear" w:color="auto" w:fill="auto"/>
            <w:noWrap/>
            <w:vAlign w:val="center"/>
            <w:hideMark/>
          </w:tcPr>
          <w:p w14:paraId="791130E4" w14:textId="77777777" w:rsidR="00B52D4A" w:rsidRPr="00A55185" w:rsidRDefault="00B52D4A" w:rsidP="00143E24">
            <w:pPr>
              <w:spacing w:line="240" w:lineRule="auto"/>
              <w:jc w:val="center"/>
              <w:rPr>
                <w:rFonts w:eastAsia="Times New Roman"/>
                <w:color w:val="000000"/>
                <w:sz w:val="16"/>
                <w:szCs w:val="16"/>
              </w:rPr>
            </w:pPr>
          </w:p>
        </w:tc>
      </w:tr>
      <w:tr w:rsidR="00B52D4A" w:rsidRPr="00A55185" w14:paraId="6B487085" w14:textId="77777777" w:rsidTr="00F7425F">
        <w:trPr>
          <w:trHeight w:val="1300"/>
        </w:trPr>
        <w:tc>
          <w:tcPr>
            <w:tcW w:w="333" w:type="pct"/>
            <w:tcBorders>
              <w:top w:val="nil"/>
              <w:left w:val="single" w:sz="4" w:space="0" w:color="auto"/>
              <w:bottom w:val="single" w:sz="4" w:space="0" w:color="auto"/>
              <w:right w:val="single" w:sz="4" w:space="0" w:color="auto"/>
            </w:tcBorders>
            <w:shd w:val="clear" w:color="auto" w:fill="auto"/>
            <w:vAlign w:val="center"/>
            <w:hideMark/>
          </w:tcPr>
          <w:p w14:paraId="070EDB49" w14:textId="77777777" w:rsidR="00B52D4A" w:rsidRPr="00A55185" w:rsidRDefault="00B52D4A" w:rsidP="00143E24">
            <w:pPr>
              <w:spacing w:line="240" w:lineRule="auto"/>
              <w:jc w:val="center"/>
              <w:rPr>
                <w:rFonts w:eastAsia="Times New Roman"/>
                <w:color w:val="000000"/>
                <w:sz w:val="16"/>
                <w:szCs w:val="16"/>
              </w:rPr>
            </w:pPr>
            <w:r w:rsidRPr="00A55185">
              <w:rPr>
                <w:rFonts w:eastAsia="Times New Roman"/>
                <w:color w:val="000000"/>
                <w:sz w:val="16"/>
                <w:szCs w:val="16"/>
              </w:rPr>
              <w:t>Pro-Inflammatory Signals can activate Kupffer cells</w:t>
            </w:r>
          </w:p>
        </w:tc>
        <w:tc>
          <w:tcPr>
            <w:tcW w:w="352" w:type="pct"/>
            <w:tcBorders>
              <w:top w:val="nil"/>
              <w:left w:val="nil"/>
              <w:bottom w:val="single" w:sz="4" w:space="0" w:color="auto"/>
              <w:right w:val="single" w:sz="4" w:space="0" w:color="auto"/>
            </w:tcBorders>
            <w:shd w:val="clear" w:color="auto" w:fill="auto"/>
            <w:vAlign w:val="center"/>
            <w:hideMark/>
          </w:tcPr>
          <w:p w14:paraId="5FFF31B8" w14:textId="77777777" w:rsidR="00B52D4A" w:rsidRPr="00A55185" w:rsidRDefault="00B52D4A" w:rsidP="00143E24">
            <w:pPr>
              <w:spacing w:line="240" w:lineRule="auto"/>
              <w:jc w:val="center"/>
              <w:rPr>
                <w:rFonts w:eastAsia="Times New Roman"/>
                <w:sz w:val="16"/>
                <w:szCs w:val="16"/>
              </w:rPr>
            </w:pPr>
            <w:r w:rsidRPr="00A55185">
              <w:rPr>
                <w:rFonts w:eastAsia="Times New Roman"/>
                <w:sz w:val="16"/>
                <w:szCs w:val="16"/>
              </w:rPr>
              <w:t>(Murray, 2001; Albergante et al., 2013; Zhang et al., 2013)</w:t>
            </w:r>
          </w:p>
        </w:tc>
        <w:tc>
          <w:tcPr>
            <w:tcW w:w="676" w:type="pct"/>
            <w:tcBorders>
              <w:top w:val="nil"/>
              <w:left w:val="nil"/>
              <w:bottom w:val="single" w:sz="4" w:space="0" w:color="auto"/>
              <w:right w:val="single" w:sz="4" w:space="0" w:color="auto"/>
            </w:tcBorders>
            <w:shd w:val="clear" w:color="auto" w:fill="auto"/>
            <w:vAlign w:val="center"/>
            <w:hideMark/>
          </w:tcPr>
          <w:p w14:paraId="5C235481" w14:textId="77777777" w:rsidR="00B52D4A" w:rsidRPr="00A55185" w:rsidRDefault="00B52D4A" w:rsidP="00143E24">
            <w:pPr>
              <w:spacing w:line="240" w:lineRule="auto"/>
              <w:jc w:val="center"/>
              <w:rPr>
                <w:rFonts w:eastAsia="Times New Roman"/>
                <w:color w:val="000000"/>
                <w:sz w:val="16"/>
                <w:szCs w:val="16"/>
              </w:rPr>
            </w:pPr>
            <w:r w:rsidRPr="00A55185">
              <w:rPr>
                <w:rFonts w:eastAsia="Times New Roman"/>
                <w:color w:val="000000"/>
                <w:sz w:val="16"/>
                <w:szCs w:val="16"/>
              </w:rPr>
              <w:t>Kupffer cells (infected or naïve) detecting Pro-Inflammatory signals move to a Pro-Inflammatory phenotype (</w:t>
            </w:r>
            <w:r w:rsidRPr="00A55185">
              <w:rPr>
                <w:rFonts w:eastAsia="Times New Roman"/>
                <w:b/>
                <w:bCs/>
                <w:color w:val="000000"/>
                <w:sz w:val="16"/>
                <w:szCs w:val="16"/>
              </w:rPr>
              <w:t>Figure 4.16</w:t>
            </w:r>
            <w:r w:rsidRPr="00A55185">
              <w:rPr>
                <w:rFonts w:eastAsia="Times New Roman"/>
                <w:color w:val="000000"/>
                <w:sz w:val="16"/>
                <w:szCs w:val="16"/>
              </w:rPr>
              <w:t>) and in turn produce anti-leishmanial compounds and recruitment factors (</w:t>
            </w:r>
            <w:r w:rsidRPr="00A55185">
              <w:rPr>
                <w:rFonts w:eastAsia="Times New Roman"/>
                <w:b/>
                <w:bCs/>
                <w:color w:val="000000"/>
                <w:sz w:val="16"/>
                <w:szCs w:val="16"/>
              </w:rPr>
              <w:t>Figure 4.15</w:t>
            </w:r>
            <w:r w:rsidRPr="00A55185">
              <w:rPr>
                <w:rFonts w:eastAsia="Times New Roman"/>
                <w:color w:val="000000"/>
                <w:sz w:val="16"/>
                <w:szCs w:val="16"/>
              </w:rPr>
              <w:t>)</w:t>
            </w:r>
          </w:p>
        </w:tc>
        <w:tc>
          <w:tcPr>
            <w:tcW w:w="676" w:type="pct"/>
            <w:tcBorders>
              <w:top w:val="nil"/>
              <w:left w:val="nil"/>
              <w:bottom w:val="single" w:sz="4" w:space="0" w:color="auto"/>
              <w:right w:val="single" w:sz="4" w:space="0" w:color="auto"/>
            </w:tcBorders>
            <w:shd w:val="clear" w:color="auto" w:fill="auto"/>
            <w:vAlign w:val="center"/>
            <w:hideMark/>
          </w:tcPr>
          <w:p w14:paraId="526DD1F2" w14:textId="77777777" w:rsidR="00B52D4A" w:rsidRPr="00A55185" w:rsidRDefault="00B52D4A" w:rsidP="00143E24">
            <w:pPr>
              <w:spacing w:line="240" w:lineRule="auto"/>
              <w:jc w:val="center"/>
              <w:rPr>
                <w:rFonts w:eastAsia="Times New Roman"/>
                <w:color w:val="000000"/>
                <w:sz w:val="16"/>
                <w:szCs w:val="16"/>
              </w:rPr>
            </w:pPr>
            <w:r w:rsidRPr="00A55185">
              <w:rPr>
                <w:rFonts w:eastAsia="Times New Roman"/>
                <w:color w:val="000000"/>
                <w:sz w:val="16"/>
                <w:szCs w:val="16"/>
              </w:rPr>
              <w:t>The M1 inflammatory macrophage phenotype here is represented as a pro-inflammatory state in which anti-leishmanial compounds and recruitment factors are produced immediately transition to this state</w:t>
            </w:r>
          </w:p>
        </w:tc>
        <w:tc>
          <w:tcPr>
            <w:tcW w:w="987" w:type="pct"/>
            <w:vMerge w:val="restart"/>
            <w:tcBorders>
              <w:top w:val="nil"/>
              <w:left w:val="single" w:sz="4" w:space="0" w:color="auto"/>
              <w:bottom w:val="single" w:sz="4" w:space="0" w:color="000000"/>
              <w:right w:val="single" w:sz="4" w:space="0" w:color="auto"/>
            </w:tcBorders>
            <w:shd w:val="clear" w:color="auto" w:fill="auto"/>
            <w:vAlign w:val="center"/>
            <w:hideMark/>
          </w:tcPr>
          <w:p w14:paraId="5A1C1F22" w14:textId="77777777" w:rsidR="00B52D4A" w:rsidRPr="00A55185" w:rsidRDefault="00B52D4A" w:rsidP="00143E24">
            <w:pPr>
              <w:spacing w:line="240" w:lineRule="auto"/>
              <w:jc w:val="center"/>
              <w:rPr>
                <w:rFonts w:eastAsia="Times New Roman"/>
                <w:color w:val="000000"/>
                <w:sz w:val="16"/>
                <w:szCs w:val="16"/>
              </w:rPr>
            </w:pPr>
            <w:r w:rsidRPr="00A55185">
              <w:rPr>
                <w:rFonts w:eastAsia="Times New Roman"/>
                <w:color w:val="000000"/>
                <w:sz w:val="16"/>
                <w:szCs w:val="16"/>
              </w:rPr>
              <w:t>There is no representation of Anti-Inflammatory or Pro-Inflammatory Signals instead the actions of the signals which modulate the anti-leishmanial response (Pro- and Anti-Inflammatory Signals) are abstracted such that the amount of anti-leishmanial compounds is proportional to the amount of myeloid cells and T cells within the system (</w:t>
            </w:r>
            <w:r w:rsidRPr="00A55185">
              <w:rPr>
                <w:rFonts w:eastAsia="Times New Roman"/>
                <w:b/>
                <w:bCs/>
                <w:color w:val="000000"/>
                <w:sz w:val="16"/>
                <w:szCs w:val="16"/>
              </w:rPr>
              <w:t>Figure 4.21</w:t>
            </w:r>
            <w:r w:rsidRPr="00A55185">
              <w:rPr>
                <w:rFonts w:eastAsia="Times New Roman"/>
                <w:color w:val="000000"/>
                <w:sz w:val="16"/>
                <w:szCs w:val="16"/>
              </w:rPr>
              <w:t>)</w:t>
            </w:r>
          </w:p>
        </w:tc>
        <w:tc>
          <w:tcPr>
            <w:tcW w:w="854" w:type="pct"/>
            <w:tcBorders>
              <w:top w:val="nil"/>
              <w:left w:val="nil"/>
              <w:bottom w:val="single" w:sz="4" w:space="0" w:color="auto"/>
              <w:right w:val="single" w:sz="4" w:space="0" w:color="auto"/>
            </w:tcBorders>
            <w:shd w:val="clear" w:color="auto" w:fill="auto"/>
            <w:noWrap/>
            <w:vAlign w:val="center"/>
            <w:hideMark/>
          </w:tcPr>
          <w:p w14:paraId="03E33C9D" w14:textId="77777777" w:rsidR="00B52D4A" w:rsidRPr="00A55185" w:rsidRDefault="00B52D4A" w:rsidP="00143E24">
            <w:pPr>
              <w:spacing w:line="240" w:lineRule="auto"/>
              <w:jc w:val="center"/>
              <w:rPr>
                <w:rFonts w:eastAsia="Times New Roman"/>
                <w:color w:val="000000"/>
                <w:sz w:val="16"/>
                <w:szCs w:val="16"/>
              </w:rPr>
            </w:pPr>
          </w:p>
        </w:tc>
        <w:tc>
          <w:tcPr>
            <w:tcW w:w="1121" w:type="pct"/>
            <w:tcBorders>
              <w:top w:val="nil"/>
              <w:left w:val="nil"/>
              <w:bottom w:val="single" w:sz="4" w:space="0" w:color="auto"/>
              <w:right w:val="single" w:sz="4" w:space="0" w:color="auto"/>
            </w:tcBorders>
            <w:shd w:val="clear" w:color="auto" w:fill="auto"/>
            <w:noWrap/>
            <w:vAlign w:val="center"/>
            <w:hideMark/>
          </w:tcPr>
          <w:p w14:paraId="3F98FDAB" w14:textId="77777777" w:rsidR="00B52D4A" w:rsidRPr="00A55185" w:rsidRDefault="00B52D4A" w:rsidP="00143E24">
            <w:pPr>
              <w:spacing w:line="240" w:lineRule="auto"/>
              <w:jc w:val="center"/>
              <w:rPr>
                <w:rFonts w:eastAsia="Times New Roman"/>
                <w:color w:val="000000"/>
                <w:sz w:val="16"/>
                <w:szCs w:val="16"/>
              </w:rPr>
            </w:pPr>
          </w:p>
        </w:tc>
      </w:tr>
      <w:tr w:rsidR="00B52D4A" w:rsidRPr="00A55185" w14:paraId="6059CAD8" w14:textId="77777777" w:rsidTr="00F7425F">
        <w:trPr>
          <w:trHeight w:val="1300"/>
        </w:trPr>
        <w:tc>
          <w:tcPr>
            <w:tcW w:w="333" w:type="pct"/>
            <w:tcBorders>
              <w:top w:val="nil"/>
              <w:left w:val="single" w:sz="4" w:space="0" w:color="auto"/>
              <w:bottom w:val="single" w:sz="4" w:space="0" w:color="auto"/>
              <w:right w:val="single" w:sz="4" w:space="0" w:color="auto"/>
            </w:tcBorders>
            <w:shd w:val="clear" w:color="auto" w:fill="auto"/>
            <w:vAlign w:val="center"/>
            <w:hideMark/>
          </w:tcPr>
          <w:p w14:paraId="551191A1" w14:textId="77777777" w:rsidR="00B52D4A" w:rsidRPr="00A55185" w:rsidRDefault="00B52D4A" w:rsidP="00143E24">
            <w:pPr>
              <w:spacing w:line="240" w:lineRule="auto"/>
              <w:jc w:val="center"/>
              <w:rPr>
                <w:rFonts w:eastAsia="Times New Roman"/>
                <w:color w:val="000000"/>
                <w:sz w:val="16"/>
                <w:szCs w:val="16"/>
              </w:rPr>
            </w:pPr>
            <w:r w:rsidRPr="00A55185">
              <w:rPr>
                <w:rFonts w:eastAsia="Times New Roman"/>
                <w:color w:val="000000"/>
                <w:sz w:val="16"/>
                <w:szCs w:val="16"/>
              </w:rPr>
              <w:t>Pro-Inflammatory Signals can activate myeloid cells</w:t>
            </w:r>
          </w:p>
        </w:tc>
        <w:tc>
          <w:tcPr>
            <w:tcW w:w="352" w:type="pct"/>
            <w:tcBorders>
              <w:top w:val="nil"/>
              <w:left w:val="nil"/>
              <w:bottom w:val="single" w:sz="4" w:space="0" w:color="auto"/>
              <w:right w:val="single" w:sz="4" w:space="0" w:color="auto"/>
            </w:tcBorders>
            <w:shd w:val="clear" w:color="auto" w:fill="auto"/>
            <w:vAlign w:val="center"/>
            <w:hideMark/>
          </w:tcPr>
          <w:p w14:paraId="1E0CBC4F" w14:textId="77777777" w:rsidR="00B52D4A" w:rsidRPr="00A55185" w:rsidRDefault="00B52D4A" w:rsidP="00143E24">
            <w:pPr>
              <w:spacing w:line="240" w:lineRule="auto"/>
              <w:jc w:val="center"/>
              <w:rPr>
                <w:rFonts w:eastAsia="Times New Roman"/>
                <w:sz w:val="16"/>
                <w:szCs w:val="16"/>
              </w:rPr>
            </w:pPr>
            <w:r w:rsidRPr="00A55185">
              <w:rPr>
                <w:rFonts w:eastAsia="Times New Roman"/>
                <w:sz w:val="16"/>
                <w:szCs w:val="16"/>
              </w:rPr>
              <w:t>(Ivanova and Orekhov, 2016)</w:t>
            </w:r>
          </w:p>
        </w:tc>
        <w:tc>
          <w:tcPr>
            <w:tcW w:w="676" w:type="pct"/>
            <w:tcBorders>
              <w:top w:val="nil"/>
              <w:left w:val="nil"/>
              <w:bottom w:val="single" w:sz="4" w:space="0" w:color="auto"/>
              <w:right w:val="single" w:sz="4" w:space="0" w:color="auto"/>
            </w:tcBorders>
            <w:shd w:val="clear" w:color="auto" w:fill="auto"/>
            <w:vAlign w:val="center"/>
            <w:hideMark/>
          </w:tcPr>
          <w:p w14:paraId="69A0EEF9" w14:textId="77777777" w:rsidR="00B52D4A" w:rsidRPr="00A55185" w:rsidRDefault="00B52D4A" w:rsidP="00143E24">
            <w:pPr>
              <w:spacing w:line="240" w:lineRule="auto"/>
              <w:jc w:val="center"/>
              <w:rPr>
                <w:rFonts w:eastAsia="Times New Roman"/>
                <w:color w:val="000000"/>
                <w:sz w:val="16"/>
                <w:szCs w:val="16"/>
              </w:rPr>
            </w:pPr>
            <w:r w:rsidRPr="00A55185">
              <w:rPr>
                <w:rFonts w:eastAsia="Times New Roman"/>
                <w:color w:val="000000"/>
                <w:sz w:val="16"/>
                <w:szCs w:val="16"/>
              </w:rPr>
              <w:t>Myeloid cells tranistion to an activated state upon detection of pro-inflammatory signals (</w:t>
            </w:r>
            <w:r w:rsidRPr="00A55185">
              <w:rPr>
                <w:rFonts w:eastAsia="Times New Roman"/>
                <w:b/>
                <w:bCs/>
                <w:color w:val="000000"/>
                <w:sz w:val="16"/>
                <w:szCs w:val="16"/>
              </w:rPr>
              <w:t>Figure 4.10</w:t>
            </w:r>
            <w:r w:rsidRPr="00A55185">
              <w:rPr>
                <w:rFonts w:eastAsia="Times New Roman"/>
                <w:color w:val="000000"/>
                <w:sz w:val="16"/>
                <w:szCs w:val="16"/>
              </w:rPr>
              <w:t>) whereby they produce recruitment factors, pro-inflammatory signals and anti-leishmanial compounds (</w:t>
            </w:r>
            <w:r w:rsidRPr="00A55185">
              <w:rPr>
                <w:rFonts w:eastAsia="Times New Roman"/>
                <w:b/>
                <w:bCs/>
                <w:color w:val="000000"/>
                <w:sz w:val="16"/>
                <w:szCs w:val="16"/>
              </w:rPr>
              <w:t>Figure 4.9</w:t>
            </w:r>
            <w:r w:rsidRPr="00A55185">
              <w:rPr>
                <w:rFonts w:eastAsia="Times New Roman"/>
                <w:color w:val="000000"/>
                <w:sz w:val="16"/>
                <w:szCs w:val="16"/>
              </w:rPr>
              <w:t>)</w:t>
            </w:r>
          </w:p>
        </w:tc>
        <w:tc>
          <w:tcPr>
            <w:tcW w:w="676" w:type="pct"/>
            <w:tcBorders>
              <w:top w:val="nil"/>
              <w:left w:val="nil"/>
              <w:bottom w:val="single" w:sz="4" w:space="0" w:color="auto"/>
              <w:right w:val="single" w:sz="4" w:space="0" w:color="auto"/>
            </w:tcBorders>
            <w:shd w:val="clear" w:color="auto" w:fill="auto"/>
            <w:vAlign w:val="center"/>
            <w:hideMark/>
          </w:tcPr>
          <w:p w14:paraId="5DFCC336" w14:textId="77777777" w:rsidR="00B52D4A" w:rsidRPr="00A55185" w:rsidRDefault="00B52D4A" w:rsidP="00143E24">
            <w:pPr>
              <w:spacing w:line="240" w:lineRule="auto"/>
              <w:jc w:val="center"/>
              <w:rPr>
                <w:rFonts w:eastAsia="Times New Roman"/>
                <w:color w:val="000000"/>
                <w:sz w:val="16"/>
                <w:szCs w:val="16"/>
              </w:rPr>
            </w:pPr>
            <w:r w:rsidRPr="00A55185">
              <w:rPr>
                <w:rFonts w:eastAsia="Times New Roman"/>
                <w:color w:val="000000"/>
                <w:sz w:val="16"/>
                <w:szCs w:val="16"/>
              </w:rPr>
              <w:t>Pro-Inflammatory Signals are the only signal needed for myeloid cells to transition to an activated state whereby they produce several other entities immediately</w:t>
            </w:r>
          </w:p>
        </w:tc>
        <w:tc>
          <w:tcPr>
            <w:tcW w:w="987" w:type="pct"/>
            <w:vMerge/>
            <w:tcBorders>
              <w:top w:val="nil"/>
              <w:left w:val="single" w:sz="4" w:space="0" w:color="auto"/>
              <w:bottom w:val="single" w:sz="4" w:space="0" w:color="000000"/>
              <w:right w:val="single" w:sz="4" w:space="0" w:color="auto"/>
            </w:tcBorders>
            <w:vAlign w:val="center"/>
            <w:hideMark/>
          </w:tcPr>
          <w:p w14:paraId="44D9D904" w14:textId="77777777" w:rsidR="00B52D4A" w:rsidRPr="00A55185" w:rsidRDefault="00B52D4A" w:rsidP="00143E24">
            <w:pPr>
              <w:spacing w:line="240" w:lineRule="auto"/>
              <w:jc w:val="center"/>
              <w:rPr>
                <w:rFonts w:eastAsia="Times New Roman"/>
                <w:color w:val="000000"/>
                <w:sz w:val="16"/>
                <w:szCs w:val="16"/>
              </w:rPr>
            </w:pPr>
          </w:p>
        </w:tc>
        <w:tc>
          <w:tcPr>
            <w:tcW w:w="854" w:type="pct"/>
            <w:tcBorders>
              <w:top w:val="nil"/>
              <w:left w:val="nil"/>
              <w:bottom w:val="single" w:sz="4" w:space="0" w:color="auto"/>
              <w:right w:val="single" w:sz="4" w:space="0" w:color="auto"/>
            </w:tcBorders>
            <w:shd w:val="clear" w:color="auto" w:fill="auto"/>
            <w:noWrap/>
            <w:vAlign w:val="center"/>
            <w:hideMark/>
          </w:tcPr>
          <w:p w14:paraId="74674598" w14:textId="77777777" w:rsidR="00B52D4A" w:rsidRPr="00A55185" w:rsidRDefault="00B52D4A" w:rsidP="00143E24">
            <w:pPr>
              <w:spacing w:line="240" w:lineRule="auto"/>
              <w:jc w:val="center"/>
              <w:rPr>
                <w:rFonts w:eastAsia="Times New Roman"/>
                <w:color w:val="000000"/>
                <w:sz w:val="16"/>
                <w:szCs w:val="16"/>
              </w:rPr>
            </w:pPr>
          </w:p>
        </w:tc>
        <w:tc>
          <w:tcPr>
            <w:tcW w:w="1121" w:type="pct"/>
            <w:tcBorders>
              <w:top w:val="nil"/>
              <w:left w:val="nil"/>
              <w:bottom w:val="single" w:sz="4" w:space="0" w:color="auto"/>
              <w:right w:val="single" w:sz="4" w:space="0" w:color="auto"/>
            </w:tcBorders>
            <w:shd w:val="clear" w:color="auto" w:fill="auto"/>
            <w:noWrap/>
            <w:vAlign w:val="center"/>
            <w:hideMark/>
          </w:tcPr>
          <w:p w14:paraId="38E5BB93" w14:textId="77777777" w:rsidR="00B52D4A" w:rsidRPr="00A55185" w:rsidRDefault="00B52D4A" w:rsidP="00143E24">
            <w:pPr>
              <w:spacing w:line="240" w:lineRule="auto"/>
              <w:jc w:val="center"/>
              <w:rPr>
                <w:rFonts w:eastAsia="Times New Roman"/>
                <w:color w:val="000000"/>
                <w:sz w:val="16"/>
                <w:szCs w:val="16"/>
              </w:rPr>
            </w:pPr>
          </w:p>
        </w:tc>
      </w:tr>
      <w:tr w:rsidR="00B52D4A" w:rsidRPr="00A55185" w14:paraId="443225FA" w14:textId="77777777" w:rsidTr="00F7425F">
        <w:trPr>
          <w:trHeight w:val="1060"/>
        </w:trPr>
        <w:tc>
          <w:tcPr>
            <w:tcW w:w="333" w:type="pct"/>
            <w:tcBorders>
              <w:top w:val="nil"/>
              <w:left w:val="single" w:sz="4" w:space="0" w:color="auto"/>
              <w:bottom w:val="single" w:sz="4" w:space="0" w:color="auto"/>
              <w:right w:val="single" w:sz="4" w:space="0" w:color="auto"/>
            </w:tcBorders>
            <w:shd w:val="clear" w:color="auto" w:fill="auto"/>
            <w:vAlign w:val="center"/>
            <w:hideMark/>
          </w:tcPr>
          <w:p w14:paraId="6FC7B581" w14:textId="77777777" w:rsidR="00B52D4A" w:rsidRPr="00A55185" w:rsidRDefault="00B52D4A" w:rsidP="00143E24">
            <w:pPr>
              <w:spacing w:line="240" w:lineRule="auto"/>
              <w:jc w:val="center"/>
              <w:rPr>
                <w:rFonts w:eastAsia="Times New Roman"/>
                <w:color w:val="000000"/>
                <w:sz w:val="16"/>
                <w:szCs w:val="16"/>
              </w:rPr>
            </w:pPr>
            <w:r w:rsidRPr="00A55185">
              <w:rPr>
                <w:rFonts w:eastAsia="Times New Roman"/>
                <w:color w:val="000000"/>
                <w:sz w:val="16"/>
                <w:szCs w:val="16"/>
              </w:rPr>
              <w:t>Pro-Inflammatory Signals activate T cells to produce Pro-Inflammatory Signals</w:t>
            </w:r>
          </w:p>
        </w:tc>
        <w:tc>
          <w:tcPr>
            <w:tcW w:w="352" w:type="pct"/>
            <w:tcBorders>
              <w:top w:val="nil"/>
              <w:left w:val="nil"/>
              <w:bottom w:val="single" w:sz="4" w:space="0" w:color="auto"/>
              <w:right w:val="single" w:sz="4" w:space="0" w:color="auto"/>
            </w:tcBorders>
            <w:shd w:val="clear" w:color="auto" w:fill="auto"/>
            <w:vAlign w:val="center"/>
            <w:hideMark/>
          </w:tcPr>
          <w:p w14:paraId="5B8B0B6D" w14:textId="77777777" w:rsidR="00B52D4A" w:rsidRPr="00A55185" w:rsidRDefault="00B52D4A" w:rsidP="00143E24">
            <w:pPr>
              <w:spacing w:line="240" w:lineRule="auto"/>
              <w:jc w:val="center"/>
              <w:rPr>
                <w:rFonts w:eastAsia="Times New Roman"/>
                <w:sz w:val="16"/>
                <w:szCs w:val="16"/>
              </w:rPr>
            </w:pPr>
            <w:r w:rsidRPr="00A55185">
              <w:rPr>
                <w:rFonts w:eastAsia="Times New Roman"/>
                <w:sz w:val="16"/>
                <w:szCs w:val="16"/>
              </w:rPr>
              <w:t>(Romagnani 1999; Kumar and Nylén 2012; Pennock et al. 2013; Albergante et al. 2013)</w:t>
            </w:r>
          </w:p>
        </w:tc>
        <w:tc>
          <w:tcPr>
            <w:tcW w:w="676" w:type="pct"/>
            <w:tcBorders>
              <w:top w:val="nil"/>
              <w:left w:val="nil"/>
              <w:bottom w:val="single" w:sz="4" w:space="0" w:color="auto"/>
              <w:right w:val="single" w:sz="4" w:space="0" w:color="auto"/>
            </w:tcBorders>
            <w:shd w:val="clear" w:color="auto" w:fill="auto"/>
            <w:vAlign w:val="center"/>
            <w:hideMark/>
          </w:tcPr>
          <w:p w14:paraId="00422E4B" w14:textId="77777777" w:rsidR="00B52D4A" w:rsidRPr="00A55185" w:rsidRDefault="00B52D4A" w:rsidP="00143E24">
            <w:pPr>
              <w:spacing w:line="240" w:lineRule="auto"/>
              <w:jc w:val="center"/>
              <w:rPr>
                <w:rFonts w:eastAsia="Times New Roman"/>
                <w:color w:val="000000"/>
                <w:sz w:val="16"/>
                <w:szCs w:val="16"/>
              </w:rPr>
            </w:pPr>
            <w:r w:rsidRPr="00A55185">
              <w:rPr>
                <w:rFonts w:eastAsia="Times New Roman"/>
                <w:color w:val="000000"/>
                <w:sz w:val="16"/>
                <w:szCs w:val="16"/>
              </w:rPr>
              <w:t>T cells detecting Pro-Inflammatory Signals AND presented antigen by either Kupffer or myeloid cells produce Pro-Inflammatory Signals (</w:t>
            </w:r>
            <w:r w:rsidRPr="00A55185">
              <w:rPr>
                <w:rFonts w:eastAsia="Times New Roman"/>
                <w:b/>
                <w:bCs/>
                <w:color w:val="000000"/>
                <w:sz w:val="16"/>
                <w:szCs w:val="16"/>
              </w:rPr>
              <w:t>Figure 4.7</w:t>
            </w:r>
            <w:r w:rsidRPr="00A55185">
              <w:rPr>
                <w:rFonts w:eastAsia="Times New Roman"/>
                <w:color w:val="000000"/>
                <w:sz w:val="16"/>
                <w:szCs w:val="16"/>
              </w:rPr>
              <w:t>)</w:t>
            </w:r>
          </w:p>
        </w:tc>
        <w:tc>
          <w:tcPr>
            <w:tcW w:w="676" w:type="pct"/>
            <w:tcBorders>
              <w:top w:val="nil"/>
              <w:left w:val="nil"/>
              <w:bottom w:val="single" w:sz="4" w:space="0" w:color="auto"/>
              <w:right w:val="single" w:sz="4" w:space="0" w:color="auto"/>
            </w:tcBorders>
            <w:shd w:val="clear" w:color="auto" w:fill="auto"/>
            <w:vAlign w:val="center"/>
            <w:hideMark/>
          </w:tcPr>
          <w:p w14:paraId="05F6909F" w14:textId="77777777" w:rsidR="00B52D4A" w:rsidRPr="00A55185" w:rsidRDefault="00B52D4A" w:rsidP="00143E24">
            <w:pPr>
              <w:spacing w:line="240" w:lineRule="auto"/>
              <w:jc w:val="center"/>
              <w:rPr>
                <w:rFonts w:eastAsia="Times New Roman"/>
                <w:color w:val="000000"/>
                <w:sz w:val="16"/>
                <w:szCs w:val="16"/>
              </w:rPr>
            </w:pPr>
            <w:r w:rsidRPr="00A55185">
              <w:rPr>
                <w:rFonts w:eastAsia="Times New Roman"/>
                <w:color w:val="000000"/>
                <w:sz w:val="16"/>
                <w:szCs w:val="16"/>
              </w:rPr>
              <w:t>Pro-Inflammatory Signal detection by T cells and antigen presentation by myeloid cells is an approxmiation of CD4</w:t>
            </w:r>
            <w:r w:rsidRPr="00A55185">
              <w:rPr>
                <w:rFonts w:eastAsia="Times New Roman"/>
                <w:color w:val="000000"/>
                <w:sz w:val="16"/>
                <w:szCs w:val="16"/>
                <w:vertAlign w:val="superscript"/>
              </w:rPr>
              <w:t>+</w:t>
            </w:r>
            <w:r w:rsidRPr="00A55185">
              <w:rPr>
                <w:rFonts w:eastAsia="Times New Roman"/>
                <w:color w:val="000000"/>
                <w:sz w:val="16"/>
                <w:szCs w:val="16"/>
              </w:rPr>
              <w:t xml:space="preserve"> Th</w:t>
            </w:r>
            <w:r w:rsidRPr="00A55185">
              <w:rPr>
                <w:rFonts w:eastAsia="Times New Roman"/>
                <w:color w:val="000000"/>
                <w:sz w:val="16"/>
                <w:szCs w:val="16"/>
                <w:vertAlign w:val="subscript"/>
              </w:rPr>
              <w:t>1</w:t>
            </w:r>
            <w:r w:rsidRPr="00A55185">
              <w:rPr>
                <w:rFonts w:eastAsia="Times New Roman"/>
                <w:color w:val="000000"/>
                <w:sz w:val="16"/>
                <w:szCs w:val="16"/>
              </w:rPr>
              <w:t xml:space="preserve"> response generation</w:t>
            </w:r>
            <w:r w:rsidRPr="00A55185">
              <w:rPr>
                <w:rFonts w:eastAsia="Times New Roman"/>
                <w:color w:val="000000"/>
                <w:sz w:val="16"/>
                <w:szCs w:val="16"/>
              </w:rPr>
              <w:br/>
              <w:t xml:space="preserve">Pro-Inflammatory Signal detection by </w:t>
            </w:r>
            <w:r w:rsidRPr="00A55185">
              <w:rPr>
                <w:rFonts w:eastAsia="Times New Roman"/>
                <w:color w:val="000000"/>
                <w:sz w:val="16"/>
                <w:szCs w:val="16"/>
              </w:rPr>
              <w:lastRenderedPageBreak/>
              <w:t>T cells and antigen presentation by Kupffer cells is an approxmiation of CD8+ T</w:t>
            </w:r>
            <w:r w:rsidRPr="00A55185">
              <w:rPr>
                <w:rFonts w:eastAsia="Times New Roman"/>
                <w:color w:val="000000"/>
                <w:sz w:val="16"/>
                <w:szCs w:val="16"/>
                <w:vertAlign w:val="subscript"/>
              </w:rPr>
              <w:t>c</w:t>
            </w:r>
            <w:r w:rsidRPr="00A55185">
              <w:rPr>
                <w:rFonts w:eastAsia="Times New Roman"/>
                <w:color w:val="000000"/>
                <w:sz w:val="16"/>
                <w:szCs w:val="16"/>
              </w:rPr>
              <w:t xml:space="preserve"> response generation</w:t>
            </w:r>
          </w:p>
        </w:tc>
        <w:tc>
          <w:tcPr>
            <w:tcW w:w="987" w:type="pct"/>
            <w:vMerge/>
            <w:tcBorders>
              <w:top w:val="nil"/>
              <w:left w:val="single" w:sz="4" w:space="0" w:color="auto"/>
              <w:bottom w:val="single" w:sz="4" w:space="0" w:color="000000"/>
              <w:right w:val="single" w:sz="4" w:space="0" w:color="auto"/>
            </w:tcBorders>
            <w:vAlign w:val="center"/>
            <w:hideMark/>
          </w:tcPr>
          <w:p w14:paraId="5F16DF08" w14:textId="77777777" w:rsidR="00B52D4A" w:rsidRPr="00A55185" w:rsidRDefault="00B52D4A" w:rsidP="00143E24">
            <w:pPr>
              <w:spacing w:line="240" w:lineRule="auto"/>
              <w:jc w:val="center"/>
              <w:rPr>
                <w:rFonts w:eastAsia="Times New Roman"/>
                <w:color w:val="000000"/>
                <w:sz w:val="16"/>
                <w:szCs w:val="16"/>
              </w:rPr>
            </w:pPr>
          </w:p>
        </w:tc>
        <w:tc>
          <w:tcPr>
            <w:tcW w:w="854" w:type="pct"/>
            <w:tcBorders>
              <w:top w:val="nil"/>
              <w:left w:val="nil"/>
              <w:bottom w:val="single" w:sz="4" w:space="0" w:color="auto"/>
              <w:right w:val="single" w:sz="4" w:space="0" w:color="auto"/>
            </w:tcBorders>
            <w:shd w:val="clear" w:color="auto" w:fill="auto"/>
            <w:noWrap/>
            <w:vAlign w:val="center"/>
            <w:hideMark/>
          </w:tcPr>
          <w:p w14:paraId="0B7711C2" w14:textId="77777777" w:rsidR="00B52D4A" w:rsidRPr="00A55185" w:rsidRDefault="00B52D4A" w:rsidP="00143E24">
            <w:pPr>
              <w:spacing w:line="240" w:lineRule="auto"/>
              <w:jc w:val="center"/>
              <w:rPr>
                <w:rFonts w:eastAsia="Times New Roman"/>
                <w:color w:val="000000"/>
                <w:sz w:val="16"/>
                <w:szCs w:val="16"/>
              </w:rPr>
            </w:pPr>
          </w:p>
        </w:tc>
        <w:tc>
          <w:tcPr>
            <w:tcW w:w="1121" w:type="pct"/>
            <w:tcBorders>
              <w:top w:val="nil"/>
              <w:left w:val="nil"/>
              <w:bottom w:val="single" w:sz="4" w:space="0" w:color="auto"/>
              <w:right w:val="single" w:sz="4" w:space="0" w:color="auto"/>
            </w:tcBorders>
            <w:shd w:val="clear" w:color="auto" w:fill="auto"/>
            <w:noWrap/>
            <w:vAlign w:val="center"/>
            <w:hideMark/>
          </w:tcPr>
          <w:p w14:paraId="71F0F69F" w14:textId="77777777" w:rsidR="00B52D4A" w:rsidRPr="00A55185" w:rsidRDefault="00B52D4A" w:rsidP="00143E24">
            <w:pPr>
              <w:spacing w:line="240" w:lineRule="auto"/>
              <w:jc w:val="center"/>
              <w:rPr>
                <w:rFonts w:eastAsia="Times New Roman"/>
                <w:color w:val="000000"/>
                <w:sz w:val="16"/>
                <w:szCs w:val="16"/>
              </w:rPr>
            </w:pPr>
          </w:p>
        </w:tc>
      </w:tr>
      <w:tr w:rsidR="00B23FF8" w:rsidRPr="00A55185" w14:paraId="04A3A60A" w14:textId="77777777" w:rsidTr="00F7425F">
        <w:trPr>
          <w:trHeight w:val="1040"/>
        </w:trPr>
        <w:tc>
          <w:tcPr>
            <w:tcW w:w="333" w:type="pct"/>
            <w:tcBorders>
              <w:top w:val="nil"/>
              <w:left w:val="single" w:sz="4" w:space="0" w:color="auto"/>
              <w:bottom w:val="single" w:sz="4" w:space="0" w:color="auto"/>
              <w:right w:val="single" w:sz="4" w:space="0" w:color="auto"/>
            </w:tcBorders>
            <w:shd w:val="clear" w:color="auto" w:fill="auto"/>
            <w:vAlign w:val="center"/>
            <w:hideMark/>
          </w:tcPr>
          <w:p w14:paraId="52E7B72B" w14:textId="77777777" w:rsidR="00B52D4A" w:rsidRPr="00A55185" w:rsidRDefault="00B52D4A" w:rsidP="00143E24">
            <w:pPr>
              <w:spacing w:line="240" w:lineRule="auto"/>
              <w:jc w:val="center"/>
              <w:rPr>
                <w:rFonts w:eastAsia="Times New Roman"/>
                <w:color w:val="000000"/>
                <w:sz w:val="16"/>
                <w:szCs w:val="16"/>
              </w:rPr>
            </w:pPr>
            <w:r w:rsidRPr="00A55185">
              <w:rPr>
                <w:rFonts w:eastAsia="Times New Roman"/>
                <w:color w:val="000000"/>
                <w:sz w:val="16"/>
                <w:szCs w:val="16"/>
              </w:rPr>
              <w:t>Pro-Inflammatory Signals can recruit myeloid cells</w:t>
            </w:r>
          </w:p>
        </w:tc>
        <w:tc>
          <w:tcPr>
            <w:tcW w:w="352" w:type="pct"/>
            <w:vMerge w:val="restart"/>
            <w:tcBorders>
              <w:top w:val="nil"/>
              <w:left w:val="single" w:sz="4" w:space="0" w:color="auto"/>
              <w:bottom w:val="single" w:sz="4" w:space="0" w:color="000000"/>
              <w:right w:val="single" w:sz="4" w:space="0" w:color="auto"/>
            </w:tcBorders>
            <w:shd w:val="clear" w:color="auto" w:fill="auto"/>
            <w:vAlign w:val="center"/>
            <w:hideMark/>
          </w:tcPr>
          <w:p w14:paraId="1E6AD42D" w14:textId="77777777" w:rsidR="00B52D4A" w:rsidRPr="00A55185" w:rsidRDefault="00B52D4A" w:rsidP="00143E24">
            <w:pPr>
              <w:spacing w:line="240" w:lineRule="auto"/>
              <w:jc w:val="center"/>
              <w:rPr>
                <w:rFonts w:eastAsia="Times New Roman"/>
                <w:sz w:val="16"/>
                <w:szCs w:val="16"/>
              </w:rPr>
            </w:pPr>
            <w:r w:rsidRPr="00A55185">
              <w:rPr>
                <w:rFonts w:eastAsia="Times New Roman"/>
                <w:sz w:val="16"/>
                <w:szCs w:val="16"/>
              </w:rPr>
              <w:t>(Robert-Gangneux et al., 2012; Chi and Pamer, 2011; José et al., 2015, Kaye and Beattie, 2016)</w:t>
            </w:r>
          </w:p>
        </w:tc>
        <w:tc>
          <w:tcPr>
            <w:tcW w:w="676" w:type="pct"/>
            <w:tcBorders>
              <w:top w:val="nil"/>
              <w:left w:val="nil"/>
              <w:bottom w:val="single" w:sz="4" w:space="0" w:color="auto"/>
              <w:right w:val="single" w:sz="4" w:space="0" w:color="auto"/>
            </w:tcBorders>
            <w:shd w:val="clear" w:color="auto" w:fill="auto"/>
            <w:vAlign w:val="center"/>
            <w:hideMark/>
          </w:tcPr>
          <w:p w14:paraId="035A76E0" w14:textId="77777777" w:rsidR="00B52D4A" w:rsidRPr="00A55185" w:rsidRDefault="00B52D4A" w:rsidP="00143E24">
            <w:pPr>
              <w:spacing w:line="240" w:lineRule="auto"/>
              <w:jc w:val="center"/>
              <w:rPr>
                <w:rFonts w:eastAsia="Times New Roman"/>
                <w:color w:val="000000"/>
                <w:sz w:val="16"/>
                <w:szCs w:val="16"/>
              </w:rPr>
            </w:pPr>
            <w:r w:rsidRPr="00A55185">
              <w:rPr>
                <w:rFonts w:eastAsia="Times New Roman"/>
                <w:color w:val="000000"/>
                <w:sz w:val="16"/>
                <w:szCs w:val="16"/>
              </w:rPr>
              <w:t>Detection of pro-inflammatory signals and recruitment factors at other sites induces the migration of myeloid cells to the site where these signals are found (</w:t>
            </w:r>
            <w:r w:rsidRPr="00A55185">
              <w:rPr>
                <w:rFonts w:eastAsia="Times New Roman"/>
                <w:b/>
                <w:bCs/>
                <w:color w:val="000000"/>
                <w:sz w:val="16"/>
                <w:szCs w:val="16"/>
              </w:rPr>
              <w:t>Figure 4.9</w:t>
            </w:r>
            <w:r w:rsidRPr="00A55185">
              <w:rPr>
                <w:rFonts w:eastAsia="Times New Roman"/>
                <w:color w:val="000000"/>
                <w:sz w:val="16"/>
                <w:szCs w:val="16"/>
              </w:rPr>
              <w:t>)</w:t>
            </w:r>
          </w:p>
        </w:tc>
        <w:tc>
          <w:tcPr>
            <w:tcW w:w="676" w:type="pct"/>
            <w:vMerge w:val="restart"/>
            <w:tcBorders>
              <w:top w:val="nil"/>
              <w:left w:val="single" w:sz="4" w:space="0" w:color="auto"/>
              <w:bottom w:val="single" w:sz="4" w:space="0" w:color="000000"/>
              <w:right w:val="single" w:sz="4" w:space="0" w:color="auto"/>
            </w:tcBorders>
            <w:shd w:val="clear" w:color="auto" w:fill="auto"/>
            <w:vAlign w:val="center"/>
            <w:hideMark/>
          </w:tcPr>
          <w:p w14:paraId="408F2F84" w14:textId="77777777" w:rsidR="00B52D4A" w:rsidRPr="00A55185" w:rsidRDefault="00B52D4A" w:rsidP="00143E24">
            <w:pPr>
              <w:spacing w:line="240" w:lineRule="auto"/>
              <w:jc w:val="center"/>
              <w:rPr>
                <w:rFonts w:eastAsia="Times New Roman"/>
                <w:color w:val="000000"/>
                <w:sz w:val="16"/>
                <w:szCs w:val="16"/>
              </w:rPr>
            </w:pPr>
            <w:r w:rsidRPr="00A55185">
              <w:rPr>
                <w:rFonts w:eastAsia="Times New Roman"/>
                <w:color w:val="000000"/>
                <w:sz w:val="16"/>
                <w:szCs w:val="16"/>
              </w:rPr>
              <w:t>A simplification here is myeloid cells have knowledge of Recruitment Factor and Pro-Inflammatory Signal levels at other sites which simplifies the detection of any gradient detection and subsequent trafficking along the gradient</w:t>
            </w:r>
          </w:p>
        </w:tc>
        <w:tc>
          <w:tcPr>
            <w:tcW w:w="987" w:type="pct"/>
            <w:vMerge w:val="restart"/>
            <w:tcBorders>
              <w:top w:val="nil"/>
              <w:left w:val="single" w:sz="4" w:space="0" w:color="auto"/>
              <w:bottom w:val="single" w:sz="4" w:space="0" w:color="000000"/>
              <w:right w:val="single" w:sz="4" w:space="0" w:color="auto"/>
            </w:tcBorders>
            <w:shd w:val="clear" w:color="auto" w:fill="auto"/>
            <w:vAlign w:val="center"/>
            <w:hideMark/>
          </w:tcPr>
          <w:p w14:paraId="501EA103" w14:textId="77777777" w:rsidR="00B52D4A" w:rsidRPr="00A55185" w:rsidRDefault="00B52D4A" w:rsidP="00143E24">
            <w:pPr>
              <w:spacing w:line="240" w:lineRule="auto"/>
              <w:jc w:val="center"/>
              <w:rPr>
                <w:rFonts w:eastAsia="Times New Roman"/>
                <w:color w:val="000000"/>
                <w:sz w:val="16"/>
                <w:szCs w:val="16"/>
              </w:rPr>
            </w:pPr>
            <w:r w:rsidRPr="00A55185">
              <w:rPr>
                <w:rFonts w:eastAsia="Times New Roman"/>
                <w:color w:val="000000"/>
                <w:sz w:val="16"/>
                <w:szCs w:val="16"/>
              </w:rPr>
              <w:t>There is no representation of an 'Other Site' within the Platform model. The liver is represented as a self-contained compartment, migratory processes which increase the myeloid cell population are abstracted so that population growth arises through proliferation. (</w:t>
            </w:r>
            <w:r w:rsidRPr="00A55185">
              <w:rPr>
                <w:rFonts w:eastAsia="Times New Roman"/>
                <w:b/>
                <w:bCs/>
                <w:color w:val="000000"/>
                <w:sz w:val="16"/>
                <w:szCs w:val="16"/>
              </w:rPr>
              <w:t>Figure 4.19</w:t>
            </w:r>
            <w:r w:rsidRPr="00A55185">
              <w:rPr>
                <w:rFonts w:eastAsia="Times New Roman"/>
                <w:color w:val="000000"/>
                <w:sz w:val="16"/>
                <w:szCs w:val="16"/>
              </w:rPr>
              <w:t>)</w:t>
            </w:r>
          </w:p>
        </w:tc>
        <w:tc>
          <w:tcPr>
            <w:tcW w:w="854" w:type="pct"/>
            <w:vMerge w:val="restart"/>
            <w:tcBorders>
              <w:top w:val="nil"/>
              <w:left w:val="single" w:sz="4" w:space="0" w:color="auto"/>
              <w:bottom w:val="single" w:sz="4" w:space="0" w:color="auto"/>
              <w:right w:val="single" w:sz="4" w:space="0" w:color="auto"/>
            </w:tcBorders>
            <w:shd w:val="clear" w:color="auto" w:fill="auto"/>
            <w:vAlign w:val="center"/>
            <w:hideMark/>
          </w:tcPr>
          <w:p w14:paraId="4213C38F" w14:textId="77777777" w:rsidR="00B52D4A" w:rsidRPr="00A55185" w:rsidRDefault="00B52D4A" w:rsidP="00143E24">
            <w:pPr>
              <w:spacing w:line="240" w:lineRule="auto"/>
              <w:jc w:val="center"/>
              <w:rPr>
                <w:rFonts w:eastAsia="Times New Roman"/>
                <w:color w:val="000000"/>
                <w:sz w:val="16"/>
                <w:szCs w:val="16"/>
              </w:rPr>
            </w:pPr>
            <w:r w:rsidRPr="00A55185">
              <w:rPr>
                <w:rFonts w:eastAsia="Times New Roman"/>
                <w:i/>
                <w:iCs/>
                <w:color w:val="000000"/>
                <w:sz w:val="16"/>
                <w:szCs w:val="16"/>
              </w:rPr>
              <w:t>Myeloid cell population growth = a</w:t>
            </w:r>
            <w:r w:rsidRPr="00A55185">
              <w:rPr>
                <w:rFonts w:eastAsia="Times New Roman"/>
                <w:i/>
                <w:iCs/>
                <w:color w:val="000000"/>
                <w:sz w:val="16"/>
                <w:szCs w:val="16"/>
                <w:vertAlign w:val="subscript"/>
              </w:rPr>
              <w:t>M</w:t>
            </w:r>
            <w:r w:rsidRPr="00A55185">
              <w:rPr>
                <w:rFonts w:eastAsia="Times New Roman"/>
                <w:i/>
                <w:iCs/>
                <w:color w:val="000000"/>
                <w:sz w:val="16"/>
                <w:szCs w:val="16"/>
              </w:rPr>
              <w:t xml:space="preserve"> x M x (1 - M/M</w:t>
            </w:r>
            <w:r w:rsidRPr="00A55185">
              <w:rPr>
                <w:rFonts w:eastAsia="Times New Roman"/>
                <w:i/>
                <w:iCs/>
                <w:color w:val="000000"/>
                <w:sz w:val="16"/>
                <w:szCs w:val="16"/>
                <w:vertAlign w:val="subscript"/>
              </w:rPr>
              <w:t>max</w:t>
            </w:r>
            <w:r w:rsidRPr="00A55185">
              <w:rPr>
                <w:rFonts w:eastAsia="Times New Roman"/>
                <w:i/>
                <w:iCs/>
                <w:color w:val="000000"/>
                <w:sz w:val="16"/>
                <w:szCs w:val="16"/>
              </w:rPr>
              <w:t>)</w:t>
            </w:r>
            <w:r w:rsidRPr="00A55185">
              <w:rPr>
                <w:rFonts w:eastAsia="Times New Roman"/>
                <w:color w:val="000000"/>
                <w:sz w:val="16"/>
                <w:szCs w:val="16"/>
              </w:rPr>
              <w:br/>
              <w:t>a</w:t>
            </w:r>
            <w:r w:rsidRPr="00A55185">
              <w:rPr>
                <w:rFonts w:eastAsia="Times New Roman"/>
                <w:color w:val="000000"/>
                <w:sz w:val="16"/>
                <w:szCs w:val="16"/>
                <w:vertAlign w:val="subscript"/>
              </w:rPr>
              <w:t>M</w:t>
            </w:r>
            <w:r w:rsidRPr="00A55185">
              <w:rPr>
                <w:rFonts w:eastAsia="Times New Roman"/>
                <w:color w:val="000000"/>
                <w:sz w:val="16"/>
                <w:szCs w:val="16"/>
              </w:rPr>
              <w:t xml:space="preserve"> = Myeloid cell proliferation rate</w:t>
            </w:r>
            <w:r w:rsidRPr="00A55185">
              <w:rPr>
                <w:rFonts w:eastAsia="Times New Roman"/>
                <w:color w:val="000000"/>
                <w:sz w:val="16"/>
                <w:szCs w:val="16"/>
              </w:rPr>
              <w:br/>
              <w:t>M</w:t>
            </w:r>
            <w:r w:rsidRPr="00A55185">
              <w:rPr>
                <w:rFonts w:eastAsia="Times New Roman"/>
                <w:color w:val="000000"/>
                <w:sz w:val="16"/>
                <w:szCs w:val="16"/>
                <w:vertAlign w:val="subscript"/>
              </w:rPr>
              <w:t>max</w:t>
            </w:r>
            <w:r w:rsidRPr="00A55185">
              <w:rPr>
                <w:rFonts w:eastAsia="Times New Roman"/>
                <w:color w:val="000000"/>
                <w:sz w:val="16"/>
                <w:szCs w:val="16"/>
              </w:rPr>
              <w:t xml:space="preserve"> = Maximal size of the myeloid cell population</w:t>
            </w:r>
            <w:r w:rsidRPr="00A55185">
              <w:rPr>
                <w:rFonts w:eastAsia="Times New Roman"/>
                <w:color w:val="000000"/>
                <w:sz w:val="16"/>
                <w:szCs w:val="16"/>
              </w:rPr>
              <w:br/>
              <w:t>M = Myeloid cell population</w:t>
            </w:r>
          </w:p>
        </w:tc>
        <w:tc>
          <w:tcPr>
            <w:tcW w:w="1121" w:type="pct"/>
            <w:vMerge w:val="restart"/>
            <w:tcBorders>
              <w:top w:val="nil"/>
              <w:left w:val="single" w:sz="4" w:space="0" w:color="auto"/>
              <w:bottom w:val="single" w:sz="4" w:space="0" w:color="000000"/>
              <w:right w:val="single" w:sz="4" w:space="0" w:color="auto"/>
            </w:tcBorders>
            <w:shd w:val="clear" w:color="auto" w:fill="auto"/>
            <w:vAlign w:val="center"/>
            <w:hideMark/>
          </w:tcPr>
          <w:p w14:paraId="0B422C21" w14:textId="77777777" w:rsidR="00B52D4A" w:rsidRPr="00A55185" w:rsidRDefault="00B52D4A" w:rsidP="00143E24">
            <w:pPr>
              <w:spacing w:line="240" w:lineRule="auto"/>
              <w:jc w:val="center"/>
              <w:rPr>
                <w:rFonts w:eastAsia="Times New Roman"/>
                <w:color w:val="000000"/>
                <w:sz w:val="16"/>
                <w:szCs w:val="16"/>
              </w:rPr>
            </w:pPr>
            <w:r w:rsidRPr="00A55185">
              <w:rPr>
                <w:rFonts w:eastAsia="Times New Roman"/>
                <w:i/>
                <w:iCs/>
                <w:color w:val="000000"/>
                <w:sz w:val="16"/>
                <w:szCs w:val="16"/>
              </w:rPr>
              <w:t>Myeloid cell population change = l</w:t>
            </w:r>
            <w:r w:rsidRPr="00A55185">
              <w:rPr>
                <w:rFonts w:eastAsia="Times New Roman"/>
                <w:i/>
                <w:iCs/>
                <w:color w:val="000000"/>
                <w:sz w:val="16"/>
                <w:szCs w:val="16"/>
                <w:vertAlign w:val="subscript"/>
              </w:rPr>
              <w:t>M</w:t>
            </w:r>
            <w:r w:rsidRPr="00A55185">
              <w:rPr>
                <w:rFonts w:eastAsia="Times New Roman"/>
                <w:i/>
                <w:iCs/>
                <w:color w:val="000000"/>
                <w:sz w:val="16"/>
                <w:szCs w:val="16"/>
              </w:rPr>
              <w:t xml:space="preserve"> + M</w:t>
            </w:r>
            <w:r w:rsidRPr="00A55185">
              <w:rPr>
                <w:rFonts w:eastAsia="Times New Roman"/>
                <w:i/>
                <w:iCs/>
                <w:color w:val="000000"/>
                <w:sz w:val="16"/>
                <w:szCs w:val="16"/>
                <w:vertAlign w:val="subscript"/>
              </w:rPr>
              <w:t>s</w:t>
            </w:r>
            <w:r w:rsidRPr="00A55185">
              <w:rPr>
                <w:rFonts w:eastAsia="Times New Roman"/>
                <w:i/>
                <w:iCs/>
                <w:color w:val="000000"/>
                <w:sz w:val="16"/>
                <w:szCs w:val="16"/>
              </w:rPr>
              <w:t xml:space="preserve"> x (((a</w:t>
            </w:r>
            <w:r w:rsidRPr="00A55185">
              <w:rPr>
                <w:rFonts w:eastAsia="Times New Roman"/>
                <w:i/>
                <w:iCs/>
                <w:color w:val="000000"/>
                <w:sz w:val="16"/>
                <w:szCs w:val="16"/>
                <w:vertAlign w:val="subscript"/>
              </w:rPr>
              <w:t>M</w:t>
            </w:r>
            <w:r w:rsidRPr="00A55185">
              <w:rPr>
                <w:rFonts w:eastAsia="Times New Roman"/>
                <w:i/>
                <w:iCs/>
                <w:color w:val="000000"/>
                <w:sz w:val="16"/>
                <w:szCs w:val="16"/>
              </w:rPr>
              <w:t xml:space="preserve"> x M</w:t>
            </w:r>
            <w:r w:rsidRPr="00A55185">
              <w:rPr>
                <w:rFonts w:eastAsia="Times New Roman"/>
                <w:i/>
                <w:iCs/>
                <w:color w:val="000000"/>
                <w:sz w:val="16"/>
                <w:szCs w:val="16"/>
                <w:vertAlign w:val="subscript"/>
              </w:rPr>
              <w:t>i</w:t>
            </w:r>
            <w:r w:rsidRPr="00A55185">
              <w:rPr>
                <w:rFonts w:eastAsia="Times New Roman"/>
                <w:i/>
                <w:iCs/>
                <w:color w:val="000000"/>
                <w:sz w:val="16"/>
                <w:szCs w:val="16"/>
              </w:rPr>
              <w:t>)/(M</w:t>
            </w:r>
            <w:r w:rsidRPr="00A55185">
              <w:rPr>
                <w:rFonts w:eastAsia="Times New Roman"/>
                <w:i/>
                <w:iCs/>
                <w:color w:val="000000"/>
                <w:sz w:val="16"/>
                <w:szCs w:val="16"/>
                <w:vertAlign w:val="subscript"/>
              </w:rPr>
              <w:t>s</w:t>
            </w:r>
            <w:r w:rsidRPr="00A55185">
              <w:rPr>
                <w:rFonts w:eastAsia="Times New Roman"/>
                <w:i/>
                <w:iCs/>
                <w:color w:val="000000"/>
                <w:sz w:val="16"/>
                <w:szCs w:val="16"/>
              </w:rPr>
              <w:t xml:space="preserve"> + M</w:t>
            </w:r>
            <w:r w:rsidRPr="00A55185">
              <w:rPr>
                <w:rFonts w:eastAsia="Times New Roman"/>
                <w:i/>
                <w:iCs/>
                <w:color w:val="000000"/>
                <w:sz w:val="16"/>
                <w:szCs w:val="16"/>
                <w:vertAlign w:val="subscript"/>
              </w:rPr>
              <w:t>i</w:t>
            </w:r>
            <w:r w:rsidRPr="00A55185">
              <w:rPr>
                <w:rFonts w:eastAsia="Times New Roman"/>
                <w:i/>
                <w:iCs/>
                <w:color w:val="000000"/>
                <w:sz w:val="16"/>
                <w:szCs w:val="16"/>
              </w:rPr>
              <w:t>)) - u</w:t>
            </w:r>
            <w:r w:rsidRPr="00A55185">
              <w:rPr>
                <w:rFonts w:eastAsia="Times New Roman"/>
                <w:i/>
                <w:iCs/>
                <w:color w:val="000000"/>
                <w:sz w:val="16"/>
                <w:szCs w:val="16"/>
                <w:vertAlign w:val="subscript"/>
              </w:rPr>
              <w:t>M</w:t>
            </w:r>
            <w:r w:rsidRPr="00A55185">
              <w:rPr>
                <w:rFonts w:eastAsia="Times New Roman"/>
                <w:i/>
                <w:iCs/>
                <w:color w:val="000000"/>
                <w:sz w:val="16"/>
                <w:szCs w:val="16"/>
              </w:rPr>
              <w:t>)</w:t>
            </w:r>
            <w:r w:rsidRPr="00A55185">
              <w:rPr>
                <w:rFonts w:eastAsia="Times New Roman"/>
                <w:i/>
                <w:iCs/>
                <w:color w:val="000000"/>
                <w:sz w:val="16"/>
                <w:szCs w:val="16"/>
              </w:rPr>
              <w:br/>
            </w:r>
            <w:r w:rsidRPr="00A55185">
              <w:rPr>
                <w:rFonts w:eastAsia="Times New Roman"/>
                <w:color w:val="000000"/>
                <w:sz w:val="16"/>
                <w:szCs w:val="16"/>
              </w:rPr>
              <w:t>l</w:t>
            </w:r>
            <w:r w:rsidRPr="00A55185">
              <w:rPr>
                <w:rFonts w:eastAsia="Times New Roman"/>
                <w:color w:val="000000"/>
                <w:sz w:val="16"/>
                <w:szCs w:val="16"/>
                <w:vertAlign w:val="subscript"/>
              </w:rPr>
              <w:t>M</w:t>
            </w:r>
            <w:r w:rsidRPr="00A55185">
              <w:rPr>
                <w:rFonts w:eastAsia="Times New Roman"/>
                <w:color w:val="000000"/>
                <w:sz w:val="16"/>
                <w:szCs w:val="16"/>
              </w:rPr>
              <w:t xml:space="preserve"> = Myeloid cell supply rate</w:t>
            </w:r>
            <w:r w:rsidRPr="00A55185">
              <w:rPr>
                <w:rFonts w:eastAsia="Times New Roman"/>
                <w:color w:val="000000"/>
                <w:sz w:val="16"/>
                <w:szCs w:val="16"/>
              </w:rPr>
              <w:br/>
              <w:t>M</w:t>
            </w:r>
            <w:r w:rsidRPr="00A55185">
              <w:rPr>
                <w:rFonts w:eastAsia="Times New Roman"/>
                <w:color w:val="000000"/>
                <w:sz w:val="16"/>
                <w:szCs w:val="16"/>
                <w:vertAlign w:val="subscript"/>
              </w:rPr>
              <w:t>s</w:t>
            </w:r>
            <w:r w:rsidRPr="00A55185">
              <w:rPr>
                <w:rFonts w:eastAsia="Times New Roman"/>
                <w:color w:val="000000"/>
                <w:sz w:val="16"/>
                <w:szCs w:val="16"/>
              </w:rPr>
              <w:t xml:space="preserve"> = Susceptible Myeloid cell population</w:t>
            </w:r>
            <w:r w:rsidRPr="00A55185">
              <w:rPr>
                <w:rFonts w:eastAsia="Times New Roman"/>
                <w:color w:val="000000"/>
                <w:sz w:val="16"/>
                <w:szCs w:val="16"/>
              </w:rPr>
              <w:br/>
              <w:t>a</w:t>
            </w:r>
            <w:r w:rsidRPr="00A55185">
              <w:rPr>
                <w:rFonts w:eastAsia="Times New Roman"/>
                <w:color w:val="000000"/>
                <w:sz w:val="16"/>
                <w:szCs w:val="16"/>
                <w:vertAlign w:val="subscript"/>
              </w:rPr>
              <w:t>M</w:t>
            </w:r>
            <w:r w:rsidRPr="00A55185">
              <w:rPr>
                <w:rFonts w:eastAsia="Times New Roman"/>
                <w:color w:val="000000"/>
                <w:sz w:val="16"/>
                <w:szCs w:val="16"/>
              </w:rPr>
              <w:t xml:space="preserve"> = Myeloid cell proliferation rate</w:t>
            </w:r>
            <w:r w:rsidRPr="00A55185">
              <w:rPr>
                <w:rFonts w:eastAsia="Times New Roman"/>
                <w:color w:val="000000"/>
                <w:sz w:val="16"/>
                <w:szCs w:val="16"/>
              </w:rPr>
              <w:br/>
              <w:t>M</w:t>
            </w:r>
            <w:r w:rsidRPr="00A55185">
              <w:rPr>
                <w:rFonts w:eastAsia="Times New Roman"/>
                <w:color w:val="000000"/>
                <w:sz w:val="16"/>
                <w:szCs w:val="16"/>
                <w:vertAlign w:val="subscript"/>
              </w:rPr>
              <w:t>i</w:t>
            </w:r>
            <w:r w:rsidRPr="00A55185">
              <w:rPr>
                <w:rFonts w:eastAsia="Times New Roman"/>
                <w:color w:val="000000"/>
                <w:sz w:val="16"/>
                <w:szCs w:val="16"/>
              </w:rPr>
              <w:t xml:space="preserve"> = Infected myeloid cell population</w:t>
            </w:r>
            <w:r w:rsidRPr="00A55185">
              <w:rPr>
                <w:rFonts w:eastAsia="Times New Roman"/>
                <w:color w:val="000000"/>
                <w:sz w:val="16"/>
                <w:szCs w:val="16"/>
              </w:rPr>
              <w:br/>
              <w:t>u</w:t>
            </w:r>
            <w:r w:rsidRPr="00A55185">
              <w:rPr>
                <w:rFonts w:eastAsia="Times New Roman"/>
                <w:color w:val="000000"/>
                <w:sz w:val="16"/>
                <w:szCs w:val="16"/>
                <w:vertAlign w:val="subscript"/>
              </w:rPr>
              <w:t>M</w:t>
            </w:r>
            <w:r w:rsidRPr="00A55185">
              <w:rPr>
                <w:rFonts w:eastAsia="Times New Roman"/>
                <w:color w:val="000000"/>
                <w:sz w:val="16"/>
                <w:szCs w:val="16"/>
              </w:rPr>
              <w:t xml:space="preserve"> = Myeloid cell exit rate</w:t>
            </w:r>
          </w:p>
        </w:tc>
      </w:tr>
      <w:tr w:rsidR="00B52D4A" w:rsidRPr="00A55185" w14:paraId="42B179EF" w14:textId="77777777" w:rsidTr="00F7425F">
        <w:trPr>
          <w:trHeight w:val="1040"/>
        </w:trPr>
        <w:tc>
          <w:tcPr>
            <w:tcW w:w="333" w:type="pct"/>
            <w:tcBorders>
              <w:top w:val="nil"/>
              <w:left w:val="single" w:sz="4" w:space="0" w:color="auto"/>
              <w:bottom w:val="single" w:sz="4" w:space="0" w:color="auto"/>
              <w:right w:val="single" w:sz="4" w:space="0" w:color="auto"/>
            </w:tcBorders>
            <w:shd w:val="clear" w:color="auto" w:fill="auto"/>
            <w:vAlign w:val="center"/>
            <w:hideMark/>
          </w:tcPr>
          <w:p w14:paraId="15257C04" w14:textId="77777777" w:rsidR="00B52D4A" w:rsidRPr="00A55185" w:rsidRDefault="00B52D4A" w:rsidP="00143E24">
            <w:pPr>
              <w:spacing w:line="240" w:lineRule="auto"/>
              <w:jc w:val="center"/>
              <w:rPr>
                <w:rFonts w:eastAsia="Times New Roman"/>
                <w:color w:val="000000"/>
                <w:sz w:val="16"/>
                <w:szCs w:val="16"/>
              </w:rPr>
            </w:pPr>
            <w:r w:rsidRPr="00A55185">
              <w:rPr>
                <w:rFonts w:eastAsia="Times New Roman"/>
                <w:color w:val="000000"/>
                <w:sz w:val="16"/>
                <w:szCs w:val="16"/>
              </w:rPr>
              <w:t>Recruitment Factors can recruit myeloid cells</w:t>
            </w:r>
          </w:p>
        </w:tc>
        <w:tc>
          <w:tcPr>
            <w:tcW w:w="352" w:type="pct"/>
            <w:vMerge/>
            <w:tcBorders>
              <w:top w:val="nil"/>
              <w:left w:val="single" w:sz="4" w:space="0" w:color="auto"/>
              <w:bottom w:val="single" w:sz="4" w:space="0" w:color="000000"/>
              <w:right w:val="single" w:sz="4" w:space="0" w:color="auto"/>
            </w:tcBorders>
            <w:vAlign w:val="center"/>
            <w:hideMark/>
          </w:tcPr>
          <w:p w14:paraId="5A1369A3" w14:textId="77777777" w:rsidR="00B52D4A" w:rsidRPr="00A55185" w:rsidRDefault="00B52D4A" w:rsidP="00143E24">
            <w:pPr>
              <w:spacing w:line="240" w:lineRule="auto"/>
              <w:jc w:val="center"/>
              <w:rPr>
                <w:rFonts w:eastAsia="Times New Roman"/>
                <w:sz w:val="16"/>
                <w:szCs w:val="16"/>
              </w:rPr>
            </w:pPr>
          </w:p>
        </w:tc>
        <w:tc>
          <w:tcPr>
            <w:tcW w:w="676" w:type="pct"/>
            <w:tcBorders>
              <w:top w:val="nil"/>
              <w:left w:val="nil"/>
              <w:bottom w:val="single" w:sz="4" w:space="0" w:color="auto"/>
              <w:right w:val="single" w:sz="4" w:space="0" w:color="auto"/>
            </w:tcBorders>
            <w:shd w:val="clear" w:color="auto" w:fill="auto"/>
            <w:vAlign w:val="center"/>
            <w:hideMark/>
          </w:tcPr>
          <w:p w14:paraId="35C8774B" w14:textId="77777777" w:rsidR="00B52D4A" w:rsidRPr="00A55185" w:rsidRDefault="00B52D4A" w:rsidP="00143E24">
            <w:pPr>
              <w:spacing w:line="240" w:lineRule="auto"/>
              <w:jc w:val="center"/>
              <w:rPr>
                <w:rFonts w:eastAsia="Times New Roman"/>
                <w:color w:val="000000"/>
                <w:sz w:val="16"/>
                <w:szCs w:val="16"/>
              </w:rPr>
            </w:pPr>
            <w:r w:rsidRPr="00A55185">
              <w:rPr>
                <w:rFonts w:eastAsia="Times New Roman"/>
                <w:color w:val="000000"/>
                <w:sz w:val="16"/>
                <w:szCs w:val="16"/>
              </w:rPr>
              <w:t>Detection of pro-inflammatory signals and recruitment factors at other sites induces the migration of myeloid cells to the site where these signals are found (</w:t>
            </w:r>
            <w:r w:rsidRPr="00A55185">
              <w:rPr>
                <w:rFonts w:eastAsia="Times New Roman"/>
                <w:b/>
                <w:bCs/>
                <w:color w:val="000000"/>
                <w:sz w:val="16"/>
                <w:szCs w:val="16"/>
              </w:rPr>
              <w:t>Figure 4.9</w:t>
            </w:r>
            <w:r w:rsidRPr="00A55185">
              <w:rPr>
                <w:rFonts w:eastAsia="Times New Roman"/>
                <w:color w:val="000000"/>
                <w:sz w:val="16"/>
                <w:szCs w:val="16"/>
              </w:rPr>
              <w:t>)</w:t>
            </w:r>
          </w:p>
        </w:tc>
        <w:tc>
          <w:tcPr>
            <w:tcW w:w="676" w:type="pct"/>
            <w:vMerge/>
            <w:tcBorders>
              <w:top w:val="nil"/>
              <w:left w:val="single" w:sz="4" w:space="0" w:color="auto"/>
              <w:bottom w:val="single" w:sz="4" w:space="0" w:color="000000"/>
              <w:right w:val="single" w:sz="4" w:space="0" w:color="auto"/>
            </w:tcBorders>
            <w:vAlign w:val="center"/>
            <w:hideMark/>
          </w:tcPr>
          <w:p w14:paraId="6695535B" w14:textId="77777777" w:rsidR="00B52D4A" w:rsidRPr="00A55185" w:rsidRDefault="00B52D4A" w:rsidP="00143E24">
            <w:pPr>
              <w:spacing w:line="240" w:lineRule="auto"/>
              <w:jc w:val="center"/>
              <w:rPr>
                <w:rFonts w:eastAsia="Times New Roman"/>
                <w:color w:val="000000"/>
                <w:sz w:val="16"/>
                <w:szCs w:val="16"/>
              </w:rPr>
            </w:pPr>
          </w:p>
        </w:tc>
        <w:tc>
          <w:tcPr>
            <w:tcW w:w="987" w:type="pct"/>
            <w:vMerge/>
            <w:tcBorders>
              <w:top w:val="nil"/>
              <w:left w:val="single" w:sz="4" w:space="0" w:color="auto"/>
              <w:bottom w:val="single" w:sz="4" w:space="0" w:color="000000"/>
              <w:right w:val="single" w:sz="4" w:space="0" w:color="auto"/>
            </w:tcBorders>
            <w:vAlign w:val="center"/>
            <w:hideMark/>
          </w:tcPr>
          <w:p w14:paraId="09ABC578" w14:textId="77777777" w:rsidR="00B52D4A" w:rsidRPr="00A55185" w:rsidRDefault="00B52D4A" w:rsidP="00143E24">
            <w:pPr>
              <w:spacing w:line="240" w:lineRule="auto"/>
              <w:jc w:val="center"/>
              <w:rPr>
                <w:rFonts w:eastAsia="Times New Roman"/>
                <w:color w:val="000000"/>
                <w:sz w:val="16"/>
                <w:szCs w:val="16"/>
              </w:rPr>
            </w:pPr>
          </w:p>
        </w:tc>
        <w:tc>
          <w:tcPr>
            <w:tcW w:w="854" w:type="pct"/>
            <w:vMerge/>
            <w:tcBorders>
              <w:top w:val="nil"/>
              <w:left w:val="single" w:sz="4" w:space="0" w:color="auto"/>
              <w:bottom w:val="single" w:sz="4" w:space="0" w:color="auto"/>
              <w:right w:val="single" w:sz="4" w:space="0" w:color="auto"/>
            </w:tcBorders>
            <w:shd w:val="clear" w:color="auto" w:fill="auto"/>
            <w:vAlign w:val="center"/>
            <w:hideMark/>
          </w:tcPr>
          <w:p w14:paraId="1DC3464A" w14:textId="77777777" w:rsidR="00B52D4A" w:rsidRPr="00A55185" w:rsidRDefault="00B52D4A" w:rsidP="00143E24">
            <w:pPr>
              <w:spacing w:line="240" w:lineRule="auto"/>
              <w:jc w:val="center"/>
              <w:rPr>
                <w:rFonts w:eastAsia="Times New Roman"/>
                <w:color w:val="000000"/>
                <w:sz w:val="16"/>
                <w:szCs w:val="16"/>
              </w:rPr>
            </w:pPr>
          </w:p>
        </w:tc>
        <w:tc>
          <w:tcPr>
            <w:tcW w:w="1121" w:type="pct"/>
            <w:vMerge/>
            <w:tcBorders>
              <w:top w:val="nil"/>
              <w:left w:val="single" w:sz="4" w:space="0" w:color="auto"/>
              <w:bottom w:val="single" w:sz="4" w:space="0" w:color="000000"/>
              <w:right w:val="single" w:sz="4" w:space="0" w:color="auto"/>
            </w:tcBorders>
            <w:shd w:val="clear" w:color="auto" w:fill="auto"/>
            <w:vAlign w:val="center"/>
            <w:hideMark/>
          </w:tcPr>
          <w:p w14:paraId="676C597A" w14:textId="77777777" w:rsidR="00B52D4A" w:rsidRPr="00A55185" w:rsidRDefault="00B52D4A" w:rsidP="00143E24">
            <w:pPr>
              <w:spacing w:line="240" w:lineRule="auto"/>
              <w:jc w:val="center"/>
              <w:rPr>
                <w:rFonts w:eastAsia="Times New Roman"/>
                <w:color w:val="000000"/>
                <w:sz w:val="16"/>
                <w:szCs w:val="16"/>
              </w:rPr>
            </w:pPr>
          </w:p>
        </w:tc>
      </w:tr>
      <w:tr w:rsidR="00B52D4A" w:rsidRPr="00A55185" w14:paraId="05DF83BC" w14:textId="77777777" w:rsidTr="00F7425F">
        <w:trPr>
          <w:trHeight w:val="1300"/>
        </w:trPr>
        <w:tc>
          <w:tcPr>
            <w:tcW w:w="333" w:type="pct"/>
            <w:tcBorders>
              <w:top w:val="nil"/>
              <w:left w:val="single" w:sz="4" w:space="0" w:color="auto"/>
              <w:bottom w:val="single" w:sz="4" w:space="0" w:color="auto"/>
              <w:right w:val="single" w:sz="4" w:space="0" w:color="auto"/>
            </w:tcBorders>
            <w:shd w:val="clear" w:color="auto" w:fill="auto"/>
            <w:vAlign w:val="center"/>
            <w:hideMark/>
          </w:tcPr>
          <w:p w14:paraId="2D9F8CC8" w14:textId="77777777" w:rsidR="00B52D4A" w:rsidRPr="00A55185" w:rsidRDefault="00B52D4A" w:rsidP="00143E24">
            <w:pPr>
              <w:spacing w:line="240" w:lineRule="auto"/>
              <w:jc w:val="center"/>
              <w:rPr>
                <w:rFonts w:eastAsia="Times New Roman"/>
                <w:color w:val="000000"/>
                <w:sz w:val="16"/>
                <w:szCs w:val="16"/>
              </w:rPr>
            </w:pPr>
            <w:r w:rsidRPr="00A55185">
              <w:rPr>
                <w:rFonts w:eastAsia="Times New Roman"/>
                <w:color w:val="000000"/>
                <w:sz w:val="16"/>
                <w:szCs w:val="16"/>
              </w:rPr>
              <w:t>T cells can be activated by antigen presentation</w:t>
            </w:r>
          </w:p>
        </w:tc>
        <w:tc>
          <w:tcPr>
            <w:tcW w:w="352" w:type="pct"/>
            <w:tcBorders>
              <w:top w:val="nil"/>
              <w:left w:val="nil"/>
              <w:bottom w:val="single" w:sz="4" w:space="0" w:color="auto"/>
              <w:right w:val="single" w:sz="4" w:space="0" w:color="auto"/>
            </w:tcBorders>
            <w:shd w:val="clear" w:color="auto" w:fill="auto"/>
            <w:vAlign w:val="center"/>
            <w:hideMark/>
          </w:tcPr>
          <w:p w14:paraId="5CE8AF05" w14:textId="77777777" w:rsidR="00B52D4A" w:rsidRPr="00A55185" w:rsidRDefault="00B52D4A" w:rsidP="00143E24">
            <w:pPr>
              <w:spacing w:line="240" w:lineRule="auto"/>
              <w:jc w:val="center"/>
              <w:rPr>
                <w:rFonts w:eastAsia="Times New Roman"/>
                <w:i/>
                <w:iCs/>
                <w:sz w:val="16"/>
                <w:szCs w:val="16"/>
              </w:rPr>
            </w:pPr>
            <w:r w:rsidRPr="00A55185">
              <w:rPr>
                <w:rFonts w:eastAsia="Times New Roman"/>
                <w:i/>
                <w:iCs/>
                <w:sz w:val="16"/>
                <w:szCs w:val="16"/>
              </w:rPr>
              <w:t>Common Knowledge in the field</w:t>
            </w:r>
          </w:p>
        </w:tc>
        <w:tc>
          <w:tcPr>
            <w:tcW w:w="676" w:type="pct"/>
            <w:tcBorders>
              <w:top w:val="nil"/>
              <w:left w:val="nil"/>
              <w:bottom w:val="single" w:sz="4" w:space="0" w:color="auto"/>
              <w:right w:val="single" w:sz="4" w:space="0" w:color="auto"/>
            </w:tcBorders>
            <w:shd w:val="clear" w:color="auto" w:fill="auto"/>
            <w:vAlign w:val="center"/>
            <w:hideMark/>
          </w:tcPr>
          <w:p w14:paraId="658F2EE7" w14:textId="77777777" w:rsidR="00B52D4A" w:rsidRPr="00A55185" w:rsidRDefault="00B52D4A" w:rsidP="00143E24">
            <w:pPr>
              <w:spacing w:line="240" w:lineRule="auto"/>
              <w:jc w:val="center"/>
              <w:rPr>
                <w:rFonts w:eastAsia="Times New Roman"/>
                <w:color w:val="000000"/>
                <w:sz w:val="16"/>
                <w:szCs w:val="16"/>
              </w:rPr>
            </w:pPr>
            <w:r w:rsidRPr="00A55185">
              <w:rPr>
                <w:rFonts w:eastAsia="Times New Roman"/>
                <w:color w:val="000000"/>
                <w:sz w:val="16"/>
                <w:szCs w:val="16"/>
              </w:rPr>
              <w:t>Infected myeloid or Kupffer cells presenting antigen to T cells in the presence of either Modulatory or Pro-Inflammatory Signals leads to T cell activation (</w:t>
            </w:r>
            <w:r w:rsidRPr="00A55185">
              <w:rPr>
                <w:rFonts w:eastAsia="Times New Roman"/>
                <w:b/>
                <w:bCs/>
                <w:color w:val="000000"/>
                <w:sz w:val="16"/>
                <w:szCs w:val="16"/>
              </w:rPr>
              <w:t>Figure 4.7</w:t>
            </w:r>
            <w:r w:rsidRPr="00A55185">
              <w:rPr>
                <w:rFonts w:eastAsia="Times New Roman"/>
                <w:color w:val="000000"/>
                <w:sz w:val="16"/>
                <w:szCs w:val="16"/>
              </w:rPr>
              <w:t>)</w:t>
            </w:r>
          </w:p>
        </w:tc>
        <w:tc>
          <w:tcPr>
            <w:tcW w:w="676" w:type="pct"/>
            <w:tcBorders>
              <w:top w:val="nil"/>
              <w:left w:val="nil"/>
              <w:bottom w:val="single" w:sz="4" w:space="0" w:color="auto"/>
              <w:right w:val="single" w:sz="4" w:space="0" w:color="auto"/>
            </w:tcBorders>
            <w:shd w:val="clear" w:color="auto" w:fill="auto"/>
            <w:vAlign w:val="center"/>
            <w:hideMark/>
          </w:tcPr>
          <w:p w14:paraId="410736D3" w14:textId="77777777" w:rsidR="00B52D4A" w:rsidRPr="00A55185" w:rsidRDefault="00B52D4A" w:rsidP="00143E24">
            <w:pPr>
              <w:spacing w:line="240" w:lineRule="auto"/>
              <w:jc w:val="center"/>
              <w:rPr>
                <w:rFonts w:eastAsia="Times New Roman"/>
                <w:color w:val="000000"/>
                <w:sz w:val="16"/>
                <w:szCs w:val="16"/>
              </w:rPr>
            </w:pPr>
            <w:r w:rsidRPr="00A55185">
              <w:rPr>
                <w:rFonts w:eastAsia="Times New Roman"/>
                <w:color w:val="000000"/>
                <w:sz w:val="16"/>
                <w:szCs w:val="16"/>
              </w:rPr>
              <w:t>The general three signal process (TCR, Co-stimulatory molecules and Cytokine signals) is simplified so that antigen presentation in the presence of Modulatory signals or Pro-Inflammatory sinals generates T cell activation represented as T cell proliferation and subsequent production of different signals</w:t>
            </w:r>
          </w:p>
        </w:tc>
        <w:tc>
          <w:tcPr>
            <w:tcW w:w="987" w:type="pct"/>
            <w:tcBorders>
              <w:top w:val="nil"/>
              <w:left w:val="nil"/>
              <w:bottom w:val="single" w:sz="4" w:space="0" w:color="auto"/>
              <w:right w:val="single" w:sz="4" w:space="0" w:color="auto"/>
            </w:tcBorders>
            <w:shd w:val="clear" w:color="auto" w:fill="auto"/>
            <w:vAlign w:val="center"/>
            <w:hideMark/>
          </w:tcPr>
          <w:p w14:paraId="4CCF0D80" w14:textId="77777777" w:rsidR="00B52D4A" w:rsidRPr="00A55185" w:rsidRDefault="00B52D4A" w:rsidP="00143E24">
            <w:pPr>
              <w:spacing w:line="240" w:lineRule="auto"/>
              <w:jc w:val="center"/>
              <w:rPr>
                <w:rFonts w:eastAsia="Times New Roman"/>
                <w:color w:val="000000"/>
                <w:sz w:val="16"/>
                <w:szCs w:val="16"/>
              </w:rPr>
            </w:pPr>
            <w:r w:rsidRPr="00A55185">
              <w:rPr>
                <w:rFonts w:eastAsia="Times New Roman"/>
                <w:color w:val="000000"/>
                <w:sz w:val="16"/>
                <w:szCs w:val="16"/>
              </w:rPr>
              <w:t>Antigen presentation is not represented within the model, instead the assumption that myeloid cells and T cells acting as a proxy for the amount of ALC is used to also abstract the concept of T cell activation through antigen presentation, this is assumed through increasing numbers of T cells and myeloid cells would result in higher levels of successful T cell activation</w:t>
            </w:r>
          </w:p>
        </w:tc>
        <w:tc>
          <w:tcPr>
            <w:tcW w:w="854" w:type="pct"/>
            <w:tcBorders>
              <w:top w:val="nil"/>
              <w:left w:val="nil"/>
              <w:bottom w:val="single" w:sz="4" w:space="0" w:color="auto"/>
              <w:right w:val="single" w:sz="4" w:space="0" w:color="auto"/>
            </w:tcBorders>
            <w:shd w:val="clear" w:color="auto" w:fill="auto"/>
            <w:noWrap/>
            <w:vAlign w:val="center"/>
            <w:hideMark/>
          </w:tcPr>
          <w:p w14:paraId="3E45C0F7" w14:textId="77777777" w:rsidR="00B52D4A" w:rsidRPr="00A55185" w:rsidRDefault="00B52D4A" w:rsidP="00143E24">
            <w:pPr>
              <w:spacing w:line="240" w:lineRule="auto"/>
              <w:jc w:val="center"/>
              <w:rPr>
                <w:rFonts w:eastAsia="Times New Roman"/>
                <w:color w:val="000000"/>
                <w:sz w:val="16"/>
                <w:szCs w:val="16"/>
              </w:rPr>
            </w:pPr>
          </w:p>
        </w:tc>
        <w:tc>
          <w:tcPr>
            <w:tcW w:w="1121" w:type="pct"/>
            <w:tcBorders>
              <w:top w:val="nil"/>
              <w:left w:val="nil"/>
              <w:bottom w:val="single" w:sz="4" w:space="0" w:color="auto"/>
              <w:right w:val="single" w:sz="4" w:space="0" w:color="auto"/>
            </w:tcBorders>
            <w:shd w:val="clear" w:color="auto" w:fill="auto"/>
            <w:noWrap/>
            <w:vAlign w:val="center"/>
            <w:hideMark/>
          </w:tcPr>
          <w:p w14:paraId="150898ED" w14:textId="77777777" w:rsidR="00B52D4A" w:rsidRPr="00A55185" w:rsidRDefault="00B52D4A" w:rsidP="00143E24">
            <w:pPr>
              <w:spacing w:line="240" w:lineRule="auto"/>
              <w:jc w:val="center"/>
              <w:rPr>
                <w:rFonts w:eastAsia="Times New Roman"/>
                <w:color w:val="000000"/>
                <w:sz w:val="16"/>
                <w:szCs w:val="16"/>
              </w:rPr>
            </w:pPr>
          </w:p>
        </w:tc>
      </w:tr>
      <w:tr w:rsidR="00B52D4A" w:rsidRPr="00A55185" w14:paraId="6738F54D" w14:textId="77777777" w:rsidTr="00F7425F">
        <w:trPr>
          <w:trHeight w:val="1040"/>
        </w:trPr>
        <w:tc>
          <w:tcPr>
            <w:tcW w:w="333" w:type="pct"/>
            <w:tcBorders>
              <w:top w:val="nil"/>
              <w:left w:val="single" w:sz="4" w:space="0" w:color="auto"/>
              <w:bottom w:val="single" w:sz="4" w:space="0" w:color="auto"/>
              <w:right w:val="single" w:sz="4" w:space="0" w:color="auto"/>
            </w:tcBorders>
            <w:shd w:val="clear" w:color="auto" w:fill="auto"/>
            <w:vAlign w:val="center"/>
            <w:hideMark/>
          </w:tcPr>
          <w:p w14:paraId="6ACD6949" w14:textId="77777777" w:rsidR="00B52D4A" w:rsidRPr="00A55185" w:rsidRDefault="00B52D4A" w:rsidP="00143E24">
            <w:pPr>
              <w:spacing w:line="240" w:lineRule="auto"/>
              <w:jc w:val="center"/>
              <w:rPr>
                <w:rFonts w:eastAsia="Times New Roman"/>
                <w:color w:val="000000"/>
                <w:sz w:val="16"/>
                <w:szCs w:val="16"/>
              </w:rPr>
            </w:pPr>
            <w:r w:rsidRPr="00A55185">
              <w:rPr>
                <w:rFonts w:eastAsia="Times New Roman"/>
                <w:color w:val="000000"/>
                <w:sz w:val="16"/>
                <w:szCs w:val="16"/>
              </w:rPr>
              <w:lastRenderedPageBreak/>
              <w:t>T cells can lyse</w:t>
            </w:r>
            <w:r w:rsidRPr="00A55185">
              <w:rPr>
                <w:rFonts w:eastAsia="Times New Roman"/>
                <w:i/>
                <w:iCs/>
                <w:color w:val="000000"/>
                <w:sz w:val="16"/>
                <w:szCs w:val="16"/>
              </w:rPr>
              <w:t xml:space="preserve"> L. donovani</w:t>
            </w:r>
            <w:r w:rsidRPr="00A55185">
              <w:rPr>
                <w:rFonts w:eastAsia="Times New Roman"/>
                <w:color w:val="000000"/>
                <w:sz w:val="16"/>
                <w:szCs w:val="16"/>
              </w:rPr>
              <w:t xml:space="preserve"> infected cells</w:t>
            </w:r>
          </w:p>
        </w:tc>
        <w:tc>
          <w:tcPr>
            <w:tcW w:w="352" w:type="pct"/>
            <w:tcBorders>
              <w:top w:val="nil"/>
              <w:left w:val="nil"/>
              <w:bottom w:val="single" w:sz="4" w:space="0" w:color="auto"/>
              <w:right w:val="single" w:sz="4" w:space="0" w:color="auto"/>
            </w:tcBorders>
            <w:shd w:val="clear" w:color="auto" w:fill="auto"/>
            <w:vAlign w:val="center"/>
            <w:hideMark/>
          </w:tcPr>
          <w:p w14:paraId="654CF2E1" w14:textId="77777777" w:rsidR="00B52D4A" w:rsidRPr="00A55185" w:rsidRDefault="00B52D4A" w:rsidP="00143E24">
            <w:pPr>
              <w:spacing w:line="240" w:lineRule="auto"/>
              <w:jc w:val="center"/>
              <w:rPr>
                <w:rFonts w:eastAsia="Times New Roman"/>
                <w:sz w:val="16"/>
                <w:szCs w:val="16"/>
              </w:rPr>
            </w:pPr>
            <w:r w:rsidRPr="00A55185">
              <w:rPr>
                <w:rFonts w:eastAsia="Times New Roman"/>
                <w:sz w:val="16"/>
                <w:szCs w:val="16"/>
              </w:rPr>
              <w:t>(Smith, Rodrigues and Russel, 1991; Joshi et al., 2009; Beattie et al., 2010; Stäger and Rafati, 2012)</w:t>
            </w:r>
          </w:p>
        </w:tc>
        <w:tc>
          <w:tcPr>
            <w:tcW w:w="676" w:type="pct"/>
            <w:tcBorders>
              <w:top w:val="nil"/>
              <w:left w:val="nil"/>
              <w:bottom w:val="single" w:sz="4" w:space="0" w:color="auto"/>
              <w:right w:val="single" w:sz="4" w:space="0" w:color="auto"/>
            </w:tcBorders>
            <w:shd w:val="clear" w:color="auto" w:fill="auto"/>
            <w:vAlign w:val="center"/>
            <w:hideMark/>
          </w:tcPr>
          <w:p w14:paraId="540E882A" w14:textId="77777777" w:rsidR="00B52D4A" w:rsidRPr="00A55185" w:rsidRDefault="00B52D4A" w:rsidP="00143E24">
            <w:pPr>
              <w:spacing w:line="240" w:lineRule="auto"/>
              <w:jc w:val="center"/>
              <w:rPr>
                <w:rFonts w:eastAsia="Times New Roman"/>
                <w:color w:val="000000"/>
                <w:sz w:val="16"/>
                <w:szCs w:val="16"/>
              </w:rPr>
            </w:pPr>
            <w:r w:rsidRPr="00A55185">
              <w:rPr>
                <w:rFonts w:eastAsia="Times New Roman"/>
                <w:color w:val="000000"/>
                <w:sz w:val="16"/>
                <w:szCs w:val="16"/>
              </w:rPr>
              <w:t>T cells activated to become T</w:t>
            </w:r>
            <w:r w:rsidRPr="00A55185">
              <w:rPr>
                <w:rFonts w:eastAsia="Times New Roman"/>
                <w:color w:val="000000"/>
                <w:sz w:val="16"/>
                <w:szCs w:val="16"/>
                <w:vertAlign w:val="subscript"/>
              </w:rPr>
              <w:t>c</w:t>
            </w:r>
            <w:r w:rsidRPr="00A55185">
              <w:rPr>
                <w:rFonts w:eastAsia="Times New Roman"/>
                <w:color w:val="000000"/>
                <w:sz w:val="16"/>
                <w:szCs w:val="16"/>
              </w:rPr>
              <w:t xml:space="preserve"> cells (</w:t>
            </w:r>
            <w:r w:rsidRPr="00A55185">
              <w:rPr>
                <w:rFonts w:eastAsia="Times New Roman"/>
                <w:b/>
                <w:bCs/>
                <w:color w:val="000000"/>
                <w:sz w:val="16"/>
                <w:szCs w:val="16"/>
              </w:rPr>
              <w:t>Figure 4.8</w:t>
            </w:r>
            <w:r w:rsidRPr="00A55185">
              <w:rPr>
                <w:rFonts w:eastAsia="Times New Roman"/>
                <w:color w:val="000000"/>
                <w:sz w:val="16"/>
                <w:szCs w:val="16"/>
              </w:rPr>
              <w:t>) can lyse Kupffer (</w:t>
            </w:r>
            <w:r w:rsidRPr="00A55185">
              <w:rPr>
                <w:rFonts w:eastAsia="Times New Roman"/>
                <w:b/>
                <w:bCs/>
                <w:color w:val="000000"/>
                <w:sz w:val="16"/>
                <w:szCs w:val="16"/>
              </w:rPr>
              <w:t>Figure 4.15</w:t>
            </w:r>
            <w:r w:rsidRPr="00A55185">
              <w:rPr>
                <w:rFonts w:eastAsia="Times New Roman"/>
                <w:color w:val="000000"/>
                <w:sz w:val="16"/>
                <w:szCs w:val="16"/>
              </w:rPr>
              <w:t>) or myeloid cells (</w:t>
            </w:r>
            <w:r w:rsidRPr="00A55185">
              <w:rPr>
                <w:rFonts w:eastAsia="Times New Roman"/>
                <w:b/>
                <w:bCs/>
                <w:color w:val="000000"/>
                <w:sz w:val="16"/>
                <w:szCs w:val="16"/>
              </w:rPr>
              <w:t>Figure 4.9</w:t>
            </w:r>
            <w:r w:rsidRPr="00A55185">
              <w:rPr>
                <w:rFonts w:eastAsia="Times New Roman"/>
                <w:color w:val="000000"/>
                <w:sz w:val="16"/>
                <w:szCs w:val="16"/>
              </w:rPr>
              <w:t>) presenting antigen</w:t>
            </w:r>
          </w:p>
        </w:tc>
        <w:tc>
          <w:tcPr>
            <w:tcW w:w="676" w:type="pct"/>
            <w:tcBorders>
              <w:top w:val="nil"/>
              <w:left w:val="nil"/>
              <w:bottom w:val="single" w:sz="4" w:space="0" w:color="auto"/>
              <w:right w:val="single" w:sz="4" w:space="0" w:color="auto"/>
            </w:tcBorders>
            <w:shd w:val="clear" w:color="auto" w:fill="auto"/>
            <w:vAlign w:val="center"/>
            <w:hideMark/>
          </w:tcPr>
          <w:p w14:paraId="4C8A98B6" w14:textId="77777777" w:rsidR="00B52D4A" w:rsidRPr="00A55185" w:rsidRDefault="00B52D4A" w:rsidP="00143E24">
            <w:pPr>
              <w:spacing w:line="240" w:lineRule="auto"/>
              <w:jc w:val="center"/>
              <w:rPr>
                <w:rFonts w:eastAsia="Times New Roman"/>
                <w:color w:val="000000"/>
                <w:sz w:val="16"/>
                <w:szCs w:val="16"/>
              </w:rPr>
            </w:pPr>
            <w:r w:rsidRPr="00A55185">
              <w:rPr>
                <w:rFonts w:eastAsia="Times New Roman"/>
                <w:color w:val="000000"/>
                <w:sz w:val="16"/>
                <w:szCs w:val="16"/>
              </w:rPr>
              <w:t>T cell antigen specificity is not required for T</w:t>
            </w:r>
            <w:r w:rsidRPr="00A55185">
              <w:rPr>
                <w:rFonts w:eastAsia="Times New Roman"/>
                <w:color w:val="000000"/>
                <w:sz w:val="16"/>
                <w:szCs w:val="16"/>
                <w:vertAlign w:val="subscript"/>
              </w:rPr>
              <w:t>c</w:t>
            </w:r>
            <w:r w:rsidRPr="00A55185">
              <w:rPr>
                <w:rFonts w:eastAsia="Times New Roman"/>
                <w:color w:val="000000"/>
                <w:sz w:val="16"/>
                <w:szCs w:val="16"/>
              </w:rPr>
              <w:t xml:space="preserve"> mediated cell lysis</w:t>
            </w:r>
          </w:p>
        </w:tc>
        <w:tc>
          <w:tcPr>
            <w:tcW w:w="987" w:type="pct"/>
            <w:tcBorders>
              <w:top w:val="nil"/>
              <w:left w:val="nil"/>
              <w:bottom w:val="single" w:sz="4" w:space="0" w:color="auto"/>
              <w:right w:val="single" w:sz="4" w:space="0" w:color="auto"/>
            </w:tcBorders>
            <w:shd w:val="clear" w:color="auto" w:fill="auto"/>
            <w:vAlign w:val="center"/>
            <w:hideMark/>
          </w:tcPr>
          <w:p w14:paraId="7C1155B4" w14:textId="77777777" w:rsidR="00B52D4A" w:rsidRPr="00A55185" w:rsidRDefault="00B52D4A" w:rsidP="00143E24">
            <w:pPr>
              <w:spacing w:line="240" w:lineRule="auto"/>
              <w:jc w:val="center"/>
              <w:rPr>
                <w:rFonts w:eastAsia="Times New Roman"/>
                <w:color w:val="000000"/>
                <w:sz w:val="16"/>
                <w:szCs w:val="16"/>
              </w:rPr>
            </w:pPr>
            <w:r w:rsidRPr="00A55185">
              <w:rPr>
                <w:rFonts w:eastAsia="Times New Roman"/>
                <w:color w:val="000000"/>
                <w:sz w:val="16"/>
                <w:szCs w:val="16"/>
              </w:rPr>
              <w:t xml:space="preserve">Lysis of </w:t>
            </w:r>
            <w:r w:rsidRPr="00A55185">
              <w:rPr>
                <w:rFonts w:eastAsia="Times New Roman"/>
                <w:i/>
                <w:iCs/>
                <w:color w:val="000000"/>
                <w:sz w:val="16"/>
                <w:szCs w:val="16"/>
              </w:rPr>
              <w:t xml:space="preserve">L. donovani </w:t>
            </w:r>
            <w:r w:rsidRPr="00A55185">
              <w:rPr>
                <w:rFonts w:eastAsia="Times New Roman"/>
                <w:color w:val="000000"/>
                <w:sz w:val="16"/>
                <w:szCs w:val="16"/>
              </w:rPr>
              <w:t>infected cells is not represented due to uncertainity in the rates at which this process occurs</w:t>
            </w:r>
          </w:p>
        </w:tc>
        <w:tc>
          <w:tcPr>
            <w:tcW w:w="854" w:type="pct"/>
            <w:tcBorders>
              <w:top w:val="nil"/>
              <w:left w:val="nil"/>
              <w:bottom w:val="single" w:sz="4" w:space="0" w:color="auto"/>
              <w:right w:val="single" w:sz="4" w:space="0" w:color="auto"/>
            </w:tcBorders>
            <w:shd w:val="clear" w:color="auto" w:fill="auto"/>
            <w:noWrap/>
            <w:vAlign w:val="center"/>
            <w:hideMark/>
          </w:tcPr>
          <w:p w14:paraId="4011E78E" w14:textId="77777777" w:rsidR="00B52D4A" w:rsidRPr="00A55185" w:rsidRDefault="00B52D4A" w:rsidP="00143E24">
            <w:pPr>
              <w:spacing w:line="240" w:lineRule="auto"/>
              <w:jc w:val="center"/>
              <w:rPr>
                <w:rFonts w:eastAsia="Times New Roman"/>
                <w:color w:val="000000"/>
                <w:sz w:val="16"/>
                <w:szCs w:val="16"/>
              </w:rPr>
            </w:pPr>
          </w:p>
        </w:tc>
        <w:tc>
          <w:tcPr>
            <w:tcW w:w="1121" w:type="pct"/>
            <w:tcBorders>
              <w:top w:val="nil"/>
              <w:left w:val="nil"/>
              <w:bottom w:val="single" w:sz="4" w:space="0" w:color="auto"/>
              <w:right w:val="single" w:sz="4" w:space="0" w:color="auto"/>
            </w:tcBorders>
            <w:shd w:val="clear" w:color="auto" w:fill="auto"/>
            <w:noWrap/>
            <w:vAlign w:val="center"/>
            <w:hideMark/>
          </w:tcPr>
          <w:p w14:paraId="09ED1485" w14:textId="77777777" w:rsidR="00B52D4A" w:rsidRPr="00A55185" w:rsidRDefault="00B52D4A" w:rsidP="00143E24">
            <w:pPr>
              <w:spacing w:line="240" w:lineRule="auto"/>
              <w:jc w:val="center"/>
              <w:rPr>
                <w:rFonts w:eastAsia="Times New Roman"/>
                <w:color w:val="000000"/>
                <w:sz w:val="16"/>
                <w:szCs w:val="16"/>
              </w:rPr>
            </w:pPr>
          </w:p>
        </w:tc>
      </w:tr>
      <w:tr w:rsidR="00B52D4A" w:rsidRPr="00A55185" w14:paraId="0D0B187C" w14:textId="77777777" w:rsidTr="00F7425F">
        <w:trPr>
          <w:trHeight w:val="1040"/>
        </w:trPr>
        <w:tc>
          <w:tcPr>
            <w:tcW w:w="333" w:type="pct"/>
            <w:tcBorders>
              <w:top w:val="nil"/>
              <w:left w:val="single" w:sz="4" w:space="0" w:color="auto"/>
              <w:bottom w:val="single" w:sz="4" w:space="0" w:color="auto"/>
              <w:right w:val="single" w:sz="4" w:space="0" w:color="auto"/>
            </w:tcBorders>
            <w:shd w:val="clear" w:color="auto" w:fill="auto"/>
            <w:vAlign w:val="center"/>
            <w:hideMark/>
          </w:tcPr>
          <w:p w14:paraId="0F2773A7" w14:textId="77777777" w:rsidR="00B52D4A" w:rsidRPr="00A55185" w:rsidRDefault="00B52D4A" w:rsidP="00143E24">
            <w:pPr>
              <w:spacing w:line="240" w:lineRule="auto"/>
              <w:jc w:val="center"/>
              <w:rPr>
                <w:rFonts w:eastAsia="Times New Roman"/>
                <w:color w:val="000000"/>
                <w:sz w:val="16"/>
                <w:szCs w:val="16"/>
              </w:rPr>
            </w:pPr>
            <w:r w:rsidRPr="00A55185">
              <w:rPr>
                <w:rFonts w:eastAsia="Times New Roman"/>
                <w:color w:val="000000"/>
                <w:sz w:val="16"/>
                <w:szCs w:val="16"/>
              </w:rPr>
              <w:t>T cells can produce Anti-Inflammatory Signals</w:t>
            </w:r>
          </w:p>
        </w:tc>
        <w:tc>
          <w:tcPr>
            <w:tcW w:w="352" w:type="pct"/>
            <w:tcBorders>
              <w:top w:val="nil"/>
              <w:left w:val="nil"/>
              <w:bottom w:val="single" w:sz="4" w:space="0" w:color="auto"/>
              <w:right w:val="single" w:sz="4" w:space="0" w:color="auto"/>
            </w:tcBorders>
            <w:shd w:val="clear" w:color="auto" w:fill="auto"/>
            <w:vAlign w:val="center"/>
            <w:hideMark/>
          </w:tcPr>
          <w:p w14:paraId="778C77A0" w14:textId="77777777" w:rsidR="00B52D4A" w:rsidRPr="00A55185" w:rsidRDefault="00B52D4A" w:rsidP="00143E24">
            <w:pPr>
              <w:spacing w:line="240" w:lineRule="auto"/>
              <w:jc w:val="center"/>
              <w:rPr>
                <w:rFonts w:eastAsia="Times New Roman"/>
                <w:sz w:val="16"/>
                <w:szCs w:val="16"/>
              </w:rPr>
            </w:pPr>
            <w:r w:rsidRPr="00A55185">
              <w:rPr>
                <w:rFonts w:eastAsia="Times New Roman"/>
                <w:sz w:val="16"/>
                <w:szCs w:val="16"/>
              </w:rPr>
              <w:t>(Le Gros et al., 1990; Bushell and Wood, 1999; Yi, Cox and Zajac, 2010; Moore et al., 2013)</w:t>
            </w:r>
          </w:p>
        </w:tc>
        <w:tc>
          <w:tcPr>
            <w:tcW w:w="676" w:type="pct"/>
            <w:tcBorders>
              <w:top w:val="nil"/>
              <w:left w:val="nil"/>
              <w:bottom w:val="single" w:sz="4" w:space="0" w:color="auto"/>
              <w:right w:val="single" w:sz="4" w:space="0" w:color="auto"/>
            </w:tcBorders>
            <w:shd w:val="clear" w:color="auto" w:fill="auto"/>
            <w:vAlign w:val="center"/>
            <w:hideMark/>
          </w:tcPr>
          <w:p w14:paraId="62D62A89" w14:textId="77777777" w:rsidR="00B52D4A" w:rsidRPr="00A55185" w:rsidRDefault="00B52D4A" w:rsidP="00143E24">
            <w:pPr>
              <w:spacing w:line="240" w:lineRule="auto"/>
              <w:jc w:val="center"/>
              <w:rPr>
                <w:rFonts w:eastAsia="Times New Roman"/>
                <w:color w:val="000000"/>
                <w:sz w:val="16"/>
                <w:szCs w:val="16"/>
              </w:rPr>
            </w:pPr>
            <w:r w:rsidRPr="00A55185">
              <w:rPr>
                <w:rFonts w:eastAsia="Times New Roman"/>
                <w:color w:val="000000"/>
                <w:sz w:val="16"/>
                <w:szCs w:val="16"/>
              </w:rPr>
              <w:t>T cells activated by antigen presentation from a myeloid cell that also detect modulatory signals will produce Anti-Inflammatory Signals (</w:t>
            </w:r>
            <w:r w:rsidRPr="00A55185">
              <w:rPr>
                <w:rFonts w:eastAsia="Times New Roman"/>
                <w:b/>
                <w:bCs/>
                <w:color w:val="000000"/>
                <w:sz w:val="16"/>
                <w:szCs w:val="16"/>
              </w:rPr>
              <w:t>Figure 4.7</w:t>
            </w:r>
            <w:r w:rsidRPr="00A55185">
              <w:rPr>
                <w:rFonts w:eastAsia="Times New Roman"/>
                <w:color w:val="000000"/>
                <w:sz w:val="16"/>
                <w:szCs w:val="16"/>
              </w:rPr>
              <w:t>)</w:t>
            </w:r>
          </w:p>
        </w:tc>
        <w:tc>
          <w:tcPr>
            <w:tcW w:w="676" w:type="pct"/>
            <w:tcBorders>
              <w:top w:val="nil"/>
              <w:left w:val="nil"/>
              <w:bottom w:val="single" w:sz="4" w:space="0" w:color="auto"/>
              <w:right w:val="single" w:sz="4" w:space="0" w:color="auto"/>
            </w:tcBorders>
            <w:shd w:val="clear" w:color="auto" w:fill="auto"/>
            <w:vAlign w:val="center"/>
            <w:hideMark/>
          </w:tcPr>
          <w:p w14:paraId="4D2ABBE3" w14:textId="77777777" w:rsidR="00B52D4A" w:rsidRPr="00A55185" w:rsidRDefault="00B52D4A" w:rsidP="00143E24">
            <w:pPr>
              <w:spacing w:line="240" w:lineRule="auto"/>
              <w:jc w:val="center"/>
              <w:rPr>
                <w:rFonts w:eastAsia="Times New Roman"/>
                <w:color w:val="000000"/>
                <w:sz w:val="16"/>
                <w:szCs w:val="16"/>
              </w:rPr>
            </w:pPr>
            <w:r w:rsidRPr="00A55185">
              <w:rPr>
                <w:rFonts w:eastAsia="Times New Roman"/>
                <w:color w:val="000000"/>
                <w:sz w:val="16"/>
                <w:szCs w:val="16"/>
              </w:rPr>
              <w:t>Anti-Inflammatory Signals here is a summaation and simplification of anti-inflammatory compounds, such as IL-10 and TGFβ, which dampen or negate a pro-inflammatory response or induce an anti-inflammatory response</w:t>
            </w:r>
          </w:p>
        </w:tc>
        <w:tc>
          <w:tcPr>
            <w:tcW w:w="987" w:type="pct"/>
            <w:vMerge w:val="restart"/>
            <w:tcBorders>
              <w:top w:val="nil"/>
              <w:left w:val="single" w:sz="4" w:space="0" w:color="auto"/>
              <w:bottom w:val="single" w:sz="4" w:space="0" w:color="000000"/>
              <w:right w:val="single" w:sz="4" w:space="0" w:color="auto"/>
            </w:tcBorders>
            <w:shd w:val="clear" w:color="auto" w:fill="auto"/>
            <w:vAlign w:val="center"/>
            <w:hideMark/>
          </w:tcPr>
          <w:p w14:paraId="7B76BF70" w14:textId="77777777" w:rsidR="00B52D4A" w:rsidRPr="00A55185" w:rsidRDefault="00B52D4A" w:rsidP="00143E24">
            <w:pPr>
              <w:spacing w:line="240" w:lineRule="auto"/>
              <w:jc w:val="center"/>
              <w:rPr>
                <w:rFonts w:eastAsia="Times New Roman"/>
                <w:color w:val="000000"/>
                <w:sz w:val="16"/>
                <w:szCs w:val="16"/>
              </w:rPr>
            </w:pPr>
            <w:r w:rsidRPr="00A55185">
              <w:rPr>
                <w:rFonts w:eastAsia="Times New Roman"/>
                <w:color w:val="000000"/>
                <w:sz w:val="16"/>
                <w:szCs w:val="16"/>
              </w:rPr>
              <w:t>There is no representation of Anti-Inflammatory, Pro-Inflammatory or Modulatory Signals instead the actions of the signals which modulate the anti-leishmanial response (Pro- and Anti-Inflammatory Signals) are abstracted such that the amount of anti-leishmanial compounds is proportional to the amount of myeloid cells and T cells within the system (</w:t>
            </w:r>
            <w:r w:rsidRPr="00A55185">
              <w:rPr>
                <w:rFonts w:eastAsia="Times New Roman"/>
                <w:b/>
                <w:bCs/>
                <w:color w:val="000000"/>
                <w:sz w:val="16"/>
                <w:szCs w:val="16"/>
              </w:rPr>
              <w:t>Figure 4.21</w:t>
            </w:r>
            <w:r w:rsidRPr="00A55185">
              <w:rPr>
                <w:rFonts w:eastAsia="Times New Roman"/>
                <w:color w:val="000000"/>
                <w:sz w:val="16"/>
                <w:szCs w:val="16"/>
              </w:rPr>
              <w:t>)</w:t>
            </w:r>
          </w:p>
        </w:tc>
        <w:tc>
          <w:tcPr>
            <w:tcW w:w="854" w:type="pct"/>
            <w:tcBorders>
              <w:top w:val="nil"/>
              <w:left w:val="nil"/>
              <w:bottom w:val="single" w:sz="4" w:space="0" w:color="auto"/>
              <w:right w:val="single" w:sz="4" w:space="0" w:color="auto"/>
            </w:tcBorders>
            <w:shd w:val="clear" w:color="auto" w:fill="auto"/>
            <w:noWrap/>
            <w:vAlign w:val="center"/>
            <w:hideMark/>
          </w:tcPr>
          <w:p w14:paraId="159B32F0" w14:textId="77777777" w:rsidR="00B52D4A" w:rsidRPr="00A55185" w:rsidRDefault="00B52D4A" w:rsidP="00143E24">
            <w:pPr>
              <w:spacing w:line="240" w:lineRule="auto"/>
              <w:jc w:val="center"/>
              <w:rPr>
                <w:rFonts w:eastAsia="Times New Roman"/>
                <w:color w:val="000000"/>
                <w:sz w:val="16"/>
                <w:szCs w:val="16"/>
              </w:rPr>
            </w:pPr>
          </w:p>
        </w:tc>
        <w:tc>
          <w:tcPr>
            <w:tcW w:w="1121" w:type="pct"/>
            <w:tcBorders>
              <w:top w:val="nil"/>
              <w:left w:val="nil"/>
              <w:bottom w:val="single" w:sz="4" w:space="0" w:color="auto"/>
              <w:right w:val="single" w:sz="4" w:space="0" w:color="auto"/>
            </w:tcBorders>
            <w:shd w:val="clear" w:color="auto" w:fill="auto"/>
            <w:noWrap/>
            <w:vAlign w:val="center"/>
            <w:hideMark/>
          </w:tcPr>
          <w:p w14:paraId="7DFDCF6A" w14:textId="77777777" w:rsidR="00B52D4A" w:rsidRPr="00A55185" w:rsidRDefault="00B52D4A" w:rsidP="00143E24">
            <w:pPr>
              <w:spacing w:line="240" w:lineRule="auto"/>
              <w:jc w:val="center"/>
              <w:rPr>
                <w:rFonts w:eastAsia="Times New Roman"/>
                <w:color w:val="000000"/>
                <w:sz w:val="16"/>
                <w:szCs w:val="16"/>
              </w:rPr>
            </w:pPr>
          </w:p>
        </w:tc>
      </w:tr>
      <w:tr w:rsidR="00B52D4A" w:rsidRPr="00A55185" w14:paraId="2F758F97" w14:textId="77777777" w:rsidTr="00F7425F">
        <w:trPr>
          <w:trHeight w:val="1040"/>
        </w:trPr>
        <w:tc>
          <w:tcPr>
            <w:tcW w:w="333" w:type="pct"/>
            <w:tcBorders>
              <w:top w:val="nil"/>
              <w:left w:val="single" w:sz="4" w:space="0" w:color="auto"/>
              <w:bottom w:val="single" w:sz="4" w:space="0" w:color="auto"/>
              <w:right w:val="single" w:sz="4" w:space="0" w:color="auto"/>
            </w:tcBorders>
            <w:shd w:val="clear" w:color="auto" w:fill="auto"/>
            <w:vAlign w:val="center"/>
            <w:hideMark/>
          </w:tcPr>
          <w:p w14:paraId="7DB71400" w14:textId="77777777" w:rsidR="00B52D4A" w:rsidRPr="00A55185" w:rsidRDefault="00B52D4A" w:rsidP="00143E24">
            <w:pPr>
              <w:spacing w:line="240" w:lineRule="auto"/>
              <w:jc w:val="center"/>
              <w:rPr>
                <w:rFonts w:eastAsia="Times New Roman"/>
                <w:color w:val="000000"/>
                <w:sz w:val="16"/>
                <w:szCs w:val="16"/>
              </w:rPr>
            </w:pPr>
            <w:r w:rsidRPr="00A55185">
              <w:rPr>
                <w:rFonts w:eastAsia="Times New Roman"/>
                <w:color w:val="000000"/>
                <w:sz w:val="16"/>
                <w:szCs w:val="16"/>
              </w:rPr>
              <w:t>T cells can produce Modulatory Signals</w:t>
            </w:r>
          </w:p>
        </w:tc>
        <w:tc>
          <w:tcPr>
            <w:tcW w:w="352" w:type="pct"/>
            <w:tcBorders>
              <w:top w:val="nil"/>
              <w:left w:val="nil"/>
              <w:bottom w:val="single" w:sz="4" w:space="0" w:color="auto"/>
              <w:right w:val="single" w:sz="4" w:space="0" w:color="auto"/>
            </w:tcBorders>
            <w:shd w:val="clear" w:color="auto" w:fill="auto"/>
            <w:vAlign w:val="center"/>
            <w:hideMark/>
          </w:tcPr>
          <w:p w14:paraId="738744B9" w14:textId="77777777" w:rsidR="00B52D4A" w:rsidRPr="00A55185" w:rsidRDefault="00B52D4A" w:rsidP="00143E24">
            <w:pPr>
              <w:spacing w:line="240" w:lineRule="auto"/>
              <w:jc w:val="center"/>
              <w:rPr>
                <w:rFonts w:eastAsia="Times New Roman"/>
                <w:sz w:val="16"/>
                <w:szCs w:val="16"/>
              </w:rPr>
            </w:pPr>
            <w:r w:rsidRPr="00A55185">
              <w:rPr>
                <w:rFonts w:eastAsia="Times New Roman"/>
                <w:sz w:val="16"/>
                <w:szCs w:val="16"/>
              </w:rPr>
              <w:t>(Le Gros et al., 1990; Bushell and Wood, 1999; Yi, Cox and Zajac, 2010; Moore et al., 2013)</w:t>
            </w:r>
          </w:p>
        </w:tc>
        <w:tc>
          <w:tcPr>
            <w:tcW w:w="676" w:type="pct"/>
            <w:tcBorders>
              <w:top w:val="nil"/>
              <w:left w:val="nil"/>
              <w:bottom w:val="single" w:sz="4" w:space="0" w:color="auto"/>
              <w:right w:val="single" w:sz="4" w:space="0" w:color="auto"/>
            </w:tcBorders>
            <w:shd w:val="clear" w:color="auto" w:fill="auto"/>
            <w:vAlign w:val="center"/>
            <w:hideMark/>
          </w:tcPr>
          <w:p w14:paraId="27646FCF" w14:textId="77777777" w:rsidR="00B52D4A" w:rsidRPr="00A55185" w:rsidRDefault="00B52D4A" w:rsidP="00143E24">
            <w:pPr>
              <w:spacing w:line="240" w:lineRule="auto"/>
              <w:jc w:val="center"/>
              <w:rPr>
                <w:rFonts w:eastAsia="Times New Roman"/>
                <w:color w:val="000000"/>
                <w:sz w:val="16"/>
                <w:szCs w:val="16"/>
              </w:rPr>
            </w:pPr>
            <w:r w:rsidRPr="00A55185">
              <w:rPr>
                <w:rFonts w:eastAsia="Times New Roman"/>
                <w:color w:val="000000"/>
                <w:sz w:val="16"/>
                <w:szCs w:val="16"/>
              </w:rPr>
              <w:t>T cells activated by antigen presentation from a myeloid cell that also detect modulatory signals will produce Modulatory Signals (</w:t>
            </w:r>
            <w:r w:rsidRPr="00A55185">
              <w:rPr>
                <w:rFonts w:eastAsia="Times New Roman"/>
                <w:b/>
                <w:bCs/>
                <w:color w:val="000000"/>
                <w:sz w:val="16"/>
                <w:szCs w:val="16"/>
              </w:rPr>
              <w:t>Figure 4.7</w:t>
            </w:r>
            <w:r w:rsidRPr="00A55185">
              <w:rPr>
                <w:rFonts w:eastAsia="Times New Roman"/>
                <w:color w:val="000000"/>
                <w:sz w:val="16"/>
                <w:szCs w:val="16"/>
              </w:rPr>
              <w:t>)</w:t>
            </w:r>
          </w:p>
        </w:tc>
        <w:tc>
          <w:tcPr>
            <w:tcW w:w="676" w:type="pct"/>
            <w:tcBorders>
              <w:top w:val="nil"/>
              <w:left w:val="nil"/>
              <w:bottom w:val="single" w:sz="4" w:space="0" w:color="auto"/>
              <w:right w:val="single" w:sz="4" w:space="0" w:color="auto"/>
            </w:tcBorders>
            <w:shd w:val="clear" w:color="auto" w:fill="auto"/>
            <w:vAlign w:val="center"/>
            <w:hideMark/>
          </w:tcPr>
          <w:p w14:paraId="532222C1" w14:textId="77777777" w:rsidR="00B52D4A" w:rsidRPr="00A55185" w:rsidRDefault="00B52D4A" w:rsidP="00143E24">
            <w:pPr>
              <w:spacing w:line="240" w:lineRule="auto"/>
              <w:jc w:val="center"/>
              <w:rPr>
                <w:rFonts w:eastAsia="Times New Roman"/>
                <w:color w:val="000000"/>
                <w:sz w:val="16"/>
                <w:szCs w:val="16"/>
              </w:rPr>
            </w:pPr>
            <w:r w:rsidRPr="00A55185">
              <w:rPr>
                <w:rFonts w:eastAsia="Times New Roman"/>
                <w:color w:val="000000"/>
                <w:sz w:val="16"/>
                <w:szCs w:val="16"/>
              </w:rPr>
              <w:t>Modulatory Signals here is a representation of IL-4 which modulates T cells at the point of activation to develop a Th</w:t>
            </w:r>
            <w:r w:rsidRPr="00A55185">
              <w:rPr>
                <w:rFonts w:eastAsia="Times New Roman"/>
                <w:color w:val="000000"/>
                <w:sz w:val="16"/>
                <w:szCs w:val="16"/>
                <w:vertAlign w:val="subscript"/>
              </w:rPr>
              <w:t xml:space="preserve">2 </w:t>
            </w:r>
            <w:r w:rsidRPr="00A55185">
              <w:rPr>
                <w:rFonts w:eastAsia="Times New Roman"/>
                <w:color w:val="000000"/>
                <w:sz w:val="16"/>
                <w:szCs w:val="16"/>
              </w:rPr>
              <w:t>phenotype</w:t>
            </w:r>
          </w:p>
        </w:tc>
        <w:tc>
          <w:tcPr>
            <w:tcW w:w="987" w:type="pct"/>
            <w:vMerge/>
            <w:tcBorders>
              <w:top w:val="nil"/>
              <w:left w:val="single" w:sz="4" w:space="0" w:color="auto"/>
              <w:bottom w:val="single" w:sz="4" w:space="0" w:color="000000"/>
              <w:right w:val="single" w:sz="4" w:space="0" w:color="auto"/>
            </w:tcBorders>
            <w:vAlign w:val="center"/>
            <w:hideMark/>
          </w:tcPr>
          <w:p w14:paraId="5F9C15AF" w14:textId="77777777" w:rsidR="00B52D4A" w:rsidRPr="00A55185" w:rsidRDefault="00B52D4A" w:rsidP="00143E24">
            <w:pPr>
              <w:spacing w:line="240" w:lineRule="auto"/>
              <w:jc w:val="center"/>
              <w:rPr>
                <w:rFonts w:eastAsia="Times New Roman"/>
                <w:color w:val="000000"/>
                <w:sz w:val="16"/>
                <w:szCs w:val="16"/>
              </w:rPr>
            </w:pPr>
          </w:p>
        </w:tc>
        <w:tc>
          <w:tcPr>
            <w:tcW w:w="854" w:type="pct"/>
            <w:tcBorders>
              <w:top w:val="nil"/>
              <w:left w:val="nil"/>
              <w:bottom w:val="single" w:sz="4" w:space="0" w:color="auto"/>
              <w:right w:val="single" w:sz="4" w:space="0" w:color="auto"/>
            </w:tcBorders>
            <w:shd w:val="clear" w:color="auto" w:fill="auto"/>
            <w:noWrap/>
            <w:vAlign w:val="center"/>
            <w:hideMark/>
          </w:tcPr>
          <w:p w14:paraId="01F8D709" w14:textId="77777777" w:rsidR="00B52D4A" w:rsidRPr="00A55185" w:rsidRDefault="00B52D4A" w:rsidP="00143E24">
            <w:pPr>
              <w:spacing w:line="240" w:lineRule="auto"/>
              <w:jc w:val="center"/>
              <w:rPr>
                <w:rFonts w:eastAsia="Times New Roman"/>
                <w:color w:val="000000"/>
                <w:sz w:val="16"/>
                <w:szCs w:val="16"/>
              </w:rPr>
            </w:pPr>
          </w:p>
        </w:tc>
        <w:tc>
          <w:tcPr>
            <w:tcW w:w="1121" w:type="pct"/>
            <w:tcBorders>
              <w:top w:val="nil"/>
              <w:left w:val="nil"/>
              <w:bottom w:val="single" w:sz="4" w:space="0" w:color="auto"/>
              <w:right w:val="single" w:sz="4" w:space="0" w:color="auto"/>
            </w:tcBorders>
            <w:shd w:val="clear" w:color="auto" w:fill="auto"/>
            <w:noWrap/>
            <w:vAlign w:val="center"/>
            <w:hideMark/>
          </w:tcPr>
          <w:p w14:paraId="425E1C6E" w14:textId="77777777" w:rsidR="00B52D4A" w:rsidRPr="00A55185" w:rsidRDefault="00B52D4A" w:rsidP="00143E24">
            <w:pPr>
              <w:spacing w:line="240" w:lineRule="auto"/>
              <w:jc w:val="center"/>
              <w:rPr>
                <w:rFonts w:eastAsia="Times New Roman"/>
                <w:color w:val="000000"/>
                <w:sz w:val="16"/>
                <w:szCs w:val="16"/>
              </w:rPr>
            </w:pPr>
          </w:p>
        </w:tc>
      </w:tr>
      <w:tr w:rsidR="00B52D4A" w:rsidRPr="00A55185" w14:paraId="6CEDBFE9" w14:textId="77777777" w:rsidTr="00F7425F">
        <w:trPr>
          <w:trHeight w:val="1040"/>
        </w:trPr>
        <w:tc>
          <w:tcPr>
            <w:tcW w:w="333" w:type="pct"/>
            <w:tcBorders>
              <w:top w:val="nil"/>
              <w:left w:val="single" w:sz="4" w:space="0" w:color="auto"/>
              <w:bottom w:val="single" w:sz="4" w:space="0" w:color="auto"/>
              <w:right w:val="single" w:sz="4" w:space="0" w:color="auto"/>
            </w:tcBorders>
            <w:shd w:val="clear" w:color="auto" w:fill="auto"/>
            <w:vAlign w:val="center"/>
            <w:hideMark/>
          </w:tcPr>
          <w:p w14:paraId="4C12665A" w14:textId="77777777" w:rsidR="00B52D4A" w:rsidRPr="00A55185" w:rsidRDefault="00B52D4A" w:rsidP="00143E24">
            <w:pPr>
              <w:spacing w:line="240" w:lineRule="auto"/>
              <w:jc w:val="center"/>
              <w:rPr>
                <w:rFonts w:eastAsia="Times New Roman"/>
                <w:color w:val="000000"/>
                <w:sz w:val="16"/>
                <w:szCs w:val="16"/>
              </w:rPr>
            </w:pPr>
            <w:r w:rsidRPr="00A55185">
              <w:rPr>
                <w:rFonts w:eastAsia="Times New Roman"/>
                <w:color w:val="000000"/>
                <w:sz w:val="16"/>
                <w:szCs w:val="16"/>
              </w:rPr>
              <w:t>T cells can produce Pro-Inflammatory Signals</w:t>
            </w:r>
          </w:p>
        </w:tc>
        <w:tc>
          <w:tcPr>
            <w:tcW w:w="352" w:type="pct"/>
            <w:tcBorders>
              <w:top w:val="nil"/>
              <w:left w:val="nil"/>
              <w:bottom w:val="single" w:sz="4" w:space="0" w:color="auto"/>
              <w:right w:val="single" w:sz="4" w:space="0" w:color="auto"/>
            </w:tcBorders>
            <w:shd w:val="clear" w:color="auto" w:fill="auto"/>
            <w:vAlign w:val="center"/>
            <w:hideMark/>
          </w:tcPr>
          <w:p w14:paraId="78ED6402" w14:textId="77777777" w:rsidR="00B52D4A" w:rsidRPr="00A55185" w:rsidRDefault="00B52D4A" w:rsidP="00143E24">
            <w:pPr>
              <w:spacing w:line="240" w:lineRule="auto"/>
              <w:jc w:val="center"/>
              <w:rPr>
                <w:rFonts w:eastAsia="Times New Roman"/>
                <w:sz w:val="16"/>
                <w:szCs w:val="16"/>
              </w:rPr>
            </w:pPr>
            <w:r w:rsidRPr="00A55185">
              <w:rPr>
                <w:rFonts w:eastAsia="Times New Roman"/>
                <w:sz w:val="16"/>
                <w:szCs w:val="16"/>
              </w:rPr>
              <w:t>(Romagnani 1999; Kumar and Nylén 2012; Pennock et al. 2013; Albergante et al. 2013)</w:t>
            </w:r>
          </w:p>
        </w:tc>
        <w:tc>
          <w:tcPr>
            <w:tcW w:w="676" w:type="pct"/>
            <w:tcBorders>
              <w:top w:val="nil"/>
              <w:left w:val="nil"/>
              <w:bottom w:val="single" w:sz="4" w:space="0" w:color="auto"/>
              <w:right w:val="single" w:sz="4" w:space="0" w:color="auto"/>
            </w:tcBorders>
            <w:shd w:val="clear" w:color="auto" w:fill="auto"/>
            <w:vAlign w:val="center"/>
            <w:hideMark/>
          </w:tcPr>
          <w:p w14:paraId="46228E59" w14:textId="77777777" w:rsidR="00B52D4A" w:rsidRPr="00A55185" w:rsidRDefault="00B52D4A" w:rsidP="00143E24">
            <w:pPr>
              <w:spacing w:line="240" w:lineRule="auto"/>
              <w:jc w:val="center"/>
              <w:rPr>
                <w:rFonts w:eastAsia="Times New Roman"/>
                <w:color w:val="000000"/>
                <w:sz w:val="16"/>
                <w:szCs w:val="16"/>
              </w:rPr>
            </w:pPr>
            <w:r w:rsidRPr="00A55185">
              <w:rPr>
                <w:rFonts w:eastAsia="Times New Roman"/>
                <w:color w:val="000000"/>
                <w:sz w:val="16"/>
                <w:szCs w:val="16"/>
              </w:rPr>
              <w:t>T cells activated by antigen presentation from Kupffer or myeloid cells that also detect Pro-Inflammatory signals will produce Pro-Infalammatory Signals (</w:t>
            </w:r>
            <w:r w:rsidRPr="00A55185">
              <w:rPr>
                <w:rFonts w:eastAsia="Times New Roman"/>
                <w:b/>
                <w:bCs/>
                <w:color w:val="000000"/>
                <w:sz w:val="16"/>
                <w:szCs w:val="16"/>
              </w:rPr>
              <w:t>Figure 4.7</w:t>
            </w:r>
            <w:r w:rsidRPr="00A55185">
              <w:rPr>
                <w:rFonts w:eastAsia="Times New Roman"/>
                <w:color w:val="000000"/>
                <w:sz w:val="16"/>
                <w:szCs w:val="16"/>
              </w:rPr>
              <w:t>)</w:t>
            </w:r>
          </w:p>
        </w:tc>
        <w:tc>
          <w:tcPr>
            <w:tcW w:w="676" w:type="pct"/>
            <w:tcBorders>
              <w:top w:val="nil"/>
              <w:left w:val="nil"/>
              <w:bottom w:val="single" w:sz="4" w:space="0" w:color="auto"/>
              <w:right w:val="single" w:sz="4" w:space="0" w:color="auto"/>
            </w:tcBorders>
            <w:shd w:val="clear" w:color="auto" w:fill="auto"/>
            <w:vAlign w:val="center"/>
            <w:hideMark/>
          </w:tcPr>
          <w:p w14:paraId="36BBBC48" w14:textId="77777777" w:rsidR="00B52D4A" w:rsidRPr="00A55185" w:rsidRDefault="00B52D4A" w:rsidP="00143E24">
            <w:pPr>
              <w:spacing w:line="240" w:lineRule="auto"/>
              <w:jc w:val="center"/>
              <w:rPr>
                <w:rFonts w:eastAsia="Times New Roman"/>
                <w:color w:val="000000"/>
                <w:sz w:val="16"/>
                <w:szCs w:val="16"/>
              </w:rPr>
            </w:pPr>
            <w:r w:rsidRPr="00A55185">
              <w:rPr>
                <w:rFonts w:eastAsia="Times New Roman"/>
                <w:color w:val="000000"/>
                <w:sz w:val="16"/>
                <w:szCs w:val="16"/>
              </w:rPr>
              <w:t>Pro-Inflammatory Signals here is a simplification of entities which induce a pro-inflammatory response upon their detection such as TNF, Lymphotoxin and IFN</w:t>
            </w:r>
            <w:r w:rsidRPr="00A55185">
              <w:rPr>
                <w:rFonts w:ascii="Cambria Math" w:eastAsia="Times New Roman" w:hAnsi="Cambria Math" w:cs="Cambria Math"/>
                <w:color w:val="000000"/>
                <w:sz w:val="16"/>
                <w:szCs w:val="16"/>
              </w:rPr>
              <w:t>𝛾</w:t>
            </w:r>
          </w:p>
        </w:tc>
        <w:tc>
          <w:tcPr>
            <w:tcW w:w="987" w:type="pct"/>
            <w:vMerge/>
            <w:tcBorders>
              <w:top w:val="nil"/>
              <w:left w:val="single" w:sz="4" w:space="0" w:color="auto"/>
              <w:bottom w:val="single" w:sz="4" w:space="0" w:color="000000"/>
              <w:right w:val="single" w:sz="4" w:space="0" w:color="auto"/>
            </w:tcBorders>
            <w:vAlign w:val="center"/>
            <w:hideMark/>
          </w:tcPr>
          <w:p w14:paraId="5B32E8BA" w14:textId="77777777" w:rsidR="00B52D4A" w:rsidRPr="00A55185" w:rsidRDefault="00B52D4A" w:rsidP="00143E24">
            <w:pPr>
              <w:spacing w:line="240" w:lineRule="auto"/>
              <w:jc w:val="center"/>
              <w:rPr>
                <w:rFonts w:eastAsia="Times New Roman"/>
                <w:color w:val="000000"/>
                <w:sz w:val="16"/>
                <w:szCs w:val="16"/>
              </w:rPr>
            </w:pPr>
          </w:p>
        </w:tc>
        <w:tc>
          <w:tcPr>
            <w:tcW w:w="854" w:type="pct"/>
            <w:tcBorders>
              <w:top w:val="nil"/>
              <w:left w:val="nil"/>
              <w:bottom w:val="single" w:sz="4" w:space="0" w:color="auto"/>
              <w:right w:val="single" w:sz="4" w:space="0" w:color="auto"/>
            </w:tcBorders>
            <w:shd w:val="clear" w:color="auto" w:fill="auto"/>
            <w:noWrap/>
            <w:vAlign w:val="center"/>
            <w:hideMark/>
          </w:tcPr>
          <w:p w14:paraId="4B1707DA" w14:textId="77777777" w:rsidR="00B52D4A" w:rsidRPr="00A55185" w:rsidRDefault="00B52D4A" w:rsidP="00143E24">
            <w:pPr>
              <w:spacing w:line="240" w:lineRule="auto"/>
              <w:jc w:val="center"/>
              <w:rPr>
                <w:rFonts w:eastAsia="Times New Roman"/>
                <w:color w:val="000000"/>
                <w:sz w:val="16"/>
                <w:szCs w:val="16"/>
              </w:rPr>
            </w:pPr>
          </w:p>
        </w:tc>
        <w:tc>
          <w:tcPr>
            <w:tcW w:w="1121" w:type="pct"/>
            <w:tcBorders>
              <w:top w:val="nil"/>
              <w:left w:val="nil"/>
              <w:bottom w:val="single" w:sz="4" w:space="0" w:color="auto"/>
              <w:right w:val="single" w:sz="4" w:space="0" w:color="auto"/>
            </w:tcBorders>
            <w:shd w:val="clear" w:color="auto" w:fill="auto"/>
            <w:noWrap/>
            <w:vAlign w:val="center"/>
            <w:hideMark/>
          </w:tcPr>
          <w:p w14:paraId="4D951FB2" w14:textId="77777777" w:rsidR="00B52D4A" w:rsidRPr="00A55185" w:rsidRDefault="00B52D4A" w:rsidP="00143E24">
            <w:pPr>
              <w:spacing w:line="240" w:lineRule="auto"/>
              <w:jc w:val="center"/>
              <w:rPr>
                <w:rFonts w:eastAsia="Times New Roman"/>
                <w:color w:val="000000"/>
                <w:sz w:val="16"/>
                <w:szCs w:val="16"/>
              </w:rPr>
            </w:pPr>
          </w:p>
        </w:tc>
      </w:tr>
      <w:tr w:rsidR="00B52D4A" w:rsidRPr="00A55185" w14:paraId="4E9133A5" w14:textId="77777777" w:rsidTr="00F7425F">
        <w:trPr>
          <w:trHeight w:val="1040"/>
        </w:trPr>
        <w:tc>
          <w:tcPr>
            <w:tcW w:w="333" w:type="pct"/>
            <w:tcBorders>
              <w:top w:val="nil"/>
              <w:left w:val="single" w:sz="4" w:space="0" w:color="auto"/>
              <w:bottom w:val="single" w:sz="4" w:space="0" w:color="auto"/>
              <w:right w:val="single" w:sz="4" w:space="0" w:color="auto"/>
            </w:tcBorders>
            <w:shd w:val="clear" w:color="auto" w:fill="auto"/>
            <w:vAlign w:val="center"/>
            <w:hideMark/>
          </w:tcPr>
          <w:p w14:paraId="77E83C16" w14:textId="77777777" w:rsidR="00B52D4A" w:rsidRPr="00A55185" w:rsidRDefault="00B52D4A" w:rsidP="00143E24">
            <w:pPr>
              <w:spacing w:line="240" w:lineRule="auto"/>
              <w:jc w:val="center"/>
              <w:rPr>
                <w:rFonts w:eastAsia="Times New Roman"/>
                <w:color w:val="000000"/>
                <w:sz w:val="16"/>
                <w:szCs w:val="16"/>
              </w:rPr>
            </w:pPr>
            <w:r w:rsidRPr="00A55185">
              <w:rPr>
                <w:rFonts w:eastAsia="Times New Roman"/>
                <w:color w:val="000000"/>
                <w:sz w:val="16"/>
                <w:szCs w:val="16"/>
              </w:rPr>
              <w:t>T cells can produce Recruitment Factors</w:t>
            </w:r>
          </w:p>
        </w:tc>
        <w:tc>
          <w:tcPr>
            <w:tcW w:w="352" w:type="pct"/>
            <w:tcBorders>
              <w:top w:val="nil"/>
              <w:left w:val="nil"/>
              <w:bottom w:val="single" w:sz="4" w:space="0" w:color="auto"/>
              <w:right w:val="single" w:sz="4" w:space="0" w:color="auto"/>
            </w:tcBorders>
            <w:shd w:val="clear" w:color="auto" w:fill="auto"/>
            <w:vAlign w:val="center"/>
            <w:hideMark/>
          </w:tcPr>
          <w:p w14:paraId="23560E4E" w14:textId="77777777" w:rsidR="00B52D4A" w:rsidRPr="00A55185" w:rsidRDefault="00B52D4A" w:rsidP="00143E24">
            <w:pPr>
              <w:spacing w:line="240" w:lineRule="auto"/>
              <w:jc w:val="center"/>
              <w:rPr>
                <w:rFonts w:eastAsia="Times New Roman"/>
                <w:sz w:val="16"/>
                <w:szCs w:val="16"/>
              </w:rPr>
            </w:pPr>
            <w:r w:rsidRPr="00A55185">
              <w:rPr>
                <w:rFonts w:eastAsia="Times New Roman"/>
                <w:sz w:val="16"/>
                <w:szCs w:val="16"/>
              </w:rPr>
              <w:t xml:space="preserve">(Romagnani 1999; Kumar and Nylén 2012; Pennock et al. 2013; </w:t>
            </w:r>
            <w:r w:rsidRPr="00A55185">
              <w:rPr>
                <w:rFonts w:eastAsia="Times New Roman"/>
                <w:sz w:val="16"/>
                <w:szCs w:val="16"/>
              </w:rPr>
              <w:lastRenderedPageBreak/>
              <w:t>Albergante et al. 2013)</w:t>
            </w:r>
          </w:p>
        </w:tc>
        <w:tc>
          <w:tcPr>
            <w:tcW w:w="676" w:type="pct"/>
            <w:tcBorders>
              <w:top w:val="nil"/>
              <w:left w:val="nil"/>
              <w:bottom w:val="single" w:sz="4" w:space="0" w:color="auto"/>
              <w:right w:val="single" w:sz="4" w:space="0" w:color="auto"/>
            </w:tcBorders>
            <w:shd w:val="clear" w:color="auto" w:fill="auto"/>
            <w:vAlign w:val="center"/>
            <w:hideMark/>
          </w:tcPr>
          <w:p w14:paraId="376F98FC" w14:textId="77777777" w:rsidR="00B52D4A" w:rsidRPr="00A55185" w:rsidRDefault="00B52D4A" w:rsidP="00143E24">
            <w:pPr>
              <w:spacing w:line="240" w:lineRule="auto"/>
              <w:jc w:val="center"/>
              <w:rPr>
                <w:rFonts w:eastAsia="Times New Roman"/>
                <w:color w:val="000000"/>
                <w:sz w:val="16"/>
                <w:szCs w:val="16"/>
              </w:rPr>
            </w:pPr>
            <w:r w:rsidRPr="00A55185">
              <w:rPr>
                <w:rFonts w:eastAsia="Times New Roman"/>
                <w:color w:val="000000"/>
                <w:sz w:val="16"/>
                <w:szCs w:val="16"/>
              </w:rPr>
              <w:lastRenderedPageBreak/>
              <w:t xml:space="preserve">T cells activated by antigen presentation from Kupffer or myeloid cells that also detect Pro-Inflammatory </w:t>
            </w:r>
            <w:r w:rsidRPr="00A55185">
              <w:rPr>
                <w:rFonts w:eastAsia="Times New Roman"/>
                <w:color w:val="000000"/>
                <w:sz w:val="16"/>
                <w:szCs w:val="16"/>
              </w:rPr>
              <w:lastRenderedPageBreak/>
              <w:t>signals will produce Recruitment Factors (</w:t>
            </w:r>
            <w:r w:rsidRPr="00A55185">
              <w:rPr>
                <w:rFonts w:eastAsia="Times New Roman"/>
                <w:b/>
                <w:bCs/>
                <w:color w:val="000000"/>
                <w:sz w:val="16"/>
                <w:szCs w:val="16"/>
              </w:rPr>
              <w:t>Figure 4.7</w:t>
            </w:r>
            <w:r w:rsidRPr="00A55185">
              <w:rPr>
                <w:rFonts w:eastAsia="Times New Roman"/>
                <w:color w:val="000000"/>
                <w:sz w:val="16"/>
                <w:szCs w:val="16"/>
              </w:rPr>
              <w:t>)</w:t>
            </w:r>
          </w:p>
        </w:tc>
        <w:tc>
          <w:tcPr>
            <w:tcW w:w="676" w:type="pct"/>
            <w:tcBorders>
              <w:top w:val="nil"/>
              <w:left w:val="nil"/>
              <w:bottom w:val="single" w:sz="4" w:space="0" w:color="auto"/>
              <w:right w:val="single" w:sz="4" w:space="0" w:color="auto"/>
            </w:tcBorders>
            <w:shd w:val="clear" w:color="auto" w:fill="auto"/>
            <w:vAlign w:val="center"/>
            <w:hideMark/>
          </w:tcPr>
          <w:p w14:paraId="4F4CBC6F" w14:textId="77777777" w:rsidR="00B52D4A" w:rsidRPr="00A55185" w:rsidRDefault="00B52D4A" w:rsidP="00143E24">
            <w:pPr>
              <w:spacing w:line="240" w:lineRule="auto"/>
              <w:jc w:val="center"/>
              <w:rPr>
                <w:rFonts w:eastAsia="Times New Roman"/>
                <w:color w:val="000000"/>
                <w:sz w:val="16"/>
                <w:szCs w:val="16"/>
              </w:rPr>
            </w:pPr>
            <w:r w:rsidRPr="00A55185">
              <w:rPr>
                <w:rFonts w:eastAsia="Times New Roman"/>
                <w:color w:val="000000"/>
                <w:sz w:val="16"/>
                <w:szCs w:val="16"/>
              </w:rPr>
              <w:lastRenderedPageBreak/>
              <w:t xml:space="preserve">Recruitment Factors are here a simplification of entities which induce mobility to/from different </w:t>
            </w:r>
            <w:r w:rsidRPr="00A55185">
              <w:rPr>
                <w:rFonts w:eastAsia="Times New Roman"/>
                <w:color w:val="000000"/>
                <w:sz w:val="16"/>
                <w:szCs w:val="16"/>
              </w:rPr>
              <w:lastRenderedPageBreak/>
              <w:t>physiological sites represented by movement when higher concentrations of Recruitment Factors are present in a different location</w:t>
            </w:r>
          </w:p>
        </w:tc>
        <w:tc>
          <w:tcPr>
            <w:tcW w:w="987" w:type="pct"/>
            <w:tcBorders>
              <w:top w:val="nil"/>
              <w:left w:val="nil"/>
              <w:bottom w:val="single" w:sz="4" w:space="0" w:color="auto"/>
              <w:right w:val="single" w:sz="4" w:space="0" w:color="auto"/>
            </w:tcBorders>
            <w:shd w:val="clear" w:color="auto" w:fill="auto"/>
            <w:vAlign w:val="center"/>
            <w:hideMark/>
          </w:tcPr>
          <w:p w14:paraId="4DE5D3B4" w14:textId="77777777" w:rsidR="00B52D4A" w:rsidRPr="00A55185" w:rsidRDefault="00B52D4A" w:rsidP="00143E24">
            <w:pPr>
              <w:spacing w:line="240" w:lineRule="auto"/>
              <w:jc w:val="center"/>
              <w:rPr>
                <w:rFonts w:eastAsia="Times New Roman"/>
                <w:color w:val="000000"/>
                <w:sz w:val="16"/>
                <w:szCs w:val="16"/>
              </w:rPr>
            </w:pPr>
            <w:r w:rsidRPr="00A55185">
              <w:rPr>
                <w:rFonts w:eastAsia="Times New Roman"/>
                <w:color w:val="000000"/>
                <w:sz w:val="16"/>
                <w:szCs w:val="16"/>
              </w:rPr>
              <w:lastRenderedPageBreak/>
              <w:t xml:space="preserve">There is no representation of an 'Other Site' within the Platform model. The liver is represented as a self-contained compartment, migratory processes which increase the T cell population are </w:t>
            </w:r>
            <w:r w:rsidRPr="00A55185">
              <w:rPr>
                <w:rFonts w:eastAsia="Times New Roman"/>
                <w:color w:val="000000"/>
                <w:sz w:val="16"/>
                <w:szCs w:val="16"/>
              </w:rPr>
              <w:lastRenderedPageBreak/>
              <w:t>abstracted so that population growth arises through proliferation. (</w:t>
            </w:r>
            <w:r w:rsidRPr="00A55185">
              <w:rPr>
                <w:rFonts w:eastAsia="Times New Roman"/>
                <w:b/>
                <w:bCs/>
                <w:color w:val="000000"/>
                <w:sz w:val="16"/>
                <w:szCs w:val="16"/>
              </w:rPr>
              <w:t>Figure 4.17</w:t>
            </w:r>
            <w:r w:rsidRPr="00A55185">
              <w:rPr>
                <w:rFonts w:eastAsia="Times New Roman"/>
                <w:color w:val="000000"/>
                <w:sz w:val="16"/>
                <w:szCs w:val="16"/>
              </w:rPr>
              <w:t>)</w:t>
            </w:r>
          </w:p>
        </w:tc>
        <w:tc>
          <w:tcPr>
            <w:tcW w:w="854" w:type="pct"/>
            <w:tcBorders>
              <w:top w:val="nil"/>
              <w:left w:val="nil"/>
              <w:bottom w:val="single" w:sz="4" w:space="0" w:color="auto"/>
              <w:right w:val="single" w:sz="4" w:space="0" w:color="auto"/>
            </w:tcBorders>
            <w:shd w:val="clear" w:color="auto" w:fill="auto"/>
            <w:noWrap/>
            <w:vAlign w:val="center"/>
            <w:hideMark/>
          </w:tcPr>
          <w:p w14:paraId="04F77104" w14:textId="77777777" w:rsidR="00B52D4A" w:rsidRPr="00A55185" w:rsidRDefault="00B52D4A" w:rsidP="00143E24">
            <w:pPr>
              <w:spacing w:line="240" w:lineRule="auto"/>
              <w:jc w:val="center"/>
              <w:rPr>
                <w:rFonts w:eastAsia="Times New Roman"/>
                <w:color w:val="000000"/>
                <w:sz w:val="16"/>
                <w:szCs w:val="16"/>
              </w:rPr>
            </w:pPr>
          </w:p>
        </w:tc>
        <w:tc>
          <w:tcPr>
            <w:tcW w:w="1121" w:type="pct"/>
            <w:tcBorders>
              <w:top w:val="nil"/>
              <w:left w:val="nil"/>
              <w:bottom w:val="single" w:sz="4" w:space="0" w:color="auto"/>
              <w:right w:val="single" w:sz="4" w:space="0" w:color="auto"/>
            </w:tcBorders>
            <w:shd w:val="clear" w:color="auto" w:fill="auto"/>
            <w:noWrap/>
            <w:vAlign w:val="center"/>
            <w:hideMark/>
          </w:tcPr>
          <w:p w14:paraId="23B76B04" w14:textId="77777777" w:rsidR="00B52D4A" w:rsidRPr="00A55185" w:rsidRDefault="00B52D4A" w:rsidP="00143E24">
            <w:pPr>
              <w:spacing w:line="240" w:lineRule="auto"/>
              <w:jc w:val="center"/>
              <w:rPr>
                <w:rFonts w:eastAsia="Times New Roman"/>
                <w:color w:val="000000"/>
                <w:sz w:val="16"/>
                <w:szCs w:val="16"/>
              </w:rPr>
            </w:pPr>
          </w:p>
        </w:tc>
      </w:tr>
      <w:tr w:rsidR="00B52D4A" w:rsidRPr="00A55185" w14:paraId="4373D1DA" w14:textId="77777777" w:rsidTr="00F7425F">
        <w:trPr>
          <w:trHeight w:val="1040"/>
        </w:trPr>
        <w:tc>
          <w:tcPr>
            <w:tcW w:w="333" w:type="pct"/>
            <w:tcBorders>
              <w:top w:val="nil"/>
              <w:left w:val="single" w:sz="4" w:space="0" w:color="auto"/>
              <w:bottom w:val="single" w:sz="4" w:space="0" w:color="auto"/>
              <w:right w:val="single" w:sz="4" w:space="0" w:color="auto"/>
            </w:tcBorders>
            <w:shd w:val="clear" w:color="auto" w:fill="auto"/>
            <w:vAlign w:val="center"/>
            <w:hideMark/>
          </w:tcPr>
          <w:p w14:paraId="33772DD0" w14:textId="77777777" w:rsidR="00B52D4A" w:rsidRPr="00A55185" w:rsidRDefault="00B52D4A" w:rsidP="00143E24">
            <w:pPr>
              <w:spacing w:line="240" w:lineRule="auto"/>
              <w:jc w:val="center"/>
              <w:rPr>
                <w:rFonts w:eastAsia="Times New Roman"/>
                <w:color w:val="000000"/>
                <w:sz w:val="16"/>
                <w:szCs w:val="16"/>
              </w:rPr>
            </w:pPr>
            <w:r w:rsidRPr="00A55185">
              <w:rPr>
                <w:rFonts w:eastAsia="Times New Roman"/>
                <w:color w:val="000000"/>
                <w:sz w:val="16"/>
                <w:szCs w:val="16"/>
              </w:rPr>
              <w:t>Myeloid cells can proliferate in Other Sites</w:t>
            </w:r>
          </w:p>
        </w:tc>
        <w:tc>
          <w:tcPr>
            <w:tcW w:w="352" w:type="pct"/>
            <w:tcBorders>
              <w:top w:val="nil"/>
              <w:left w:val="nil"/>
              <w:bottom w:val="single" w:sz="4" w:space="0" w:color="auto"/>
              <w:right w:val="single" w:sz="4" w:space="0" w:color="auto"/>
            </w:tcBorders>
            <w:shd w:val="clear" w:color="auto" w:fill="auto"/>
            <w:vAlign w:val="center"/>
            <w:hideMark/>
          </w:tcPr>
          <w:p w14:paraId="7E255B7A" w14:textId="77777777" w:rsidR="00B52D4A" w:rsidRPr="00A55185" w:rsidRDefault="00B52D4A" w:rsidP="00143E24">
            <w:pPr>
              <w:spacing w:line="240" w:lineRule="auto"/>
              <w:jc w:val="center"/>
              <w:rPr>
                <w:rFonts w:eastAsia="Times New Roman"/>
                <w:sz w:val="16"/>
                <w:szCs w:val="16"/>
              </w:rPr>
            </w:pPr>
            <w:r w:rsidRPr="00A55185">
              <w:rPr>
                <w:rFonts w:eastAsia="Times New Roman"/>
                <w:sz w:val="16"/>
                <w:szCs w:val="16"/>
              </w:rPr>
              <w:t>(Perry, 1971; Patel et al., 2017)</w:t>
            </w:r>
          </w:p>
        </w:tc>
        <w:tc>
          <w:tcPr>
            <w:tcW w:w="676" w:type="pct"/>
            <w:tcBorders>
              <w:top w:val="nil"/>
              <w:left w:val="nil"/>
              <w:bottom w:val="single" w:sz="4" w:space="0" w:color="auto"/>
              <w:right w:val="single" w:sz="4" w:space="0" w:color="auto"/>
            </w:tcBorders>
            <w:shd w:val="clear" w:color="auto" w:fill="auto"/>
            <w:vAlign w:val="center"/>
            <w:hideMark/>
          </w:tcPr>
          <w:p w14:paraId="7A334C21" w14:textId="77777777" w:rsidR="00B52D4A" w:rsidRPr="00A55185" w:rsidRDefault="00B52D4A" w:rsidP="00143E24">
            <w:pPr>
              <w:spacing w:line="240" w:lineRule="auto"/>
              <w:jc w:val="center"/>
              <w:rPr>
                <w:rFonts w:eastAsia="Times New Roman"/>
                <w:color w:val="000000"/>
                <w:sz w:val="16"/>
                <w:szCs w:val="16"/>
              </w:rPr>
            </w:pPr>
            <w:r w:rsidRPr="00A55185">
              <w:rPr>
                <w:rFonts w:eastAsia="Times New Roman"/>
                <w:color w:val="000000"/>
                <w:sz w:val="16"/>
                <w:szCs w:val="16"/>
              </w:rPr>
              <w:t>Myeloid cells proliferate in Other Sites when in patrolling state (</w:t>
            </w:r>
            <w:r w:rsidRPr="00A55185">
              <w:rPr>
                <w:rFonts w:eastAsia="Times New Roman"/>
                <w:b/>
                <w:bCs/>
                <w:color w:val="000000"/>
                <w:sz w:val="16"/>
                <w:szCs w:val="16"/>
              </w:rPr>
              <w:t>Figure 4.9</w:t>
            </w:r>
            <w:r w:rsidRPr="00A55185">
              <w:rPr>
                <w:rFonts w:eastAsia="Times New Roman"/>
                <w:color w:val="000000"/>
                <w:sz w:val="16"/>
                <w:szCs w:val="16"/>
              </w:rPr>
              <w:t>)</w:t>
            </w:r>
          </w:p>
        </w:tc>
        <w:tc>
          <w:tcPr>
            <w:tcW w:w="676" w:type="pct"/>
            <w:tcBorders>
              <w:top w:val="nil"/>
              <w:left w:val="nil"/>
              <w:bottom w:val="single" w:sz="4" w:space="0" w:color="auto"/>
              <w:right w:val="single" w:sz="4" w:space="0" w:color="auto"/>
            </w:tcBorders>
            <w:shd w:val="clear" w:color="auto" w:fill="auto"/>
            <w:vAlign w:val="center"/>
            <w:hideMark/>
          </w:tcPr>
          <w:p w14:paraId="1CFC9516" w14:textId="77777777" w:rsidR="00B52D4A" w:rsidRPr="00A55185" w:rsidRDefault="00B52D4A" w:rsidP="00143E24">
            <w:pPr>
              <w:spacing w:line="240" w:lineRule="auto"/>
              <w:jc w:val="center"/>
              <w:rPr>
                <w:rFonts w:eastAsia="Times New Roman"/>
                <w:color w:val="000000"/>
                <w:sz w:val="16"/>
                <w:szCs w:val="16"/>
              </w:rPr>
            </w:pPr>
            <w:r w:rsidRPr="00A55185">
              <w:rPr>
                <w:rFonts w:eastAsia="Times New Roman"/>
                <w:color w:val="000000"/>
                <w:sz w:val="16"/>
                <w:szCs w:val="16"/>
              </w:rPr>
              <w:t>Here the generation of myeloid cells form bone marrow precursors and their subsequent development is abstracted such that myeloid cells can replicate outsite of the liver</w:t>
            </w:r>
          </w:p>
        </w:tc>
        <w:tc>
          <w:tcPr>
            <w:tcW w:w="987" w:type="pct"/>
            <w:tcBorders>
              <w:top w:val="nil"/>
              <w:left w:val="nil"/>
              <w:bottom w:val="single" w:sz="4" w:space="0" w:color="auto"/>
              <w:right w:val="single" w:sz="4" w:space="0" w:color="auto"/>
            </w:tcBorders>
            <w:shd w:val="clear" w:color="auto" w:fill="auto"/>
            <w:vAlign w:val="center"/>
            <w:hideMark/>
          </w:tcPr>
          <w:p w14:paraId="20F033A7" w14:textId="77777777" w:rsidR="00B52D4A" w:rsidRPr="00A55185" w:rsidRDefault="00B52D4A" w:rsidP="00143E24">
            <w:pPr>
              <w:spacing w:line="240" w:lineRule="auto"/>
              <w:jc w:val="center"/>
              <w:rPr>
                <w:rFonts w:eastAsia="Times New Roman"/>
                <w:color w:val="000000"/>
                <w:sz w:val="16"/>
                <w:szCs w:val="16"/>
              </w:rPr>
            </w:pPr>
            <w:r w:rsidRPr="00A55185">
              <w:rPr>
                <w:rFonts w:eastAsia="Times New Roman"/>
                <w:color w:val="000000"/>
                <w:sz w:val="16"/>
                <w:szCs w:val="16"/>
              </w:rPr>
              <w:t>There is no representation of an 'Other Site' within the Platform model. The liver is represented as a self-contained compartment, migratory processes which increase the myeloid cell population are abstracted so that population growth arises through proliferation. (</w:t>
            </w:r>
            <w:r w:rsidRPr="00A55185">
              <w:rPr>
                <w:rFonts w:eastAsia="Times New Roman"/>
                <w:b/>
                <w:bCs/>
                <w:color w:val="000000"/>
                <w:sz w:val="16"/>
                <w:szCs w:val="16"/>
              </w:rPr>
              <w:t>Figure 4.19</w:t>
            </w:r>
            <w:r w:rsidRPr="00A55185">
              <w:rPr>
                <w:rFonts w:eastAsia="Times New Roman"/>
                <w:color w:val="000000"/>
                <w:sz w:val="16"/>
                <w:szCs w:val="16"/>
              </w:rPr>
              <w:t>)</w:t>
            </w:r>
          </w:p>
        </w:tc>
        <w:tc>
          <w:tcPr>
            <w:tcW w:w="854" w:type="pct"/>
            <w:tcBorders>
              <w:top w:val="nil"/>
              <w:left w:val="nil"/>
              <w:bottom w:val="single" w:sz="4" w:space="0" w:color="auto"/>
              <w:right w:val="single" w:sz="4" w:space="0" w:color="auto"/>
            </w:tcBorders>
            <w:shd w:val="clear" w:color="auto" w:fill="auto"/>
            <w:noWrap/>
            <w:vAlign w:val="center"/>
            <w:hideMark/>
          </w:tcPr>
          <w:p w14:paraId="39FA4C29" w14:textId="77777777" w:rsidR="00B52D4A" w:rsidRPr="00A55185" w:rsidRDefault="00B52D4A" w:rsidP="00143E24">
            <w:pPr>
              <w:spacing w:line="240" w:lineRule="auto"/>
              <w:jc w:val="center"/>
              <w:rPr>
                <w:rFonts w:eastAsia="Times New Roman"/>
                <w:color w:val="000000"/>
                <w:sz w:val="16"/>
                <w:szCs w:val="16"/>
              </w:rPr>
            </w:pPr>
          </w:p>
        </w:tc>
        <w:tc>
          <w:tcPr>
            <w:tcW w:w="1121" w:type="pct"/>
            <w:tcBorders>
              <w:top w:val="nil"/>
              <w:left w:val="nil"/>
              <w:bottom w:val="single" w:sz="4" w:space="0" w:color="auto"/>
              <w:right w:val="single" w:sz="4" w:space="0" w:color="auto"/>
            </w:tcBorders>
            <w:shd w:val="clear" w:color="auto" w:fill="auto"/>
            <w:noWrap/>
            <w:vAlign w:val="center"/>
            <w:hideMark/>
          </w:tcPr>
          <w:p w14:paraId="5248871A" w14:textId="77777777" w:rsidR="00B52D4A" w:rsidRPr="00A55185" w:rsidRDefault="00B52D4A" w:rsidP="00143E24">
            <w:pPr>
              <w:spacing w:line="240" w:lineRule="auto"/>
              <w:jc w:val="center"/>
              <w:rPr>
                <w:rFonts w:eastAsia="Times New Roman"/>
                <w:color w:val="000000"/>
                <w:sz w:val="16"/>
                <w:szCs w:val="16"/>
              </w:rPr>
            </w:pPr>
          </w:p>
        </w:tc>
      </w:tr>
      <w:tr w:rsidR="00B52D4A" w:rsidRPr="00A55185" w14:paraId="5397FDA8" w14:textId="77777777" w:rsidTr="00F7425F">
        <w:trPr>
          <w:trHeight w:val="1300"/>
        </w:trPr>
        <w:tc>
          <w:tcPr>
            <w:tcW w:w="333" w:type="pct"/>
            <w:tcBorders>
              <w:top w:val="nil"/>
              <w:left w:val="single" w:sz="4" w:space="0" w:color="auto"/>
              <w:bottom w:val="single" w:sz="4" w:space="0" w:color="auto"/>
              <w:right w:val="single" w:sz="4" w:space="0" w:color="auto"/>
            </w:tcBorders>
            <w:shd w:val="clear" w:color="auto" w:fill="auto"/>
            <w:vAlign w:val="center"/>
            <w:hideMark/>
          </w:tcPr>
          <w:p w14:paraId="4D467721" w14:textId="77777777" w:rsidR="00B52D4A" w:rsidRPr="00A55185" w:rsidRDefault="00B52D4A" w:rsidP="00143E24">
            <w:pPr>
              <w:spacing w:line="240" w:lineRule="auto"/>
              <w:jc w:val="center"/>
              <w:rPr>
                <w:rFonts w:eastAsia="Times New Roman"/>
                <w:color w:val="000000"/>
                <w:sz w:val="16"/>
                <w:szCs w:val="16"/>
              </w:rPr>
            </w:pPr>
            <w:r w:rsidRPr="00A55185">
              <w:rPr>
                <w:rFonts w:eastAsia="Times New Roman"/>
                <w:color w:val="000000"/>
                <w:sz w:val="16"/>
                <w:szCs w:val="16"/>
              </w:rPr>
              <w:t>Uninfected KCs can replicate</w:t>
            </w:r>
          </w:p>
        </w:tc>
        <w:tc>
          <w:tcPr>
            <w:tcW w:w="352" w:type="pct"/>
            <w:tcBorders>
              <w:top w:val="nil"/>
              <w:left w:val="nil"/>
              <w:bottom w:val="single" w:sz="4" w:space="0" w:color="auto"/>
              <w:right w:val="single" w:sz="4" w:space="0" w:color="auto"/>
            </w:tcBorders>
            <w:shd w:val="clear" w:color="auto" w:fill="auto"/>
            <w:vAlign w:val="center"/>
            <w:hideMark/>
          </w:tcPr>
          <w:p w14:paraId="23550C26" w14:textId="77777777" w:rsidR="00B52D4A" w:rsidRPr="00A55185" w:rsidRDefault="00B52D4A" w:rsidP="00143E24">
            <w:pPr>
              <w:spacing w:line="240" w:lineRule="auto"/>
              <w:jc w:val="center"/>
              <w:rPr>
                <w:rFonts w:eastAsia="Times New Roman"/>
                <w:sz w:val="16"/>
                <w:szCs w:val="16"/>
              </w:rPr>
            </w:pPr>
            <w:r w:rsidRPr="00A55185">
              <w:rPr>
                <w:rFonts w:eastAsia="Times New Roman"/>
                <w:sz w:val="16"/>
                <w:szCs w:val="16"/>
              </w:rPr>
              <w:t>(Wynn et al., 2001; Scott et al., 2016)</w:t>
            </w:r>
          </w:p>
        </w:tc>
        <w:tc>
          <w:tcPr>
            <w:tcW w:w="676" w:type="pct"/>
            <w:tcBorders>
              <w:top w:val="nil"/>
              <w:left w:val="nil"/>
              <w:bottom w:val="single" w:sz="4" w:space="0" w:color="auto"/>
              <w:right w:val="single" w:sz="4" w:space="0" w:color="auto"/>
            </w:tcBorders>
            <w:shd w:val="clear" w:color="auto" w:fill="auto"/>
            <w:vAlign w:val="center"/>
            <w:hideMark/>
          </w:tcPr>
          <w:p w14:paraId="10BFDB82" w14:textId="77777777" w:rsidR="00B52D4A" w:rsidRPr="00A55185" w:rsidRDefault="00B52D4A" w:rsidP="00143E24">
            <w:pPr>
              <w:spacing w:line="240" w:lineRule="auto"/>
              <w:jc w:val="center"/>
              <w:rPr>
                <w:rFonts w:eastAsia="Times New Roman"/>
                <w:color w:val="000000"/>
                <w:sz w:val="16"/>
                <w:szCs w:val="16"/>
              </w:rPr>
            </w:pPr>
            <w:r w:rsidRPr="00A55185">
              <w:rPr>
                <w:rFonts w:eastAsia="Times New Roman"/>
                <w:color w:val="000000"/>
                <w:sz w:val="16"/>
                <w:szCs w:val="16"/>
              </w:rPr>
              <w:t>Uninfected KC cells may proliferate (</w:t>
            </w:r>
            <w:r w:rsidRPr="00A55185">
              <w:rPr>
                <w:rFonts w:eastAsia="Times New Roman"/>
                <w:b/>
                <w:bCs/>
                <w:color w:val="000000"/>
                <w:sz w:val="16"/>
                <w:szCs w:val="16"/>
              </w:rPr>
              <w:t>Figure 4.15</w:t>
            </w:r>
            <w:r w:rsidRPr="00A55185">
              <w:rPr>
                <w:rFonts w:eastAsia="Times New Roman"/>
                <w:color w:val="000000"/>
                <w:sz w:val="16"/>
                <w:szCs w:val="16"/>
              </w:rPr>
              <w:t>)</w:t>
            </w:r>
          </w:p>
        </w:tc>
        <w:tc>
          <w:tcPr>
            <w:tcW w:w="676" w:type="pct"/>
            <w:tcBorders>
              <w:top w:val="nil"/>
              <w:left w:val="nil"/>
              <w:bottom w:val="single" w:sz="4" w:space="0" w:color="auto"/>
              <w:right w:val="single" w:sz="4" w:space="0" w:color="auto"/>
            </w:tcBorders>
            <w:shd w:val="clear" w:color="auto" w:fill="auto"/>
            <w:vAlign w:val="center"/>
            <w:hideMark/>
          </w:tcPr>
          <w:p w14:paraId="2B54CB91" w14:textId="77777777" w:rsidR="00B52D4A" w:rsidRPr="00A55185" w:rsidRDefault="00B52D4A" w:rsidP="00143E24">
            <w:pPr>
              <w:spacing w:line="240" w:lineRule="auto"/>
              <w:jc w:val="center"/>
              <w:rPr>
                <w:rFonts w:eastAsia="Times New Roman"/>
                <w:color w:val="000000"/>
                <w:sz w:val="16"/>
                <w:szCs w:val="16"/>
              </w:rPr>
            </w:pPr>
            <w:r w:rsidRPr="00A55185">
              <w:rPr>
                <w:rFonts w:eastAsia="Times New Roman"/>
                <w:color w:val="000000"/>
                <w:sz w:val="16"/>
                <w:szCs w:val="16"/>
              </w:rPr>
              <w:t>Infection of KCs suppresses their proliferative ability where naïve KCs may proliferate in an unactivated state</w:t>
            </w:r>
          </w:p>
        </w:tc>
        <w:tc>
          <w:tcPr>
            <w:tcW w:w="987" w:type="pct"/>
            <w:tcBorders>
              <w:top w:val="nil"/>
              <w:left w:val="nil"/>
              <w:bottom w:val="single" w:sz="4" w:space="0" w:color="auto"/>
              <w:right w:val="single" w:sz="4" w:space="0" w:color="auto"/>
            </w:tcBorders>
            <w:shd w:val="clear" w:color="auto" w:fill="auto"/>
            <w:vAlign w:val="center"/>
            <w:hideMark/>
          </w:tcPr>
          <w:p w14:paraId="6F123C22" w14:textId="77777777" w:rsidR="00B52D4A" w:rsidRPr="00A55185" w:rsidRDefault="00B52D4A" w:rsidP="00143E24">
            <w:pPr>
              <w:spacing w:line="240" w:lineRule="auto"/>
              <w:jc w:val="center"/>
              <w:rPr>
                <w:rFonts w:eastAsia="Times New Roman"/>
                <w:color w:val="000000"/>
                <w:sz w:val="16"/>
                <w:szCs w:val="16"/>
              </w:rPr>
            </w:pPr>
            <w:r w:rsidRPr="00A55185">
              <w:rPr>
                <w:rFonts w:eastAsia="Times New Roman"/>
                <w:color w:val="000000"/>
                <w:sz w:val="16"/>
                <w:szCs w:val="16"/>
              </w:rPr>
              <w:t>Kupffer cells and myeloid cells are grouped together to form a single population referred to as 'Myeloid cells' and the proliferative ability of Kupffer cells in the liver is abstracted such that the entire population can proliferate dependent on a parameter which would reflect the rate of proliferation for the total population (likely lower that that of KCs alone) (</w:t>
            </w:r>
            <w:r w:rsidRPr="00A55185">
              <w:rPr>
                <w:rFonts w:eastAsia="Times New Roman"/>
                <w:b/>
                <w:bCs/>
                <w:color w:val="000000"/>
                <w:sz w:val="16"/>
                <w:szCs w:val="16"/>
              </w:rPr>
              <w:t>Figure 4.19</w:t>
            </w:r>
            <w:r w:rsidRPr="00A55185">
              <w:rPr>
                <w:rFonts w:eastAsia="Times New Roman"/>
                <w:color w:val="000000"/>
                <w:sz w:val="16"/>
                <w:szCs w:val="16"/>
              </w:rPr>
              <w:t>)</w:t>
            </w:r>
          </w:p>
        </w:tc>
        <w:tc>
          <w:tcPr>
            <w:tcW w:w="854" w:type="pct"/>
            <w:tcBorders>
              <w:top w:val="nil"/>
              <w:left w:val="nil"/>
              <w:bottom w:val="single" w:sz="4" w:space="0" w:color="auto"/>
              <w:right w:val="single" w:sz="4" w:space="0" w:color="auto"/>
            </w:tcBorders>
            <w:shd w:val="clear" w:color="auto" w:fill="auto"/>
            <w:noWrap/>
            <w:vAlign w:val="center"/>
            <w:hideMark/>
          </w:tcPr>
          <w:p w14:paraId="2999E8FA" w14:textId="77777777" w:rsidR="00B52D4A" w:rsidRPr="00A55185" w:rsidRDefault="00B52D4A" w:rsidP="00143E24">
            <w:pPr>
              <w:spacing w:line="240" w:lineRule="auto"/>
              <w:jc w:val="center"/>
              <w:rPr>
                <w:rFonts w:eastAsia="Times New Roman"/>
                <w:color w:val="000000"/>
                <w:sz w:val="16"/>
                <w:szCs w:val="16"/>
              </w:rPr>
            </w:pPr>
          </w:p>
        </w:tc>
        <w:tc>
          <w:tcPr>
            <w:tcW w:w="1121" w:type="pct"/>
            <w:tcBorders>
              <w:top w:val="nil"/>
              <w:left w:val="nil"/>
              <w:bottom w:val="single" w:sz="4" w:space="0" w:color="auto"/>
              <w:right w:val="single" w:sz="4" w:space="0" w:color="auto"/>
            </w:tcBorders>
            <w:shd w:val="clear" w:color="auto" w:fill="auto"/>
            <w:noWrap/>
            <w:vAlign w:val="center"/>
            <w:hideMark/>
          </w:tcPr>
          <w:p w14:paraId="108B85C8" w14:textId="77777777" w:rsidR="00B52D4A" w:rsidRPr="00A55185" w:rsidRDefault="00B52D4A" w:rsidP="00143E24">
            <w:pPr>
              <w:spacing w:line="240" w:lineRule="auto"/>
              <w:jc w:val="center"/>
              <w:rPr>
                <w:rFonts w:eastAsia="Times New Roman"/>
                <w:color w:val="000000"/>
                <w:sz w:val="16"/>
                <w:szCs w:val="16"/>
              </w:rPr>
            </w:pPr>
          </w:p>
        </w:tc>
      </w:tr>
    </w:tbl>
    <w:p w14:paraId="204AEABB" w14:textId="7B5F11F4" w:rsidR="00933E60" w:rsidRDefault="00933E60" w:rsidP="00225279"/>
    <w:p w14:paraId="7236F167" w14:textId="2FC47B99" w:rsidR="00143E24" w:rsidRDefault="00933E60" w:rsidP="00B23FF8">
      <w:pPr>
        <w:spacing w:line="360" w:lineRule="auto"/>
      </w:pPr>
      <w:bookmarkStart w:id="736" w:name="_Ref536814011"/>
      <w:bookmarkStart w:id="737" w:name="_Toc536814208"/>
      <w:r w:rsidRPr="00A55185">
        <w:rPr>
          <w:b/>
          <w:sz w:val="20"/>
          <w:szCs w:val="20"/>
        </w:rPr>
        <w:t xml:space="preserve">Table </w:t>
      </w:r>
      <w:r w:rsidR="00FF5FCD">
        <w:rPr>
          <w:b/>
          <w:sz w:val="20"/>
          <w:szCs w:val="20"/>
        </w:rPr>
        <w:fldChar w:fldCharType="begin"/>
      </w:r>
      <w:r w:rsidR="00FF5FCD">
        <w:rPr>
          <w:b/>
          <w:sz w:val="20"/>
          <w:szCs w:val="20"/>
        </w:rPr>
        <w:instrText xml:space="preserve"> STYLEREF 1 \s </w:instrText>
      </w:r>
      <w:r w:rsidR="00FF5FCD">
        <w:rPr>
          <w:b/>
          <w:sz w:val="20"/>
          <w:szCs w:val="20"/>
        </w:rPr>
        <w:fldChar w:fldCharType="separate"/>
      </w:r>
      <w:r w:rsidR="00FF5FCD">
        <w:rPr>
          <w:b/>
          <w:noProof/>
          <w:sz w:val="20"/>
          <w:szCs w:val="20"/>
        </w:rPr>
        <w:t>7</w:t>
      </w:r>
      <w:r w:rsidR="00FF5FCD">
        <w:rPr>
          <w:b/>
          <w:sz w:val="20"/>
          <w:szCs w:val="20"/>
        </w:rPr>
        <w:fldChar w:fldCharType="end"/>
      </w:r>
      <w:r w:rsidR="00FF5FCD">
        <w:rPr>
          <w:b/>
          <w:sz w:val="20"/>
          <w:szCs w:val="20"/>
        </w:rPr>
        <w:t>.</w:t>
      </w:r>
      <w:r w:rsidR="00FF5FCD">
        <w:rPr>
          <w:b/>
          <w:sz w:val="20"/>
          <w:szCs w:val="20"/>
        </w:rPr>
        <w:fldChar w:fldCharType="begin"/>
      </w:r>
      <w:r w:rsidR="00FF5FCD">
        <w:rPr>
          <w:b/>
          <w:sz w:val="20"/>
          <w:szCs w:val="20"/>
        </w:rPr>
        <w:instrText xml:space="preserve"> SEQ Table \* ARABIC \s 1 </w:instrText>
      </w:r>
      <w:r w:rsidR="00FF5FCD">
        <w:rPr>
          <w:b/>
          <w:sz w:val="20"/>
          <w:szCs w:val="20"/>
        </w:rPr>
        <w:fldChar w:fldCharType="separate"/>
      </w:r>
      <w:r w:rsidR="00FF5FCD">
        <w:rPr>
          <w:b/>
          <w:noProof/>
          <w:sz w:val="20"/>
          <w:szCs w:val="20"/>
        </w:rPr>
        <w:t>2</w:t>
      </w:r>
      <w:r w:rsidR="00FF5FCD">
        <w:rPr>
          <w:b/>
          <w:sz w:val="20"/>
          <w:szCs w:val="20"/>
        </w:rPr>
        <w:fldChar w:fldCharType="end"/>
      </w:r>
      <w:bookmarkEnd w:id="736"/>
      <w:r w:rsidRPr="00A55185">
        <w:rPr>
          <w:b/>
          <w:sz w:val="20"/>
          <w:szCs w:val="20"/>
        </w:rPr>
        <w:t xml:space="preserve"> – Domain, Platform and Simulation models implemented during the CoSMoS process for the baseline immune response mathematical model. </w:t>
      </w:r>
      <w:r>
        <w:rPr>
          <w:sz w:val="20"/>
          <w:szCs w:val="20"/>
        </w:rPr>
        <w:t xml:space="preserve">The CoSMoS process was utilised to develop the mathematical models of the immune response to infection with </w:t>
      </w:r>
      <w:r>
        <w:rPr>
          <w:i/>
          <w:sz w:val="20"/>
          <w:szCs w:val="20"/>
        </w:rPr>
        <w:t xml:space="preserve">L. donovani </w:t>
      </w:r>
      <w:r>
        <w:rPr>
          <w:sz w:val="20"/>
          <w:szCs w:val="20"/>
        </w:rPr>
        <w:t xml:space="preserve">shown in </w:t>
      </w:r>
      <w:r>
        <w:rPr>
          <w:sz w:val="20"/>
          <w:szCs w:val="20"/>
        </w:rPr>
        <w:fldChar w:fldCharType="begin"/>
      </w:r>
      <w:r>
        <w:rPr>
          <w:sz w:val="20"/>
          <w:szCs w:val="20"/>
        </w:rPr>
        <w:instrText xml:space="preserve"> REF _Ref536814004 \h </w:instrText>
      </w:r>
      <w:r w:rsidR="00FF5FCD">
        <w:rPr>
          <w:sz w:val="20"/>
          <w:szCs w:val="20"/>
        </w:rPr>
        <w:instrText xml:space="preserve"> \* MERGEFORMAT </w:instrText>
      </w:r>
      <w:r>
        <w:rPr>
          <w:sz w:val="20"/>
          <w:szCs w:val="20"/>
        </w:rPr>
      </w:r>
      <w:r>
        <w:rPr>
          <w:sz w:val="20"/>
          <w:szCs w:val="20"/>
        </w:rPr>
        <w:fldChar w:fldCharType="separate"/>
      </w:r>
      <w:r w:rsidRPr="00450D8E">
        <w:rPr>
          <w:b/>
          <w:sz w:val="20"/>
          <w:szCs w:val="20"/>
        </w:rPr>
        <w:t xml:space="preserve">Figure </w:t>
      </w:r>
      <w:r w:rsidRPr="00450D8E">
        <w:rPr>
          <w:b/>
          <w:noProof/>
          <w:sz w:val="20"/>
          <w:szCs w:val="20"/>
        </w:rPr>
        <w:t>4</w:t>
      </w:r>
      <w:r w:rsidRPr="00450D8E">
        <w:rPr>
          <w:b/>
          <w:sz w:val="20"/>
          <w:szCs w:val="20"/>
        </w:rPr>
        <w:t>.</w:t>
      </w:r>
      <w:r w:rsidRPr="00450D8E">
        <w:rPr>
          <w:b/>
          <w:noProof/>
          <w:sz w:val="20"/>
          <w:szCs w:val="20"/>
        </w:rPr>
        <w:t>23</w:t>
      </w:r>
      <w:r>
        <w:rPr>
          <w:sz w:val="20"/>
          <w:szCs w:val="20"/>
        </w:rPr>
        <w:fldChar w:fldCharType="end"/>
      </w:r>
      <w:r>
        <w:rPr>
          <w:sz w:val="20"/>
          <w:szCs w:val="20"/>
        </w:rPr>
        <w:t xml:space="preserve"> and </w:t>
      </w:r>
      <w:r>
        <w:rPr>
          <w:sz w:val="20"/>
          <w:szCs w:val="20"/>
        </w:rPr>
        <w:fldChar w:fldCharType="begin"/>
      </w:r>
      <w:r>
        <w:rPr>
          <w:sz w:val="20"/>
          <w:szCs w:val="20"/>
        </w:rPr>
        <w:instrText xml:space="preserve"> REF _Ref536814009 \h </w:instrText>
      </w:r>
      <w:r w:rsidR="00FF5FCD">
        <w:rPr>
          <w:sz w:val="20"/>
          <w:szCs w:val="20"/>
        </w:rPr>
        <w:instrText xml:space="preserve"> \* MERGEFORMAT </w:instrText>
      </w:r>
      <w:r>
        <w:rPr>
          <w:sz w:val="20"/>
          <w:szCs w:val="20"/>
        </w:rPr>
      </w:r>
      <w:r>
        <w:rPr>
          <w:sz w:val="20"/>
          <w:szCs w:val="20"/>
        </w:rPr>
        <w:fldChar w:fldCharType="separate"/>
      </w:r>
      <w:r w:rsidRPr="00FE3B84">
        <w:rPr>
          <w:b/>
          <w:sz w:val="20"/>
          <w:szCs w:val="20"/>
        </w:rPr>
        <w:t xml:space="preserve">Figure </w:t>
      </w:r>
      <w:r>
        <w:rPr>
          <w:b/>
          <w:noProof/>
          <w:sz w:val="20"/>
          <w:szCs w:val="20"/>
        </w:rPr>
        <w:t>5</w:t>
      </w:r>
      <w:r>
        <w:rPr>
          <w:b/>
          <w:sz w:val="20"/>
          <w:szCs w:val="20"/>
        </w:rPr>
        <w:t>.</w:t>
      </w:r>
      <w:r>
        <w:rPr>
          <w:b/>
          <w:noProof/>
          <w:sz w:val="20"/>
          <w:szCs w:val="20"/>
        </w:rPr>
        <w:t>2</w:t>
      </w:r>
      <w:r>
        <w:rPr>
          <w:sz w:val="20"/>
          <w:szCs w:val="20"/>
        </w:rPr>
        <w:fldChar w:fldCharType="end"/>
      </w:r>
      <w:r>
        <w:rPr>
          <w:sz w:val="20"/>
          <w:szCs w:val="20"/>
        </w:rPr>
        <w:t xml:space="preserve">. The statements describing biological phenomena alongside </w:t>
      </w:r>
      <w:r w:rsidR="00FF5FCD">
        <w:rPr>
          <w:sz w:val="20"/>
          <w:szCs w:val="20"/>
        </w:rPr>
        <w:t>their</w:t>
      </w:r>
      <w:r>
        <w:rPr>
          <w:sz w:val="20"/>
          <w:szCs w:val="20"/>
        </w:rPr>
        <w:t xml:space="preserve"> evidence are shown, followed by the domain, platform and simulation implementations</w:t>
      </w:r>
      <w:r w:rsidR="00FF5FCD">
        <w:rPr>
          <w:sz w:val="20"/>
          <w:szCs w:val="20"/>
        </w:rPr>
        <w:t>.</w:t>
      </w:r>
      <w:bookmarkEnd w:id="737"/>
    </w:p>
    <w:p w14:paraId="39848B9D" w14:textId="609DDEDB" w:rsidR="00143E24" w:rsidRDefault="00143E24" w:rsidP="00143E24"/>
    <w:p w14:paraId="237B5931" w14:textId="4E197A47" w:rsidR="00143E24" w:rsidRDefault="00143E24" w:rsidP="00143E24"/>
    <w:p w14:paraId="4274C897" w14:textId="77777777" w:rsidR="00143E24" w:rsidRDefault="00143E24" w:rsidP="00143E24"/>
    <w:p w14:paraId="4FE15AFE" w14:textId="77777777" w:rsidR="00143E24" w:rsidRDefault="00143E24" w:rsidP="00B23FF8"/>
    <w:p w14:paraId="3D29B6AE" w14:textId="503DFBB9" w:rsidR="00B72500" w:rsidRDefault="000D4AB9" w:rsidP="00143E24">
      <w:pPr>
        <w:pStyle w:val="Heading2"/>
      </w:pPr>
      <w:bookmarkStart w:id="738" w:name="_Toc3716128"/>
      <w:r>
        <w:t xml:space="preserve">Supplementary Information for Calibration using the </w:t>
      </w:r>
      <w:r>
        <w:rPr>
          <w:i/>
        </w:rPr>
        <w:t>ABC_sequential</w:t>
      </w:r>
      <w:r>
        <w:t xml:space="preserve"> function</w:t>
      </w:r>
      <w:bookmarkEnd w:id="738"/>
    </w:p>
    <w:p w14:paraId="1323AA5F" w14:textId="77777777" w:rsidR="003B1744" w:rsidRPr="003B1744" w:rsidRDefault="003B1744" w:rsidP="003B1744"/>
    <w:tbl>
      <w:tblPr>
        <w:tblW w:w="5158" w:type="pct"/>
        <w:tblLook w:val="04A0" w:firstRow="1" w:lastRow="0" w:firstColumn="1" w:lastColumn="0" w:noHBand="0" w:noVBand="1"/>
      </w:tblPr>
      <w:tblGrid>
        <w:gridCol w:w="1434"/>
        <w:gridCol w:w="1691"/>
        <w:gridCol w:w="1265"/>
        <w:gridCol w:w="1217"/>
        <w:gridCol w:w="2962"/>
        <w:gridCol w:w="1154"/>
        <w:gridCol w:w="1454"/>
        <w:gridCol w:w="769"/>
        <w:gridCol w:w="769"/>
        <w:gridCol w:w="769"/>
        <w:gridCol w:w="769"/>
        <w:gridCol w:w="769"/>
      </w:tblGrid>
      <w:tr w:rsidR="000D4AB9" w:rsidRPr="000D4AB9" w14:paraId="66726BDF" w14:textId="77777777" w:rsidTr="000D4AB9">
        <w:trPr>
          <w:trHeight w:val="320"/>
        </w:trPr>
        <w:tc>
          <w:tcPr>
            <w:tcW w:w="477"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4E24DE1" w14:textId="77777777" w:rsidR="000D4AB9" w:rsidRPr="000D4AB9" w:rsidRDefault="000D4AB9" w:rsidP="000D4AB9">
            <w:pPr>
              <w:spacing w:line="240" w:lineRule="auto"/>
              <w:jc w:val="center"/>
              <w:rPr>
                <w:rFonts w:eastAsia="Times New Roman"/>
                <w:color w:val="000000"/>
                <w:sz w:val="20"/>
                <w:szCs w:val="20"/>
              </w:rPr>
            </w:pPr>
            <w:r w:rsidRPr="000D4AB9">
              <w:rPr>
                <w:rFonts w:eastAsia="Times New Roman"/>
                <w:color w:val="000000"/>
                <w:sz w:val="20"/>
                <w:szCs w:val="20"/>
              </w:rPr>
              <w:t>Model</w:t>
            </w:r>
          </w:p>
        </w:tc>
        <w:tc>
          <w:tcPr>
            <w:tcW w:w="563"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28D2AB19" w14:textId="77777777" w:rsidR="000D4AB9" w:rsidRPr="000D4AB9" w:rsidRDefault="000D4AB9" w:rsidP="000D4AB9">
            <w:pPr>
              <w:spacing w:line="240" w:lineRule="auto"/>
              <w:jc w:val="center"/>
              <w:rPr>
                <w:rFonts w:eastAsia="Times New Roman"/>
                <w:color w:val="000000"/>
                <w:sz w:val="20"/>
                <w:szCs w:val="20"/>
              </w:rPr>
            </w:pPr>
            <w:r w:rsidRPr="000D4AB9">
              <w:rPr>
                <w:rFonts w:eastAsia="Times New Roman"/>
                <w:color w:val="000000"/>
                <w:sz w:val="20"/>
                <w:szCs w:val="20"/>
              </w:rPr>
              <w:t>Population Calibrated For</w:t>
            </w:r>
          </w:p>
        </w:tc>
        <w:tc>
          <w:tcPr>
            <w:tcW w:w="421"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34FAA963" w14:textId="035663C0" w:rsidR="000D4AB9" w:rsidRPr="000D4AB9" w:rsidRDefault="000D4AB9" w:rsidP="000D4AB9">
            <w:pPr>
              <w:spacing w:line="240" w:lineRule="auto"/>
              <w:jc w:val="center"/>
              <w:rPr>
                <w:rFonts w:eastAsia="Times New Roman"/>
                <w:color w:val="000000"/>
                <w:sz w:val="20"/>
                <w:szCs w:val="20"/>
              </w:rPr>
            </w:pPr>
            <w:r w:rsidRPr="000D4AB9">
              <w:rPr>
                <w:rFonts w:eastAsia="Times New Roman"/>
                <w:color w:val="000000"/>
                <w:sz w:val="20"/>
                <w:szCs w:val="20"/>
              </w:rPr>
              <w:t>Method Employed</w:t>
            </w:r>
          </w:p>
        </w:tc>
        <w:tc>
          <w:tcPr>
            <w:tcW w:w="2259" w:type="pct"/>
            <w:gridSpan w:val="4"/>
            <w:tcBorders>
              <w:top w:val="single" w:sz="4" w:space="0" w:color="auto"/>
              <w:left w:val="nil"/>
              <w:bottom w:val="single" w:sz="4" w:space="0" w:color="auto"/>
              <w:right w:val="single" w:sz="4" w:space="0" w:color="auto"/>
            </w:tcBorders>
            <w:shd w:val="clear" w:color="auto" w:fill="auto"/>
            <w:noWrap/>
            <w:vAlign w:val="center"/>
            <w:hideMark/>
          </w:tcPr>
          <w:p w14:paraId="0F410380" w14:textId="77777777" w:rsidR="000D4AB9" w:rsidRPr="000D4AB9" w:rsidRDefault="000D4AB9" w:rsidP="000D4AB9">
            <w:pPr>
              <w:spacing w:line="240" w:lineRule="auto"/>
              <w:jc w:val="center"/>
              <w:rPr>
                <w:rFonts w:eastAsia="Times New Roman"/>
                <w:color w:val="000000"/>
                <w:sz w:val="20"/>
                <w:szCs w:val="20"/>
              </w:rPr>
            </w:pPr>
            <w:r w:rsidRPr="000D4AB9">
              <w:rPr>
                <w:rFonts w:eastAsia="Times New Roman"/>
                <w:color w:val="000000"/>
                <w:sz w:val="20"/>
                <w:szCs w:val="20"/>
              </w:rPr>
              <w:t>Prior Distributions</w:t>
            </w:r>
          </w:p>
        </w:tc>
        <w:tc>
          <w:tcPr>
            <w:tcW w:w="1281" w:type="pct"/>
            <w:gridSpan w:val="5"/>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C2FF262" w14:textId="27EFDC65" w:rsidR="000D4AB9" w:rsidRPr="000D4AB9" w:rsidRDefault="000D4AB9" w:rsidP="000D4AB9">
            <w:pPr>
              <w:spacing w:line="240" w:lineRule="auto"/>
              <w:jc w:val="center"/>
              <w:rPr>
                <w:rFonts w:eastAsia="Times New Roman"/>
                <w:color w:val="000000"/>
                <w:sz w:val="20"/>
                <w:szCs w:val="20"/>
              </w:rPr>
            </w:pPr>
            <w:r w:rsidRPr="000D4AB9">
              <w:rPr>
                <w:rFonts w:eastAsia="Times New Roman"/>
                <w:color w:val="000000"/>
                <w:sz w:val="20"/>
                <w:szCs w:val="20"/>
              </w:rPr>
              <w:t>Tolerance Values</w:t>
            </w:r>
          </w:p>
        </w:tc>
      </w:tr>
      <w:tr w:rsidR="000D4AB9" w:rsidRPr="000D4AB9" w14:paraId="39BB6F0A" w14:textId="77777777" w:rsidTr="000D4AB9">
        <w:trPr>
          <w:trHeight w:val="320"/>
        </w:trPr>
        <w:tc>
          <w:tcPr>
            <w:tcW w:w="477" w:type="pct"/>
            <w:vMerge/>
            <w:tcBorders>
              <w:top w:val="single" w:sz="4" w:space="0" w:color="auto"/>
              <w:left w:val="single" w:sz="4" w:space="0" w:color="auto"/>
              <w:bottom w:val="single" w:sz="4" w:space="0" w:color="auto"/>
              <w:right w:val="single" w:sz="4" w:space="0" w:color="auto"/>
            </w:tcBorders>
            <w:vAlign w:val="center"/>
            <w:hideMark/>
          </w:tcPr>
          <w:p w14:paraId="4EA134C9" w14:textId="77777777" w:rsidR="000D4AB9" w:rsidRPr="000D4AB9" w:rsidRDefault="000D4AB9" w:rsidP="000D4AB9">
            <w:pPr>
              <w:spacing w:line="240" w:lineRule="auto"/>
              <w:rPr>
                <w:rFonts w:eastAsia="Times New Roman"/>
                <w:color w:val="000000"/>
                <w:sz w:val="20"/>
                <w:szCs w:val="20"/>
              </w:rPr>
            </w:pPr>
          </w:p>
        </w:tc>
        <w:tc>
          <w:tcPr>
            <w:tcW w:w="563" w:type="pct"/>
            <w:vMerge/>
            <w:tcBorders>
              <w:top w:val="single" w:sz="4" w:space="0" w:color="auto"/>
              <w:left w:val="single" w:sz="4" w:space="0" w:color="auto"/>
              <w:bottom w:val="single" w:sz="4" w:space="0" w:color="auto"/>
              <w:right w:val="single" w:sz="4" w:space="0" w:color="auto"/>
            </w:tcBorders>
            <w:vAlign w:val="center"/>
            <w:hideMark/>
          </w:tcPr>
          <w:p w14:paraId="1972D6A4" w14:textId="77777777" w:rsidR="000D4AB9" w:rsidRPr="000D4AB9" w:rsidRDefault="000D4AB9" w:rsidP="000D4AB9">
            <w:pPr>
              <w:spacing w:line="240" w:lineRule="auto"/>
              <w:rPr>
                <w:rFonts w:eastAsia="Times New Roman"/>
                <w:color w:val="000000"/>
                <w:sz w:val="20"/>
                <w:szCs w:val="20"/>
              </w:rPr>
            </w:pPr>
          </w:p>
        </w:tc>
        <w:tc>
          <w:tcPr>
            <w:tcW w:w="421" w:type="pct"/>
            <w:vMerge/>
            <w:tcBorders>
              <w:top w:val="single" w:sz="4" w:space="0" w:color="auto"/>
              <w:left w:val="single" w:sz="4" w:space="0" w:color="auto"/>
              <w:bottom w:val="single" w:sz="4" w:space="0" w:color="auto"/>
              <w:right w:val="single" w:sz="4" w:space="0" w:color="auto"/>
            </w:tcBorders>
            <w:vAlign w:val="center"/>
            <w:hideMark/>
          </w:tcPr>
          <w:p w14:paraId="65A12053" w14:textId="77777777" w:rsidR="000D4AB9" w:rsidRPr="000D4AB9" w:rsidRDefault="000D4AB9" w:rsidP="000D4AB9">
            <w:pPr>
              <w:spacing w:line="240" w:lineRule="auto"/>
              <w:rPr>
                <w:rFonts w:eastAsia="Times New Roman"/>
                <w:color w:val="000000"/>
                <w:sz w:val="20"/>
                <w:szCs w:val="20"/>
              </w:rPr>
            </w:pPr>
          </w:p>
        </w:tc>
        <w:tc>
          <w:tcPr>
            <w:tcW w:w="405" w:type="pct"/>
            <w:tcBorders>
              <w:top w:val="nil"/>
              <w:left w:val="nil"/>
              <w:bottom w:val="single" w:sz="4" w:space="0" w:color="auto"/>
              <w:right w:val="single" w:sz="4" w:space="0" w:color="auto"/>
            </w:tcBorders>
            <w:shd w:val="clear" w:color="auto" w:fill="auto"/>
            <w:noWrap/>
            <w:vAlign w:val="center"/>
            <w:hideMark/>
          </w:tcPr>
          <w:p w14:paraId="71620CAE" w14:textId="77777777" w:rsidR="000D4AB9" w:rsidRPr="000D4AB9" w:rsidRDefault="000D4AB9" w:rsidP="000D4AB9">
            <w:pPr>
              <w:spacing w:line="240" w:lineRule="auto"/>
              <w:jc w:val="center"/>
              <w:rPr>
                <w:rFonts w:eastAsia="Times New Roman"/>
                <w:color w:val="000000"/>
                <w:sz w:val="20"/>
                <w:szCs w:val="20"/>
              </w:rPr>
            </w:pPr>
            <w:r w:rsidRPr="000D4AB9">
              <w:rPr>
                <w:rFonts w:eastAsia="Times New Roman"/>
                <w:color w:val="000000"/>
                <w:sz w:val="20"/>
                <w:szCs w:val="20"/>
              </w:rPr>
              <w:t>Parameter</w:t>
            </w:r>
          </w:p>
        </w:tc>
        <w:tc>
          <w:tcPr>
            <w:tcW w:w="986" w:type="pct"/>
            <w:tcBorders>
              <w:top w:val="nil"/>
              <w:left w:val="nil"/>
              <w:bottom w:val="single" w:sz="4" w:space="0" w:color="auto"/>
              <w:right w:val="single" w:sz="4" w:space="0" w:color="auto"/>
            </w:tcBorders>
            <w:shd w:val="clear" w:color="auto" w:fill="auto"/>
            <w:noWrap/>
            <w:vAlign w:val="center"/>
            <w:hideMark/>
          </w:tcPr>
          <w:p w14:paraId="598D6B11" w14:textId="77777777" w:rsidR="000D4AB9" w:rsidRPr="000D4AB9" w:rsidRDefault="000D4AB9" w:rsidP="000D4AB9">
            <w:pPr>
              <w:spacing w:line="240" w:lineRule="auto"/>
              <w:jc w:val="center"/>
              <w:rPr>
                <w:rFonts w:eastAsia="Times New Roman"/>
                <w:color w:val="000000"/>
                <w:sz w:val="20"/>
                <w:szCs w:val="20"/>
              </w:rPr>
            </w:pPr>
            <w:r w:rsidRPr="000D4AB9">
              <w:rPr>
                <w:rFonts w:eastAsia="Times New Roman"/>
                <w:color w:val="000000"/>
                <w:sz w:val="20"/>
                <w:szCs w:val="20"/>
              </w:rPr>
              <w:t>Parameter Description</w:t>
            </w:r>
          </w:p>
        </w:tc>
        <w:tc>
          <w:tcPr>
            <w:tcW w:w="384" w:type="pct"/>
            <w:tcBorders>
              <w:top w:val="nil"/>
              <w:left w:val="nil"/>
              <w:bottom w:val="single" w:sz="4" w:space="0" w:color="auto"/>
              <w:right w:val="single" w:sz="4" w:space="0" w:color="auto"/>
            </w:tcBorders>
            <w:shd w:val="clear" w:color="auto" w:fill="auto"/>
            <w:noWrap/>
            <w:vAlign w:val="center"/>
            <w:hideMark/>
          </w:tcPr>
          <w:p w14:paraId="21514EC2" w14:textId="77777777" w:rsidR="000D4AB9" w:rsidRPr="000D4AB9" w:rsidRDefault="000D4AB9" w:rsidP="000D4AB9">
            <w:pPr>
              <w:spacing w:line="240" w:lineRule="auto"/>
              <w:jc w:val="center"/>
              <w:rPr>
                <w:rFonts w:eastAsia="Times New Roman"/>
                <w:color w:val="000000"/>
                <w:sz w:val="20"/>
                <w:szCs w:val="20"/>
              </w:rPr>
            </w:pPr>
            <w:r w:rsidRPr="000D4AB9">
              <w:rPr>
                <w:rFonts w:eastAsia="Times New Roman"/>
                <w:color w:val="000000"/>
                <w:sz w:val="20"/>
                <w:szCs w:val="20"/>
              </w:rPr>
              <w:t>Range</w:t>
            </w:r>
          </w:p>
        </w:tc>
        <w:tc>
          <w:tcPr>
            <w:tcW w:w="484" w:type="pct"/>
            <w:tcBorders>
              <w:top w:val="nil"/>
              <w:left w:val="nil"/>
              <w:bottom w:val="single" w:sz="4" w:space="0" w:color="auto"/>
              <w:right w:val="single" w:sz="4" w:space="0" w:color="auto"/>
            </w:tcBorders>
            <w:shd w:val="clear" w:color="auto" w:fill="auto"/>
            <w:noWrap/>
            <w:vAlign w:val="center"/>
            <w:hideMark/>
          </w:tcPr>
          <w:p w14:paraId="47472B50" w14:textId="77777777" w:rsidR="000D4AB9" w:rsidRPr="000D4AB9" w:rsidRDefault="000D4AB9" w:rsidP="000D4AB9">
            <w:pPr>
              <w:spacing w:line="240" w:lineRule="auto"/>
              <w:jc w:val="center"/>
              <w:rPr>
                <w:rFonts w:eastAsia="Times New Roman"/>
                <w:color w:val="000000"/>
                <w:sz w:val="20"/>
                <w:szCs w:val="20"/>
              </w:rPr>
            </w:pPr>
            <w:r w:rsidRPr="000D4AB9">
              <w:rPr>
                <w:rFonts w:eastAsia="Times New Roman"/>
                <w:color w:val="000000"/>
                <w:sz w:val="20"/>
                <w:szCs w:val="20"/>
              </w:rPr>
              <w:t>Distribution</w:t>
            </w:r>
          </w:p>
        </w:tc>
        <w:tc>
          <w:tcPr>
            <w:tcW w:w="1281" w:type="pct"/>
            <w:gridSpan w:val="5"/>
            <w:vMerge/>
            <w:tcBorders>
              <w:top w:val="nil"/>
              <w:left w:val="nil"/>
              <w:bottom w:val="single" w:sz="4" w:space="0" w:color="auto"/>
              <w:right w:val="single" w:sz="4" w:space="0" w:color="auto"/>
            </w:tcBorders>
            <w:vAlign w:val="center"/>
            <w:hideMark/>
          </w:tcPr>
          <w:p w14:paraId="105576CE" w14:textId="77777777" w:rsidR="000D4AB9" w:rsidRPr="000D4AB9" w:rsidRDefault="000D4AB9" w:rsidP="000D4AB9">
            <w:pPr>
              <w:spacing w:line="240" w:lineRule="auto"/>
              <w:rPr>
                <w:rFonts w:eastAsia="Times New Roman"/>
                <w:color w:val="000000"/>
                <w:sz w:val="20"/>
                <w:szCs w:val="20"/>
              </w:rPr>
            </w:pPr>
          </w:p>
        </w:tc>
      </w:tr>
      <w:tr w:rsidR="000D4AB9" w:rsidRPr="000D4AB9" w14:paraId="7852B93A" w14:textId="77777777" w:rsidTr="000D4AB9">
        <w:trPr>
          <w:trHeight w:val="283"/>
        </w:trPr>
        <w:tc>
          <w:tcPr>
            <w:tcW w:w="477"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669FA0EE" w14:textId="77777777" w:rsidR="000D4AB9" w:rsidRPr="000D4AB9" w:rsidRDefault="000D4AB9" w:rsidP="000D4AB9">
            <w:pPr>
              <w:spacing w:line="240" w:lineRule="auto"/>
              <w:jc w:val="center"/>
              <w:rPr>
                <w:rFonts w:eastAsia="Times New Roman"/>
                <w:b/>
                <w:color w:val="000000"/>
                <w:sz w:val="20"/>
                <w:szCs w:val="20"/>
              </w:rPr>
            </w:pPr>
            <w:r w:rsidRPr="000D4AB9">
              <w:rPr>
                <w:rFonts w:eastAsia="Times New Roman"/>
                <w:b/>
                <w:color w:val="000000"/>
                <w:sz w:val="20"/>
                <w:szCs w:val="20"/>
              </w:rPr>
              <w:t>Figure 4.24</w:t>
            </w:r>
          </w:p>
        </w:tc>
        <w:tc>
          <w:tcPr>
            <w:tcW w:w="563"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14EDC38C" w14:textId="77777777" w:rsidR="000D4AB9" w:rsidRPr="000D4AB9" w:rsidRDefault="000D4AB9" w:rsidP="000D4AB9">
            <w:pPr>
              <w:spacing w:line="240" w:lineRule="auto"/>
              <w:jc w:val="center"/>
              <w:rPr>
                <w:rFonts w:eastAsia="Times New Roman"/>
                <w:color w:val="000000"/>
                <w:sz w:val="20"/>
                <w:szCs w:val="20"/>
              </w:rPr>
            </w:pPr>
            <w:r w:rsidRPr="000D4AB9">
              <w:rPr>
                <w:rFonts w:eastAsia="Times New Roman"/>
                <w:color w:val="000000"/>
                <w:sz w:val="20"/>
                <w:szCs w:val="20"/>
              </w:rPr>
              <w:t>T cells</w:t>
            </w:r>
          </w:p>
        </w:tc>
        <w:tc>
          <w:tcPr>
            <w:tcW w:w="421"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007399B8" w14:textId="77777777" w:rsidR="000D4AB9" w:rsidRPr="000D4AB9" w:rsidRDefault="000D4AB9" w:rsidP="000D4AB9">
            <w:pPr>
              <w:spacing w:line="240" w:lineRule="auto"/>
              <w:jc w:val="center"/>
              <w:rPr>
                <w:rFonts w:eastAsia="Times New Roman"/>
                <w:color w:val="000000"/>
                <w:sz w:val="20"/>
                <w:szCs w:val="20"/>
              </w:rPr>
            </w:pPr>
            <w:r w:rsidRPr="000D4AB9">
              <w:rPr>
                <w:rFonts w:eastAsia="Times New Roman"/>
                <w:color w:val="000000"/>
                <w:sz w:val="20"/>
                <w:szCs w:val="20"/>
              </w:rPr>
              <w:t>Beaumont</w:t>
            </w:r>
          </w:p>
        </w:tc>
        <w:tc>
          <w:tcPr>
            <w:tcW w:w="405" w:type="pct"/>
            <w:tcBorders>
              <w:top w:val="nil"/>
              <w:left w:val="nil"/>
              <w:bottom w:val="single" w:sz="4" w:space="0" w:color="auto"/>
              <w:right w:val="single" w:sz="4" w:space="0" w:color="auto"/>
            </w:tcBorders>
            <w:shd w:val="clear" w:color="auto" w:fill="auto"/>
            <w:noWrap/>
            <w:vAlign w:val="center"/>
            <w:hideMark/>
          </w:tcPr>
          <w:p w14:paraId="6DDCE2BC" w14:textId="77777777" w:rsidR="000D4AB9" w:rsidRPr="000D4AB9" w:rsidRDefault="000D4AB9" w:rsidP="000D4AB9">
            <w:pPr>
              <w:spacing w:line="240" w:lineRule="auto"/>
              <w:jc w:val="center"/>
              <w:rPr>
                <w:rFonts w:eastAsia="Times New Roman"/>
                <w:i/>
                <w:iCs/>
                <w:color w:val="000000"/>
                <w:sz w:val="20"/>
                <w:szCs w:val="20"/>
              </w:rPr>
            </w:pPr>
            <w:r w:rsidRPr="000D4AB9">
              <w:rPr>
                <w:rFonts w:eastAsia="Times New Roman"/>
                <w:i/>
                <w:iCs/>
                <w:color w:val="000000"/>
                <w:sz w:val="20"/>
                <w:szCs w:val="20"/>
              </w:rPr>
              <w:t>at</w:t>
            </w:r>
          </w:p>
        </w:tc>
        <w:tc>
          <w:tcPr>
            <w:tcW w:w="986" w:type="pct"/>
            <w:tcBorders>
              <w:top w:val="nil"/>
              <w:left w:val="nil"/>
              <w:bottom w:val="single" w:sz="4" w:space="0" w:color="auto"/>
              <w:right w:val="single" w:sz="4" w:space="0" w:color="auto"/>
            </w:tcBorders>
            <w:shd w:val="clear" w:color="auto" w:fill="auto"/>
            <w:vAlign w:val="center"/>
            <w:hideMark/>
          </w:tcPr>
          <w:p w14:paraId="4DF33DA9" w14:textId="77777777" w:rsidR="000D4AB9" w:rsidRPr="000D4AB9" w:rsidRDefault="000D4AB9" w:rsidP="000D4AB9">
            <w:pPr>
              <w:spacing w:line="240" w:lineRule="auto"/>
              <w:jc w:val="center"/>
              <w:rPr>
                <w:rFonts w:eastAsia="Times New Roman"/>
                <w:color w:val="000000"/>
                <w:sz w:val="20"/>
                <w:szCs w:val="20"/>
              </w:rPr>
            </w:pPr>
            <w:r w:rsidRPr="000D4AB9">
              <w:rPr>
                <w:rFonts w:eastAsia="Times New Roman"/>
                <w:color w:val="000000"/>
                <w:sz w:val="20"/>
                <w:szCs w:val="20"/>
              </w:rPr>
              <w:t>T cell growth rate</w:t>
            </w:r>
          </w:p>
        </w:tc>
        <w:tc>
          <w:tcPr>
            <w:tcW w:w="384" w:type="pct"/>
            <w:tcBorders>
              <w:top w:val="nil"/>
              <w:left w:val="nil"/>
              <w:bottom w:val="single" w:sz="4" w:space="0" w:color="auto"/>
              <w:right w:val="single" w:sz="4" w:space="0" w:color="auto"/>
            </w:tcBorders>
            <w:shd w:val="clear" w:color="auto" w:fill="auto"/>
            <w:noWrap/>
            <w:vAlign w:val="center"/>
            <w:hideMark/>
          </w:tcPr>
          <w:p w14:paraId="0791490D" w14:textId="77777777" w:rsidR="000D4AB9" w:rsidRPr="000D4AB9" w:rsidRDefault="000D4AB9" w:rsidP="000D4AB9">
            <w:pPr>
              <w:spacing w:line="240" w:lineRule="auto"/>
              <w:jc w:val="center"/>
              <w:rPr>
                <w:rFonts w:eastAsia="Times New Roman"/>
                <w:color w:val="000000"/>
                <w:sz w:val="20"/>
                <w:szCs w:val="20"/>
              </w:rPr>
            </w:pPr>
            <w:r w:rsidRPr="000D4AB9">
              <w:rPr>
                <w:rFonts w:eastAsia="Times New Roman"/>
                <w:color w:val="000000"/>
                <w:sz w:val="20"/>
                <w:szCs w:val="20"/>
              </w:rPr>
              <w:t>0 - 1</w:t>
            </w:r>
          </w:p>
        </w:tc>
        <w:tc>
          <w:tcPr>
            <w:tcW w:w="484" w:type="pct"/>
            <w:tcBorders>
              <w:top w:val="nil"/>
              <w:left w:val="nil"/>
              <w:bottom w:val="single" w:sz="4" w:space="0" w:color="auto"/>
              <w:right w:val="single" w:sz="4" w:space="0" w:color="auto"/>
            </w:tcBorders>
            <w:shd w:val="clear" w:color="auto" w:fill="auto"/>
            <w:noWrap/>
            <w:vAlign w:val="center"/>
            <w:hideMark/>
          </w:tcPr>
          <w:p w14:paraId="6BAC243A" w14:textId="77777777" w:rsidR="000D4AB9" w:rsidRPr="000D4AB9" w:rsidRDefault="000D4AB9" w:rsidP="000D4AB9">
            <w:pPr>
              <w:spacing w:line="240" w:lineRule="auto"/>
              <w:jc w:val="center"/>
              <w:rPr>
                <w:rFonts w:eastAsia="Times New Roman"/>
                <w:color w:val="000000"/>
                <w:sz w:val="20"/>
                <w:szCs w:val="20"/>
              </w:rPr>
            </w:pPr>
            <w:r w:rsidRPr="000D4AB9">
              <w:rPr>
                <w:rFonts w:eastAsia="Times New Roman"/>
                <w:color w:val="000000"/>
                <w:sz w:val="20"/>
                <w:szCs w:val="20"/>
              </w:rPr>
              <w:t>Uniform</w:t>
            </w:r>
          </w:p>
        </w:tc>
        <w:tc>
          <w:tcPr>
            <w:tcW w:w="256"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45F6C13A" w14:textId="77777777" w:rsidR="000D4AB9" w:rsidRPr="000D4AB9" w:rsidRDefault="000D4AB9" w:rsidP="000D4AB9">
            <w:pPr>
              <w:spacing w:line="240" w:lineRule="auto"/>
              <w:jc w:val="center"/>
              <w:rPr>
                <w:rFonts w:eastAsia="Times New Roman"/>
                <w:color w:val="000000"/>
                <w:sz w:val="20"/>
                <w:szCs w:val="20"/>
              </w:rPr>
            </w:pPr>
            <w:r w:rsidRPr="000D4AB9">
              <w:rPr>
                <w:rFonts w:eastAsia="Times New Roman"/>
                <w:color w:val="000000"/>
                <w:sz w:val="20"/>
                <w:szCs w:val="20"/>
              </w:rPr>
              <w:t>10</w:t>
            </w:r>
          </w:p>
        </w:tc>
        <w:tc>
          <w:tcPr>
            <w:tcW w:w="256"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265FA729" w14:textId="77777777" w:rsidR="000D4AB9" w:rsidRPr="000D4AB9" w:rsidRDefault="000D4AB9" w:rsidP="000D4AB9">
            <w:pPr>
              <w:spacing w:line="240" w:lineRule="auto"/>
              <w:jc w:val="center"/>
              <w:rPr>
                <w:rFonts w:eastAsia="Times New Roman"/>
                <w:color w:val="000000"/>
                <w:sz w:val="20"/>
                <w:szCs w:val="20"/>
              </w:rPr>
            </w:pPr>
            <w:r w:rsidRPr="000D4AB9">
              <w:rPr>
                <w:rFonts w:eastAsia="Times New Roman"/>
                <w:color w:val="000000"/>
                <w:sz w:val="20"/>
                <w:szCs w:val="20"/>
              </w:rPr>
              <w:t>2</w:t>
            </w:r>
          </w:p>
        </w:tc>
        <w:tc>
          <w:tcPr>
            <w:tcW w:w="256"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3E9CA89C" w14:textId="77777777" w:rsidR="000D4AB9" w:rsidRPr="000D4AB9" w:rsidRDefault="000D4AB9" w:rsidP="000D4AB9">
            <w:pPr>
              <w:spacing w:line="240" w:lineRule="auto"/>
              <w:jc w:val="center"/>
              <w:rPr>
                <w:rFonts w:eastAsia="Times New Roman"/>
                <w:color w:val="000000"/>
                <w:sz w:val="20"/>
                <w:szCs w:val="20"/>
              </w:rPr>
            </w:pPr>
            <w:r w:rsidRPr="000D4AB9">
              <w:rPr>
                <w:rFonts w:eastAsia="Times New Roman"/>
                <w:color w:val="000000"/>
                <w:sz w:val="20"/>
                <w:szCs w:val="20"/>
              </w:rPr>
              <w:t>1</w:t>
            </w:r>
          </w:p>
        </w:tc>
        <w:tc>
          <w:tcPr>
            <w:tcW w:w="256"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1AFD44E9" w14:textId="77777777" w:rsidR="000D4AB9" w:rsidRPr="000D4AB9" w:rsidRDefault="000D4AB9" w:rsidP="000D4AB9">
            <w:pPr>
              <w:spacing w:line="240" w:lineRule="auto"/>
              <w:jc w:val="center"/>
              <w:rPr>
                <w:rFonts w:eastAsia="Times New Roman"/>
                <w:color w:val="000000"/>
                <w:sz w:val="20"/>
                <w:szCs w:val="20"/>
              </w:rPr>
            </w:pPr>
            <w:r w:rsidRPr="000D4AB9">
              <w:rPr>
                <w:rFonts w:eastAsia="Times New Roman"/>
                <w:color w:val="000000"/>
                <w:sz w:val="20"/>
                <w:szCs w:val="20"/>
              </w:rPr>
              <w:t>0.5</w:t>
            </w:r>
          </w:p>
        </w:tc>
        <w:tc>
          <w:tcPr>
            <w:tcW w:w="256"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01496921" w14:textId="77777777" w:rsidR="000D4AB9" w:rsidRPr="000D4AB9" w:rsidRDefault="000D4AB9" w:rsidP="000D4AB9">
            <w:pPr>
              <w:spacing w:line="240" w:lineRule="auto"/>
              <w:jc w:val="center"/>
              <w:rPr>
                <w:rFonts w:eastAsia="Times New Roman"/>
                <w:color w:val="000000"/>
                <w:sz w:val="20"/>
                <w:szCs w:val="20"/>
              </w:rPr>
            </w:pPr>
            <w:r w:rsidRPr="000D4AB9">
              <w:rPr>
                <w:rFonts w:eastAsia="Times New Roman"/>
                <w:color w:val="000000"/>
                <w:sz w:val="20"/>
                <w:szCs w:val="20"/>
              </w:rPr>
              <w:t>1</w:t>
            </w:r>
          </w:p>
        </w:tc>
      </w:tr>
      <w:tr w:rsidR="000D4AB9" w:rsidRPr="000D4AB9" w14:paraId="78258D10" w14:textId="77777777" w:rsidTr="000D4AB9">
        <w:trPr>
          <w:trHeight w:val="283"/>
        </w:trPr>
        <w:tc>
          <w:tcPr>
            <w:tcW w:w="477" w:type="pct"/>
            <w:vMerge/>
            <w:tcBorders>
              <w:top w:val="nil"/>
              <w:left w:val="single" w:sz="4" w:space="0" w:color="auto"/>
              <w:bottom w:val="single" w:sz="4" w:space="0" w:color="auto"/>
              <w:right w:val="single" w:sz="4" w:space="0" w:color="auto"/>
            </w:tcBorders>
            <w:vAlign w:val="center"/>
            <w:hideMark/>
          </w:tcPr>
          <w:p w14:paraId="1898E6A7" w14:textId="77777777" w:rsidR="000D4AB9" w:rsidRPr="000D4AB9" w:rsidRDefault="000D4AB9" w:rsidP="000D4AB9">
            <w:pPr>
              <w:spacing w:line="240" w:lineRule="auto"/>
              <w:rPr>
                <w:rFonts w:eastAsia="Times New Roman"/>
                <w:b/>
                <w:color w:val="000000"/>
                <w:sz w:val="20"/>
                <w:szCs w:val="20"/>
              </w:rPr>
            </w:pPr>
          </w:p>
        </w:tc>
        <w:tc>
          <w:tcPr>
            <w:tcW w:w="563" w:type="pct"/>
            <w:vMerge/>
            <w:tcBorders>
              <w:top w:val="nil"/>
              <w:left w:val="single" w:sz="4" w:space="0" w:color="auto"/>
              <w:bottom w:val="single" w:sz="4" w:space="0" w:color="auto"/>
              <w:right w:val="single" w:sz="4" w:space="0" w:color="auto"/>
            </w:tcBorders>
            <w:vAlign w:val="center"/>
            <w:hideMark/>
          </w:tcPr>
          <w:p w14:paraId="3CD547FF" w14:textId="77777777" w:rsidR="000D4AB9" w:rsidRPr="000D4AB9" w:rsidRDefault="000D4AB9" w:rsidP="000D4AB9">
            <w:pPr>
              <w:spacing w:line="240" w:lineRule="auto"/>
              <w:rPr>
                <w:rFonts w:eastAsia="Times New Roman"/>
                <w:color w:val="000000"/>
                <w:sz w:val="20"/>
                <w:szCs w:val="20"/>
              </w:rPr>
            </w:pPr>
          </w:p>
        </w:tc>
        <w:tc>
          <w:tcPr>
            <w:tcW w:w="421" w:type="pct"/>
            <w:vMerge/>
            <w:tcBorders>
              <w:top w:val="nil"/>
              <w:left w:val="single" w:sz="4" w:space="0" w:color="auto"/>
              <w:bottom w:val="single" w:sz="4" w:space="0" w:color="auto"/>
              <w:right w:val="single" w:sz="4" w:space="0" w:color="auto"/>
            </w:tcBorders>
            <w:vAlign w:val="center"/>
            <w:hideMark/>
          </w:tcPr>
          <w:p w14:paraId="5D37C55F" w14:textId="77777777" w:rsidR="000D4AB9" w:rsidRPr="000D4AB9" w:rsidRDefault="000D4AB9" w:rsidP="000D4AB9">
            <w:pPr>
              <w:spacing w:line="240" w:lineRule="auto"/>
              <w:rPr>
                <w:rFonts w:eastAsia="Times New Roman"/>
                <w:color w:val="000000"/>
                <w:sz w:val="20"/>
                <w:szCs w:val="20"/>
              </w:rPr>
            </w:pPr>
          </w:p>
        </w:tc>
        <w:tc>
          <w:tcPr>
            <w:tcW w:w="405" w:type="pct"/>
            <w:tcBorders>
              <w:top w:val="nil"/>
              <w:left w:val="nil"/>
              <w:bottom w:val="single" w:sz="4" w:space="0" w:color="auto"/>
              <w:right w:val="single" w:sz="4" w:space="0" w:color="auto"/>
            </w:tcBorders>
            <w:shd w:val="clear" w:color="auto" w:fill="auto"/>
            <w:noWrap/>
            <w:vAlign w:val="center"/>
            <w:hideMark/>
          </w:tcPr>
          <w:p w14:paraId="3F9BAF25" w14:textId="77777777" w:rsidR="000D4AB9" w:rsidRPr="000D4AB9" w:rsidRDefault="000D4AB9" w:rsidP="000D4AB9">
            <w:pPr>
              <w:spacing w:line="240" w:lineRule="auto"/>
              <w:jc w:val="center"/>
              <w:rPr>
                <w:rFonts w:eastAsia="Times New Roman"/>
                <w:i/>
                <w:iCs/>
                <w:color w:val="000000"/>
                <w:sz w:val="20"/>
                <w:szCs w:val="20"/>
              </w:rPr>
            </w:pPr>
            <w:r w:rsidRPr="000D4AB9">
              <w:rPr>
                <w:rFonts w:eastAsia="Times New Roman"/>
                <w:i/>
                <w:iCs/>
                <w:color w:val="000000"/>
                <w:sz w:val="20"/>
                <w:szCs w:val="20"/>
              </w:rPr>
              <w:t>tmax</w:t>
            </w:r>
          </w:p>
        </w:tc>
        <w:tc>
          <w:tcPr>
            <w:tcW w:w="986" w:type="pct"/>
            <w:tcBorders>
              <w:top w:val="nil"/>
              <w:left w:val="nil"/>
              <w:bottom w:val="single" w:sz="4" w:space="0" w:color="auto"/>
              <w:right w:val="single" w:sz="4" w:space="0" w:color="auto"/>
            </w:tcBorders>
            <w:shd w:val="clear" w:color="auto" w:fill="auto"/>
            <w:vAlign w:val="center"/>
            <w:hideMark/>
          </w:tcPr>
          <w:p w14:paraId="529AEBEB" w14:textId="77777777" w:rsidR="000D4AB9" w:rsidRPr="000D4AB9" w:rsidRDefault="000D4AB9" w:rsidP="000D4AB9">
            <w:pPr>
              <w:spacing w:line="240" w:lineRule="auto"/>
              <w:jc w:val="center"/>
              <w:rPr>
                <w:rFonts w:eastAsia="Times New Roman"/>
                <w:color w:val="000000"/>
                <w:sz w:val="20"/>
                <w:szCs w:val="20"/>
              </w:rPr>
            </w:pPr>
            <w:r w:rsidRPr="000D4AB9">
              <w:rPr>
                <w:rFonts w:eastAsia="Times New Roman"/>
                <w:color w:val="000000"/>
                <w:sz w:val="20"/>
                <w:szCs w:val="20"/>
              </w:rPr>
              <w:t>T cell population maximum</w:t>
            </w:r>
          </w:p>
        </w:tc>
        <w:tc>
          <w:tcPr>
            <w:tcW w:w="384" w:type="pct"/>
            <w:tcBorders>
              <w:top w:val="nil"/>
              <w:left w:val="nil"/>
              <w:bottom w:val="single" w:sz="4" w:space="0" w:color="auto"/>
              <w:right w:val="single" w:sz="4" w:space="0" w:color="auto"/>
            </w:tcBorders>
            <w:shd w:val="clear" w:color="auto" w:fill="auto"/>
            <w:noWrap/>
            <w:vAlign w:val="center"/>
            <w:hideMark/>
          </w:tcPr>
          <w:p w14:paraId="1C59692B" w14:textId="77777777" w:rsidR="000D4AB9" w:rsidRPr="000D4AB9" w:rsidRDefault="000D4AB9" w:rsidP="000D4AB9">
            <w:pPr>
              <w:spacing w:line="240" w:lineRule="auto"/>
              <w:jc w:val="center"/>
              <w:rPr>
                <w:rFonts w:eastAsia="Times New Roman"/>
                <w:color w:val="000000"/>
                <w:sz w:val="20"/>
                <w:szCs w:val="20"/>
              </w:rPr>
            </w:pPr>
            <w:r w:rsidRPr="000D4AB9">
              <w:rPr>
                <w:rFonts w:eastAsia="Times New Roman"/>
                <w:color w:val="000000"/>
                <w:sz w:val="20"/>
                <w:szCs w:val="20"/>
              </w:rPr>
              <w:t>300 - 900</w:t>
            </w:r>
          </w:p>
        </w:tc>
        <w:tc>
          <w:tcPr>
            <w:tcW w:w="484" w:type="pct"/>
            <w:tcBorders>
              <w:top w:val="nil"/>
              <w:left w:val="nil"/>
              <w:bottom w:val="single" w:sz="4" w:space="0" w:color="auto"/>
              <w:right w:val="single" w:sz="4" w:space="0" w:color="auto"/>
            </w:tcBorders>
            <w:shd w:val="clear" w:color="auto" w:fill="auto"/>
            <w:noWrap/>
            <w:vAlign w:val="center"/>
            <w:hideMark/>
          </w:tcPr>
          <w:p w14:paraId="2D246572" w14:textId="77777777" w:rsidR="000D4AB9" w:rsidRPr="000D4AB9" w:rsidRDefault="000D4AB9" w:rsidP="000D4AB9">
            <w:pPr>
              <w:spacing w:line="240" w:lineRule="auto"/>
              <w:jc w:val="center"/>
              <w:rPr>
                <w:rFonts w:eastAsia="Times New Roman"/>
                <w:color w:val="000000"/>
                <w:sz w:val="20"/>
                <w:szCs w:val="20"/>
              </w:rPr>
            </w:pPr>
            <w:r w:rsidRPr="000D4AB9">
              <w:rPr>
                <w:rFonts w:eastAsia="Times New Roman"/>
                <w:color w:val="000000"/>
                <w:sz w:val="20"/>
                <w:szCs w:val="20"/>
              </w:rPr>
              <w:t>Uniform</w:t>
            </w:r>
          </w:p>
        </w:tc>
        <w:tc>
          <w:tcPr>
            <w:tcW w:w="256" w:type="pct"/>
            <w:vMerge/>
            <w:tcBorders>
              <w:top w:val="nil"/>
              <w:left w:val="single" w:sz="4" w:space="0" w:color="auto"/>
              <w:bottom w:val="single" w:sz="4" w:space="0" w:color="auto"/>
              <w:right w:val="single" w:sz="4" w:space="0" w:color="auto"/>
            </w:tcBorders>
            <w:vAlign w:val="center"/>
            <w:hideMark/>
          </w:tcPr>
          <w:p w14:paraId="6854A38C" w14:textId="77777777" w:rsidR="000D4AB9" w:rsidRPr="000D4AB9" w:rsidRDefault="000D4AB9" w:rsidP="000D4AB9">
            <w:pPr>
              <w:spacing w:line="240" w:lineRule="auto"/>
              <w:rPr>
                <w:rFonts w:eastAsia="Times New Roman"/>
                <w:color w:val="000000"/>
                <w:sz w:val="20"/>
                <w:szCs w:val="20"/>
              </w:rPr>
            </w:pPr>
          </w:p>
        </w:tc>
        <w:tc>
          <w:tcPr>
            <w:tcW w:w="256" w:type="pct"/>
            <w:vMerge/>
            <w:tcBorders>
              <w:top w:val="nil"/>
              <w:left w:val="single" w:sz="4" w:space="0" w:color="auto"/>
              <w:bottom w:val="single" w:sz="4" w:space="0" w:color="auto"/>
              <w:right w:val="single" w:sz="4" w:space="0" w:color="auto"/>
            </w:tcBorders>
            <w:vAlign w:val="center"/>
            <w:hideMark/>
          </w:tcPr>
          <w:p w14:paraId="12132999" w14:textId="77777777" w:rsidR="000D4AB9" w:rsidRPr="000D4AB9" w:rsidRDefault="000D4AB9" w:rsidP="000D4AB9">
            <w:pPr>
              <w:spacing w:line="240" w:lineRule="auto"/>
              <w:rPr>
                <w:rFonts w:eastAsia="Times New Roman"/>
                <w:color w:val="000000"/>
                <w:sz w:val="20"/>
                <w:szCs w:val="20"/>
              </w:rPr>
            </w:pPr>
          </w:p>
        </w:tc>
        <w:tc>
          <w:tcPr>
            <w:tcW w:w="256" w:type="pct"/>
            <w:vMerge/>
            <w:tcBorders>
              <w:top w:val="nil"/>
              <w:left w:val="single" w:sz="4" w:space="0" w:color="auto"/>
              <w:bottom w:val="single" w:sz="4" w:space="0" w:color="auto"/>
              <w:right w:val="single" w:sz="4" w:space="0" w:color="auto"/>
            </w:tcBorders>
            <w:vAlign w:val="center"/>
            <w:hideMark/>
          </w:tcPr>
          <w:p w14:paraId="042F901A" w14:textId="77777777" w:rsidR="000D4AB9" w:rsidRPr="000D4AB9" w:rsidRDefault="000D4AB9" w:rsidP="000D4AB9">
            <w:pPr>
              <w:spacing w:line="240" w:lineRule="auto"/>
              <w:rPr>
                <w:rFonts w:eastAsia="Times New Roman"/>
                <w:color w:val="000000"/>
                <w:sz w:val="20"/>
                <w:szCs w:val="20"/>
              </w:rPr>
            </w:pPr>
          </w:p>
        </w:tc>
        <w:tc>
          <w:tcPr>
            <w:tcW w:w="256" w:type="pct"/>
            <w:vMerge/>
            <w:tcBorders>
              <w:top w:val="nil"/>
              <w:left w:val="single" w:sz="4" w:space="0" w:color="auto"/>
              <w:bottom w:val="single" w:sz="4" w:space="0" w:color="auto"/>
              <w:right w:val="single" w:sz="4" w:space="0" w:color="auto"/>
            </w:tcBorders>
            <w:vAlign w:val="center"/>
            <w:hideMark/>
          </w:tcPr>
          <w:p w14:paraId="2FB7EDCB" w14:textId="77777777" w:rsidR="000D4AB9" w:rsidRPr="000D4AB9" w:rsidRDefault="000D4AB9" w:rsidP="000D4AB9">
            <w:pPr>
              <w:spacing w:line="240" w:lineRule="auto"/>
              <w:rPr>
                <w:rFonts w:eastAsia="Times New Roman"/>
                <w:color w:val="000000"/>
                <w:sz w:val="20"/>
                <w:szCs w:val="20"/>
              </w:rPr>
            </w:pPr>
          </w:p>
        </w:tc>
        <w:tc>
          <w:tcPr>
            <w:tcW w:w="256" w:type="pct"/>
            <w:vMerge/>
            <w:tcBorders>
              <w:top w:val="nil"/>
              <w:left w:val="single" w:sz="4" w:space="0" w:color="auto"/>
              <w:bottom w:val="single" w:sz="4" w:space="0" w:color="auto"/>
              <w:right w:val="single" w:sz="4" w:space="0" w:color="auto"/>
            </w:tcBorders>
            <w:vAlign w:val="center"/>
            <w:hideMark/>
          </w:tcPr>
          <w:p w14:paraId="3E2A4F00" w14:textId="77777777" w:rsidR="000D4AB9" w:rsidRPr="000D4AB9" w:rsidRDefault="000D4AB9" w:rsidP="000D4AB9">
            <w:pPr>
              <w:spacing w:line="240" w:lineRule="auto"/>
              <w:rPr>
                <w:rFonts w:eastAsia="Times New Roman"/>
                <w:color w:val="000000"/>
                <w:sz w:val="20"/>
                <w:szCs w:val="20"/>
              </w:rPr>
            </w:pPr>
          </w:p>
        </w:tc>
      </w:tr>
      <w:tr w:rsidR="000D4AB9" w:rsidRPr="000D4AB9" w14:paraId="066B3D41" w14:textId="77777777" w:rsidTr="000D4AB9">
        <w:trPr>
          <w:trHeight w:val="283"/>
        </w:trPr>
        <w:tc>
          <w:tcPr>
            <w:tcW w:w="477" w:type="pct"/>
            <w:vMerge/>
            <w:tcBorders>
              <w:top w:val="nil"/>
              <w:left w:val="single" w:sz="4" w:space="0" w:color="auto"/>
              <w:bottom w:val="single" w:sz="4" w:space="0" w:color="auto"/>
              <w:right w:val="single" w:sz="4" w:space="0" w:color="auto"/>
            </w:tcBorders>
            <w:vAlign w:val="center"/>
            <w:hideMark/>
          </w:tcPr>
          <w:p w14:paraId="53A18563" w14:textId="77777777" w:rsidR="000D4AB9" w:rsidRPr="000D4AB9" w:rsidRDefault="000D4AB9" w:rsidP="000D4AB9">
            <w:pPr>
              <w:spacing w:line="240" w:lineRule="auto"/>
              <w:rPr>
                <w:rFonts w:eastAsia="Times New Roman"/>
                <w:b/>
                <w:color w:val="000000"/>
                <w:sz w:val="20"/>
                <w:szCs w:val="20"/>
              </w:rPr>
            </w:pPr>
          </w:p>
        </w:tc>
        <w:tc>
          <w:tcPr>
            <w:tcW w:w="563" w:type="pct"/>
            <w:vMerge/>
            <w:tcBorders>
              <w:top w:val="nil"/>
              <w:left w:val="single" w:sz="4" w:space="0" w:color="auto"/>
              <w:bottom w:val="single" w:sz="4" w:space="0" w:color="auto"/>
              <w:right w:val="single" w:sz="4" w:space="0" w:color="auto"/>
            </w:tcBorders>
            <w:vAlign w:val="center"/>
            <w:hideMark/>
          </w:tcPr>
          <w:p w14:paraId="76871A6D" w14:textId="77777777" w:rsidR="000D4AB9" w:rsidRPr="000D4AB9" w:rsidRDefault="000D4AB9" w:rsidP="000D4AB9">
            <w:pPr>
              <w:spacing w:line="240" w:lineRule="auto"/>
              <w:rPr>
                <w:rFonts w:eastAsia="Times New Roman"/>
                <w:color w:val="000000"/>
                <w:sz w:val="20"/>
                <w:szCs w:val="20"/>
              </w:rPr>
            </w:pPr>
          </w:p>
        </w:tc>
        <w:tc>
          <w:tcPr>
            <w:tcW w:w="421" w:type="pct"/>
            <w:vMerge/>
            <w:tcBorders>
              <w:top w:val="nil"/>
              <w:left w:val="single" w:sz="4" w:space="0" w:color="auto"/>
              <w:bottom w:val="single" w:sz="4" w:space="0" w:color="auto"/>
              <w:right w:val="single" w:sz="4" w:space="0" w:color="auto"/>
            </w:tcBorders>
            <w:vAlign w:val="center"/>
            <w:hideMark/>
          </w:tcPr>
          <w:p w14:paraId="380DC447" w14:textId="77777777" w:rsidR="000D4AB9" w:rsidRPr="000D4AB9" w:rsidRDefault="000D4AB9" w:rsidP="000D4AB9">
            <w:pPr>
              <w:spacing w:line="240" w:lineRule="auto"/>
              <w:rPr>
                <w:rFonts w:eastAsia="Times New Roman"/>
                <w:color w:val="000000"/>
                <w:sz w:val="20"/>
                <w:szCs w:val="20"/>
              </w:rPr>
            </w:pPr>
          </w:p>
        </w:tc>
        <w:tc>
          <w:tcPr>
            <w:tcW w:w="405" w:type="pct"/>
            <w:tcBorders>
              <w:top w:val="nil"/>
              <w:left w:val="nil"/>
              <w:bottom w:val="single" w:sz="4" w:space="0" w:color="auto"/>
              <w:right w:val="single" w:sz="4" w:space="0" w:color="auto"/>
            </w:tcBorders>
            <w:shd w:val="clear" w:color="auto" w:fill="auto"/>
            <w:noWrap/>
            <w:vAlign w:val="center"/>
            <w:hideMark/>
          </w:tcPr>
          <w:p w14:paraId="032FBB3A" w14:textId="77777777" w:rsidR="000D4AB9" w:rsidRPr="000D4AB9" w:rsidRDefault="000D4AB9" w:rsidP="000D4AB9">
            <w:pPr>
              <w:spacing w:line="240" w:lineRule="auto"/>
              <w:jc w:val="center"/>
              <w:rPr>
                <w:rFonts w:eastAsia="Times New Roman"/>
                <w:i/>
                <w:iCs/>
                <w:color w:val="000000"/>
                <w:sz w:val="20"/>
                <w:szCs w:val="20"/>
              </w:rPr>
            </w:pPr>
            <w:r w:rsidRPr="000D4AB9">
              <w:rPr>
                <w:rFonts w:eastAsia="Times New Roman"/>
                <w:i/>
                <w:iCs/>
                <w:color w:val="000000"/>
                <w:sz w:val="20"/>
                <w:szCs w:val="20"/>
              </w:rPr>
              <w:t>dt</w:t>
            </w:r>
          </w:p>
        </w:tc>
        <w:tc>
          <w:tcPr>
            <w:tcW w:w="986" w:type="pct"/>
            <w:tcBorders>
              <w:top w:val="nil"/>
              <w:left w:val="nil"/>
              <w:bottom w:val="single" w:sz="4" w:space="0" w:color="auto"/>
              <w:right w:val="single" w:sz="4" w:space="0" w:color="auto"/>
            </w:tcBorders>
            <w:shd w:val="clear" w:color="auto" w:fill="auto"/>
            <w:vAlign w:val="center"/>
            <w:hideMark/>
          </w:tcPr>
          <w:p w14:paraId="592E54F8" w14:textId="77777777" w:rsidR="000D4AB9" w:rsidRPr="000D4AB9" w:rsidRDefault="000D4AB9" w:rsidP="000D4AB9">
            <w:pPr>
              <w:spacing w:line="240" w:lineRule="auto"/>
              <w:jc w:val="center"/>
              <w:rPr>
                <w:rFonts w:eastAsia="Times New Roman"/>
                <w:color w:val="000000"/>
                <w:sz w:val="20"/>
                <w:szCs w:val="20"/>
              </w:rPr>
            </w:pPr>
            <w:r w:rsidRPr="000D4AB9">
              <w:rPr>
                <w:rFonts w:eastAsia="Times New Roman"/>
                <w:color w:val="000000"/>
                <w:sz w:val="20"/>
                <w:szCs w:val="20"/>
              </w:rPr>
              <w:t>T cell exit rate</w:t>
            </w:r>
          </w:p>
        </w:tc>
        <w:tc>
          <w:tcPr>
            <w:tcW w:w="384" w:type="pct"/>
            <w:tcBorders>
              <w:top w:val="nil"/>
              <w:left w:val="nil"/>
              <w:bottom w:val="single" w:sz="4" w:space="0" w:color="auto"/>
              <w:right w:val="single" w:sz="4" w:space="0" w:color="auto"/>
            </w:tcBorders>
            <w:shd w:val="clear" w:color="auto" w:fill="auto"/>
            <w:noWrap/>
            <w:vAlign w:val="center"/>
            <w:hideMark/>
          </w:tcPr>
          <w:p w14:paraId="617E9113" w14:textId="77777777" w:rsidR="000D4AB9" w:rsidRPr="000D4AB9" w:rsidRDefault="000D4AB9" w:rsidP="000D4AB9">
            <w:pPr>
              <w:spacing w:line="240" w:lineRule="auto"/>
              <w:jc w:val="center"/>
              <w:rPr>
                <w:rFonts w:eastAsia="Times New Roman"/>
                <w:color w:val="000000"/>
                <w:sz w:val="20"/>
                <w:szCs w:val="20"/>
              </w:rPr>
            </w:pPr>
            <w:r w:rsidRPr="000D4AB9">
              <w:rPr>
                <w:rFonts w:eastAsia="Times New Roman"/>
                <w:color w:val="000000"/>
                <w:sz w:val="20"/>
                <w:szCs w:val="20"/>
              </w:rPr>
              <w:t>0 - 1</w:t>
            </w:r>
          </w:p>
        </w:tc>
        <w:tc>
          <w:tcPr>
            <w:tcW w:w="484" w:type="pct"/>
            <w:tcBorders>
              <w:top w:val="nil"/>
              <w:left w:val="nil"/>
              <w:bottom w:val="single" w:sz="4" w:space="0" w:color="auto"/>
              <w:right w:val="single" w:sz="4" w:space="0" w:color="auto"/>
            </w:tcBorders>
            <w:shd w:val="clear" w:color="auto" w:fill="auto"/>
            <w:noWrap/>
            <w:vAlign w:val="center"/>
            <w:hideMark/>
          </w:tcPr>
          <w:p w14:paraId="4F9074B8" w14:textId="77777777" w:rsidR="000D4AB9" w:rsidRPr="000D4AB9" w:rsidRDefault="000D4AB9" w:rsidP="000D4AB9">
            <w:pPr>
              <w:spacing w:line="240" w:lineRule="auto"/>
              <w:jc w:val="center"/>
              <w:rPr>
                <w:rFonts w:eastAsia="Times New Roman"/>
                <w:color w:val="000000"/>
                <w:sz w:val="20"/>
                <w:szCs w:val="20"/>
              </w:rPr>
            </w:pPr>
            <w:r w:rsidRPr="000D4AB9">
              <w:rPr>
                <w:rFonts w:eastAsia="Times New Roman"/>
                <w:color w:val="000000"/>
                <w:sz w:val="20"/>
                <w:szCs w:val="20"/>
              </w:rPr>
              <w:t>Uniform</w:t>
            </w:r>
          </w:p>
        </w:tc>
        <w:tc>
          <w:tcPr>
            <w:tcW w:w="256" w:type="pct"/>
            <w:vMerge/>
            <w:tcBorders>
              <w:top w:val="nil"/>
              <w:left w:val="single" w:sz="4" w:space="0" w:color="auto"/>
              <w:bottom w:val="single" w:sz="4" w:space="0" w:color="auto"/>
              <w:right w:val="single" w:sz="4" w:space="0" w:color="auto"/>
            </w:tcBorders>
            <w:vAlign w:val="center"/>
            <w:hideMark/>
          </w:tcPr>
          <w:p w14:paraId="73DAA97B" w14:textId="77777777" w:rsidR="000D4AB9" w:rsidRPr="000D4AB9" w:rsidRDefault="000D4AB9" w:rsidP="000D4AB9">
            <w:pPr>
              <w:spacing w:line="240" w:lineRule="auto"/>
              <w:rPr>
                <w:rFonts w:eastAsia="Times New Roman"/>
                <w:color w:val="000000"/>
                <w:sz w:val="20"/>
                <w:szCs w:val="20"/>
              </w:rPr>
            </w:pPr>
          </w:p>
        </w:tc>
        <w:tc>
          <w:tcPr>
            <w:tcW w:w="256" w:type="pct"/>
            <w:vMerge/>
            <w:tcBorders>
              <w:top w:val="nil"/>
              <w:left w:val="single" w:sz="4" w:space="0" w:color="auto"/>
              <w:bottom w:val="single" w:sz="4" w:space="0" w:color="auto"/>
              <w:right w:val="single" w:sz="4" w:space="0" w:color="auto"/>
            </w:tcBorders>
            <w:vAlign w:val="center"/>
            <w:hideMark/>
          </w:tcPr>
          <w:p w14:paraId="26A4D071" w14:textId="77777777" w:rsidR="000D4AB9" w:rsidRPr="000D4AB9" w:rsidRDefault="000D4AB9" w:rsidP="000D4AB9">
            <w:pPr>
              <w:spacing w:line="240" w:lineRule="auto"/>
              <w:rPr>
                <w:rFonts w:eastAsia="Times New Roman"/>
                <w:color w:val="000000"/>
                <w:sz w:val="20"/>
                <w:szCs w:val="20"/>
              </w:rPr>
            </w:pPr>
          </w:p>
        </w:tc>
        <w:tc>
          <w:tcPr>
            <w:tcW w:w="256" w:type="pct"/>
            <w:vMerge/>
            <w:tcBorders>
              <w:top w:val="nil"/>
              <w:left w:val="single" w:sz="4" w:space="0" w:color="auto"/>
              <w:bottom w:val="single" w:sz="4" w:space="0" w:color="auto"/>
              <w:right w:val="single" w:sz="4" w:space="0" w:color="auto"/>
            </w:tcBorders>
            <w:vAlign w:val="center"/>
            <w:hideMark/>
          </w:tcPr>
          <w:p w14:paraId="1BDD432A" w14:textId="77777777" w:rsidR="000D4AB9" w:rsidRPr="000D4AB9" w:rsidRDefault="000D4AB9" w:rsidP="000D4AB9">
            <w:pPr>
              <w:spacing w:line="240" w:lineRule="auto"/>
              <w:rPr>
                <w:rFonts w:eastAsia="Times New Roman"/>
                <w:color w:val="000000"/>
                <w:sz w:val="20"/>
                <w:szCs w:val="20"/>
              </w:rPr>
            </w:pPr>
          </w:p>
        </w:tc>
        <w:tc>
          <w:tcPr>
            <w:tcW w:w="256" w:type="pct"/>
            <w:vMerge/>
            <w:tcBorders>
              <w:top w:val="nil"/>
              <w:left w:val="single" w:sz="4" w:space="0" w:color="auto"/>
              <w:bottom w:val="single" w:sz="4" w:space="0" w:color="auto"/>
              <w:right w:val="single" w:sz="4" w:space="0" w:color="auto"/>
            </w:tcBorders>
            <w:vAlign w:val="center"/>
            <w:hideMark/>
          </w:tcPr>
          <w:p w14:paraId="12665A02" w14:textId="77777777" w:rsidR="000D4AB9" w:rsidRPr="000D4AB9" w:rsidRDefault="000D4AB9" w:rsidP="000D4AB9">
            <w:pPr>
              <w:spacing w:line="240" w:lineRule="auto"/>
              <w:rPr>
                <w:rFonts w:eastAsia="Times New Roman"/>
                <w:color w:val="000000"/>
                <w:sz w:val="20"/>
                <w:szCs w:val="20"/>
              </w:rPr>
            </w:pPr>
          </w:p>
        </w:tc>
        <w:tc>
          <w:tcPr>
            <w:tcW w:w="256" w:type="pct"/>
            <w:vMerge/>
            <w:tcBorders>
              <w:top w:val="nil"/>
              <w:left w:val="single" w:sz="4" w:space="0" w:color="auto"/>
              <w:bottom w:val="single" w:sz="4" w:space="0" w:color="auto"/>
              <w:right w:val="single" w:sz="4" w:space="0" w:color="auto"/>
            </w:tcBorders>
            <w:vAlign w:val="center"/>
            <w:hideMark/>
          </w:tcPr>
          <w:p w14:paraId="7B97B798" w14:textId="77777777" w:rsidR="000D4AB9" w:rsidRPr="000D4AB9" w:rsidRDefault="000D4AB9" w:rsidP="000D4AB9">
            <w:pPr>
              <w:spacing w:line="240" w:lineRule="auto"/>
              <w:rPr>
                <w:rFonts w:eastAsia="Times New Roman"/>
                <w:color w:val="000000"/>
                <w:sz w:val="20"/>
                <w:szCs w:val="20"/>
              </w:rPr>
            </w:pPr>
          </w:p>
        </w:tc>
      </w:tr>
      <w:tr w:rsidR="000D4AB9" w:rsidRPr="000D4AB9" w14:paraId="044A7345" w14:textId="77777777" w:rsidTr="000D4AB9">
        <w:trPr>
          <w:trHeight w:val="283"/>
        </w:trPr>
        <w:tc>
          <w:tcPr>
            <w:tcW w:w="477"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5B19A3FA" w14:textId="77777777" w:rsidR="000D4AB9" w:rsidRPr="000D4AB9" w:rsidRDefault="000D4AB9" w:rsidP="000D4AB9">
            <w:pPr>
              <w:spacing w:line="240" w:lineRule="auto"/>
              <w:jc w:val="center"/>
              <w:rPr>
                <w:rFonts w:eastAsia="Times New Roman"/>
                <w:b/>
                <w:color w:val="000000"/>
                <w:sz w:val="20"/>
                <w:szCs w:val="20"/>
              </w:rPr>
            </w:pPr>
            <w:r w:rsidRPr="000D4AB9">
              <w:rPr>
                <w:rFonts w:eastAsia="Times New Roman"/>
                <w:b/>
                <w:color w:val="000000"/>
                <w:sz w:val="20"/>
                <w:szCs w:val="20"/>
              </w:rPr>
              <w:t>Figure 4.24</w:t>
            </w:r>
          </w:p>
        </w:tc>
        <w:tc>
          <w:tcPr>
            <w:tcW w:w="563"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01B4A4F6" w14:textId="77777777" w:rsidR="000D4AB9" w:rsidRPr="000D4AB9" w:rsidRDefault="000D4AB9" w:rsidP="000D4AB9">
            <w:pPr>
              <w:spacing w:line="240" w:lineRule="auto"/>
              <w:jc w:val="center"/>
              <w:rPr>
                <w:rFonts w:eastAsia="Times New Roman"/>
                <w:color w:val="000000"/>
                <w:sz w:val="20"/>
                <w:szCs w:val="20"/>
              </w:rPr>
            </w:pPr>
            <w:r w:rsidRPr="000D4AB9">
              <w:rPr>
                <w:rFonts w:eastAsia="Times New Roman"/>
                <w:color w:val="000000"/>
                <w:sz w:val="20"/>
                <w:szCs w:val="20"/>
              </w:rPr>
              <w:t>Myeloid cells</w:t>
            </w:r>
          </w:p>
        </w:tc>
        <w:tc>
          <w:tcPr>
            <w:tcW w:w="421"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0A291D81" w14:textId="77777777" w:rsidR="000D4AB9" w:rsidRPr="000D4AB9" w:rsidRDefault="000D4AB9" w:rsidP="000D4AB9">
            <w:pPr>
              <w:spacing w:line="240" w:lineRule="auto"/>
              <w:jc w:val="center"/>
              <w:rPr>
                <w:rFonts w:eastAsia="Times New Roman"/>
                <w:color w:val="000000"/>
                <w:sz w:val="20"/>
                <w:szCs w:val="20"/>
              </w:rPr>
            </w:pPr>
            <w:r w:rsidRPr="000D4AB9">
              <w:rPr>
                <w:rFonts w:eastAsia="Times New Roman"/>
                <w:color w:val="000000"/>
                <w:sz w:val="20"/>
                <w:szCs w:val="20"/>
              </w:rPr>
              <w:t>Beaumont</w:t>
            </w:r>
          </w:p>
        </w:tc>
        <w:tc>
          <w:tcPr>
            <w:tcW w:w="405" w:type="pct"/>
            <w:tcBorders>
              <w:top w:val="nil"/>
              <w:left w:val="nil"/>
              <w:bottom w:val="single" w:sz="4" w:space="0" w:color="auto"/>
              <w:right w:val="single" w:sz="4" w:space="0" w:color="auto"/>
            </w:tcBorders>
            <w:shd w:val="clear" w:color="auto" w:fill="auto"/>
            <w:noWrap/>
            <w:vAlign w:val="center"/>
            <w:hideMark/>
          </w:tcPr>
          <w:p w14:paraId="665D90D1" w14:textId="77777777" w:rsidR="000D4AB9" w:rsidRPr="000D4AB9" w:rsidRDefault="000D4AB9" w:rsidP="000D4AB9">
            <w:pPr>
              <w:spacing w:line="240" w:lineRule="auto"/>
              <w:jc w:val="center"/>
              <w:rPr>
                <w:rFonts w:eastAsia="Times New Roman"/>
                <w:i/>
                <w:iCs/>
                <w:color w:val="000000"/>
                <w:sz w:val="20"/>
                <w:szCs w:val="20"/>
              </w:rPr>
            </w:pPr>
            <w:r w:rsidRPr="000D4AB9">
              <w:rPr>
                <w:rFonts w:eastAsia="Times New Roman"/>
                <w:i/>
                <w:iCs/>
                <w:color w:val="000000"/>
                <w:sz w:val="20"/>
                <w:szCs w:val="20"/>
              </w:rPr>
              <w:t>am</w:t>
            </w:r>
          </w:p>
        </w:tc>
        <w:tc>
          <w:tcPr>
            <w:tcW w:w="986" w:type="pct"/>
            <w:tcBorders>
              <w:top w:val="nil"/>
              <w:left w:val="nil"/>
              <w:bottom w:val="single" w:sz="4" w:space="0" w:color="auto"/>
              <w:right w:val="single" w:sz="4" w:space="0" w:color="auto"/>
            </w:tcBorders>
            <w:shd w:val="clear" w:color="auto" w:fill="auto"/>
            <w:vAlign w:val="center"/>
            <w:hideMark/>
          </w:tcPr>
          <w:p w14:paraId="2E89802D" w14:textId="77777777" w:rsidR="000D4AB9" w:rsidRPr="000D4AB9" w:rsidRDefault="000D4AB9" w:rsidP="000D4AB9">
            <w:pPr>
              <w:spacing w:line="240" w:lineRule="auto"/>
              <w:jc w:val="center"/>
              <w:rPr>
                <w:rFonts w:eastAsia="Times New Roman"/>
                <w:color w:val="000000"/>
                <w:sz w:val="20"/>
                <w:szCs w:val="20"/>
              </w:rPr>
            </w:pPr>
            <w:r w:rsidRPr="000D4AB9">
              <w:rPr>
                <w:rFonts w:eastAsia="Times New Roman"/>
                <w:color w:val="000000"/>
                <w:sz w:val="20"/>
                <w:szCs w:val="20"/>
              </w:rPr>
              <w:t>Myeloid cell growth rate</w:t>
            </w:r>
          </w:p>
        </w:tc>
        <w:tc>
          <w:tcPr>
            <w:tcW w:w="384" w:type="pct"/>
            <w:tcBorders>
              <w:top w:val="nil"/>
              <w:left w:val="nil"/>
              <w:bottom w:val="single" w:sz="4" w:space="0" w:color="auto"/>
              <w:right w:val="single" w:sz="4" w:space="0" w:color="auto"/>
            </w:tcBorders>
            <w:shd w:val="clear" w:color="auto" w:fill="auto"/>
            <w:noWrap/>
            <w:vAlign w:val="center"/>
            <w:hideMark/>
          </w:tcPr>
          <w:p w14:paraId="6C071C3B" w14:textId="77777777" w:rsidR="000D4AB9" w:rsidRPr="000D4AB9" w:rsidRDefault="000D4AB9" w:rsidP="000D4AB9">
            <w:pPr>
              <w:spacing w:line="240" w:lineRule="auto"/>
              <w:jc w:val="center"/>
              <w:rPr>
                <w:rFonts w:eastAsia="Times New Roman"/>
                <w:color w:val="000000"/>
                <w:sz w:val="20"/>
                <w:szCs w:val="20"/>
              </w:rPr>
            </w:pPr>
            <w:r w:rsidRPr="000D4AB9">
              <w:rPr>
                <w:rFonts w:eastAsia="Times New Roman"/>
                <w:color w:val="000000"/>
                <w:sz w:val="20"/>
                <w:szCs w:val="20"/>
              </w:rPr>
              <w:t>0 - 1</w:t>
            </w:r>
          </w:p>
        </w:tc>
        <w:tc>
          <w:tcPr>
            <w:tcW w:w="484" w:type="pct"/>
            <w:tcBorders>
              <w:top w:val="nil"/>
              <w:left w:val="nil"/>
              <w:bottom w:val="single" w:sz="4" w:space="0" w:color="auto"/>
              <w:right w:val="single" w:sz="4" w:space="0" w:color="auto"/>
            </w:tcBorders>
            <w:shd w:val="clear" w:color="auto" w:fill="auto"/>
            <w:noWrap/>
            <w:vAlign w:val="center"/>
            <w:hideMark/>
          </w:tcPr>
          <w:p w14:paraId="67D2F420" w14:textId="77777777" w:rsidR="000D4AB9" w:rsidRPr="000D4AB9" w:rsidRDefault="000D4AB9" w:rsidP="000D4AB9">
            <w:pPr>
              <w:spacing w:line="240" w:lineRule="auto"/>
              <w:jc w:val="center"/>
              <w:rPr>
                <w:rFonts w:eastAsia="Times New Roman"/>
                <w:color w:val="000000"/>
                <w:sz w:val="20"/>
                <w:szCs w:val="20"/>
              </w:rPr>
            </w:pPr>
            <w:r w:rsidRPr="000D4AB9">
              <w:rPr>
                <w:rFonts w:eastAsia="Times New Roman"/>
                <w:color w:val="000000"/>
                <w:sz w:val="20"/>
                <w:szCs w:val="20"/>
              </w:rPr>
              <w:t>Uniform</w:t>
            </w:r>
          </w:p>
        </w:tc>
        <w:tc>
          <w:tcPr>
            <w:tcW w:w="256"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22EC50A9" w14:textId="77777777" w:rsidR="000D4AB9" w:rsidRPr="000D4AB9" w:rsidRDefault="000D4AB9" w:rsidP="000D4AB9">
            <w:pPr>
              <w:spacing w:line="240" w:lineRule="auto"/>
              <w:jc w:val="center"/>
              <w:rPr>
                <w:rFonts w:eastAsia="Times New Roman"/>
                <w:color w:val="000000"/>
                <w:sz w:val="20"/>
                <w:szCs w:val="20"/>
              </w:rPr>
            </w:pPr>
            <w:r w:rsidRPr="000D4AB9">
              <w:rPr>
                <w:rFonts w:eastAsia="Times New Roman"/>
                <w:color w:val="000000"/>
                <w:sz w:val="20"/>
                <w:szCs w:val="20"/>
              </w:rPr>
              <w:t>10</w:t>
            </w:r>
          </w:p>
        </w:tc>
        <w:tc>
          <w:tcPr>
            <w:tcW w:w="256"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5EDF1F7C" w14:textId="77777777" w:rsidR="000D4AB9" w:rsidRPr="000D4AB9" w:rsidRDefault="000D4AB9" w:rsidP="000D4AB9">
            <w:pPr>
              <w:spacing w:line="240" w:lineRule="auto"/>
              <w:jc w:val="center"/>
              <w:rPr>
                <w:rFonts w:eastAsia="Times New Roman"/>
                <w:color w:val="000000"/>
                <w:sz w:val="20"/>
                <w:szCs w:val="20"/>
              </w:rPr>
            </w:pPr>
            <w:r w:rsidRPr="000D4AB9">
              <w:rPr>
                <w:rFonts w:eastAsia="Times New Roman"/>
                <w:color w:val="000000"/>
                <w:sz w:val="20"/>
                <w:szCs w:val="20"/>
              </w:rPr>
              <w:t>2</w:t>
            </w:r>
          </w:p>
        </w:tc>
        <w:tc>
          <w:tcPr>
            <w:tcW w:w="256"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30C7CBD0" w14:textId="77777777" w:rsidR="000D4AB9" w:rsidRPr="000D4AB9" w:rsidRDefault="000D4AB9" w:rsidP="000D4AB9">
            <w:pPr>
              <w:spacing w:line="240" w:lineRule="auto"/>
              <w:jc w:val="center"/>
              <w:rPr>
                <w:rFonts w:eastAsia="Times New Roman"/>
                <w:color w:val="000000"/>
                <w:sz w:val="20"/>
                <w:szCs w:val="20"/>
              </w:rPr>
            </w:pPr>
            <w:r w:rsidRPr="000D4AB9">
              <w:rPr>
                <w:rFonts w:eastAsia="Times New Roman"/>
                <w:color w:val="000000"/>
                <w:sz w:val="20"/>
                <w:szCs w:val="20"/>
              </w:rPr>
              <w:t>1</w:t>
            </w:r>
          </w:p>
        </w:tc>
        <w:tc>
          <w:tcPr>
            <w:tcW w:w="256"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7BE2B663" w14:textId="77777777" w:rsidR="000D4AB9" w:rsidRPr="000D4AB9" w:rsidRDefault="000D4AB9" w:rsidP="000D4AB9">
            <w:pPr>
              <w:spacing w:line="240" w:lineRule="auto"/>
              <w:jc w:val="center"/>
              <w:rPr>
                <w:rFonts w:eastAsia="Times New Roman"/>
                <w:color w:val="000000"/>
                <w:sz w:val="20"/>
                <w:szCs w:val="20"/>
              </w:rPr>
            </w:pPr>
            <w:r w:rsidRPr="000D4AB9">
              <w:rPr>
                <w:rFonts w:eastAsia="Times New Roman"/>
                <w:color w:val="000000"/>
                <w:sz w:val="20"/>
                <w:szCs w:val="20"/>
              </w:rPr>
              <w:t>0.5</w:t>
            </w:r>
          </w:p>
        </w:tc>
        <w:tc>
          <w:tcPr>
            <w:tcW w:w="256"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437BED46" w14:textId="77777777" w:rsidR="000D4AB9" w:rsidRPr="000D4AB9" w:rsidRDefault="000D4AB9" w:rsidP="000D4AB9">
            <w:pPr>
              <w:spacing w:line="240" w:lineRule="auto"/>
              <w:jc w:val="center"/>
              <w:rPr>
                <w:rFonts w:eastAsia="Times New Roman"/>
                <w:color w:val="000000"/>
                <w:sz w:val="20"/>
                <w:szCs w:val="20"/>
              </w:rPr>
            </w:pPr>
            <w:r w:rsidRPr="000D4AB9">
              <w:rPr>
                <w:rFonts w:eastAsia="Times New Roman"/>
                <w:color w:val="000000"/>
                <w:sz w:val="20"/>
                <w:szCs w:val="20"/>
              </w:rPr>
              <w:t>1</w:t>
            </w:r>
          </w:p>
        </w:tc>
      </w:tr>
      <w:tr w:rsidR="000D4AB9" w:rsidRPr="000D4AB9" w14:paraId="1C297427" w14:textId="77777777" w:rsidTr="000D4AB9">
        <w:trPr>
          <w:trHeight w:val="283"/>
        </w:trPr>
        <w:tc>
          <w:tcPr>
            <w:tcW w:w="477" w:type="pct"/>
            <w:vMerge/>
            <w:tcBorders>
              <w:top w:val="nil"/>
              <w:left w:val="single" w:sz="4" w:space="0" w:color="auto"/>
              <w:bottom w:val="single" w:sz="4" w:space="0" w:color="auto"/>
              <w:right w:val="single" w:sz="4" w:space="0" w:color="auto"/>
            </w:tcBorders>
            <w:vAlign w:val="center"/>
            <w:hideMark/>
          </w:tcPr>
          <w:p w14:paraId="3734D391" w14:textId="77777777" w:rsidR="000D4AB9" w:rsidRPr="000D4AB9" w:rsidRDefault="000D4AB9" w:rsidP="000D4AB9">
            <w:pPr>
              <w:spacing w:line="240" w:lineRule="auto"/>
              <w:rPr>
                <w:rFonts w:eastAsia="Times New Roman"/>
                <w:b/>
                <w:color w:val="000000"/>
                <w:sz w:val="20"/>
                <w:szCs w:val="20"/>
              </w:rPr>
            </w:pPr>
          </w:p>
        </w:tc>
        <w:tc>
          <w:tcPr>
            <w:tcW w:w="563" w:type="pct"/>
            <w:vMerge/>
            <w:tcBorders>
              <w:top w:val="nil"/>
              <w:left w:val="single" w:sz="4" w:space="0" w:color="auto"/>
              <w:bottom w:val="single" w:sz="4" w:space="0" w:color="auto"/>
              <w:right w:val="single" w:sz="4" w:space="0" w:color="auto"/>
            </w:tcBorders>
            <w:vAlign w:val="center"/>
            <w:hideMark/>
          </w:tcPr>
          <w:p w14:paraId="00A52FAE" w14:textId="77777777" w:rsidR="000D4AB9" w:rsidRPr="000D4AB9" w:rsidRDefault="000D4AB9" w:rsidP="000D4AB9">
            <w:pPr>
              <w:spacing w:line="240" w:lineRule="auto"/>
              <w:rPr>
                <w:rFonts w:eastAsia="Times New Roman"/>
                <w:color w:val="000000"/>
                <w:sz w:val="20"/>
                <w:szCs w:val="20"/>
              </w:rPr>
            </w:pPr>
          </w:p>
        </w:tc>
        <w:tc>
          <w:tcPr>
            <w:tcW w:w="421" w:type="pct"/>
            <w:vMerge/>
            <w:tcBorders>
              <w:top w:val="nil"/>
              <w:left w:val="single" w:sz="4" w:space="0" w:color="auto"/>
              <w:bottom w:val="single" w:sz="4" w:space="0" w:color="auto"/>
              <w:right w:val="single" w:sz="4" w:space="0" w:color="auto"/>
            </w:tcBorders>
            <w:vAlign w:val="center"/>
            <w:hideMark/>
          </w:tcPr>
          <w:p w14:paraId="5C22DD0F" w14:textId="77777777" w:rsidR="000D4AB9" w:rsidRPr="000D4AB9" w:rsidRDefault="000D4AB9" w:rsidP="000D4AB9">
            <w:pPr>
              <w:spacing w:line="240" w:lineRule="auto"/>
              <w:rPr>
                <w:rFonts w:eastAsia="Times New Roman"/>
                <w:color w:val="000000"/>
                <w:sz w:val="20"/>
                <w:szCs w:val="20"/>
              </w:rPr>
            </w:pPr>
          </w:p>
        </w:tc>
        <w:tc>
          <w:tcPr>
            <w:tcW w:w="405" w:type="pct"/>
            <w:tcBorders>
              <w:top w:val="nil"/>
              <w:left w:val="nil"/>
              <w:bottom w:val="single" w:sz="4" w:space="0" w:color="auto"/>
              <w:right w:val="single" w:sz="4" w:space="0" w:color="auto"/>
            </w:tcBorders>
            <w:shd w:val="clear" w:color="auto" w:fill="auto"/>
            <w:noWrap/>
            <w:vAlign w:val="center"/>
            <w:hideMark/>
          </w:tcPr>
          <w:p w14:paraId="408760CB" w14:textId="77777777" w:rsidR="000D4AB9" w:rsidRPr="000D4AB9" w:rsidRDefault="000D4AB9" w:rsidP="000D4AB9">
            <w:pPr>
              <w:spacing w:line="240" w:lineRule="auto"/>
              <w:jc w:val="center"/>
              <w:rPr>
                <w:rFonts w:eastAsia="Times New Roman"/>
                <w:i/>
                <w:iCs/>
                <w:color w:val="000000"/>
                <w:sz w:val="20"/>
                <w:szCs w:val="20"/>
              </w:rPr>
            </w:pPr>
            <w:r w:rsidRPr="000D4AB9">
              <w:rPr>
                <w:rFonts w:eastAsia="Times New Roman"/>
                <w:i/>
                <w:iCs/>
                <w:color w:val="000000"/>
                <w:sz w:val="20"/>
                <w:szCs w:val="20"/>
              </w:rPr>
              <w:t>mmax</w:t>
            </w:r>
          </w:p>
        </w:tc>
        <w:tc>
          <w:tcPr>
            <w:tcW w:w="986" w:type="pct"/>
            <w:tcBorders>
              <w:top w:val="nil"/>
              <w:left w:val="nil"/>
              <w:bottom w:val="single" w:sz="4" w:space="0" w:color="auto"/>
              <w:right w:val="single" w:sz="4" w:space="0" w:color="auto"/>
            </w:tcBorders>
            <w:shd w:val="clear" w:color="auto" w:fill="auto"/>
            <w:vAlign w:val="center"/>
            <w:hideMark/>
          </w:tcPr>
          <w:p w14:paraId="2499109B" w14:textId="77777777" w:rsidR="000D4AB9" w:rsidRPr="000D4AB9" w:rsidRDefault="000D4AB9" w:rsidP="000D4AB9">
            <w:pPr>
              <w:spacing w:line="240" w:lineRule="auto"/>
              <w:jc w:val="center"/>
              <w:rPr>
                <w:rFonts w:eastAsia="Times New Roman"/>
                <w:color w:val="000000"/>
                <w:sz w:val="20"/>
                <w:szCs w:val="20"/>
              </w:rPr>
            </w:pPr>
            <w:r w:rsidRPr="000D4AB9">
              <w:rPr>
                <w:rFonts w:eastAsia="Times New Roman"/>
                <w:color w:val="000000"/>
                <w:sz w:val="20"/>
                <w:szCs w:val="20"/>
              </w:rPr>
              <w:t>Myeloid cell population maximum</w:t>
            </w:r>
          </w:p>
        </w:tc>
        <w:tc>
          <w:tcPr>
            <w:tcW w:w="384" w:type="pct"/>
            <w:tcBorders>
              <w:top w:val="nil"/>
              <w:left w:val="nil"/>
              <w:bottom w:val="single" w:sz="4" w:space="0" w:color="auto"/>
              <w:right w:val="single" w:sz="4" w:space="0" w:color="auto"/>
            </w:tcBorders>
            <w:shd w:val="clear" w:color="auto" w:fill="auto"/>
            <w:noWrap/>
            <w:vAlign w:val="center"/>
            <w:hideMark/>
          </w:tcPr>
          <w:p w14:paraId="1F1EE161" w14:textId="77777777" w:rsidR="000D4AB9" w:rsidRPr="000D4AB9" w:rsidRDefault="000D4AB9" w:rsidP="000D4AB9">
            <w:pPr>
              <w:spacing w:line="240" w:lineRule="auto"/>
              <w:jc w:val="center"/>
              <w:rPr>
                <w:rFonts w:eastAsia="Times New Roman"/>
                <w:color w:val="000000"/>
                <w:sz w:val="20"/>
                <w:szCs w:val="20"/>
              </w:rPr>
            </w:pPr>
            <w:r w:rsidRPr="000D4AB9">
              <w:rPr>
                <w:rFonts w:eastAsia="Times New Roman"/>
                <w:color w:val="000000"/>
                <w:sz w:val="20"/>
                <w:szCs w:val="20"/>
              </w:rPr>
              <w:t>200 - 600</w:t>
            </w:r>
          </w:p>
        </w:tc>
        <w:tc>
          <w:tcPr>
            <w:tcW w:w="484" w:type="pct"/>
            <w:tcBorders>
              <w:top w:val="nil"/>
              <w:left w:val="nil"/>
              <w:bottom w:val="single" w:sz="4" w:space="0" w:color="auto"/>
              <w:right w:val="single" w:sz="4" w:space="0" w:color="auto"/>
            </w:tcBorders>
            <w:shd w:val="clear" w:color="auto" w:fill="auto"/>
            <w:noWrap/>
            <w:vAlign w:val="center"/>
            <w:hideMark/>
          </w:tcPr>
          <w:p w14:paraId="7EB8FC42" w14:textId="77777777" w:rsidR="000D4AB9" w:rsidRPr="000D4AB9" w:rsidRDefault="000D4AB9" w:rsidP="000D4AB9">
            <w:pPr>
              <w:spacing w:line="240" w:lineRule="auto"/>
              <w:jc w:val="center"/>
              <w:rPr>
                <w:rFonts w:eastAsia="Times New Roman"/>
                <w:color w:val="000000"/>
                <w:sz w:val="20"/>
                <w:szCs w:val="20"/>
              </w:rPr>
            </w:pPr>
            <w:r w:rsidRPr="000D4AB9">
              <w:rPr>
                <w:rFonts w:eastAsia="Times New Roman"/>
                <w:color w:val="000000"/>
                <w:sz w:val="20"/>
                <w:szCs w:val="20"/>
              </w:rPr>
              <w:t>Uniform</w:t>
            </w:r>
          </w:p>
        </w:tc>
        <w:tc>
          <w:tcPr>
            <w:tcW w:w="256" w:type="pct"/>
            <w:vMerge/>
            <w:tcBorders>
              <w:top w:val="nil"/>
              <w:left w:val="single" w:sz="4" w:space="0" w:color="auto"/>
              <w:bottom w:val="single" w:sz="4" w:space="0" w:color="auto"/>
              <w:right w:val="single" w:sz="4" w:space="0" w:color="auto"/>
            </w:tcBorders>
            <w:vAlign w:val="center"/>
            <w:hideMark/>
          </w:tcPr>
          <w:p w14:paraId="19B26EC2" w14:textId="77777777" w:rsidR="000D4AB9" w:rsidRPr="000D4AB9" w:rsidRDefault="000D4AB9" w:rsidP="000D4AB9">
            <w:pPr>
              <w:spacing w:line="240" w:lineRule="auto"/>
              <w:rPr>
                <w:rFonts w:eastAsia="Times New Roman"/>
                <w:color w:val="000000"/>
                <w:sz w:val="20"/>
                <w:szCs w:val="20"/>
              </w:rPr>
            </w:pPr>
          </w:p>
        </w:tc>
        <w:tc>
          <w:tcPr>
            <w:tcW w:w="256" w:type="pct"/>
            <w:vMerge/>
            <w:tcBorders>
              <w:top w:val="nil"/>
              <w:left w:val="single" w:sz="4" w:space="0" w:color="auto"/>
              <w:bottom w:val="single" w:sz="4" w:space="0" w:color="auto"/>
              <w:right w:val="single" w:sz="4" w:space="0" w:color="auto"/>
            </w:tcBorders>
            <w:vAlign w:val="center"/>
            <w:hideMark/>
          </w:tcPr>
          <w:p w14:paraId="6D4FC8D6" w14:textId="77777777" w:rsidR="000D4AB9" w:rsidRPr="000D4AB9" w:rsidRDefault="000D4AB9" w:rsidP="000D4AB9">
            <w:pPr>
              <w:spacing w:line="240" w:lineRule="auto"/>
              <w:rPr>
                <w:rFonts w:eastAsia="Times New Roman"/>
                <w:color w:val="000000"/>
                <w:sz w:val="20"/>
                <w:szCs w:val="20"/>
              </w:rPr>
            </w:pPr>
          </w:p>
        </w:tc>
        <w:tc>
          <w:tcPr>
            <w:tcW w:w="256" w:type="pct"/>
            <w:vMerge/>
            <w:tcBorders>
              <w:top w:val="nil"/>
              <w:left w:val="single" w:sz="4" w:space="0" w:color="auto"/>
              <w:bottom w:val="single" w:sz="4" w:space="0" w:color="auto"/>
              <w:right w:val="single" w:sz="4" w:space="0" w:color="auto"/>
            </w:tcBorders>
            <w:vAlign w:val="center"/>
            <w:hideMark/>
          </w:tcPr>
          <w:p w14:paraId="28D8BB12" w14:textId="77777777" w:rsidR="000D4AB9" w:rsidRPr="000D4AB9" w:rsidRDefault="000D4AB9" w:rsidP="000D4AB9">
            <w:pPr>
              <w:spacing w:line="240" w:lineRule="auto"/>
              <w:rPr>
                <w:rFonts w:eastAsia="Times New Roman"/>
                <w:color w:val="000000"/>
                <w:sz w:val="20"/>
                <w:szCs w:val="20"/>
              </w:rPr>
            </w:pPr>
          </w:p>
        </w:tc>
        <w:tc>
          <w:tcPr>
            <w:tcW w:w="256" w:type="pct"/>
            <w:vMerge/>
            <w:tcBorders>
              <w:top w:val="nil"/>
              <w:left w:val="single" w:sz="4" w:space="0" w:color="auto"/>
              <w:bottom w:val="single" w:sz="4" w:space="0" w:color="auto"/>
              <w:right w:val="single" w:sz="4" w:space="0" w:color="auto"/>
            </w:tcBorders>
            <w:vAlign w:val="center"/>
            <w:hideMark/>
          </w:tcPr>
          <w:p w14:paraId="1D8D68CC" w14:textId="77777777" w:rsidR="000D4AB9" w:rsidRPr="000D4AB9" w:rsidRDefault="000D4AB9" w:rsidP="000D4AB9">
            <w:pPr>
              <w:spacing w:line="240" w:lineRule="auto"/>
              <w:rPr>
                <w:rFonts w:eastAsia="Times New Roman"/>
                <w:color w:val="000000"/>
                <w:sz w:val="20"/>
                <w:szCs w:val="20"/>
              </w:rPr>
            </w:pPr>
          </w:p>
        </w:tc>
        <w:tc>
          <w:tcPr>
            <w:tcW w:w="256" w:type="pct"/>
            <w:vMerge/>
            <w:tcBorders>
              <w:top w:val="nil"/>
              <w:left w:val="single" w:sz="4" w:space="0" w:color="auto"/>
              <w:bottom w:val="single" w:sz="4" w:space="0" w:color="auto"/>
              <w:right w:val="single" w:sz="4" w:space="0" w:color="auto"/>
            </w:tcBorders>
            <w:vAlign w:val="center"/>
            <w:hideMark/>
          </w:tcPr>
          <w:p w14:paraId="54FA29FB" w14:textId="77777777" w:rsidR="000D4AB9" w:rsidRPr="000D4AB9" w:rsidRDefault="000D4AB9" w:rsidP="000D4AB9">
            <w:pPr>
              <w:spacing w:line="240" w:lineRule="auto"/>
              <w:rPr>
                <w:rFonts w:eastAsia="Times New Roman"/>
                <w:color w:val="000000"/>
                <w:sz w:val="20"/>
                <w:szCs w:val="20"/>
              </w:rPr>
            </w:pPr>
          </w:p>
        </w:tc>
      </w:tr>
      <w:tr w:rsidR="000D4AB9" w:rsidRPr="000D4AB9" w14:paraId="22DB47B2" w14:textId="77777777" w:rsidTr="000D4AB9">
        <w:trPr>
          <w:trHeight w:val="283"/>
        </w:trPr>
        <w:tc>
          <w:tcPr>
            <w:tcW w:w="477" w:type="pct"/>
            <w:vMerge/>
            <w:tcBorders>
              <w:top w:val="nil"/>
              <w:left w:val="single" w:sz="4" w:space="0" w:color="auto"/>
              <w:bottom w:val="single" w:sz="4" w:space="0" w:color="auto"/>
              <w:right w:val="single" w:sz="4" w:space="0" w:color="auto"/>
            </w:tcBorders>
            <w:vAlign w:val="center"/>
            <w:hideMark/>
          </w:tcPr>
          <w:p w14:paraId="7D59BA35" w14:textId="77777777" w:rsidR="000D4AB9" w:rsidRPr="000D4AB9" w:rsidRDefault="000D4AB9" w:rsidP="000D4AB9">
            <w:pPr>
              <w:spacing w:line="240" w:lineRule="auto"/>
              <w:rPr>
                <w:rFonts w:eastAsia="Times New Roman"/>
                <w:b/>
                <w:color w:val="000000"/>
                <w:sz w:val="20"/>
                <w:szCs w:val="20"/>
              </w:rPr>
            </w:pPr>
          </w:p>
        </w:tc>
        <w:tc>
          <w:tcPr>
            <w:tcW w:w="563" w:type="pct"/>
            <w:vMerge/>
            <w:tcBorders>
              <w:top w:val="nil"/>
              <w:left w:val="single" w:sz="4" w:space="0" w:color="auto"/>
              <w:bottom w:val="single" w:sz="4" w:space="0" w:color="auto"/>
              <w:right w:val="single" w:sz="4" w:space="0" w:color="auto"/>
            </w:tcBorders>
            <w:vAlign w:val="center"/>
            <w:hideMark/>
          </w:tcPr>
          <w:p w14:paraId="76496C60" w14:textId="77777777" w:rsidR="000D4AB9" w:rsidRPr="000D4AB9" w:rsidRDefault="000D4AB9" w:rsidP="000D4AB9">
            <w:pPr>
              <w:spacing w:line="240" w:lineRule="auto"/>
              <w:rPr>
                <w:rFonts w:eastAsia="Times New Roman"/>
                <w:color w:val="000000"/>
                <w:sz w:val="20"/>
                <w:szCs w:val="20"/>
              </w:rPr>
            </w:pPr>
          </w:p>
        </w:tc>
        <w:tc>
          <w:tcPr>
            <w:tcW w:w="421" w:type="pct"/>
            <w:vMerge/>
            <w:tcBorders>
              <w:top w:val="nil"/>
              <w:left w:val="single" w:sz="4" w:space="0" w:color="auto"/>
              <w:bottom w:val="single" w:sz="4" w:space="0" w:color="auto"/>
              <w:right w:val="single" w:sz="4" w:space="0" w:color="auto"/>
            </w:tcBorders>
            <w:vAlign w:val="center"/>
            <w:hideMark/>
          </w:tcPr>
          <w:p w14:paraId="79CF9914" w14:textId="77777777" w:rsidR="000D4AB9" w:rsidRPr="000D4AB9" w:rsidRDefault="000D4AB9" w:rsidP="000D4AB9">
            <w:pPr>
              <w:spacing w:line="240" w:lineRule="auto"/>
              <w:rPr>
                <w:rFonts w:eastAsia="Times New Roman"/>
                <w:color w:val="000000"/>
                <w:sz w:val="20"/>
                <w:szCs w:val="20"/>
              </w:rPr>
            </w:pPr>
          </w:p>
        </w:tc>
        <w:tc>
          <w:tcPr>
            <w:tcW w:w="405" w:type="pct"/>
            <w:tcBorders>
              <w:top w:val="nil"/>
              <w:left w:val="nil"/>
              <w:bottom w:val="single" w:sz="4" w:space="0" w:color="auto"/>
              <w:right w:val="single" w:sz="4" w:space="0" w:color="auto"/>
            </w:tcBorders>
            <w:shd w:val="clear" w:color="auto" w:fill="auto"/>
            <w:noWrap/>
            <w:vAlign w:val="center"/>
            <w:hideMark/>
          </w:tcPr>
          <w:p w14:paraId="2C309E5C" w14:textId="77777777" w:rsidR="000D4AB9" w:rsidRPr="000D4AB9" w:rsidRDefault="000D4AB9" w:rsidP="000D4AB9">
            <w:pPr>
              <w:spacing w:line="240" w:lineRule="auto"/>
              <w:jc w:val="center"/>
              <w:rPr>
                <w:rFonts w:eastAsia="Times New Roman"/>
                <w:i/>
                <w:iCs/>
                <w:color w:val="000000"/>
                <w:sz w:val="20"/>
                <w:szCs w:val="20"/>
              </w:rPr>
            </w:pPr>
            <w:r w:rsidRPr="000D4AB9">
              <w:rPr>
                <w:rFonts w:eastAsia="Times New Roman"/>
                <w:i/>
                <w:iCs/>
                <w:color w:val="000000"/>
                <w:sz w:val="20"/>
                <w:szCs w:val="20"/>
              </w:rPr>
              <w:t>dm</w:t>
            </w:r>
          </w:p>
        </w:tc>
        <w:tc>
          <w:tcPr>
            <w:tcW w:w="986" w:type="pct"/>
            <w:tcBorders>
              <w:top w:val="nil"/>
              <w:left w:val="nil"/>
              <w:bottom w:val="single" w:sz="4" w:space="0" w:color="auto"/>
              <w:right w:val="single" w:sz="4" w:space="0" w:color="auto"/>
            </w:tcBorders>
            <w:shd w:val="clear" w:color="auto" w:fill="auto"/>
            <w:vAlign w:val="center"/>
            <w:hideMark/>
          </w:tcPr>
          <w:p w14:paraId="60380045" w14:textId="77777777" w:rsidR="000D4AB9" w:rsidRPr="000D4AB9" w:rsidRDefault="000D4AB9" w:rsidP="000D4AB9">
            <w:pPr>
              <w:spacing w:line="240" w:lineRule="auto"/>
              <w:jc w:val="center"/>
              <w:rPr>
                <w:rFonts w:eastAsia="Times New Roman"/>
                <w:color w:val="000000"/>
                <w:sz w:val="20"/>
                <w:szCs w:val="20"/>
              </w:rPr>
            </w:pPr>
            <w:r w:rsidRPr="000D4AB9">
              <w:rPr>
                <w:rFonts w:eastAsia="Times New Roman"/>
                <w:color w:val="000000"/>
                <w:sz w:val="20"/>
                <w:szCs w:val="20"/>
              </w:rPr>
              <w:t>Myeloid cell exit rate</w:t>
            </w:r>
          </w:p>
        </w:tc>
        <w:tc>
          <w:tcPr>
            <w:tcW w:w="384" w:type="pct"/>
            <w:tcBorders>
              <w:top w:val="nil"/>
              <w:left w:val="nil"/>
              <w:bottom w:val="single" w:sz="4" w:space="0" w:color="auto"/>
              <w:right w:val="single" w:sz="4" w:space="0" w:color="auto"/>
            </w:tcBorders>
            <w:shd w:val="clear" w:color="auto" w:fill="auto"/>
            <w:noWrap/>
            <w:vAlign w:val="center"/>
            <w:hideMark/>
          </w:tcPr>
          <w:p w14:paraId="5F6F3087" w14:textId="77777777" w:rsidR="000D4AB9" w:rsidRPr="000D4AB9" w:rsidRDefault="000D4AB9" w:rsidP="000D4AB9">
            <w:pPr>
              <w:spacing w:line="240" w:lineRule="auto"/>
              <w:jc w:val="center"/>
              <w:rPr>
                <w:rFonts w:eastAsia="Times New Roman"/>
                <w:color w:val="000000"/>
                <w:sz w:val="20"/>
                <w:szCs w:val="20"/>
              </w:rPr>
            </w:pPr>
            <w:r w:rsidRPr="000D4AB9">
              <w:rPr>
                <w:rFonts w:eastAsia="Times New Roman"/>
                <w:color w:val="000000"/>
                <w:sz w:val="20"/>
                <w:szCs w:val="20"/>
              </w:rPr>
              <w:t>0 - 1</w:t>
            </w:r>
          </w:p>
        </w:tc>
        <w:tc>
          <w:tcPr>
            <w:tcW w:w="484" w:type="pct"/>
            <w:tcBorders>
              <w:top w:val="nil"/>
              <w:left w:val="nil"/>
              <w:bottom w:val="single" w:sz="4" w:space="0" w:color="auto"/>
              <w:right w:val="single" w:sz="4" w:space="0" w:color="auto"/>
            </w:tcBorders>
            <w:shd w:val="clear" w:color="auto" w:fill="auto"/>
            <w:noWrap/>
            <w:vAlign w:val="center"/>
            <w:hideMark/>
          </w:tcPr>
          <w:p w14:paraId="47A5A699" w14:textId="77777777" w:rsidR="000D4AB9" w:rsidRPr="000D4AB9" w:rsidRDefault="000D4AB9" w:rsidP="000D4AB9">
            <w:pPr>
              <w:spacing w:line="240" w:lineRule="auto"/>
              <w:jc w:val="center"/>
              <w:rPr>
                <w:rFonts w:eastAsia="Times New Roman"/>
                <w:color w:val="000000"/>
                <w:sz w:val="20"/>
                <w:szCs w:val="20"/>
              </w:rPr>
            </w:pPr>
            <w:r w:rsidRPr="000D4AB9">
              <w:rPr>
                <w:rFonts w:eastAsia="Times New Roman"/>
                <w:color w:val="000000"/>
                <w:sz w:val="20"/>
                <w:szCs w:val="20"/>
              </w:rPr>
              <w:t>Uniform</w:t>
            </w:r>
          </w:p>
        </w:tc>
        <w:tc>
          <w:tcPr>
            <w:tcW w:w="256" w:type="pct"/>
            <w:vMerge/>
            <w:tcBorders>
              <w:top w:val="nil"/>
              <w:left w:val="single" w:sz="4" w:space="0" w:color="auto"/>
              <w:bottom w:val="single" w:sz="4" w:space="0" w:color="auto"/>
              <w:right w:val="single" w:sz="4" w:space="0" w:color="auto"/>
            </w:tcBorders>
            <w:vAlign w:val="center"/>
            <w:hideMark/>
          </w:tcPr>
          <w:p w14:paraId="38F52994" w14:textId="77777777" w:rsidR="000D4AB9" w:rsidRPr="000D4AB9" w:rsidRDefault="000D4AB9" w:rsidP="000D4AB9">
            <w:pPr>
              <w:spacing w:line="240" w:lineRule="auto"/>
              <w:rPr>
                <w:rFonts w:eastAsia="Times New Roman"/>
                <w:color w:val="000000"/>
                <w:sz w:val="20"/>
                <w:szCs w:val="20"/>
              </w:rPr>
            </w:pPr>
          </w:p>
        </w:tc>
        <w:tc>
          <w:tcPr>
            <w:tcW w:w="256" w:type="pct"/>
            <w:vMerge/>
            <w:tcBorders>
              <w:top w:val="nil"/>
              <w:left w:val="single" w:sz="4" w:space="0" w:color="auto"/>
              <w:bottom w:val="single" w:sz="4" w:space="0" w:color="auto"/>
              <w:right w:val="single" w:sz="4" w:space="0" w:color="auto"/>
            </w:tcBorders>
            <w:vAlign w:val="center"/>
            <w:hideMark/>
          </w:tcPr>
          <w:p w14:paraId="3048DF1E" w14:textId="77777777" w:rsidR="000D4AB9" w:rsidRPr="000D4AB9" w:rsidRDefault="000D4AB9" w:rsidP="000D4AB9">
            <w:pPr>
              <w:spacing w:line="240" w:lineRule="auto"/>
              <w:rPr>
                <w:rFonts w:eastAsia="Times New Roman"/>
                <w:color w:val="000000"/>
                <w:sz w:val="20"/>
                <w:szCs w:val="20"/>
              </w:rPr>
            </w:pPr>
          </w:p>
        </w:tc>
        <w:tc>
          <w:tcPr>
            <w:tcW w:w="256" w:type="pct"/>
            <w:vMerge/>
            <w:tcBorders>
              <w:top w:val="nil"/>
              <w:left w:val="single" w:sz="4" w:space="0" w:color="auto"/>
              <w:bottom w:val="single" w:sz="4" w:space="0" w:color="auto"/>
              <w:right w:val="single" w:sz="4" w:space="0" w:color="auto"/>
            </w:tcBorders>
            <w:vAlign w:val="center"/>
            <w:hideMark/>
          </w:tcPr>
          <w:p w14:paraId="76A45F42" w14:textId="77777777" w:rsidR="000D4AB9" w:rsidRPr="000D4AB9" w:rsidRDefault="000D4AB9" w:rsidP="000D4AB9">
            <w:pPr>
              <w:spacing w:line="240" w:lineRule="auto"/>
              <w:rPr>
                <w:rFonts w:eastAsia="Times New Roman"/>
                <w:color w:val="000000"/>
                <w:sz w:val="20"/>
                <w:szCs w:val="20"/>
              </w:rPr>
            </w:pPr>
          </w:p>
        </w:tc>
        <w:tc>
          <w:tcPr>
            <w:tcW w:w="256" w:type="pct"/>
            <w:vMerge/>
            <w:tcBorders>
              <w:top w:val="nil"/>
              <w:left w:val="single" w:sz="4" w:space="0" w:color="auto"/>
              <w:bottom w:val="single" w:sz="4" w:space="0" w:color="auto"/>
              <w:right w:val="single" w:sz="4" w:space="0" w:color="auto"/>
            </w:tcBorders>
            <w:vAlign w:val="center"/>
            <w:hideMark/>
          </w:tcPr>
          <w:p w14:paraId="1AE74D42" w14:textId="77777777" w:rsidR="000D4AB9" w:rsidRPr="000D4AB9" w:rsidRDefault="000D4AB9" w:rsidP="000D4AB9">
            <w:pPr>
              <w:spacing w:line="240" w:lineRule="auto"/>
              <w:rPr>
                <w:rFonts w:eastAsia="Times New Roman"/>
                <w:color w:val="000000"/>
                <w:sz w:val="20"/>
                <w:szCs w:val="20"/>
              </w:rPr>
            </w:pPr>
          </w:p>
        </w:tc>
        <w:tc>
          <w:tcPr>
            <w:tcW w:w="256" w:type="pct"/>
            <w:vMerge/>
            <w:tcBorders>
              <w:top w:val="nil"/>
              <w:left w:val="single" w:sz="4" w:space="0" w:color="auto"/>
              <w:bottom w:val="single" w:sz="4" w:space="0" w:color="auto"/>
              <w:right w:val="single" w:sz="4" w:space="0" w:color="auto"/>
            </w:tcBorders>
            <w:vAlign w:val="center"/>
            <w:hideMark/>
          </w:tcPr>
          <w:p w14:paraId="368B8E35" w14:textId="77777777" w:rsidR="000D4AB9" w:rsidRPr="000D4AB9" w:rsidRDefault="000D4AB9" w:rsidP="000D4AB9">
            <w:pPr>
              <w:spacing w:line="240" w:lineRule="auto"/>
              <w:rPr>
                <w:rFonts w:eastAsia="Times New Roman"/>
                <w:color w:val="000000"/>
                <w:sz w:val="20"/>
                <w:szCs w:val="20"/>
              </w:rPr>
            </w:pPr>
          </w:p>
        </w:tc>
      </w:tr>
      <w:tr w:rsidR="000D4AB9" w:rsidRPr="000D4AB9" w14:paraId="3617DFEE" w14:textId="77777777" w:rsidTr="000D4AB9">
        <w:trPr>
          <w:trHeight w:val="283"/>
        </w:trPr>
        <w:tc>
          <w:tcPr>
            <w:tcW w:w="477"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515A333B" w14:textId="77777777" w:rsidR="000D4AB9" w:rsidRPr="000D4AB9" w:rsidRDefault="000D4AB9" w:rsidP="000D4AB9">
            <w:pPr>
              <w:spacing w:line="240" w:lineRule="auto"/>
              <w:jc w:val="center"/>
              <w:rPr>
                <w:rFonts w:eastAsia="Times New Roman"/>
                <w:b/>
                <w:color w:val="000000"/>
                <w:sz w:val="20"/>
                <w:szCs w:val="20"/>
              </w:rPr>
            </w:pPr>
            <w:r w:rsidRPr="000D4AB9">
              <w:rPr>
                <w:rFonts w:eastAsia="Times New Roman"/>
                <w:b/>
                <w:color w:val="000000"/>
                <w:sz w:val="20"/>
                <w:szCs w:val="20"/>
              </w:rPr>
              <w:t>Figure 4.26</w:t>
            </w:r>
          </w:p>
        </w:tc>
        <w:tc>
          <w:tcPr>
            <w:tcW w:w="563"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0C6C47C9" w14:textId="77777777" w:rsidR="000D4AB9" w:rsidRPr="000D4AB9" w:rsidRDefault="000D4AB9" w:rsidP="000D4AB9">
            <w:pPr>
              <w:spacing w:line="240" w:lineRule="auto"/>
              <w:jc w:val="center"/>
              <w:rPr>
                <w:rFonts w:eastAsia="Times New Roman"/>
                <w:i/>
                <w:iCs/>
                <w:color w:val="000000"/>
                <w:sz w:val="20"/>
                <w:szCs w:val="20"/>
              </w:rPr>
            </w:pPr>
            <w:r w:rsidRPr="000D4AB9">
              <w:rPr>
                <w:rFonts w:eastAsia="Times New Roman"/>
                <w:i/>
                <w:iCs/>
                <w:color w:val="000000"/>
                <w:sz w:val="20"/>
                <w:szCs w:val="20"/>
              </w:rPr>
              <w:t>L. donovani</w:t>
            </w:r>
          </w:p>
        </w:tc>
        <w:tc>
          <w:tcPr>
            <w:tcW w:w="421"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310AAC55" w14:textId="77777777" w:rsidR="000D4AB9" w:rsidRPr="000D4AB9" w:rsidRDefault="000D4AB9" w:rsidP="000D4AB9">
            <w:pPr>
              <w:spacing w:line="240" w:lineRule="auto"/>
              <w:jc w:val="center"/>
              <w:rPr>
                <w:rFonts w:eastAsia="Times New Roman"/>
                <w:color w:val="000000"/>
                <w:sz w:val="20"/>
                <w:szCs w:val="20"/>
              </w:rPr>
            </w:pPr>
            <w:r w:rsidRPr="000D4AB9">
              <w:rPr>
                <w:rFonts w:eastAsia="Times New Roman"/>
                <w:color w:val="000000"/>
                <w:sz w:val="20"/>
                <w:szCs w:val="20"/>
              </w:rPr>
              <w:t>Beaumont</w:t>
            </w:r>
          </w:p>
        </w:tc>
        <w:tc>
          <w:tcPr>
            <w:tcW w:w="405" w:type="pct"/>
            <w:tcBorders>
              <w:top w:val="nil"/>
              <w:left w:val="nil"/>
              <w:bottom w:val="single" w:sz="4" w:space="0" w:color="auto"/>
              <w:right w:val="single" w:sz="4" w:space="0" w:color="auto"/>
            </w:tcBorders>
            <w:shd w:val="clear" w:color="auto" w:fill="auto"/>
            <w:noWrap/>
            <w:vAlign w:val="center"/>
            <w:hideMark/>
          </w:tcPr>
          <w:p w14:paraId="01820935" w14:textId="77777777" w:rsidR="000D4AB9" w:rsidRPr="000D4AB9" w:rsidRDefault="000D4AB9" w:rsidP="000D4AB9">
            <w:pPr>
              <w:spacing w:line="240" w:lineRule="auto"/>
              <w:jc w:val="center"/>
              <w:rPr>
                <w:rFonts w:eastAsia="Times New Roman"/>
                <w:i/>
                <w:iCs/>
                <w:color w:val="000000"/>
                <w:sz w:val="20"/>
                <w:szCs w:val="20"/>
              </w:rPr>
            </w:pPr>
            <w:r w:rsidRPr="000D4AB9">
              <w:rPr>
                <w:rFonts w:eastAsia="Times New Roman"/>
                <w:i/>
                <w:iCs/>
                <w:color w:val="000000"/>
                <w:sz w:val="20"/>
                <w:szCs w:val="20"/>
              </w:rPr>
              <w:t>ap</w:t>
            </w:r>
          </w:p>
        </w:tc>
        <w:tc>
          <w:tcPr>
            <w:tcW w:w="986" w:type="pct"/>
            <w:tcBorders>
              <w:top w:val="nil"/>
              <w:left w:val="nil"/>
              <w:bottom w:val="single" w:sz="4" w:space="0" w:color="auto"/>
              <w:right w:val="single" w:sz="4" w:space="0" w:color="auto"/>
            </w:tcBorders>
            <w:shd w:val="clear" w:color="auto" w:fill="auto"/>
            <w:vAlign w:val="center"/>
            <w:hideMark/>
          </w:tcPr>
          <w:p w14:paraId="74A7DEF0" w14:textId="77777777" w:rsidR="000D4AB9" w:rsidRPr="000D4AB9" w:rsidRDefault="000D4AB9" w:rsidP="000D4AB9">
            <w:pPr>
              <w:spacing w:line="240" w:lineRule="auto"/>
              <w:jc w:val="center"/>
              <w:rPr>
                <w:rFonts w:eastAsia="Times New Roman"/>
                <w:i/>
                <w:iCs/>
                <w:color w:val="000000"/>
                <w:sz w:val="20"/>
                <w:szCs w:val="20"/>
              </w:rPr>
            </w:pPr>
            <w:r w:rsidRPr="000D4AB9">
              <w:rPr>
                <w:rFonts w:eastAsia="Times New Roman"/>
                <w:i/>
                <w:iCs/>
                <w:color w:val="000000"/>
                <w:sz w:val="20"/>
                <w:szCs w:val="20"/>
              </w:rPr>
              <w:t>L. donovani</w:t>
            </w:r>
            <w:r w:rsidRPr="000D4AB9">
              <w:rPr>
                <w:rFonts w:eastAsia="Times New Roman"/>
                <w:color w:val="000000"/>
                <w:sz w:val="20"/>
                <w:szCs w:val="20"/>
              </w:rPr>
              <w:t xml:space="preserve"> growth rate</w:t>
            </w:r>
          </w:p>
        </w:tc>
        <w:tc>
          <w:tcPr>
            <w:tcW w:w="384" w:type="pct"/>
            <w:tcBorders>
              <w:top w:val="nil"/>
              <w:left w:val="nil"/>
              <w:bottom w:val="single" w:sz="4" w:space="0" w:color="auto"/>
              <w:right w:val="single" w:sz="4" w:space="0" w:color="auto"/>
            </w:tcBorders>
            <w:shd w:val="clear" w:color="auto" w:fill="auto"/>
            <w:noWrap/>
            <w:vAlign w:val="center"/>
            <w:hideMark/>
          </w:tcPr>
          <w:p w14:paraId="67208F3A" w14:textId="77777777" w:rsidR="000D4AB9" w:rsidRPr="000D4AB9" w:rsidRDefault="000D4AB9" w:rsidP="000D4AB9">
            <w:pPr>
              <w:spacing w:line="240" w:lineRule="auto"/>
              <w:jc w:val="center"/>
              <w:rPr>
                <w:rFonts w:eastAsia="Times New Roman"/>
                <w:color w:val="000000"/>
                <w:sz w:val="20"/>
                <w:szCs w:val="20"/>
              </w:rPr>
            </w:pPr>
            <w:r w:rsidRPr="000D4AB9">
              <w:rPr>
                <w:rFonts w:eastAsia="Times New Roman"/>
                <w:color w:val="000000"/>
                <w:sz w:val="20"/>
                <w:szCs w:val="20"/>
              </w:rPr>
              <w:t>0 - 1</w:t>
            </w:r>
          </w:p>
        </w:tc>
        <w:tc>
          <w:tcPr>
            <w:tcW w:w="484" w:type="pct"/>
            <w:tcBorders>
              <w:top w:val="nil"/>
              <w:left w:val="nil"/>
              <w:bottom w:val="single" w:sz="4" w:space="0" w:color="auto"/>
              <w:right w:val="single" w:sz="4" w:space="0" w:color="auto"/>
            </w:tcBorders>
            <w:shd w:val="clear" w:color="auto" w:fill="auto"/>
            <w:noWrap/>
            <w:vAlign w:val="center"/>
            <w:hideMark/>
          </w:tcPr>
          <w:p w14:paraId="67239AFB" w14:textId="77777777" w:rsidR="000D4AB9" w:rsidRPr="000D4AB9" w:rsidRDefault="000D4AB9" w:rsidP="000D4AB9">
            <w:pPr>
              <w:spacing w:line="240" w:lineRule="auto"/>
              <w:jc w:val="center"/>
              <w:rPr>
                <w:rFonts w:eastAsia="Times New Roman"/>
                <w:color w:val="000000"/>
                <w:sz w:val="20"/>
                <w:szCs w:val="20"/>
              </w:rPr>
            </w:pPr>
            <w:r w:rsidRPr="000D4AB9">
              <w:rPr>
                <w:rFonts w:eastAsia="Times New Roman"/>
                <w:color w:val="000000"/>
                <w:sz w:val="20"/>
                <w:szCs w:val="20"/>
              </w:rPr>
              <w:t>Uniform</w:t>
            </w:r>
          </w:p>
        </w:tc>
        <w:tc>
          <w:tcPr>
            <w:tcW w:w="256"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5BFD7323" w14:textId="321FCE41" w:rsidR="000D4AB9" w:rsidRPr="000D4AB9" w:rsidRDefault="000D4AB9" w:rsidP="000D4AB9">
            <w:pPr>
              <w:spacing w:line="240" w:lineRule="auto"/>
              <w:jc w:val="center"/>
              <w:rPr>
                <w:rFonts w:eastAsia="Times New Roman"/>
                <w:color w:val="000000"/>
                <w:sz w:val="20"/>
                <w:szCs w:val="20"/>
              </w:rPr>
            </w:pPr>
            <w:r w:rsidRPr="000D4AB9">
              <w:rPr>
                <w:rFonts w:eastAsia="Times New Roman"/>
                <w:color w:val="000000"/>
                <w:sz w:val="20"/>
                <w:szCs w:val="20"/>
              </w:rPr>
              <w:t>10</w:t>
            </w:r>
            <w:r w:rsidRPr="000D4AB9">
              <w:rPr>
                <w:rFonts w:eastAsia="Times New Roman"/>
                <w:color w:val="000000"/>
                <w:sz w:val="20"/>
                <w:szCs w:val="20"/>
                <w:vertAlign w:val="superscript"/>
              </w:rPr>
              <w:t>-2</w:t>
            </w:r>
          </w:p>
        </w:tc>
        <w:tc>
          <w:tcPr>
            <w:tcW w:w="256"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2536EB65" w14:textId="09386969" w:rsidR="000D4AB9" w:rsidRPr="000D4AB9" w:rsidRDefault="000D4AB9" w:rsidP="000D4AB9">
            <w:pPr>
              <w:spacing w:line="240" w:lineRule="auto"/>
              <w:jc w:val="center"/>
              <w:rPr>
                <w:rFonts w:eastAsia="Times New Roman"/>
                <w:color w:val="000000"/>
                <w:sz w:val="20"/>
                <w:szCs w:val="20"/>
              </w:rPr>
            </w:pPr>
            <w:r w:rsidRPr="000D4AB9">
              <w:rPr>
                <w:rFonts w:eastAsia="Times New Roman"/>
                <w:color w:val="000000"/>
                <w:sz w:val="20"/>
                <w:szCs w:val="20"/>
              </w:rPr>
              <w:t xml:space="preserve"> 10</w:t>
            </w:r>
            <w:r w:rsidRPr="000D4AB9">
              <w:rPr>
                <w:rFonts w:eastAsia="Times New Roman"/>
                <w:color w:val="000000"/>
                <w:sz w:val="20"/>
                <w:szCs w:val="20"/>
                <w:vertAlign w:val="superscript"/>
              </w:rPr>
              <w:t>-3</w:t>
            </w:r>
          </w:p>
        </w:tc>
        <w:tc>
          <w:tcPr>
            <w:tcW w:w="256"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46F147D3" w14:textId="543093CC" w:rsidR="000D4AB9" w:rsidRPr="000D4AB9" w:rsidRDefault="000D4AB9" w:rsidP="000D4AB9">
            <w:pPr>
              <w:spacing w:line="240" w:lineRule="auto"/>
              <w:jc w:val="center"/>
              <w:rPr>
                <w:rFonts w:eastAsia="Times New Roman"/>
                <w:color w:val="000000"/>
                <w:sz w:val="20"/>
                <w:szCs w:val="20"/>
              </w:rPr>
            </w:pPr>
            <w:r w:rsidRPr="000D4AB9">
              <w:rPr>
                <w:rFonts w:eastAsia="Times New Roman"/>
                <w:color w:val="000000"/>
                <w:sz w:val="20"/>
                <w:szCs w:val="20"/>
              </w:rPr>
              <w:t>10</w:t>
            </w:r>
            <w:r w:rsidRPr="000D4AB9">
              <w:rPr>
                <w:rFonts w:eastAsia="Times New Roman"/>
                <w:color w:val="000000"/>
                <w:sz w:val="20"/>
                <w:szCs w:val="20"/>
                <w:vertAlign w:val="superscript"/>
              </w:rPr>
              <w:t>-4</w:t>
            </w:r>
          </w:p>
        </w:tc>
        <w:tc>
          <w:tcPr>
            <w:tcW w:w="256"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315D4418" w14:textId="66A2CADB" w:rsidR="000D4AB9" w:rsidRPr="000D4AB9" w:rsidRDefault="000D4AB9" w:rsidP="000D4AB9">
            <w:pPr>
              <w:spacing w:line="240" w:lineRule="auto"/>
              <w:jc w:val="center"/>
              <w:rPr>
                <w:rFonts w:eastAsia="Times New Roman"/>
                <w:color w:val="000000"/>
                <w:sz w:val="20"/>
                <w:szCs w:val="20"/>
              </w:rPr>
            </w:pPr>
            <w:r w:rsidRPr="000D4AB9">
              <w:rPr>
                <w:rFonts w:eastAsia="Times New Roman"/>
                <w:color w:val="000000"/>
                <w:sz w:val="20"/>
                <w:szCs w:val="20"/>
              </w:rPr>
              <w:t>10</w:t>
            </w:r>
            <w:r w:rsidRPr="000D4AB9">
              <w:rPr>
                <w:rFonts w:eastAsia="Times New Roman"/>
                <w:color w:val="000000"/>
                <w:sz w:val="20"/>
                <w:szCs w:val="20"/>
                <w:vertAlign w:val="superscript"/>
              </w:rPr>
              <w:t>-5</w:t>
            </w:r>
          </w:p>
        </w:tc>
        <w:tc>
          <w:tcPr>
            <w:tcW w:w="256"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620A0969" w14:textId="0E4D13EB" w:rsidR="000D4AB9" w:rsidRPr="000D4AB9" w:rsidRDefault="000D4AB9" w:rsidP="000D4AB9">
            <w:pPr>
              <w:spacing w:line="240" w:lineRule="auto"/>
              <w:jc w:val="center"/>
              <w:rPr>
                <w:rFonts w:eastAsia="Times New Roman"/>
                <w:color w:val="000000"/>
                <w:sz w:val="20"/>
                <w:szCs w:val="20"/>
              </w:rPr>
            </w:pPr>
            <w:r w:rsidRPr="000D4AB9">
              <w:rPr>
                <w:rFonts w:eastAsia="Times New Roman"/>
                <w:color w:val="000000"/>
                <w:sz w:val="20"/>
                <w:szCs w:val="20"/>
              </w:rPr>
              <w:t>10</w:t>
            </w:r>
            <w:r w:rsidRPr="000D4AB9">
              <w:rPr>
                <w:rFonts w:eastAsia="Times New Roman"/>
                <w:color w:val="000000"/>
                <w:sz w:val="20"/>
                <w:szCs w:val="20"/>
                <w:vertAlign w:val="superscript"/>
              </w:rPr>
              <w:t>-6</w:t>
            </w:r>
          </w:p>
        </w:tc>
      </w:tr>
      <w:tr w:rsidR="000D4AB9" w:rsidRPr="000D4AB9" w14:paraId="0AE8875B" w14:textId="77777777" w:rsidTr="000D4AB9">
        <w:trPr>
          <w:trHeight w:val="283"/>
        </w:trPr>
        <w:tc>
          <w:tcPr>
            <w:tcW w:w="477" w:type="pct"/>
            <w:vMerge/>
            <w:tcBorders>
              <w:top w:val="nil"/>
              <w:left w:val="single" w:sz="4" w:space="0" w:color="auto"/>
              <w:bottom w:val="single" w:sz="4" w:space="0" w:color="auto"/>
              <w:right w:val="single" w:sz="4" w:space="0" w:color="auto"/>
            </w:tcBorders>
            <w:vAlign w:val="center"/>
            <w:hideMark/>
          </w:tcPr>
          <w:p w14:paraId="4CF67EAF" w14:textId="77777777" w:rsidR="000D4AB9" w:rsidRPr="000D4AB9" w:rsidRDefault="000D4AB9" w:rsidP="000D4AB9">
            <w:pPr>
              <w:spacing w:line="240" w:lineRule="auto"/>
              <w:rPr>
                <w:rFonts w:eastAsia="Times New Roman"/>
                <w:b/>
                <w:color w:val="000000"/>
                <w:sz w:val="20"/>
                <w:szCs w:val="20"/>
              </w:rPr>
            </w:pPr>
          </w:p>
        </w:tc>
        <w:tc>
          <w:tcPr>
            <w:tcW w:w="563" w:type="pct"/>
            <w:vMerge/>
            <w:tcBorders>
              <w:top w:val="nil"/>
              <w:left w:val="single" w:sz="4" w:space="0" w:color="auto"/>
              <w:bottom w:val="single" w:sz="4" w:space="0" w:color="auto"/>
              <w:right w:val="single" w:sz="4" w:space="0" w:color="auto"/>
            </w:tcBorders>
            <w:vAlign w:val="center"/>
            <w:hideMark/>
          </w:tcPr>
          <w:p w14:paraId="2766D585" w14:textId="77777777" w:rsidR="000D4AB9" w:rsidRPr="000D4AB9" w:rsidRDefault="000D4AB9" w:rsidP="000D4AB9">
            <w:pPr>
              <w:spacing w:line="240" w:lineRule="auto"/>
              <w:rPr>
                <w:rFonts w:eastAsia="Times New Roman"/>
                <w:i/>
                <w:iCs/>
                <w:color w:val="000000"/>
                <w:sz w:val="20"/>
                <w:szCs w:val="20"/>
              </w:rPr>
            </w:pPr>
          </w:p>
        </w:tc>
        <w:tc>
          <w:tcPr>
            <w:tcW w:w="421" w:type="pct"/>
            <w:vMerge/>
            <w:tcBorders>
              <w:top w:val="nil"/>
              <w:left w:val="single" w:sz="4" w:space="0" w:color="auto"/>
              <w:bottom w:val="single" w:sz="4" w:space="0" w:color="auto"/>
              <w:right w:val="single" w:sz="4" w:space="0" w:color="auto"/>
            </w:tcBorders>
            <w:vAlign w:val="center"/>
            <w:hideMark/>
          </w:tcPr>
          <w:p w14:paraId="2F1A0FE8" w14:textId="77777777" w:rsidR="000D4AB9" w:rsidRPr="000D4AB9" w:rsidRDefault="000D4AB9" w:rsidP="000D4AB9">
            <w:pPr>
              <w:spacing w:line="240" w:lineRule="auto"/>
              <w:rPr>
                <w:rFonts w:eastAsia="Times New Roman"/>
                <w:color w:val="000000"/>
                <w:sz w:val="20"/>
                <w:szCs w:val="20"/>
              </w:rPr>
            </w:pPr>
          </w:p>
        </w:tc>
        <w:tc>
          <w:tcPr>
            <w:tcW w:w="405" w:type="pct"/>
            <w:tcBorders>
              <w:top w:val="nil"/>
              <w:left w:val="nil"/>
              <w:bottom w:val="single" w:sz="4" w:space="0" w:color="auto"/>
              <w:right w:val="single" w:sz="4" w:space="0" w:color="auto"/>
            </w:tcBorders>
            <w:shd w:val="clear" w:color="auto" w:fill="auto"/>
            <w:noWrap/>
            <w:vAlign w:val="center"/>
            <w:hideMark/>
          </w:tcPr>
          <w:p w14:paraId="15E100CA" w14:textId="77777777" w:rsidR="000D4AB9" w:rsidRPr="000D4AB9" w:rsidRDefault="000D4AB9" w:rsidP="000D4AB9">
            <w:pPr>
              <w:spacing w:line="240" w:lineRule="auto"/>
              <w:jc w:val="center"/>
              <w:rPr>
                <w:rFonts w:eastAsia="Times New Roman"/>
                <w:i/>
                <w:iCs/>
                <w:color w:val="000000"/>
                <w:sz w:val="20"/>
                <w:szCs w:val="20"/>
              </w:rPr>
            </w:pPr>
            <w:r w:rsidRPr="000D4AB9">
              <w:rPr>
                <w:rFonts w:eastAsia="Times New Roman"/>
                <w:i/>
                <w:iCs/>
                <w:color w:val="000000"/>
                <w:sz w:val="20"/>
                <w:szCs w:val="20"/>
              </w:rPr>
              <w:t>a</w:t>
            </w:r>
          </w:p>
        </w:tc>
        <w:tc>
          <w:tcPr>
            <w:tcW w:w="986" w:type="pct"/>
            <w:tcBorders>
              <w:top w:val="nil"/>
              <w:left w:val="nil"/>
              <w:bottom w:val="single" w:sz="4" w:space="0" w:color="auto"/>
              <w:right w:val="single" w:sz="4" w:space="0" w:color="auto"/>
            </w:tcBorders>
            <w:shd w:val="clear" w:color="auto" w:fill="auto"/>
            <w:vAlign w:val="center"/>
            <w:hideMark/>
          </w:tcPr>
          <w:p w14:paraId="73E80020" w14:textId="77777777" w:rsidR="000D4AB9" w:rsidRPr="000D4AB9" w:rsidRDefault="000D4AB9" w:rsidP="000D4AB9">
            <w:pPr>
              <w:spacing w:line="240" w:lineRule="auto"/>
              <w:jc w:val="center"/>
              <w:rPr>
                <w:rFonts w:eastAsia="Times New Roman"/>
                <w:color w:val="000000"/>
                <w:sz w:val="20"/>
                <w:szCs w:val="20"/>
              </w:rPr>
            </w:pPr>
            <w:r w:rsidRPr="000D4AB9">
              <w:rPr>
                <w:rFonts w:eastAsia="Times New Roman"/>
                <w:color w:val="000000"/>
                <w:sz w:val="20"/>
                <w:szCs w:val="20"/>
              </w:rPr>
              <w:t>IC50 of ALC</w:t>
            </w:r>
          </w:p>
        </w:tc>
        <w:tc>
          <w:tcPr>
            <w:tcW w:w="384" w:type="pct"/>
            <w:tcBorders>
              <w:top w:val="nil"/>
              <w:left w:val="nil"/>
              <w:bottom w:val="single" w:sz="4" w:space="0" w:color="auto"/>
              <w:right w:val="single" w:sz="4" w:space="0" w:color="auto"/>
            </w:tcBorders>
            <w:shd w:val="clear" w:color="auto" w:fill="auto"/>
            <w:noWrap/>
            <w:vAlign w:val="center"/>
            <w:hideMark/>
          </w:tcPr>
          <w:p w14:paraId="2659B50D" w14:textId="77777777" w:rsidR="000D4AB9" w:rsidRPr="000D4AB9" w:rsidRDefault="000D4AB9" w:rsidP="000D4AB9">
            <w:pPr>
              <w:spacing w:line="240" w:lineRule="auto"/>
              <w:jc w:val="center"/>
              <w:rPr>
                <w:rFonts w:eastAsia="Times New Roman"/>
                <w:color w:val="000000"/>
                <w:sz w:val="20"/>
                <w:szCs w:val="20"/>
              </w:rPr>
            </w:pPr>
            <w:r w:rsidRPr="000D4AB9">
              <w:rPr>
                <w:rFonts w:eastAsia="Times New Roman"/>
                <w:color w:val="000000"/>
                <w:sz w:val="20"/>
                <w:szCs w:val="20"/>
              </w:rPr>
              <w:t>1 - 100</w:t>
            </w:r>
          </w:p>
        </w:tc>
        <w:tc>
          <w:tcPr>
            <w:tcW w:w="484" w:type="pct"/>
            <w:tcBorders>
              <w:top w:val="nil"/>
              <w:left w:val="nil"/>
              <w:bottom w:val="single" w:sz="4" w:space="0" w:color="auto"/>
              <w:right w:val="single" w:sz="4" w:space="0" w:color="auto"/>
            </w:tcBorders>
            <w:shd w:val="clear" w:color="auto" w:fill="auto"/>
            <w:noWrap/>
            <w:vAlign w:val="center"/>
            <w:hideMark/>
          </w:tcPr>
          <w:p w14:paraId="5A837D13" w14:textId="77777777" w:rsidR="000D4AB9" w:rsidRPr="000D4AB9" w:rsidRDefault="000D4AB9" w:rsidP="000D4AB9">
            <w:pPr>
              <w:spacing w:line="240" w:lineRule="auto"/>
              <w:jc w:val="center"/>
              <w:rPr>
                <w:rFonts w:eastAsia="Times New Roman"/>
                <w:color w:val="000000"/>
                <w:sz w:val="20"/>
                <w:szCs w:val="20"/>
              </w:rPr>
            </w:pPr>
            <w:r w:rsidRPr="000D4AB9">
              <w:rPr>
                <w:rFonts w:eastAsia="Times New Roman"/>
                <w:color w:val="000000"/>
                <w:sz w:val="20"/>
                <w:szCs w:val="20"/>
              </w:rPr>
              <w:t>Uniform</w:t>
            </w:r>
          </w:p>
        </w:tc>
        <w:tc>
          <w:tcPr>
            <w:tcW w:w="256" w:type="pct"/>
            <w:vMerge/>
            <w:tcBorders>
              <w:top w:val="nil"/>
              <w:left w:val="single" w:sz="4" w:space="0" w:color="auto"/>
              <w:bottom w:val="single" w:sz="4" w:space="0" w:color="auto"/>
              <w:right w:val="single" w:sz="4" w:space="0" w:color="auto"/>
            </w:tcBorders>
            <w:vAlign w:val="center"/>
            <w:hideMark/>
          </w:tcPr>
          <w:p w14:paraId="01623B71" w14:textId="77777777" w:rsidR="000D4AB9" w:rsidRPr="000D4AB9" w:rsidRDefault="000D4AB9" w:rsidP="000D4AB9">
            <w:pPr>
              <w:spacing w:line="240" w:lineRule="auto"/>
              <w:rPr>
                <w:rFonts w:eastAsia="Times New Roman"/>
                <w:color w:val="000000"/>
                <w:sz w:val="20"/>
                <w:szCs w:val="20"/>
              </w:rPr>
            </w:pPr>
          </w:p>
        </w:tc>
        <w:tc>
          <w:tcPr>
            <w:tcW w:w="256" w:type="pct"/>
            <w:vMerge/>
            <w:tcBorders>
              <w:top w:val="nil"/>
              <w:left w:val="single" w:sz="4" w:space="0" w:color="auto"/>
              <w:bottom w:val="single" w:sz="4" w:space="0" w:color="auto"/>
              <w:right w:val="single" w:sz="4" w:space="0" w:color="auto"/>
            </w:tcBorders>
            <w:vAlign w:val="center"/>
            <w:hideMark/>
          </w:tcPr>
          <w:p w14:paraId="308F02FE" w14:textId="77777777" w:rsidR="000D4AB9" w:rsidRPr="000D4AB9" w:rsidRDefault="000D4AB9" w:rsidP="000D4AB9">
            <w:pPr>
              <w:spacing w:line="240" w:lineRule="auto"/>
              <w:rPr>
                <w:rFonts w:eastAsia="Times New Roman"/>
                <w:color w:val="000000"/>
                <w:sz w:val="20"/>
                <w:szCs w:val="20"/>
              </w:rPr>
            </w:pPr>
          </w:p>
        </w:tc>
        <w:tc>
          <w:tcPr>
            <w:tcW w:w="256" w:type="pct"/>
            <w:vMerge/>
            <w:tcBorders>
              <w:top w:val="nil"/>
              <w:left w:val="single" w:sz="4" w:space="0" w:color="auto"/>
              <w:bottom w:val="single" w:sz="4" w:space="0" w:color="auto"/>
              <w:right w:val="single" w:sz="4" w:space="0" w:color="auto"/>
            </w:tcBorders>
            <w:vAlign w:val="center"/>
            <w:hideMark/>
          </w:tcPr>
          <w:p w14:paraId="797292CD" w14:textId="77777777" w:rsidR="000D4AB9" w:rsidRPr="000D4AB9" w:rsidRDefault="000D4AB9" w:rsidP="000D4AB9">
            <w:pPr>
              <w:spacing w:line="240" w:lineRule="auto"/>
              <w:rPr>
                <w:rFonts w:eastAsia="Times New Roman"/>
                <w:color w:val="000000"/>
                <w:sz w:val="20"/>
                <w:szCs w:val="20"/>
              </w:rPr>
            </w:pPr>
          </w:p>
        </w:tc>
        <w:tc>
          <w:tcPr>
            <w:tcW w:w="256" w:type="pct"/>
            <w:vMerge/>
            <w:tcBorders>
              <w:top w:val="nil"/>
              <w:left w:val="single" w:sz="4" w:space="0" w:color="auto"/>
              <w:bottom w:val="single" w:sz="4" w:space="0" w:color="auto"/>
              <w:right w:val="single" w:sz="4" w:space="0" w:color="auto"/>
            </w:tcBorders>
            <w:vAlign w:val="center"/>
            <w:hideMark/>
          </w:tcPr>
          <w:p w14:paraId="3B76C795" w14:textId="77777777" w:rsidR="000D4AB9" w:rsidRPr="000D4AB9" w:rsidRDefault="000D4AB9" w:rsidP="000D4AB9">
            <w:pPr>
              <w:spacing w:line="240" w:lineRule="auto"/>
              <w:rPr>
                <w:rFonts w:eastAsia="Times New Roman"/>
                <w:color w:val="000000"/>
                <w:sz w:val="20"/>
                <w:szCs w:val="20"/>
              </w:rPr>
            </w:pPr>
          </w:p>
        </w:tc>
        <w:tc>
          <w:tcPr>
            <w:tcW w:w="256" w:type="pct"/>
            <w:vMerge/>
            <w:tcBorders>
              <w:top w:val="nil"/>
              <w:left w:val="single" w:sz="4" w:space="0" w:color="auto"/>
              <w:bottom w:val="single" w:sz="4" w:space="0" w:color="auto"/>
              <w:right w:val="single" w:sz="4" w:space="0" w:color="auto"/>
            </w:tcBorders>
            <w:vAlign w:val="center"/>
            <w:hideMark/>
          </w:tcPr>
          <w:p w14:paraId="56D38029" w14:textId="77777777" w:rsidR="000D4AB9" w:rsidRPr="000D4AB9" w:rsidRDefault="000D4AB9" w:rsidP="000D4AB9">
            <w:pPr>
              <w:spacing w:line="240" w:lineRule="auto"/>
              <w:rPr>
                <w:rFonts w:eastAsia="Times New Roman"/>
                <w:color w:val="000000"/>
                <w:sz w:val="20"/>
                <w:szCs w:val="20"/>
              </w:rPr>
            </w:pPr>
          </w:p>
        </w:tc>
      </w:tr>
      <w:tr w:rsidR="000D4AB9" w:rsidRPr="000D4AB9" w14:paraId="35E0DBBB" w14:textId="77777777" w:rsidTr="000D4AB9">
        <w:trPr>
          <w:trHeight w:val="283"/>
        </w:trPr>
        <w:tc>
          <w:tcPr>
            <w:tcW w:w="477" w:type="pct"/>
            <w:vMerge/>
            <w:tcBorders>
              <w:top w:val="nil"/>
              <w:left w:val="single" w:sz="4" w:space="0" w:color="auto"/>
              <w:bottom w:val="single" w:sz="4" w:space="0" w:color="auto"/>
              <w:right w:val="single" w:sz="4" w:space="0" w:color="auto"/>
            </w:tcBorders>
            <w:vAlign w:val="center"/>
            <w:hideMark/>
          </w:tcPr>
          <w:p w14:paraId="159D5519" w14:textId="77777777" w:rsidR="000D4AB9" w:rsidRPr="000D4AB9" w:rsidRDefault="000D4AB9" w:rsidP="000D4AB9">
            <w:pPr>
              <w:spacing w:line="240" w:lineRule="auto"/>
              <w:rPr>
                <w:rFonts w:eastAsia="Times New Roman"/>
                <w:b/>
                <w:color w:val="000000"/>
                <w:sz w:val="20"/>
                <w:szCs w:val="20"/>
              </w:rPr>
            </w:pPr>
          </w:p>
        </w:tc>
        <w:tc>
          <w:tcPr>
            <w:tcW w:w="563" w:type="pct"/>
            <w:vMerge/>
            <w:tcBorders>
              <w:top w:val="nil"/>
              <w:left w:val="single" w:sz="4" w:space="0" w:color="auto"/>
              <w:bottom w:val="single" w:sz="4" w:space="0" w:color="auto"/>
              <w:right w:val="single" w:sz="4" w:space="0" w:color="auto"/>
            </w:tcBorders>
            <w:vAlign w:val="center"/>
            <w:hideMark/>
          </w:tcPr>
          <w:p w14:paraId="4FD66BE9" w14:textId="77777777" w:rsidR="000D4AB9" w:rsidRPr="000D4AB9" w:rsidRDefault="000D4AB9" w:rsidP="000D4AB9">
            <w:pPr>
              <w:spacing w:line="240" w:lineRule="auto"/>
              <w:rPr>
                <w:rFonts w:eastAsia="Times New Roman"/>
                <w:i/>
                <w:iCs/>
                <w:color w:val="000000"/>
                <w:sz w:val="20"/>
                <w:szCs w:val="20"/>
              </w:rPr>
            </w:pPr>
          </w:p>
        </w:tc>
        <w:tc>
          <w:tcPr>
            <w:tcW w:w="421" w:type="pct"/>
            <w:vMerge/>
            <w:tcBorders>
              <w:top w:val="nil"/>
              <w:left w:val="single" w:sz="4" w:space="0" w:color="auto"/>
              <w:bottom w:val="single" w:sz="4" w:space="0" w:color="auto"/>
              <w:right w:val="single" w:sz="4" w:space="0" w:color="auto"/>
            </w:tcBorders>
            <w:vAlign w:val="center"/>
            <w:hideMark/>
          </w:tcPr>
          <w:p w14:paraId="6FF69C96" w14:textId="77777777" w:rsidR="000D4AB9" w:rsidRPr="000D4AB9" w:rsidRDefault="000D4AB9" w:rsidP="000D4AB9">
            <w:pPr>
              <w:spacing w:line="240" w:lineRule="auto"/>
              <w:rPr>
                <w:rFonts w:eastAsia="Times New Roman"/>
                <w:color w:val="000000"/>
                <w:sz w:val="20"/>
                <w:szCs w:val="20"/>
              </w:rPr>
            </w:pPr>
          </w:p>
        </w:tc>
        <w:tc>
          <w:tcPr>
            <w:tcW w:w="405" w:type="pct"/>
            <w:tcBorders>
              <w:top w:val="nil"/>
              <w:left w:val="nil"/>
              <w:bottom w:val="single" w:sz="4" w:space="0" w:color="auto"/>
              <w:right w:val="single" w:sz="4" w:space="0" w:color="auto"/>
            </w:tcBorders>
            <w:shd w:val="clear" w:color="auto" w:fill="auto"/>
            <w:noWrap/>
            <w:vAlign w:val="center"/>
            <w:hideMark/>
          </w:tcPr>
          <w:p w14:paraId="62E2299D" w14:textId="77777777" w:rsidR="000D4AB9" w:rsidRPr="000D4AB9" w:rsidRDefault="000D4AB9" w:rsidP="000D4AB9">
            <w:pPr>
              <w:spacing w:line="240" w:lineRule="auto"/>
              <w:jc w:val="center"/>
              <w:rPr>
                <w:rFonts w:eastAsia="Times New Roman"/>
                <w:i/>
                <w:iCs/>
                <w:color w:val="000000"/>
                <w:sz w:val="20"/>
                <w:szCs w:val="20"/>
              </w:rPr>
            </w:pPr>
            <w:r w:rsidRPr="000D4AB9">
              <w:rPr>
                <w:rFonts w:eastAsia="Times New Roman"/>
                <w:i/>
                <w:iCs/>
                <w:color w:val="000000"/>
                <w:sz w:val="20"/>
                <w:szCs w:val="20"/>
              </w:rPr>
              <w:t>tau</w:t>
            </w:r>
          </w:p>
        </w:tc>
        <w:tc>
          <w:tcPr>
            <w:tcW w:w="986" w:type="pct"/>
            <w:tcBorders>
              <w:top w:val="nil"/>
              <w:left w:val="nil"/>
              <w:bottom w:val="single" w:sz="4" w:space="0" w:color="auto"/>
              <w:right w:val="single" w:sz="4" w:space="0" w:color="auto"/>
            </w:tcBorders>
            <w:shd w:val="clear" w:color="auto" w:fill="auto"/>
            <w:vAlign w:val="center"/>
            <w:hideMark/>
          </w:tcPr>
          <w:p w14:paraId="19636772" w14:textId="77777777" w:rsidR="000D4AB9" w:rsidRPr="000D4AB9" w:rsidRDefault="000D4AB9" w:rsidP="000D4AB9">
            <w:pPr>
              <w:spacing w:line="240" w:lineRule="auto"/>
              <w:jc w:val="center"/>
              <w:rPr>
                <w:rFonts w:eastAsia="Times New Roman"/>
                <w:color w:val="000000"/>
                <w:sz w:val="20"/>
                <w:szCs w:val="20"/>
              </w:rPr>
            </w:pPr>
            <w:r w:rsidRPr="000D4AB9">
              <w:rPr>
                <w:rFonts w:eastAsia="Times New Roman"/>
                <w:color w:val="000000"/>
                <w:sz w:val="20"/>
                <w:szCs w:val="20"/>
              </w:rPr>
              <w:t>Time Delay in ALC production</w:t>
            </w:r>
          </w:p>
        </w:tc>
        <w:tc>
          <w:tcPr>
            <w:tcW w:w="384" w:type="pct"/>
            <w:tcBorders>
              <w:top w:val="nil"/>
              <w:left w:val="nil"/>
              <w:bottom w:val="single" w:sz="4" w:space="0" w:color="auto"/>
              <w:right w:val="single" w:sz="4" w:space="0" w:color="auto"/>
            </w:tcBorders>
            <w:shd w:val="clear" w:color="auto" w:fill="auto"/>
            <w:noWrap/>
            <w:vAlign w:val="center"/>
            <w:hideMark/>
          </w:tcPr>
          <w:p w14:paraId="15843A1D" w14:textId="77777777" w:rsidR="000D4AB9" w:rsidRPr="000D4AB9" w:rsidRDefault="000D4AB9" w:rsidP="000D4AB9">
            <w:pPr>
              <w:spacing w:line="240" w:lineRule="auto"/>
              <w:jc w:val="center"/>
              <w:rPr>
                <w:rFonts w:eastAsia="Times New Roman"/>
                <w:color w:val="000000"/>
                <w:sz w:val="20"/>
                <w:szCs w:val="20"/>
              </w:rPr>
            </w:pPr>
            <w:r w:rsidRPr="000D4AB9">
              <w:rPr>
                <w:rFonts w:eastAsia="Times New Roman"/>
                <w:color w:val="000000"/>
                <w:sz w:val="20"/>
                <w:szCs w:val="20"/>
              </w:rPr>
              <w:t>10 - 40</w:t>
            </w:r>
          </w:p>
        </w:tc>
        <w:tc>
          <w:tcPr>
            <w:tcW w:w="484" w:type="pct"/>
            <w:tcBorders>
              <w:top w:val="nil"/>
              <w:left w:val="nil"/>
              <w:bottom w:val="single" w:sz="4" w:space="0" w:color="auto"/>
              <w:right w:val="single" w:sz="4" w:space="0" w:color="auto"/>
            </w:tcBorders>
            <w:shd w:val="clear" w:color="auto" w:fill="auto"/>
            <w:noWrap/>
            <w:vAlign w:val="center"/>
            <w:hideMark/>
          </w:tcPr>
          <w:p w14:paraId="0CB618C5" w14:textId="77777777" w:rsidR="000D4AB9" w:rsidRPr="000D4AB9" w:rsidRDefault="000D4AB9" w:rsidP="000D4AB9">
            <w:pPr>
              <w:spacing w:line="240" w:lineRule="auto"/>
              <w:jc w:val="center"/>
              <w:rPr>
                <w:rFonts w:eastAsia="Times New Roman"/>
                <w:color w:val="000000"/>
                <w:sz w:val="20"/>
                <w:szCs w:val="20"/>
              </w:rPr>
            </w:pPr>
            <w:r w:rsidRPr="000D4AB9">
              <w:rPr>
                <w:rFonts w:eastAsia="Times New Roman"/>
                <w:color w:val="000000"/>
                <w:sz w:val="20"/>
                <w:szCs w:val="20"/>
              </w:rPr>
              <w:t>Uniform</w:t>
            </w:r>
          </w:p>
        </w:tc>
        <w:tc>
          <w:tcPr>
            <w:tcW w:w="256" w:type="pct"/>
            <w:vMerge/>
            <w:tcBorders>
              <w:top w:val="nil"/>
              <w:left w:val="single" w:sz="4" w:space="0" w:color="auto"/>
              <w:bottom w:val="single" w:sz="4" w:space="0" w:color="auto"/>
              <w:right w:val="single" w:sz="4" w:space="0" w:color="auto"/>
            </w:tcBorders>
            <w:vAlign w:val="center"/>
            <w:hideMark/>
          </w:tcPr>
          <w:p w14:paraId="40E0F3D1" w14:textId="77777777" w:rsidR="000D4AB9" w:rsidRPr="000D4AB9" w:rsidRDefault="000D4AB9" w:rsidP="000D4AB9">
            <w:pPr>
              <w:spacing w:line="240" w:lineRule="auto"/>
              <w:rPr>
                <w:rFonts w:eastAsia="Times New Roman"/>
                <w:color w:val="000000"/>
                <w:sz w:val="20"/>
                <w:szCs w:val="20"/>
              </w:rPr>
            </w:pPr>
          </w:p>
        </w:tc>
        <w:tc>
          <w:tcPr>
            <w:tcW w:w="256" w:type="pct"/>
            <w:vMerge/>
            <w:tcBorders>
              <w:top w:val="nil"/>
              <w:left w:val="single" w:sz="4" w:space="0" w:color="auto"/>
              <w:bottom w:val="single" w:sz="4" w:space="0" w:color="auto"/>
              <w:right w:val="single" w:sz="4" w:space="0" w:color="auto"/>
            </w:tcBorders>
            <w:vAlign w:val="center"/>
            <w:hideMark/>
          </w:tcPr>
          <w:p w14:paraId="10F65FE3" w14:textId="77777777" w:rsidR="000D4AB9" w:rsidRPr="000D4AB9" w:rsidRDefault="000D4AB9" w:rsidP="000D4AB9">
            <w:pPr>
              <w:spacing w:line="240" w:lineRule="auto"/>
              <w:rPr>
                <w:rFonts w:eastAsia="Times New Roman"/>
                <w:color w:val="000000"/>
                <w:sz w:val="20"/>
                <w:szCs w:val="20"/>
              </w:rPr>
            </w:pPr>
          </w:p>
        </w:tc>
        <w:tc>
          <w:tcPr>
            <w:tcW w:w="256" w:type="pct"/>
            <w:vMerge/>
            <w:tcBorders>
              <w:top w:val="nil"/>
              <w:left w:val="single" w:sz="4" w:space="0" w:color="auto"/>
              <w:bottom w:val="single" w:sz="4" w:space="0" w:color="auto"/>
              <w:right w:val="single" w:sz="4" w:space="0" w:color="auto"/>
            </w:tcBorders>
            <w:vAlign w:val="center"/>
            <w:hideMark/>
          </w:tcPr>
          <w:p w14:paraId="56C93B77" w14:textId="77777777" w:rsidR="000D4AB9" w:rsidRPr="000D4AB9" w:rsidRDefault="000D4AB9" w:rsidP="000D4AB9">
            <w:pPr>
              <w:spacing w:line="240" w:lineRule="auto"/>
              <w:rPr>
                <w:rFonts w:eastAsia="Times New Roman"/>
                <w:color w:val="000000"/>
                <w:sz w:val="20"/>
                <w:szCs w:val="20"/>
              </w:rPr>
            </w:pPr>
          </w:p>
        </w:tc>
        <w:tc>
          <w:tcPr>
            <w:tcW w:w="256" w:type="pct"/>
            <w:vMerge/>
            <w:tcBorders>
              <w:top w:val="nil"/>
              <w:left w:val="single" w:sz="4" w:space="0" w:color="auto"/>
              <w:bottom w:val="single" w:sz="4" w:space="0" w:color="auto"/>
              <w:right w:val="single" w:sz="4" w:space="0" w:color="auto"/>
            </w:tcBorders>
            <w:vAlign w:val="center"/>
            <w:hideMark/>
          </w:tcPr>
          <w:p w14:paraId="00FB2052" w14:textId="77777777" w:rsidR="000D4AB9" w:rsidRPr="000D4AB9" w:rsidRDefault="000D4AB9" w:rsidP="000D4AB9">
            <w:pPr>
              <w:spacing w:line="240" w:lineRule="auto"/>
              <w:rPr>
                <w:rFonts w:eastAsia="Times New Roman"/>
                <w:color w:val="000000"/>
                <w:sz w:val="20"/>
                <w:szCs w:val="20"/>
              </w:rPr>
            </w:pPr>
          </w:p>
        </w:tc>
        <w:tc>
          <w:tcPr>
            <w:tcW w:w="256" w:type="pct"/>
            <w:vMerge/>
            <w:tcBorders>
              <w:top w:val="nil"/>
              <w:left w:val="single" w:sz="4" w:space="0" w:color="auto"/>
              <w:bottom w:val="single" w:sz="4" w:space="0" w:color="auto"/>
              <w:right w:val="single" w:sz="4" w:space="0" w:color="auto"/>
            </w:tcBorders>
            <w:vAlign w:val="center"/>
            <w:hideMark/>
          </w:tcPr>
          <w:p w14:paraId="3D13A655" w14:textId="77777777" w:rsidR="000D4AB9" w:rsidRPr="000D4AB9" w:rsidRDefault="000D4AB9" w:rsidP="000D4AB9">
            <w:pPr>
              <w:spacing w:line="240" w:lineRule="auto"/>
              <w:rPr>
                <w:rFonts w:eastAsia="Times New Roman"/>
                <w:color w:val="000000"/>
                <w:sz w:val="20"/>
                <w:szCs w:val="20"/>
              </w:rPr>
            </w:pPr>
          </w:p>
        </w:tc>
      </w:tr>
      <w:tr w:rsidR="000D4AB9" w:rsidRPr="000D4AB9" w14:paraId="77D2C14E" w14:textId="77777777" w:rsidTr="000D4AB9">
        <w:trPr>
          <w:trHeight w:val="283"/>
        </w:trPr>
        <w:tc>
          <w:tcPr>
            <w:tcW w:w="477" w:type="pct"/>
            <w:vMerge/>
            <w:tcBorders>
              <w:top w:val="nil"/>
              <w:left w:val="single" w:sz="4" w:space="0" w:color="auto"/>
              <w:bottom w:val="single" w:sz="4" w:space="0" w:color="auto"/>
              <w:right w:val="single" w:sz="4" w:space="0" w:color="auto"/>
            </w:tcBorders>
            <w:vAlign w:val="center"/>
            <w:hideMark/>
          </w:tcPr>
          <w:p w14:paraId="0E5A5381" w14:textId="77777777" w:rsidR="000D4AB9" w:rsidRPr="000D4AB9" w:rsidRDefault="000D4AB9" w:rsidP="000D4AB9">
            <w:pPr>
              <w:spacing w:line="240" w:lineRule="auto"/>
              <w:rPr>
                <w:rFonts w:eastAsia="Times New Roman"/>
                <w:b/>
                <w:color w:val="000000"/>
                <w:sz w:val="20"/>
                <w:szCs w:val="20"/>
              </w:rPr>
            </w:pPr>
          </w:p>
        </w:tc>
        <w:tc>
          <w:tcPr>
            <w:tcW w:w="563" w:type="pct"/>
            <w:vMerge/>
            <w:tcBorders>
              <w:top w:val="nil"/>
              <w:left w:val="single" w:sz="4" w:space="0" w:color="auto"/>
              <w:bottom w:val="single" w:sz="4" w:space="0" w:color="auto"/>
              <w:right w:val="single" w:sz="4" w:space="0" w:color="auto"/>
            </w:tcBorders>
            <w:vAlign w:val="center"/>
            <w:hideMark/>
          </w:tcPr>
          <w:p w14:paraId="3A4222AD" w14:textId="77777777" w:rsidR="000D4AB9" w:rsidRPr="000D4AB9" w:rsidRDefault="000D4AB9" w:rsidP="000D4AB9">
            <w:pPr>
              <w:spacing w:line="240" w:lineRule="auto"/>
              <w:rPr>
                <w:rFonts w:eastAsia="Times New Roman"/>
                <w:i/>
                <w:iCs/>
                <w:color w:val="000000"/>
                <w:sz w:val="20"/>
                <w:szCs w:val="20"/>
              </w:rPr>
            </w:pPr>
          </w:p>
        </w:tc>
        <w:tc>
          <w:tcPr>
            <w:tcW w:w="421" w:type="pct"/>
            <w:vMerge/>
            <w:tcBorders>
              <w:top w:val="nil"/>
              <w:left w:val="single" w:sz="4" w:space="0" w:color="auto"/>
              <w:bottom w:val="single" w:sz="4" w:space="0" w:color="auto"/>
              <w:right w:val="single" w:sz="4" w:space="0" w:color="auto"/>
            </w:tcBorders>
            <w:vAlign w:val="center"/>
            <w:hideMark/>
          </w:tcPr>
          <w:p w14:paraId="16392423" w14:textId="77777777" w:rsidR="000D4AB9" w:rsidRPr="000D4AB9" w:rsidRDefault="000D4AB9" w:rsidP="000D4AB9">
            <w:pPr>
              <w:spacing w:line="240" w:lineRule="auto"/>
              <w:rPr>
                <w:rFonts w:eastAsia="Times New Roman"/>
                <w:color w:val="000000"/>
                <w:sz w:val="20"/>
                <w:szCs w:val="20"/>
              </w:rPr>
            </w:pPr>
          </w:p>
        </w:tc>
        <w:tc>
          <w:tcPr>
            <w:tcW w:w="405" w:type="pct"/>
            <w:tcBorders>
              <w:top w:val="nil"/>
              <w:left w:val="nil"/>
              <w:bottom w:val="single" w:sz="4" w:space="0" w:color="auto"/>
              <w:right w:val="single" w:sz="4" w:space="0" w:color="auto"/>
            </w:tcBorders>
            <w:shd w:val="clear" w:color="auto" w:fill="auto"/>
            <w:noWrap/>
            <w:vAlign w:val="center"/>
            <w:hideMark/>
          </w:tcPr>
          <w:p w14:paraId="292C0BA9" w14:textId="77777777" w:rsidR="000D4AB9" w:rsidRPr="000D4AB9" w:rsidRDefault="000D4AB9" w:rsidP="000D4AB9">
            <w:pPr>
              <w:spacing w:line="240" w:lineRule="auto"/>
              <w:jc w:val="center"/>
              <w:rPr>
                <w:rFonts w:eastAsia="Times New Roman"/>
                <w:i/>
                <w:iCs/>
                <w:color w:val="000000"/>
                <w:sz w:val="20"/>
                <w:szCs w:val="20"/>
              </w:rPr>
            </w:pPr>
            <w:r w:rsidRPr="000D4AB9">
              <w:rPr>
                <w:rFonts w:eastAsia="Times New Roman"/>
                <w:i/>
                <w:iCs/>
                <w:color w:val="000000"/>
                <w:sz w:val="20"/>
                <w:szCs w:val="20"/>
              </w:rPr>
              <w:t>da</w:t>
            </w:r>
          </w:p>
        </w:tc>
        <w:tc>
          <w:tcPr>
            <w:tcW w:w="986" w:type="pct"/>
            <w:tcBorders>
              <w:top w:val="nil"/>
              <w:left w:val="nil"/>
              <w:bottom w:val="single" w:sz="4" w:space="0" w:color="auto"/>
              <w:right w:val="single" w:sz="4" w:space="0" w:color="auto"/>
            </w:tcBorders>
            <w:shd w:val="clear" w:color="auto" w:fill="auto"/>
            <w:vAlign w:val="center"/>
            <w:hideMark/>
          </w:tcPr>
          <w:p w14:paraId="19C82E09" w14:textId="77777777" w:rsidR="000D4AB9" w:rsidRPr="000D4AB9" w:rsidRDefault="000D4AB9" w:rsidP="000D4AB9">
            <w:pPr>
              <w:spacing w:line="240" w:lineRule="auto"/>
              <w:jc w:val="center"/>
              <w:rPr>
                <w:rFonts w:eastAsia="Times New Roman"/>
                <w:i/>
                <w:iCs/>
                <w:color w:val="000000"/>
                <w:sz w:val="20"/>
                <w:szCs w:val="20"/>
              </w:rPr>
            </w:pPr>
            <w:r w:rsidRPr="000D4AB9">
              <w:rPr>
                <w:rFonts w:eastAsia="Times New Roman"/>
                <w:i/>
                <w:iCs/>
                <w:color w:val="000000"/>
                <w:sz w:val="20"/>
                <w:szCs w:val="20"/>
              </w:rPr>
              <w:t>L. donovani</w:t>
            </w:r>
            <w:r w:rsidRPr="000D4AB9">
              <w:rPr>
                <w:rFonts w:eastAsia="Times New Roman"/>
                <w:color w:val="000000"/>
                <w:sz w:val="20"/>
                <w:szCs w:val="20"/>
              </w:rPr>
              <w:t xml:space="preserve"> exit rate</w:t>
            </w:r>
          </w:p>
        </w:tc>
        <w:tc>
          <w:tcPr>
            <w:tcW w:w="384" w:type="pct"/>
            <w:tcBorders>
              <w:top w:val="nil"/>
              <w:left w:val="nil"/>
              <w:bottom w:val="single" w:sz="4" w:space="0" w:color="auto"/>
              <w:right w:val="single" w:sz="4" w:space="0" w:color="auto"/>
            </w:tcBorders>
            <w:shd w:val="clear" w:color="auto" w:fill="auto"/>
            <w:noWrap/>
            <w:vAlign w:val="center"/>
            <w:hideMark/>
          </w:tcPr>
          <w:p w14:paraId="2F9AC85E" w14:textId="77777777" w:rsidR="000D4AB9" w:rsidRPr="000D4AB9" w:rsidRDefault="000D4AB9" w:rsidP="000D4AB9">
            <w:pPr>
              <w:spacing w:line="240" w:lineRule="auto"/>
              <w:jc w:val="center"/>
              <w:rPr>
                <w:rFonts w:eastAsia="Times New Roman"/>
                <w:color w:val="000000"/>
                <w:sz w:val="20"/>
                <w:szCs w:val="20"/>
              </w:rPr>
            </w:pPr>
            <w:r w:rsidRPr="000D4AB9">
              <w:rPr>
                <w:rFonts w:eastAsia="Times New Roman"/>
                <w:color w:val="000000"/>
                <w:sz w:val="20"/>
                <w:szCs w:val="20"/>
              </w:rPr>
              <w:t>0 - 1</w:t>
            </w:r>
          </w:p>
        </w:tc>
        <w:tc>
          <w:tcPr>
            <w:tcW w:w="484" w:type="pct"/>
            <w:tcBorders>
              <w:top w:val="nil"/>
              <w:left w:val="nil"/>
              <w:bottom w:val="single" w:sz="4" w:space="0" w:color="auto"/>
              <w:right w:val="single" w:sz="4" w:space="0" w:color="auto"/>
            </w:tcBorders>
            <w:shd w:val="clear" w:color="auto" w:fill="auto"/>
            <w:noWrap/>
            <w:vAlign w:val="center"/>
            <w:hideMark/>
          </w:tcPr>
          <w:p w14:paraId="6005815C" w14:textId="77777777" w:rsidR="000D4AB9" w:rsidRPr="000D4AB9" w:rsidRDefault="000D4AB9" w:rsidP="000D4AB9">
            <w:pPr>
              <w:spacing w:line="240" w:lineRule="auto"/>
              <w:jc w:val="center"/>
              <w:rPr>
                <w:rFonts w:eastAsia="Times New Roman"/>
                <w:color w:val="000000"/>
                <w:sz w:val="20"/>
                <w:szCs w:val="20"/>
              </w:rPr>
            </w:pPr>
            <w:r w:rsidRPr="000D4AB9">
              <w:rPr>
                <w:rFonts w:eastAsia="Times New Roman"/>
                <w:color w:val="000000"/>
                <w:sz w:val="20"/>
                <w:szCs w:val="20"/>
              </w:rPr>
              <w:t>Uniform</w:t>
            </w:r>
          </w:p>
        </w:tc>
        <w:tc>
          <w:tcPr>
            <w:tcW w:w="256" w:type="pct"/>
            <w:vMerge/>
            <w:tcBorders>
              <w:top w:val="nil"/>
              <w:left w:val="single" w:sz="4" w:space="0" w:color="auto"/>
              <w:bottom w:val="single" w:sz="4" w:space="0" w:color="auto"/>
              <w:right w:val="single" w:sz="4" w:space="0" w:color="auto"/>
            </w:tcBorders>
            <w:vAlign w:val="center"/>
            <w:hideMark/>
          </w:tcPr>
          <w:p w14:paraId="4E407DA3" w14:textId="77777777" w:rsidR="000D4AB9" w:rsidRPr="000D4AB9" w:rsidRDefault="000D4AB9" w:rsidP="000D4AB9">
            <w:pPr>
              <w:spacing w:line="240" w:lineRule="auto"/>
              <w:rPr>
                <w:rFonts w:eastAsia="Times New Roman"/>
                <w:color w:val="000000"/>
                <w:sz w:val="20"/>
                <w:szCs w:val="20"/>
              </w:rPr>
            </w:pPr>
          </w:p>
        </w:tc>
        <w:tc>
          <w:tcPr>
            <w:tcW w:w="256" w:type="pct"/>
            <w:vMerge/>
            <w:tcBorders>
              <w:top w:val="nil"/>
              <w:left w:val="single" w:sz="4" w:space="0" w:color="auto"/>
              <w:bottom w:val="single" w:sz="4" w:space="0" w:color="auto"/>
              <w:right w:val="single" w:sz="4" w:space="0" w:color="auto"/>
            </w:tcBorders>
            <w:vAlign w:val="center"/>
            <w:hideMark/>
          </w:tcPr>
          <w:p w14:paraId="1B20C08A" w14:textId="77777777" w:rsidR="000D4AB9" w:rsidRPr="000D4AB9" w:rsidRDefault="000D4AB9" w:rsidP="000D4AB9">
            <w:pPr>
              <w:spacing w:line="240" w:lineRule="auto"/>
              <w:rPr>
                <w:rFonts w:eastAsia="Times New Roman"/>
                <w:color w:val="000000"/>
                <w:sz w:val="20"/>
                <w:szCs w:val="20"/>
              </w:rPr>
            </w:pPr>
          </w:p>
        </w:tc>
        <w:tc>
          <w:tcPr>
            <w:tcW w:w="256" w:type="pct"/>
            <w:vMerge/>
            <w:tcBorders>
              <w:top w:val="nil"/>
              <w:left w:val="single" w:sz="4" w:space="0" w:color="auto"/>
              <w:bottom w:val="single" w:sz="4" w:space="0" w:color="auto"/>
              <w:right w:val="single" w:sz="4" w:space="0" w:color="auto"/>
            </w:tcBorders>
            <w:vAlign w:val="center"/>
            <w:hideMark/>
          </w:tcPr>
          <w:p w14:paraId="52873E4E" w14:textId="77777777" w:rsidR="000D4AB9" w:rsidRPr="000D4AB9" w:rsidRDefault="000D4AB9" w:rsidP="000D4AB9">
            <w:pPr>
              <w:spacing w:line="240" w:lineRule="auto"/>
              <w:rPr>
                <w:rFonts w:eastAsia="Times New Roman"/>
                <w:color w:val="000000"/>
                <w:sz w:val="20"/>
                <w:szCs w:val="20"/>
              </w:rPr>
            </w:pPr>
          </w:p>
        </w:tc>
        <w:tc>
          <w:tcPr>
            <w:tcW w:w="256" w:type="pct"/>
            <w:vMerge/>
            <w:tcBorders>
              <w:top w:val="nil"/>
              <w:left w:val="single" w:sz="4" w:space="0" w:color="auto"/>
              <w:bottom w:val="single" w:sz="4" w:space="0" w:color="auto"/>
              <w:right w:val="single" w:sz="4" w:space="0" w:color="auto"/>
            </w:tcBorders>
            <w:vAlign w:val="center"/>
            <w:hideMark/>
          </w:tcPr>
          <w:p w14:paraId="296E1DD0" w14:textId="77777777" w:rsidR="000D4AB9" w:rsidRPr="000D4AB9" w:rsidRDefault="000D4AB9" w:rsidP="000D4AB9">
            <w:pPr>
              <w:spacing w:line="240" w:lineRule="auto"/>
              <w:rPr>
                <w:rFonts w:eastAsia="Times New Roman"/>
                <w:color w:val="000000"/>
                <w:sz w:val="20"/>
                <w:szCs w:val="20"/>
              </w:rPr>
            </w:pPr>
          </w:p>
        </w:tc>
        <w:tc>
          <w:tcPr>
            <w:tcW w:w="256" w:type="pct"/>
            <w:vMerge/>
            <w:tcBorders>
              <w:top w:val="nil"/>
              <w:left w:val="single" w:sz="4" w:space="0" w:color="auto"/>
              <w:bottom w:val="single" w:sz="4" w:space="0" w:color="auto"/>
              <w:right w:val="single" w:sz="4" w:space="0" w:color="auto"/>
            </w:tcBorders>
            <w:vAlign w:val="center"/>
            <w:hideMark/>
          </w:tcPr>
          <w:p w14:paraId="007A887D" w14:textId="77777777" w:rsidR="000D4AB9" w:rsidRPr="000D4AB9" w:rsidRDefault="000D4AB9" w:rsidP="000D4AB9">
            <w:pPr>
              <w:spacing w:line="240" w:lineRule="auto"/>
              <w:rPr>
                <w:rFonts w:eastAsia="Times New Roman"/>
                <w:color w:val="000000"/>
                <w:sz w:val="20"/>
                <w:szCs w:val="20"/>
              </w:rPr>
            </w:pPr>
          </w:p>
        </w:tc>
      </w:tr>
      <w:tr w:rsidR="000D4AB9" w:rsidRPr="000D4AB9" w14:paraId="00C8AA18" w14:textId="77777777" w:rsidTr="000D4AB9">
        <w:trPr>
          <w:trHeight w:val="283"/>
        </w:trPr>
        <w:tc>
          <w:tcPr>
            <w:tcW w:w="477" w:type="pct"/>
            <w:vMerge/>
            <w:tcBorders>
              <w:top w:val="nil"/>
              <w:left w:val="single" w:sz="4" w:space="0" w:color="auto"/>
              <w:bottom w:val="single" w:sz="4" w:space="0" w:color="auto"/>
              <w:right w:val="single" w:sz="4" w:space="0" w:color="auto"/>
            </w:tcBorders>
            <w:vAlign w:val="center"/>
            <w:hideMark/>
          </w:tcPr>
          <w:p w14:paraId="6B4EB962" w14:textId="77777777" w:rsidR="000D4AB9" w:rsidRPr="000D4AB9" w:rsidRDefault="000D4AB9" w:rsidP="000D4AB9">
            <w:pPr>
              <w:spacing w:line="240" w:lineRule="auto"/>
              <w:rPr>
                <w:rFonts w:eastAsia="Times New Roman"/>
                <w:b/>
                <w:color w:val="000000"/>
                <w:sz w:val="20"/>
                <w:szCs w:val="20"/>
              </w:rPr>
            </w:pPr>
          </w:p>
        </w:tc>
        <w:tc>
          <w:tcPr>
            <w:tcW w:w="563" w:type="pct"/>
            <w:vMerge/>
            <w:tcBorders>
              <w:top w:val="nil"/>
              <w:left w:val="single" w:sz="4" w:space="0" w:color="auto"/>
              <w:bottom w:val="single" w:sz="4" w:space="0" w:color="auto"/>
              <w:right w:val="single" w:sz="4" w:space="0" w:color="auto"/>
            </w:tcBorders>
            <w:vAlign w:val="center"/>
            <w:hideMark/>
          </w:tcPr>
          <w:p w14:paraId="462AC722" w14:textId="77777777" w:rsidR="000D4AB9" w:rsidRPr="000D4AB9" w:rsidRDefault="000D4AB9" w:rsidP="000D4AB9">
            <w:pPr>
              <w:spacing w:line="240" w:lineRule="auto"/>
              <w:rPr>
                <w:rFonts w:eastAsia="Times New Roman"/>
                <w:i/>
                <w:iCs/>
                <w:color w:val="000000"/>
                <w:sz w:val="20"/>
                <w:szCs w:val="20"/>
              </w:rPr>
            </w:pPr>
          </w:p>
        </w:tc>
        <w:tc>
          <w:tcPr>
            <w:tcW w:w="421" w:type="pct"/>
            <w:vMerge/>
            <w:tcBorders>
              <w:top w:val="nil"/>
              <w:left w:val="single" w:sz="4" w:space="0" w:color="auto"/>
              <w:bottom w:val="single" w:sz="4" w:space="0" w:color="auto"/>
              <w:right w:val="single" w:sz="4" w:space="0" w:color="auto"/>
            </w:tcBorders>
            <w:vAlign w:val="center"/>
            <w:hideMark/>
          </w:tcPr>
          <w:p w14:paraId="722637CB" w14:textId="77777777" w:rsidR="000D4AB9" w:rsidRPr="000D4AB9" w:rsidRDefault="000D4AB9" w:rsidP="000D4AB9">
            <w:pPr>
              <w:spacing w:line="240" w:lineRule="auto"/>
              <w:rPr>
                <w:rFonts w:eastAsia="Times New Roman"/>
                <w:color w:val="000000"/>
                <w:sz w:val="20"/>
                <w:szCs w:val="20"/>
              </w:rPr>
            </w:pPr>
          </w:p>
        </w:tc>
        <w:tc>
          <w:tcPr>
            <w:tcW w:w="405" w:type="pct"/>
            <w:tcBorders>
              <w:top w:val="nil"/>
              <w:left w:val="nil"/>
              <w:bottom w:val="single" w:sz="4" w:space="0" w:color="auto"/>
              <w:right w:val="single" w:sz="4" w:space="0" w:color="auto"/>
            </w:tcBorders>
            <w:shd w:val="clear" w:color="auto" w:fill="auto"/>
            <w:noWrap/>
            <w:vAlign w:val="center"/>
            <w:hideMark/>
          </w:tcPr>
          <w:p w14:paraId="3F375BC9" w14:textId="77777777" w:rsidR="000D4AB9" w:rsidRPr="000D4AB9" w:rsidRDefault="000D4AB9" w:rsidP="000D4AB9">
            <w:pPr>
              <w:spacing w:line="240" w:lineRule="auto"/>
              <w:jc w:val="center"/>
              <w:rPr>
                <w:rFonts w:eastAsia="Times New Roman"/>
                <w:i/>
                <w:iCs/>
                <w:color w:val="000000"/>
                <w:sz w:val="20"/>
                <w:szCs w:val="20"/>
              </w:rPr>
            </w:pPr>
            <w:r w:rsidRPr="000D4AB9">
              <w:rPr>
                <w:rFonts w:eastAsia="Times New Roman"/>
                <w:i/>
                <w:iCs/>
                <w:color w:val="000000"/>
                <w:sz w:val="20"/>
                <w:szCs w:val="20"/>
              </w:rPr>
              <w:t>Pe</w:t>
            </w:r>
            <w:r w:rsidRPr="000D4AB9">
              <w:rPr>
                <w:rFonts w:eastAsia="Times New Roman"/>
                <w:i/>
                <w:iCs/>
                <w:color w:val="000000"/>
                <w:sz w:val="20"/>
                <w:szCs w:val="20"/>
                <w:vertAlign w:val="subscript"/>
              </w:rPr>
              <w:t>0</w:t>
            </w:r>
          </w:p>
        </w:tc>
        <w:tc>
          <w:tcPr>
            <w:tcW w:w="986" w:type="pct"/>
            <w:tcBorders>
              <w:top w:val="nil"/>
              <w:left w:val="nil"/>
              <w:bottom w:val="single" w:sz="4" w:space="0" w:color="auto"/>
              <w:right w:val="single" w:sz="4" w:space="0" w:color="auto"/>
            </w:tcBorders>
            <w:shd w:val="clear" w:color="auto" w:fill="auto"/>
            <w:vAlign w:val="center"/>
            <w:hideMark/>
          </w:tcPr>
          <w:p w14:paraId="49C8FD5E" w14:textId="77777777" w:rsidR="000D4AB9" w:rsidRPr="000D4AB9" w:rsidRDefault="000D4AB9" w:rsidP="000D4AB9">
            <w:pPr>
              <w:spacing w:line="240" w:lineRule="auto"/>
              <w:jc w:val="center"/>
              <w:rPr>
                <w:rFonts w:eastAsia="Times New Roman"/>
                <w:color w:val="000000"/>
                <w:sz w:val="20"/>
                <w:szCs w:val="20"/>
              </w:rPr>
            </w:pPr>
            <w:r w:rsidRPr="000D4AB9">
              <w:rPr>
                <w:rFonts w:eastAsia="Times New Roman"/>
                <w:color w:val="000000"/>
                <w:sz w:val="20"/>
                <w:szCs w:val="20"/>
              </w:rPr>
              <w:t xml:space="preserve">Initial extracellular </w:t>
            </w:r>
            <w:r w:rsidRPr="000D4AB9">
              <w:rPr>
                <w:rFonts w:eastAsia="Times New Roman"/>
                <w:i/>
                <w:iCs/>
                <w:color w:val="000000"/>
                <w:sz w:val="20"/>
                <w:szCs w:val="20"/>
              </w:rPr>
              <w:t>L. donovani</w:t>
            </w:r>
            <w:r w:rsidRPr="000D4AB9">
              <w:rPr>
                <w:rFonts w:eastAsia="Times New Roman"/>
                <w:color w:val="000000"/>
                <w:sz w:val="20"/>
                <w:szCs w:val="20"/>
              </w:rPr>
              <w:t xml:space="preserve"> value</w:t>
            </w:r>
          </w:p>
        </w:tc>
        <w:tc>
          <w:tcPr>
            <w:tcW w:w="384" w:type="pct"/>
            <w:tcBorders>
              <w:top w:val="nil"/>
              <w:left w:val="nil"/>
              <w:bottom w:val="single" w:sz="4" w:space="0" w:color="auto"/>
              <w:right w:val="single" w:sz="4" w:space="0" w:color="auto"/>
            </w:tcBorders>
            <w:shd w:val="clear" w:color="auto" w:fill="auto"/>
            <w:noWrap/>
            <w:vAlign w:val="center"/>
            <w:hideMark/>
          </w:tcPr>
          <w:p w14:paraId="3EACE6B3" w14:textId="77777777" w:rsidR="000D4AB9" w:rsidRPr="000D4AB9" w:rsidRDefault="000D4AB9" w:rsidP="000D4AB9">
            <w:pPr>
              <w:spacing w:line="240" w:lineRule="auto"/>
              <w:jc w:val="center"/>
              <w:rPr>
                <w:rFonts w:eastAsia="Times New Roman"/>
                <w:color w:val="000000"/>
                <w:sz w:val="20"/>
                <w:szCs w:val="20"/>
              </w:rPr>
            </w:pPr>
            <w:r w:rsidRPr="000D4AB9">
              <w:rPr>
                <w:rFonts w:eastAsia="Times New Roman"/>
                <w:color w:val="000000"/>
                <w:sz w:val="20"/>
                <w:szCs w:val="20"/>
              </w:rPr>
              <w:t>6 - 10</w:t>
            </w:r>
          </w:p>
        </w:tc>
        <w:tc>
          <w:tcPr>
            <w:tcW w:w="484" w:type="pct"/>
            <w:tcBorders>
              <w:top w:val="nil"/>
              <w:left w:val="nil"/>
              <w:bottom w:val="single" w:sz="4" w:space="0" w:color="auto"/>
              <w:right w:val="single" w:sz="4" w:space="0" w:color="auto"/>
            </w:tcBorders>
            <w:shd w:val="clear" w:color="auto" w:fill="auto"/>
            <w:noWrap/>
            <w:vAlign w:val="center"/>
            <w:hideMark/>
          </w:tcPr>
          <w:p w14:paraId="0A1B3BEB" w14:textId="77777777" w:rsidR="000D4AB9" w:rsidRPr="000D4AB9" w:rsidRDefault="000D4AB9" w:rsidP="000D4AB9">
            <w:pPr>
              <w:spacing w:line="240" w:lineRule="auto"/>
              <w:jc w:val="center"/>
              <w:rPr>
                <w:rFonts w:eastAsia="Times New Roman"/>
                <w:color w:val="000000"/>
                <w:sz w:val="20"/>
                <w:szCs w:val="20"/>
              </w:rPr>
            </w:pPr>
            <w:r w:rsidRPr="000D4AB9">
              <w:rPr>
                <w:rFonts w:eastAsia="Times New Roman"/>
                <w:color w:val="000000"/>
                <w:sz w:val="20"/>
                <w:szCs w:val="20"/>
              </w:rPr>
              <w:t>Uniform</w:t>
            </w:r>
          </w:p>
        </w:tc>
        <w:tc>
          <w:tcPr>
            <w:tcW w:w="256" w:type="pct"/>
            <w:vMerge/>
            <w:tcBorders>
              <w:top w:val="nil"/>
              <w:left w:val="single" w:sz="4" w:space="0" w:color="auto"/>
              <w:bottom w:val="single" w:sz="4" w:space="0" w:color="auto"/>
              <w:right w:val="single" w:sz="4" w:space="0" w:color="auto"/>
            </w:tcBorders>
            <w:vAlign w:val="center"/>
            <w:hideMark/>
          </w:tcPr>
          <w:p w14:paraId="51D66682" w14:textId="77777777" w:rsidR="000D4AB9" w:rsidRPr="000D4AB9" w:rsidRDefault="000D4AB9" w:rsidP="000D4AB9">
            <w:pPr>
              <w:spacing w:line="240" w:lineRule="auto"/>
              <w:rPr>
                <w:rFonts w:eastAsia="Times New Roman"/>
                <w:color w:val="000000"/>
                <w:sz w:val="20"/>
                <w:szCs w:val="20"/>
              </w:rPr>
            </w:pPr>
          </w:p>
        </w:tc>
        <w:tc>
          <w:tcPr>
            <w:tcW w:w="256" w:type="pct"/>
            <w:vMerge/>
            <w:tcBorders>
              <w:top w:val="nil"/>
              <w:left w:val="single" w:sz="4" w:space="0" w:color="auto"/>
              <w:bottom w:val="single" w:sz="4" w:space="0" w:color="auto"/>
              <w:right w:val="single" w:sz="4" w:space="0" w:color="auto"/>
            </w:tcBorders>
            <w:vAlign w:val="center"/>
            <w:hideMark/>
          </w:tcPr>
          <w:p w14:paraId="292775A6" w14:textId="77777777" w:rsidR="000D4AB9" w:rsidRPr="000D4AB9" w:rsidRDefault="000D4AB9" w:rsidP="000D4AB9">
            <w:pPr>
              <w:spacing w:line="240" w:lineRule="auto"/>
              <w:rPr>
                <w:rFonts w:eastAsia="Times New Roman"/>
                <w:color w:val="000000"/>
                <w:sz w:val="20"/>
                <w:szCs w:val="20"/>
              </w:rPr>
            </w:pPr>
          </w:p>
        </w:tc>
        <w:tc>
          <w:tcPr>
            <w:tcW w:w="256" w:type="pct"/>
            <w:vMerge/>
            <w:tcBorders>
              <w:top w:val="nil"/>
              <w:left w:val="single" w:sz="4" w:space="0" w:color="auto"/>
              <w:bottom w:val="single" w:sz="4" w:space="0" w:color="auto"/>
              <w:right w:val="single" w:sz="4" w:space="0" w:color="auto"/>
            </w:tcBorders>
            <w:vAlign w:val="center"/>
            <w:hideMark/>
          </w:tcPr>
          <w:p w14:paraId="69D934C6" w14:textId="77777777" w:rsidR="000D4AB9" w:rsidRPr="000D4AB9" w:rsidRDefault="000D4AB9" w:rsidP="000D4AB9">
            <w:pPr>
              <w:spacing w:line="240" w:lineRule="auto"/>
              <w:rPr>
                <w:rFonts w:eastAsia="Times New Roman"/>
                <w:color w:val="000000"/>
                <w:sz w:val="20"/>
                <w:szCs w:val="20"/>
              </w:rPr>
            </w:pPr>
          </w:p>
        </w:tc>
        <w:tc>
          <w:tcPr>
            <w:tcW w:w="256" w:type="pct"/>
            <w:vMerge/>
            <w:tcBorders>
              <w:top w:val="nil"/>
              <w:left w:val="single" w:sz="4" w:space="0" w:color="auto"/>
              <w:bottom w:val="single" w:sz="4" w:space="0" w:color="auto"/>
              <w:right w:val="single" w:sz="4" w:space="0" w:color="auto"/>
            </w:tcBorders>
            <w:vAlign w:val="center"/>
            <w:hideMark/>
          </w:tcPr>
          <w:p w14:paraId="4CCA771B" w14:textId="77777777" w:rsidR="000D4AB9" w:rsidRPr="000D4AB9" w:rsidRDefault="000D4AB9" w:rsidP="000D4AB9">
            <w:pPr>
              <w:spacing w:line="240" w:lineRule="auto"/>
              <w:rPr>
                <w:rFonts w:eastAsia="Times New Roman"/>
                <w:color w:val="000000"/>
                <w:sz w:val="20"/>
                <w:szCs w:val="20"/>
              </w:rPr>
            </w:pPr>
          </w:p>
        </w:tc>
        <w:tc>
          <w:tcPr>
            <w:tcW w:w="256" w:type="pct"/>
            <w:vMerge/>
            <w:tcBorders>
              <w:top w:val="nil"/>
              <w:left w:val="single" w:sz="4" w:space="0" w:color="auto"/>
              <w:bottom w:val="single" w:sz="4" w:space="0" w:color="auto"/>
              <w:right w:val="single" w:sz="4" w:space="0" w:color="auto"/>
            </w:tcBorders>
            <w:vAlign w:val="center"/>
            <w:hideMark/>
          </w:tcPr>
          <w:p w14:paraId="0E482539" w14:textId="77777777" w:rsidR="000D4AB9" w:rsidRPr="000D4AB9" w:rsidRDefault="000D4AB9" w:rsidP="000D4AB9">
            <w:pPr>
              <w:spacing w:line="240" w:lineRule="auto"/>
              <w:rPr>
                <w:rFonts w:eastAsia="Times New Roman"/>
                <w:color w:val="000000"/>
                <w:sz w:val="20"/>
                <w:szCs w:val="20"/>
              </w:rPr>
            </w:pPr>
          </w:p>
        </w:tc>
      </w:tr>
      <w:tr w:rsidR="000D4AB9" w:rsidRPr="000D4AB9" w14:paraId="5016C79C" w14:textId="77777777" w:rsidTr="000D4AB9">
        <w:trPr>
          <w:trHeight w:val="283"/>
        </w:trPr>
        <w:tc>
          <w:tcPr>
            <w:tcW w:w="477"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2D31F88B" w14:textId="77777777" w:rsidR="000D4AB9" w:rsidRPr="000D4AB9" w:rsidRDefault="000D4AB9" w:rsidP="000D4AB9">
            <w:pPr>
              <w:spacing w:line="240" w:lineRule="auto"/>
              <w:jc w:val="center"/>
              <w:rPr>
                <w:rFonts w:eastAsia="Times New Roman"/>
                <w:b/>
                <w:color w:val="000000"/>
                <w:sz w:val="20"/>
                <w:szCs w:val="20"/>
              </w:rPr>
            </w:pPr>
            <w:r w:rsidRPr="000D4AB9">
              <w:rPr>
                <w:rFonts w:eastAsia="Times New Roman"/>
                <w:b/>
                <w:color w:val="000000"/>
                <w:sz w:val="20"/>
                <w:szCs w:val="20"/>
              </w:rPr>
              <w:t>Figure 5.2</w:t>
            </w:r>
          </w:p>
        </w:tc>
        <w:tc>
          <w:tcPr>
            <w:tcW w:w="563"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7118AB36" w14:textId="77777777" w:rsidR="000D4AB9" w:rsidRPr="000D4AB9" w:rsidRDefault="000D4AB9" w:rsidP="000D4AB9">
            <w:pPr>
              <w:spacing w:line="240" w:lineRule="auto"/>
              <w:jc w:val="center"/>
              <w:rPr>
                <w:rFonts w:eastAsia="Times New Roman"/>
                <w:color w:val="000000"/>
                <w:sz w:val="20"/>
                <w:szCs w:val="20"/>
              </w:rPr>
            </w:pPr>
            <w:r w:rsidRPr="000D4AB9">
              <w:rPr>
                <w:rFonts w:eastAsia="Times New Roman"/>
                <w:color w:val="000000"/>
                <w:sz w:val="20"/>
                <w:szCs w:val="20"/>
              </w:rPr>
              <w:t>T cells</w:t>
            </w:r>
          </w:p>
        </w:tc>
        <w:tc>
          <w:tcPr>
            <w:tcW w:w="421"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5A6D1D3B" w14:textId="77777777" w:rsidR="000D4AB9" w:rsidRPr="000D4AB9" w:rsidRDefault="000D4AB9" w:rsidP="000D4AB9">
            <w:pPr>
              <w:spacing w:line="240" w:lineRule="auto"/>
              <w:jc w:val="center"/>
              <w:rPr>
                <w:rFonts w:eastAsia="Times New Roman"/>
                <w:color w:val="000000"/>
                <w:sz w:val="20"/>
                <w:szCs w:val="20"/>
              </w:rPr>
            </w:pPr>
            <w:r w:rsidRPr="000D4AB9">
              <w:rPr>
                <w:rFonts w:eastAsia="Times New Roman"/>
                <w:color w:val="000000"/>
                <w:sz w:val="20"/>
                <w:szCs w:val="20"/>
              </w:rPr>
              <w:t>Beaumont</w:t>
            </w:r>
          </w:p>
        </w:tc>
        <w:tc>
          <w:tcPr>
            <w:tcW w:w="405" w:type="pct"/>
            <w:tcBorders>
              <w:top w:val="nil"/>
              <w:left w:val="nil"/>
              <w:bottom w:val="single" w:sz="4" w:space="0" w:color="auto"/>
              <w:right w:val="single" w:sz="4" w:space="0" w:color="auto"/>
            </w:tcBorders>
            <w:shd w:val="clear" w:color="auto" w:fill="auto"/>
            <w:noWrap/>
            <w:vAlign w:val="center"/>
            <w:hideMark/>
          </w:tcPr>
          <w:p w14:paraId="2707442A" w14:textId="77777777" w:rsidR="000D4AB9" w:rsidRPr="000D4AB9" w:rsidRDefault="000D4AB9" w:rsidP="000D4AB9">
            <w:pPr>
              <w:spacing w:line="240" w:lineRule="auto"/>
              <w:jc w:val="center"/>
              <w:rPr>
                <w:rFonts w:eastAsia="Times New Roman"/>
                <w:i/>
                <w:iCs/>
                <w:color w:val="000000"/>
                <w:sz w:val="20"/>
                <w:szCs w:val="20"/>
              </w:rPr>
            </w:pPr>
            <w:r w:rsidRPr="000D4AB9">
              <w:rPr>
                <w:rFonts w:eastAsia="Times New Roman"/>
                <w:i/>
                <w:iCs/>
                <w:color w:val="000000"/>
                <w:sz w:val="20"/>
                <w:szCs w:val="20"/>
              </w:rPr>
              <w:t>Lt</w:t>
            </w:r>
          </w:p>
        </w:tc>
        <w:tc>
          <w:tcPr>
            <w:tcW w:w="986" w:type="pct"/>
            <w:tcBorders>
              <w:top w:val="nil"/>
              <w:left w:val="nil"/>
              <w:bottom w:val="single" w:sz="4" w:space="0" w:color="auto"/>
              <w:right w:val="single" w:sz="4" w:space="0" w:color="auto"/>
            </w:tcBorders>
            <w:shd w:val="clear" w:color="auto" w:fill="auto"/>
            <w:vAlign w:val="center"/>
            <w:hideMark/>
          </w:tcPr>
          <w:p w14:paraId="5CCED007" w14:textId="77777777" w:rsidR="000D4AB9" w:rsidRPr="000D4AB9" w:rsidRDefault="000D4AB9" w:rsidP="000D4AB9">
            <w:pPr>
              <w:spacing w:line="240" w:lineRule="auto"/>
              <w:jc w:val="center"/>
              <w:rPr>
                <w:rFonts w:eastAsia="Times New Roman"/>
                <w:color w:val="000000"/>
                <w:sz w:val="20"/>
                <w:szCs w:val="20"/>
              </w:rPr>
            </w:pPr>
            <w:r w:rsidRPr="000D4AB9">
              <w:rPr>
                <w:rFonts w:eastAsia="Times New Roman"/>
                <w:color w:val="000000"/>
                <w:sz w:val="20"/>
                <w:szCs w:val="20"/>
              </w:rPr>
              <w:t>T cell supply rate</w:t>
            </w:r>
          </w:p>
        </w:tc>
        <w:tc>
          <w:tcPr>
            <w:tcW w:w="384" w:type="pct"/>
            <w:tcBorders>
              <w:top w:val="nil"/>
              <w:left w:val="nil"/>
              <w:bottom w:val="single" w:sz="4" w:space="0" w:color="auto"/>
              <w:right w:val="single" w:sz="4" w:space="0" w:color="auto"/>
            </w:tcBorders>
            <w:shd w:val="clear" w:color="auto" w:fill="auto"/>
            <w:noWrap/>
            <w:vAlign w:val="center"/>
            <w:hideMark/>
          </w:tcPr>
          <w:p w14:paraId="050F9568" w14:textId="77777777" w:rsidR="000D4AB9" w:rsidRPr="000D4AB9" w:rsidRDefault="000D4AB9" w:rsidP="000D4AB9">
            <w:pPr>
              <w:spacing w:line="240" w:lineRule="auto"/>
              <w:jc w:val="center"/>
              <w:rPr>
                <w:rFonts w:eastAsia="Times New Roman"/>
                <w:color w:val="000000"/>
                <w:sz w:val="20"/>
                <w:szCs w:val="20"/>
              </w:rPr>
            </w:pPr>
            <w:r w:rsidRPr="000D4AB9">
              <w:rPr>
                <w:rFonts w:eastAsia="Times New Roman"/>
                <w:color w:val="000000"/>
                <w:sz w:val="20"/>
                <w:szCs w:val="20"/>
              </w:rPr>
              <w:t>0 - 21</w:t>
            </w:r>
          </w:p>
        </w:tc>
        <w:tc>
          <w:tcPr>
            <w:tcW w:w="484" w:type="pct"/>
            <w:tcBorders>
              <w:top w:val="nil"/>
              <w:left w:val="nil"/>
              <w:bottom w:val="single" w:sz="4" w:space="0" w:color="auto"/>
              <w:right w:val="single" w:sz="4" w:space="0" w:color="auto"/>
            </w:tcBorders>
            <w:shd w:val="clear" w:color="auto" w:fill="auto"/>
            <w:noWrap/>
            <w:vAlign w:val="center"/>
            <w:hideMark/>
          </w:tcPr>
          <w:p w14:paraId="41E369BC" w14:textId="77777777" w:rsidR="000D4AB9" w:rsidRPr="000D4AB9" w:rsidRDefault="000D4AB9" w:rsidP="000D4AB9">
            <w:pPr>
              <w:spacing w:line="240" w:lineRule="auto"/>
              <w:jc w:val="center"/>
              <w:rPr>
                <w:rFonts w:eastAsia="Times New Roman"/>
                <w:color w:val="000000"/>
                <w:sz w:val="20"/>
                <w:szCs w:val="20"/>
              </w:rPr>
            </w:pPr>
            <w:r w:rsidRPr="000D4AB9">
              <w:rPr>
                <w:rFonts w:eastAsia="Times New Roman"/>
                <w:color w:val="000000"/>
                <w:sz w:val="20"/>
                <w:szCs w:val="20"/>
              </w:rPr>
              <w:t>Uniform</w:t>
            </w:r>
          </w:p>
        </w:tc>
        <w:tc>
          <w:tcPr>
            <w:tcW w:w="256"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4C5C188E" w14:textId="77777777" w:rsidR="000D4AB9" w:rsidRPr="000D4AB9" w:rsidRDefault="000D4AB9" w:rsidP="000D4AB9">
            <w:pPr>
              <w:spacing w:line="240" w:lineRule="auto"/>
              <w:jc w:val="center"/>
              <w:rPr>
                <w:rFonts w:eastAsia="Times New Roman"/>
                <w:color w:val="000000"/>
                <w:sz w:val="20"/>
                <w:szCs w:val="20"/>
              </w:rPr>
            </w:pPr>
            <w:r w:rsidRPr="000D4AB9">
              <w:rPr>
                <w:rFonts w:eastAsia="Times New Roman"/>
                <w:color w:val="000000"/>
                <w:sz w:val="20"/>
                <w:szCs w:val="20"/>
              </w:rPr>
              <w:t>0.5</w:t>
            </w:r>
          </w:p>
        </w:tc>
        <w:tc>
          <w:tcPr>
            <w:tcW w:w="256"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0426CF77" w14:textId="77777777" w:rsidR="000D4AB9" w:rsidRPr="000D4AB9" w:rsidRDefault="000D4AB9" w:rsidP="000D4AB9">
            <w:pPr>
              <w:spacing w:line="240" w:lineRule="auto"/>
              <w:jc w:val="center"/>
              <w:rPr>
                <w:rFonts w:eastAsia="Times New Roman"/>
                <w:color w:val="000000"/>
                <w:sz w:val="20"/>
                <w:szCs w:val="20"/>
              </w:rPr>
            </w:pPr>
            <w:r w:rsidRPr="000D4AB9">
              <w:rPr>
                <w:rFonts w:eastAsia="Times New Roman"/>
                <w:color w:val="000000"/>
                <w:sz w:val="20"/>
                <w:szCs w:val="20"/>
              </w:rPr>
              <w:t>0.1</w:t>
            </w:r>
          </w:p>
        </w:tc>
        <w:tc>
          <w:tcPr>
            <w:tcW w:w="256"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5FF1AD78" w14:textId="77777777" w:rsidR="000D4AB9" w:rsidRPr="000D4AB9" w:rsidRDefault="000D4AB9" w:rsidP="000D4AB9">
            <w:pPr>
              <w:spacing w:line="240" w:lineRule="auto"/>
              <w:jc w:val="center"/>
              <w:rPr>
                <w:rFonts w:eastAsia="Times New Roman"/>
                <w:color w:val="000000"/>
                <w:sz w:val="20"/>
                <w:szCs w:val="20"/>
              </w:rPr>
            </w:pPr>
            <w:r w:rsidRPr="000D4AB9">
              <w:rPr>
                <w:rFonts w:eastAsia="Times New Roman"/>
                <w:color w:val="000000"/>
                <w:sz w:val="20"/>
                <w:szCs w:val="20"/>
              </w:rPr>
              <w:t>0.01</w:t>
            </w:r>
          </w:p>
        </w:tc>
        <w:tc>
          <w:tcPr>
            <w:tcW w:w="256"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5598B8FF" w14:textId="77777777" w:rsidR="000D4AB9" w:rsidRPr="000D4AB9" w:rsidRDefault="000D4AB9" w:rsidP="000D4AB9">
            <w:pPr>
              <w:spacing w:line="240" w:lineRule="auto"/>
              <w:jc w:val="center"/>
              <w:rPr>
                <w:rFonts w:eastAsia="Times New Roman"/>
                <w:color w:val="000000"/>
                <w:sz w:val="20"/>
                <w:szCs w:val="20"/>
              </w:rPr>
            </w:pPr>
            <w:r w:rsidRPr="000D4AB9">
              <w:rPr>
                <w:rFonts w:eastAsia="Times New Roman"/>
                <w:color w:val="000000"/>
                <w:sz w:val="20"/>
                <w:szCs w:val="20"/>
              </w:rPr>
              <w:t>0.005</w:t>
            </w:r>
          </w:p>
        </w:tc>
        <w:tc>
          <w:tcPr>
            <w:tcW w:w="256"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5EFDF7C2" w14:textId="77777777" w:rsidR="000D4AB9" w:rsidRPr="000D4AB9" w:rsidRDefault="000D4AB9" w:rsidP="000D4AB9">
            <w:pPr>
              <w:spacing w:line="240" w:lineRule="auto"/>
              <w:jc w:val="center"/>
              <w:rPr>
                <w:rFonts w:eastAsia="Times New Roman"/>
                <w:color w:val="000000"/>
                <w:sz w:val="20"/>
                <w:szCs w:val="20"/>
              </w:rPr>
            </w:pPr>
            <w:r w:rsidRPr="000D4AB9">
              <w:rPr>
                <w:rFonts w:eastAsia="Times New Roman"/>
                <w:color w:val="000000"/>
                <w:sz w:val="20"/>
                <w:szCs w:val="20"/>
              </w:rPr>
              <w:t>0.001</w:t>
            </w:r>
          </w:p>
        </w:tc>
      </w:tr>
      <w:tr w:rsidR="000D4AB9" w:rsidRPr="000D4AB9" w14:paraId="1C46A884" w14:textId="77777777" w:rsidTr="000D4AB9">
        <w:trPr>
          <w:trHeight w:val="283"/>
        </w:trPr>
        <w:tc>
          <w:tcPr>
            <w:tcW w:w="477" w:type="pct"/>
            <w:vMerge/>
            <w:tcBorders>
              <w:top w:val="nil"/>
              <w:left w:val="single" w:sz="4" w:space="0" w:color="auto"/>
              <w:bottom w:val="single" w:sz="4" w:space="0" w:color="auto"/>
              <w:right w:val="single" w:sz="4" w:space="0" w:color="auto"/>
            </w:tcBorders>
            <w:vAlign w:val="center"/>
            <w:hideMark/>
          </w:tcPr>
          <w:p w14:paraId="14F4885C" w14:textId="77777777" w:rsidR="000D4AB9" w:rsidRPr="000D4AB9" w:rsidRDefault="000D4AB9" w:rsidP="000D4AB9">
            <w:pPr>
              <w:spacing w:line="240" w:lineRule="auto"/>
              <w:rPr>
                <w:rFonts w:eastAsia="Times New Roman"/>
                <w:b/>
                <w:color w:val="000000"/>
                <w:sz w:val="20"/>
                <w:szCs w:val="20"/>
              </w:rPr>
            </w:pPr>
          </w:p>
        </w:tc>
        <w:tc>
          <w:tcPr>
            <w:tcW w:w="563" w:type="pct"/>
            <w:vMerge/>
            <w:tcBorders>
              <w:top w:val="nil"/>
              <w:left w:val="single" w:sz="4" w:space="0" w:color="auto"/>
              <w:bottom w:val="single" w:sz="4" w:space="0" w:color="auto"/>
              <w:right w:val="single" w:sz="4" w:space="0" w:color="auto"/>
            </w:tcBorders>
            <w:vAlign w:val="center"/>
            <w:hideMark/>
          </w:tcPr>
          <w:p w14:paraId="041FFF5A" w14:textId="77777777" w:rsidR="000D4AB9" w:rsidRPr="000D4AB9" w:rsidRDefault="000D4AB9" w:rsidP="000D4AB9">
            <w:pPr>
              <w:spacing w:line="240" w:lineRule="auto"/>
              <w:rPr>
                <w:rFonts w:eastAsia="Times New Roman"/>
                <w:color w:val="000000"/>
                <w:sz w:val="20"/>
                <w:szCs w:val="20"/>
              </w:rPr>
            </w:pPr>
          </w:p>
        </w:tc>
        <w:tc>
          <w:tcPr>
            <w:tcW w:w="421" w:type="pct"/>
            <w:vMerge/>
            <w:tcBorders>
              <w:top w:val="nil"/>
              <w:left w:val="single" w:sz="4" w:space="0" w:color="auto"/>
              <w:bottom w:val="single" w:sz="4" w:space="0" w:color="auto"/>
              <w:right w:val="single" w:sz="4" w:space="0" w:color="auto"/>
            </w:tcBorders>
            <w:vAlign w:val="center"/>
            <w:hideMark/>
          </w:tcPr>
          <w:p w14:paraId="5A93CF93" w14:textId="77777777" w:rsidR="000D4AB9" w:rsidRPr="000D4AB9" w:rsidRDefault="000D4AB9" w:rsidP="000D4AB9">
            <w:pPr>
              <w:spacing w:line="240" w:lineRule="auto"/>
              <w:rPr>
                <w:rFonts w:eastAsia="Times New Roman"/>
                <w:color w:val="000000"/>
                <w:sz w:val="20"/>
                <w:szCs w:val="20"/>
              </w:rPr>
            </w:pPr>
          </w:p>
        </w:tc>
        <w:tc>
          <w:tcPr>
            <w:tcW w:w="405" w:type="pct"/>
            <w:tcBorders>
              <w:top w:val="nil"/>
              <w:left w:val="nil"/>
              <w:bottom w:val="single" w:sz="4" w:space="0" w:color="auto"/>
              <w:right w:val="single" w:sz="4" w:space="0" w:color="auto"/>
            </w:tcBorders>
            <w:shd w:val="clear" w:color="auto" w:fill="auto"/>
            <w:noWrap/>
            <w:vAlign w:val="center"/>
            <w:hideMark/>
          </w:tcPr>
          <w:p w14:paraId="738F16DC" w14:textId="77777777" w:rsidR="000D4AB9" w:rsidRPr="000D4AB9" w:rsidRDefault="000D4AB9" w:rsidP="000D4AB9">
            <w:pPr>
              <w:spacing w:line="240" w:lineRule="auto"/>
              <w:jc w:val="center"/>
              <w:rPr>
                <w:rFonts w:eastAsia="Times New Roman"/>
                <w:i/>
                <w:iCs/>
                <w:color w:val="000000"/>
                <w:sz w:val="20"/>
                <w:szCs w:val="20"/>
              </w:rPr>
            </w:pPr>
            <w:r w:rsidRPr="000D4AB9">
              <w:rPr>
                <w:rFonts w:eastAsia="Times New Roman"/>
                <w:i/>
                <w:iCs/>
                <w:color w:val="000000"/>
                <w:sz w:val="20"/>
                <w:szCs w:val="20"/>
              </w:rPr>
              <w:t>Dt</w:t>
            </w:r>
          </w:p>
        </w:tc>
        <w:tc>
          <w:tcPr>
            <w:tcW w:w="986" w:type="pct"/>
            <w:tcBorders>
              <w:top w:val="nil"/>
              <w:left w:val="nil"/>
              <w:bottom w:val="single" w:sz="4" w:space="0" w:color="auto"/>
              <w:right w:val="single" w:sz="4" w:space="0" w:color="auto"/>
            </w:tcBorders>
            <w:shd w:val="clear" w:color="auto" w:fill="auto"/>
            <w:vAlign w:val="center"/>
            <w:hideMark/>
          </w:tcPr>
          <w:p w14:paraId="536CFBAB" w14:textId="77777777" w:rsidR="000D4AB9" w:rsidRPr="000D4AB9" w:rsidRDefault="000D4AB9" w:rsidP="000D4AB9">
            <w:pPr>
              <w:spacing w:line="240" w:lineRule="auto"/>
              <w:jc w:val="center"/>
              <w:rPr>
                <w:rFonts w:eastAsia="Times New Roman"/>
                <w:color w:val="000000"/>
                <w:sz w:val="20"/>
                <w:szCs w:val="20"/>
              </w:rPr>
            </w:pPr>
            <w:r w:rsidRPr="000D4AB9">
              <w:rPr>
                <w:rFonts w:eastAsia="Times New Roman"/>
                <w:color w:val="000000"/>
                <w:sz w:val="20"/>
                <w:szCs w:val="20"/>
              </w:rPr>
              <w:t>T cell exit rate</w:t>
            </w:r>
          </w:p>
        </w:tc>
        <w:tc>
          <w:tcPr>
            <w:tcW w:w="384" w:type="pct"/>
            <w:tcBorders>
              <w:top w:val="nil"/>
              <w:left w:val="nil"/>
              <w:bottom w:val="single" w:sz="4" w:space="0" w:color="auto"/>
              <w:right w:val="single" w:sz="4" w:space="0" w:color="auto"/>
            </w:tcBorders>
            <w:shd w:val="clear" w:color="auto" w:fill="auto"/>
            <w:noWrap/>
            <w:vAlign w:val="center"/>
            <w:hideMark/>
          </w:tcPr>
          <w:p w14:paraId="16FFB1CE" w14:textId="77777777" w:rsidR="000D4AB9" w:rsidRPr="000D4AB9" w:rsidRDefault="000D4AB9" w:rsidP="000D4AB9">
            <w:pPr>
              <w:spacing w:line="240" w:lineRule="auto"/>
              <w:jc w:val="center"/>
              <w:rPr>
                <w:rFonts w:eastAsia="Times New Roman"/>
                <w:color w:val="000000"/>
                <w:sz w:val="20"/>
                <w:szCs w:val="20"/>
              </w:rPr>
            </w:pPr>
            <w:r w:rsidRPr="000D4AB9">
              <w:rPr>
                <w:rFonts w:eastAsia="Times New Roman"/>
                <w:color w:val="000000"/>
                <w:sz w:val="20"/>
                <w:szCs w:val="20"/>
              </w:rPr>
              <w:t>0 - 1</w:t>
            </w:r>
          </w:p>
        </w:tc>
        <w:tc>
          <w:tcPr>
            <w:tcW w:w="484" w:type="pct"/>
            <w:tcBorders>
              <w:top w:val="nil"/>
              <w:left w:val="nil"/>
              <w:bottom w:val="single" w:sz="4" w:space="0" w:color="auto"/>
              <w:right w:val="single" w:sz="4" w:space="0" w:color="auto"/>
            </w:tcBorders>
            <w:shd w:val="clear" w:color="auto" w:fill="auto"/>
            <w:noWrap/>
            <w:vAlign w:val="center"/>
            <w:hideMark/>
          </w:tcPr>
          <w:p w14:paraId="6A54E7C7" w14:textId="77777777" w:rsidR="000D4AB9" w:rsidRPr="000D4AB9" w:rsidRDefault="000D4AB9" w:rsidP="000D4AB9">
            <w:pPr>
              <w:spacing w:line="240" w:lineRule="auto"/>
              <w:jc w:val="center"/>
              <w:rPr>
                <w:rFonts w:eastAsia="Times New Roman"/>
                <w:color w:val="000000"/>
                <w:sz w:val="20"/>
                <w:szCs w:val="20"/>
              </w:rPr>
            </w:pPr>
            <w:r w:rsidRPr="000D4AB9">
              <w:rPr>
                <w:rFonts w:eastAsia="Times New Roman"/>
                <w:color w:val="000000"/>
                <w:sz w:val="20"/>
                <w:szCs w:val="20"/>
              </w:rPr>
              <w:t>Uniform</w:t>
            </w:r>
          </w:p>
        </w:tc>
        <w:tc>
          <w:tcPr>
            <w:tcW w:w="256" w:type="pct"/>
            <w:vMerge/>
            <w:tcBorders>
              <w:top w:val="nil"/>
              <w:left w:val="single" w:sz="4" w:space="0" w:color="auto"/>
              <w:bottom w:val="single" w:sz="4" w:space="0" w:color="auto"/>
              <w:right w:val="single" w:sz="4" w:space="0" w:color="auto"/>
            </w:tcBorders>
            <w:vAlign w:val="center"/>
            <w:hideMark/>
          </w:tcPr>
          <w:p w14:paraId="564CA31F" w14:textId="77777777" w:rsidR="000D4AB9" w:rsidRPr="000D4AB9" w:rsidRDefault="000D4AB9" w:rsidP="000D4AB9">
            <w:pPr>
              <w:spacing w:line="240" w:lineRule="auto"/>
              <w:rPr>
                <w:rFonts w:eastAsia="Times New Roman"/>
                <w:color w:val="000000"/>
                <w:sz w:val="20"/>
                <w:szCs w:val="20"/>
              </w:rPr>
            </w:pPr>
          </w:p>
        </w:tc>
        <w:tc>
          <w:tcPr>
            <w:tcW w:w="256" w:type="pct"/>
            <w:vMerge/>
            <w:tcBorders>
              <w:top w:val="nil"/>
              <w:left w:val="single" w:sz="4" w:space="0" w:color="auto"/>
              <w:bottom w:val="single" w:sz="4" w:space="0" w:color="auto"/>
              <w:right w:val="single" w:sz="4" w:space="0" w:color="auto"/>
            </w:tcBorders>
            <w:vAlign w:val="center"/>
            <w:hideMark/>
          </w:tcPr>
          <w:p w14:paraId="551AB055" w14:textId="77777777" w:rsidR="000D4AB9" w:rsidRPr="000D4AB9" w:rsidRDefault="000D4AB9" w:rsidP="000D4AB9">
            <w:pPr>
              <w:spacing w:line="240" w:lineRule="auto"/>
              <w:rPr>
                <w:rFonts w:eastAsia="Times New Roman"/>
                <w:color w:val="000000"/>
                <w:sz w:val="20"/>
                <w:szCs w:val="20"/>
              </w:rPr>
            </w:pPr>
          </w:p>
        </w:tc>
        <w:tc>
          <w:tcPr>
            <w:tcW w:w="256" w:type="pct"/>
            <w:vMerge/>
            <w:tcBorders>
              <w:top w:val="nil"/>
              <w:left w:val="single" w:sz="4" w:space="0" w:color="auto"/>
              <w:bottom w:val="single" w:sz="4" w:space="0" w:color="auto"/>
              <w:right w:val="single" w:sz="4" w:space="0" w:color="auto"/>
            </w:tcBorders>
            <w:vAlign w:val="center"/>
            <w:hideMark/>
          </w:tcPr>
          <w:p w14:paraId="7BEB7F12" w14:textId="77777777" w:rsidR="000D4AB9" w:rsidRPr="000D4AB9" w:rsidRDefault="000D4AB9" w:rsidP="000D4AB9">
            <w:pPr>
              <w:spacing w:line="240" w:lineRule="auto"/>
              <w:rPr>
                <w:rFonts w:eastAsia="Times New Roman"/>
                <w:color w:val="000000"/>
                <w:sz w:val="20"/>
                <w:szCs w:val="20"/>
              </w:rPr>
            </w:pPr>
          </w:p>
        </w:tc>
        <w:tc>
          <w:tcPr>
            <w:tcW w:w="256" w:type="pct"/>
            <w:vMerge/>
            <w:tcBorders>
              <w:top w:val="nil"/>
              <w:left w:val="single" w:sz="4" w:space="0" w:color="auto"/>
              <w:bottom w:val="single" w:sz="4" w:space="0" w:color="auto"/>
              <w:right w:val="single" w:sz="4" w:space="0" w:color="auto"/>
            </w:tcBorders>
            <w:vAlign w:val="center"/>
            <w:hideMark/>
          </w:tcPr>
          <w:p w14:paraId="1476DFB6" w14:textId="77777777" w:rsidR="000D4AB9" w:rsidRPr="000D4AB9" w:rsidRDefault="000D4AB9" w:rsidP="000D4AB9">
            <w:pPr>
              <w:spacing w:line="240" w:lineRule="auto"/>
              <w:rPr>
                <w:rFonts w:eastAsia="Times New Roman"/>
                <w:color w:val="000000"/>
                <w:sz w:val="20"/>
                <w:szCs w:val="20"/>
              </w:rPr>
            </w:pPr>
          </w:p>
        </w:tc>
        <w:tc>
          <w:tcPr>
            <w:tcW w:w="256" w:type="pct"/>
            <w:vMerge/>
            <w:tcBorders>
              <w:top w:val="nil"/>
              <w:left w:val="single" w:sz="4" w:space="0" w:color="auto"/>
              <w:bottom w:val="single" w:sz="4" w:space="0" w:color="auto"/>
              <w:right w:val="single" w:sz="4" w:space="0" w:color="auto"/>
            </w:tcBorders>
            <w:vAlign w:val="center"/>
            <w:hideMark/>
          </w:tcPr>
          <w:p w14:paraId="2F70FA7F" w14:textId="77777777" w:rsidR="000D4AB9" w:rsidRPr="000D4AB9" w:rsidRDefault="000D4AB9" w:rsidP="000D4AB9">
            <w:pPr>
              <w:spacing w:line="240" w:lineRule="auto"/>
              <w:rPr>
                <w:rFonts w:eastAsia="Times New Roman"/>
                <w:color w:val="000000"/>
                <w:sz w:val="20"/>
                <w:szCs w:val="20"/>
              </w:rPr>
            </w:pPr>
          </w:p>
        </w:tc>
      </w:tr>
      <w:tr w:rsidR="000D4AB9" w:rsidRPr="000D4AB9" w14:paraId="24CEB23A" w14:textId="77777777" w:rsidTr="000D4AB9">
        <w:trPr>
          <w:trHeight w:val="283"/>
        </w:trPr>
        <w:tc>
          <w:tcPr>
            <w:tcW w:w="477"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5DBB8347" w14:textId="77777777" w:rsidR="000D4AB9" w:rsidRPr="000D4AB9" w:rsidRDefault="000D4AB9" w:rsidP="000D4AB9">
            <w:pPr>
              <w:spacing w:line="240" w:lineRule="auto"/>
              <w:jc w:val="center"/>
              <w:rPr>
                <w:rFonts w:eastAsia="Times New Roman"/>
                <w:b/>
                <w:color w:val="000000"/>
                <w:sz w:val="20"/>
                <w:szCs w:val="20"/>
              </w:rPr>
            </w:pPr>
            <w:r w:rsidRPr="000D4AB9">
              <w:rPr>
                <w:rFonts w:eastAsia="Times New Roman"/>
                <w:b/>
                <w:color w:val="000000"/>
                <w:sz w:val="20"/>
                <w:szCs w:val="20"/>
              </w:rPr>
              <w:t>Figure 5.2</w:t>
            </w:r>
          </w:p>
        </w:tc>
        <w:tc>
          <w:tcPr>
            <w:tcW w:w="563"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7DA824E3" w14:textId="77777777" w:rsidR="000D4AB9" w:rsidRPr="000D4AB9" w:rsidRDefault="000D4AB9" w:rsidP="000D4AB9">
            <w:pPr>
              <w:spacing w:line="240" w:lineRule="auto"/>
              <w:jc w:val="center"/>
              <w:rPr>
                <w:rFonts w:eastAsia="Times New Roman"/>
                <w:color w:val="000000"/>
                <w:sz w:val="20"/>
                <w:szCs w:val="20"/>
              </w:rPr>
            </w:pPr>
            <w:r w:rsidRPr="000D4AB9">
              <w:rPr>
                <w:rFonts w:eastAsia="Times New Roman"/>
                <w:color w:val="000000"/>
                <w:sz w:val="20"/>
                <w:szCs w:val="20"/>
              </w:rPr>
              <w:t>Myeloid cells</w:t>
            </w:r>
          </w:p>
        </w:tc>
        <w:tc>
          <w:tcPr>
            <w:tcW w:w="421"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369C2076" w14:textId="77777777" w:rsidR="000D4AB9" w:rsidRPr="000D4AB9" w:rsidRDefault="000D4AB9" w:rsidP="000D4AB9">
            <w:pPr>
              <w:spacing w:line="240" w:lineRule="auto"/>
              <w:jc w:val="center"/>
              <w:rPr>
                <w:rFonts w:eastAsia="Times New Roman"/>
                <w:color w:val="000000"/>
                <w:sz w:val="20"/>
                <w:szCs w:val="20"/>
              </w:rPr>
            </w:pPr>
            <w:r w:rsidRPr="000D4AB9">
              <w:rPr>
                <w:rFonts w:eastAsia="Times New Roman"/>
                <w:color w:val="000000"/>
                <w:sz w:val="20"/>
                <w:szCs w:val="20"/>
              </w:rPr>
              <w:t>Beaumont</w:t>
            </w:r>
          </w:p>
        </w:tc>
        <w:tc>
          <w:tcPr>
            <w:tcW w:w="405" w:type="pct"/>
            <w:tcBorders>
              <w:top w:val="nil"/>
              <w:left w:val="nil"/>
              <w:bottom w:val="single" w:sz="4" w:space="0" w:color="auto"/>
              <w:right w:val="single" w:sz="4" w:space="0" w:color="auto"/>
            </w:tcBorders>
            <w:shd w:val="clear" w:color="auto" w:fill="auto"/>
            <w:noWrap/>
            <w:vAlign w:val="center"/>
            <w:hideMark/>
          </w:tcPr>
          <w:p w14:paraId="1E961C6C" w14:textId="77777777" w:rsidR="000D4AB9" w:rsidRPr="000D4AB9" w:rsidRDefault="000D4AB9" w:rsidP="000D4AB9">
            <w:pPr>
              <w:spacing w:line="240" w:lineRule="auto"/>
              <w:jc w:val="center"/>
              <w:rPr>
                <w:rFonts w:eastAsia="Times New Roman"/>
                <w:i/>
                <w:iCs/>
                <w:color w:val="000000"/>
                <w:sz w:val="20"/>
                <w:szCs w:val="20"/>
              </w:rPr>
            </w:pPr>
            <w:r w:rsidRPr="000D4AB9">
              <w:rPr>
                <w:rFonts w:eastAsia="Times New Roman"/>
                <w:i/>
                <w:iCs/>
                <w:color w:val="000000"/>
                <w:sz w:val="20"/>
                <w:szCs w:val="20"/>
              </w:rPr>
              <w:t>Lm</w:t>
            </w:r>
          </w:p>
        </w:tc>
        <w:tc>
          <w:tcPr>
            <w:tcW w:w="986" w:type="pct"/>
            <w:tcBorders>
              <w:top w:val="nil"/>
              <w:left w:val="nil"/>
              <w:bottom w:val="single" w:sz="4" w:space="0" w:color="auto"/>
              <w:right w:val="single" w:sz="4" w:space="0" w:color="auto"/>
            </w:tcBorders>
            <w:shd w:val="clear" w:color="auto" w:fill="auto"/>
            <w:vAlign w:val="center"/>
            <w:hideMark/>
          </w:tcPr>
          <w:p w14:paraId="7FCD0EA2" w14:textId="77777777" w:rsidR="000D4AB9" w:rsidRPr="000D4AB9" w:rsidRDefault="000D4AB9" w:rsidP="000D4AB9">
            <w:pPr>
              <w:spacing w:line="240" w:lineRule="auto"/>
              <w:jc w:val="center"/>
              <w:rPr>
                <w:rFonts w:eastAsia="Times New Roman"/>
                <w:color w:val="000000"/>
                <w:sz w:val="20"/>
                <w:szCs w:val="20"/>
              </w:rPr>
            </w:pPr>
            <w:r w:rsidRPr="000D4AB9">
              <w:rPr>
                <w:rFonts w:eastAsia="Times New Roman"/>
                <w:color w:val="000000"/>
                <w:sz w:val="20"/>
                <w:szCs w:val="20"/>
              </w:rPr>
              <w:t>Myeloid cell supply rate</w:t>
            </w:r>
          </w:p>
        </w:tc>
        <w:tc>
          <w:tcPr>
            <w:tcW w:w="384" w:type="pct"/>
            <w:tcBorders>
              <w:top w:val="nil"/>
              <w:left w:val="nil"/>
              <w:bottom w:val="single" w:sz="4" w:space="0" w:color="auto"/>
              <w:right w:val="single" w:sz="4" w:space="0" w:color="auto"/>
            </w:tcBorders>
            <w:shd w:val="clear" w:color="auto" w:fill="auto"/>
            <w:noWrap/>
            <w:vAlign w:val="center"/>
            <w:hideMark/>
          </w:tcPr>
          <w:p w14:paraId="78B74DEA" w14:textId="77777777" w:rsidR="000D4AB9" w:rsidRPr="000D4AB9" w:rsidRDefault="000D4AB9" w:rsidP="000D4AB9">
            <w:pPr>
              <w:spacing w:line="240" w:lineRule="auto"/>
              <w:jc w:val="center"/>
              <w:rPr>
                <w:rFonts w:eastAsia="Times New Roman"/>
                <w:color w:val="000000"/>
                <w:sz w:val="20"/>
                <w:szCs w:val="20"/>
              </w:rPr>
            </w:pPr>
            <w:r w:rsidRPr="000D4AB9">
              <w:rPr>
                <w:rFonts w:eastAsia="Times New Roman"/>
                <w:color w:val="000000"/>
                <w:sz w:val="20"/>
                <w:szCs w:val="20"/>
              </w:rPr>
              <w:t xml:space="preserve"> 0 - 10</w:t>
            </w:r>
          </w:p>
        </w:tc>
        <w:tc>
          <w:tcPr>
            <w:tcW w:w="484" w:type="pct"/>
            <w:tcBorders>
              <w:top w:val="nil"/>
              <w:left w:val="nil"/>
              <w:bottom w:val="single" w:sz="4" w:space="0" w:color="auto"/>
              <w:right w:val="single" w:sz="4" w:space="0" w:color="auto"/>
            </w:tcBorders>
            <w:shd w:val="clear" w:color="auto" w:fill="auto"/>
            <w:noWrap/>
            <w:vAlign w:val="center"/>
            <w:hideMark/>
          </w:tcPr>
          <w:p w14:paraId="2B350DF5" w14:textId="77777777" w:rsidR="000D4AB9" w:rsidRPr="000D4AB9" w:rsidRDefault="000D4AB9" w:rsidP="000D4AB9">
            <w:pPr>
              <w:spacing w:line="240" w:lineRule="auto"/>
              <w:jc w:val="center"/>
              <w:rPr>
                <w:rFonts w:eastAsia="Times New Roman"/>
                <w:color w:val="000000"/>
                <w:sz w:val="20"/>
                <w:szCs w:val="20"/>
              </w:rPr>
            </w:pPr>
            <w:r w:rsidRPr="000D4AB9">
              <w:rPr>
                <w:rFonts w:eastAsia="Times New Roman"/>
                <w:color w:val="000000"/>
                <w:sz w:val="20"/>
                <w:szCs w:val="20"/>
              </w:rPr>
              <w:t>Uniform</w:t>
            </w:r>
          </w:p>
        </w:tc>
        <w:tc>
          <w:tcPr>
            <w:tcW w:w="256"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2D6544E6" w14:textId="77777777" w:rsidR="000D4AB9" w:rsidRPr="000D4AB9" w:rsidRDefault="000D4AB9" w:rsidP="000D4AB9">
            <w:pPr>
              <w:spacing w:line="240" w:lineRule="auto"/>
              <w:jc w:val="center"/>
              <w:rPr>
                <w:rFonts w:eastAsia="Times New Roman"/>
                <w:color w:val="000000"/>
                <w:sz w:val="20"/>
                <w:szCs w:val="20"/>
              </w:rPr>
            </w:pPr>
            <w:r w:rsidRPr="000D4AB9">
              <w:rPr>
                <w:rFonts w:eastAsia="Times New Roman"/>
                <w:color w:val="000000"/>
                <w:sz w:val="20"/>
                <w:szCs w:val="20"/>
              </w:rPr>
              <w:t>0.5</w:t>
            </w:r>
          </w:p>
        </w:tc>
        <w:tc>
          <w:tcPr>
            <w:tcW w:w="256"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2110FDAE" w14:textId="77777777" w:rsidR="000D4AB9" w:rsidRPr="000D4AB9" w:rsidRDefault="000D4AB9" w:rsidP="000D4AB9">
            <w:pPr>
              <w:spacing w:line="240" w:lineRule="auto"/>
              <w:jc w:val="center"/>
              <w:rPr>
                <w:rFonts w:eastAsia="Times New Roman"/>
                <w:color w:val="000000"/>
                <w:sz w:val="20"/>
                <w:szCs w:val="20"/>
              </w:rPr>
            </w:pPr>
            <w:r w:rsidRPr="000D4AB9">
              <w:rPr>
                <w:rFonts w:eastAsia="Times New Roman"/>
                <w:color w:val="000000"/>
                <w:sz w:val="20"/>
                <w:szCs w:val="20"/>
              </w:rPr>
              <w:t>0.1</w:t>
            </w:r>
          </w:p>
        </w:tc>
        <w:tc>
          <w:tcPr>
            <w:tcW w:w="256"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23E0B2B0" w14:textId="77777777" w:rsidR="000D4AB9" w:rsidRPr="000D4AB9" w:rsidRDefault="000D4AB9" w:rsidP="000D4AB9">
            <w:pPr>
              <w:spacing w:line="240" w:lineRule="auto"/>
              <w:jc w:val="center"/>
              <w:rPr>
                <w:rFonts w:eastAsia="Times New Roman"/>
                <w:color w:val="000000"/>
                <w:sz w:val="20"/>
                <w:szCs w:val="20"/>
              </w:rPr>
            </w:pPr>
            <w:r w:rsidRPr="000D4AB9">
              <w:rPr>
                <w:rFonts w:eastAsia="Times New Roman"/>
                <w:color w:val="000000"/>
                <w:sz w:val="20"/>
                <w:szCs w:val="20"/>
              </w:rPr>
              <w:t>0.05</w:t>
            </w:r>
          </w:p>
        </w:tc>
        <w:tc>
          <w:tcPr>
            <w:tcW w:w="256"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7E33BF6F" w14:textId="77777777" w:rsidR="000D4AB9" w:rsidRPr="000D4AB9" w:rsidRDefault="000D4AB9" w:rsidP="000D4AB9">
            <w:pPr>
              <w:spacing w:line="240" w:lineRule="auto"/>
              <w:jc w:val="center"/>
              <w:rPr>
                <w:rFonts w:eastAsia="Times New Roman"/>
                <w:color w:val="000000"/>
                <w:sz w:val="20"/>
                <w:szCs w:val="20"/>
              </w:rPr>
            </w:pPr>
            <w:r w:rsidRPr="000D4AB9">
              <w:rPr>
                <w:rFonts w:eastAsia="Times New Roman"/>
                <w:color w:val="000000"/>
                <w:sz w:val="20"/>
                <w:szCs w:val="20"/>
              </w:rPr>
              <w:t>0.025</w:t>
            </w:r>
          </w:p>
        </w:tc>
        <w:tc>
          <w:tcPr>
            <w:tcW w:w="256"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2243F9B1" w14:textId="77777777" w:rsidR="000D4AB9" w:rsidRPr="000D4AB9" w:rsidRDefault="000D4AB9" w:rsidP="000D4AB9">
            <w:pPr>
              <w:spacing w:line="240" w:lineRule="auto"/>
              <w:jc w:val="center"/>
              <w:rPr>
                <w:rFonts w:eastAsia="Times New Roman"/>
                <w:color w:val="000000"/>
                <w:sz w:val="20"/>
                <w:szCs w:val="20"/>
              </w:rPr>
            </w:pPr>
            <w:r w:rsidRPr="000D4AB9">
              <w:rPr>
                <w:rFonts w:eastAsia="Times New Roman"/>
                <w:color w:val="000000"/>
                <w:sz w:val="20"/>
                <w:szCs w:val="20"/>
              </w:rPr>
              <w:t>0.01</w:t>
            </w:r>
          </w:p>
        </w:tc>
      </w:tr>
      <w:tr w:rsidR="000D4AB9" w:rsidRPr="000D4AB9" w14:paraId="4590C3FE" w14:textId="77777777" w:rsidTr="000D4AB9">
        <w:trPr>
          <w:trHeight w:val="283"/>
        </w:trPr>
        <w:tc>
          <w:tcPr>
            <w:tcW w:w="477" w:type="pct"/>
            <w:vMerge/>
            <w:tcBorders>
              <w:top w:val="nil"/>
              <w:left w:val="single" w:sz="4" w:space="0" w:color="auto"/>
              <w:bottom w:val="single" w:sz="4" w:space="0" w:color="auto"/>
              <w:right w:val="single" w:sz="4" w:space="0" w:color="auto"/>
            </w:tcBorders>
            <w:vAlign w:val="center"/>
            <w:hideMark/>
          </w:tcPr>
          <w:p w14:paraId="28981404" w14:textId="77777777" w:rsidR="000D4AB9" w:rsidRPr="000D4AB9" w:rsidRDefault="000D4AB9" w:rsidP="000D4AB9">
            <w:pPr>
              <w:spacing w:line="240" w:lineRule="auto"/>
              <w:rPr>
                <w:rFonts w:eastAsia="Times New Roman"/>
                <w:color w:val="000000"/>
              </w:rPr>
            </w:pPr>
          </w:p>
        </w:tc>
        <w:tc>
          <w:tcPr>
            <w:tcW w:w="563" w:type="pct"/>
            <w:vMerge/>
            <w:tcBorders>
              <w:top w:val="nil"/>
              <w:left w:val="single" w:sz="4" w:space="0" w:color="auto"/>
              <w:bottom w:val="single" w:sz="4" w:space="0" w:color="auto"/>
              <w:right w:val="single" w:sz="4" w:space="0" w:color="auto"/>
            </w:tcBorders>
            <w:vAlign w:val="center"/>
            <w:hideMark/>
          </w:tcPr>
          <w:p w14:paraId="6D44B917" w14:textId="77777777" w:rsidR="000D4AB9" w:rsidRPr="000D4AB9" w:rsidRDefault="000D4AB9" w:rsidP="000D4AB9">
            <w:pPr>
              <w:spacing w:line="240" w:lineRule="auto"/>
              <w:rPr>
                <w:rFonts w:eastAsia="Times New Roman"/>
                <w:color w:val="000000"/>
              </w:rPr>
            </w:pPr>
          </w:p>
        </w:tc>
        <w:tc>
          <w:tcPr>
            <w:tcW w:w="421" w:type="pct"/>
            <w:vMerge/>
            <w:tcBorders>
              <w:top w:val="nil"/>
              <w:left w:val="single" w:sz="4" w:space="0" w:color="auto"/>
              <w:bottom w:val="single" w:sz="4" w:space="0" w:color="auto"/>
              <w:right w:val="single" w:sz="4" w:space="0" w:color="auto"/>
            </w:tcBorders>
            <w:vAlign w:val="center"/>
            <w:hideMark/>
          </w:tcPr>
          <w:p w14:paraId="007D86D1" w14:textId="77777777" w:rsidR="000D4AB9" w:rsidRPr="000D4AB9" w:rsidRDefault="000D4AB9" w:rsidP="000D4AB9">
            <w:pPr>
              <w:spacing w:line="240" w:lineRule="auto"/>
              <w:rPr>
                <w:rFonts w:eastAsia="Times New Roman"/>
                <w:color w:val="000000"/>
              </w:rPr>
            </w:pPr>
          </w:p>
        </w:tc>
        <w:tc>
          <w:tcPr>
            <w:tcW w:w="405" w:type="pct"/>
            <w:tcBorders>
              <w:top w:val="nil"/>
              <w:left w:val="nil"/>
              <w:bottom w:val="single" w:sz="4" w:space="0" w:color="auto"/>
              <w:right w:val="single" w:sz="4" w:space="0" w:color="auto"/>
            </w:tcBorders>
            <w:shd w:val="clear" w:color="auto" w:fill="auto"/>
            <w:noWrap/>
            <w:vAlign w:val="center"/>
            <w:hideMark/>
          </w:tcPr>
          <w:p w14:paraId="6AA9C349" w14:textId="77777777" w:rsidR="000D4AB9" w:rsidRPr="000D4AB9" w:rsidRDefault="000D4AB9" w:rsidP="000D4AB9">
            <w:pPr>
              <w:spacing w:line="240" w:lineRule="auto"/>
              <w:jc w:val="center"/>
              <w:rPr>
                <w:rFonts w:eastAsia="Times New Roman"/>
                <w:i/>
                <w:iCs/>
                <w:color w:val="000000"/>
                <w:sz w:val="20"/>
                <w:szCs w:val="20"/>
              </w:rPr>
            </w:pPr>
            <w:r w:rsidRPr="000D4AB9">
              <w:rPr>
                <w:rFonts w:eastAsia="Times New Roman"/>
                <w:i/>
                <w:iCs/>
                <w:color w:val="000000"/>
                <w:sz w:val="20"/>
                <w:szCs w:val="20"/>
              </w:rPr>
              <w:t>Dm</w:t>
            </w:r>
          </w:p>
        </w:tc>
        <w:tc>
          <w:tcPr>
            <w:tcW w:w="986" w:type="pct"/>
            <w:tcBorders>
              <w:top w:val="nil"/>
              <w:left w:val="nil"/>
              <w:bottom w:val="single" w:sz="4" w:space="0" w:color="auto"/>
              <w:right w:val="single" w:sz="4" w:space="0" w:color="auto"/>
            </w:tcBorders>
            <w:shd w:val="clear" w:color="auto" w:fill="auto"/>
            <w:vAlign w:val="center"/>
            <w:hideMark/>
          </w:tcPr>
          <w:p w14:paraId="0DB5ACAD" w14:textId="77777777" w:rsidR="000D4AB9" w:rsidRPr="000D4AB9" w:rsidRDefault="000D4AB9" w:rsidP="000D4AB9">
            <w:pPr>
              <w:spacing w:line="240" w:lineRule="auto"/>
              <w:jc w:val="center"/>
              <w:rPr>
                <w:rFonts w:eastAsia="Times New Roman"/>
                <w:color w:val="000000"/>
                <w:sz w:val="20"/>
                <w:szCs w:val="20"/>
              </w:rPr>
            </w:pPr>
            <w:r w:rsidRPr="000D4AB9">
              <w:rPr>
                <w:rFonts w:eastAsia="Times New Roman"/>
                <w:color w:val="000000"/>
                <w:sz w:val="20"/>
                <w:szCs w:val="20"/>
              </w:rPr>
              <w:t>Myeloid cell exit rate</w:t>
            </w:r>
          </w:p>
        </w:tc>
        <w:tc>
          <w:tcPr>
            <w:tcW w:w="384" w:type="pct"/>
            <w:tcBorders>
              <w:top w:val="nil"/>
              <w:left w:val="nil"/>
              <w:bottom w:val="single" w:sz="4" w:space="0" w:color="auto"/>
              <w:right w:val="single" w:sz="4" w:space="0" w:color="auto"/>
            </w:tcBorders>
            <w:shd w:val="clear" w:color="auto" w:fill="auto"/>
            <w:noWrap/>
            <w:vAlign w:val="center"/>
            <w:hideMark/>
          </w:tcPr>
          <w:p w14:paraId="0DAE3008" w14:textId="77777777" w:rsidR="000D4AB9" w:rsidRPr="000D4AB9" w:rsidRDefault="000D4AB9" w:rsidP="000D4AB9">
            <w:pPr>
              <w:spacing w:line="240" w:lineRule="auto"/>
              <w:jc w:val="center"/>
              <w:rPr>
                <w:rFonts w:eastAsia="Times New Roman"/>
                <w:color w:val="000000"/>
                <w:sz w:val="20"/>
                <w:szCs w:val="20"/>
              </w:rPr>
            </w:pPr>
            <w:r w:rsidRPr="000D4AB9">
              <w:rPr>
                <w:rFonts w:eastAsia="Times New Roman"/>
                <w:color w:val="000000"/>
                <w:sz w:val="20"/>
                <w:szCs w:val="20"/>
              </w:rPr>
              <w:t>0 - 1</w:t>
            </w:r>
          </w:p>
        </w:tc>
        <w:tc>
          <w:tcPr>
            <w:tcW w:w="484" w:type="pct"/>
            <w:tcBorders>
              <w:top w:val="nil"/>
              <w:left w:val="nil"/>
              <w:bottom w:val="single" w:sz="4" w:space="0" w:color="auto"/>
              <w:right w:val="single" w:sz="4" w:space="0" w:color="auto"/>
            </w:tcBorders>
            <w:shd w:val="clear" w:color="auto" w:fill="auto"/>
            <w:noWrap/>
            <w:vAlign w:val="center"/>
            <w:hideMark/>
          </w:tcPr>
          <w:p w14:paraId="6E756BCF" w14:textId="77777777" w:rsidR="000D4AB9" w:rsidRPr="000D4AB9" w:rsidRDefault="000D4AB9" w:rsidP="000D4AB9">
            <w:pPr>
              <w:spacing w:line="240" w:lineRule="auto"/>
              <w:jc w:val="center"/>
              <w:rPr>
                <w:rFonts w:eastAsia="Times New Roman"/>
                <w:color w:val="000000"/>
                <w:sz w:val="20"/>
                <w:szCs w:val="20"/>
              </w:rPr>
            </w:pPr>
            <w:r w:rsidRPr="000D4AB9">
              <w:rPr>
                <w:rFonts w:eastAsia="Times New Roman"/>
                <w:color w:val="000000"/>
                <w:sz w:val="20"/>
                <w:szCs w:val="20"/>
              </w:rPr>
              <w:t>Uniform</w:t>
            </w:r>
          </w:p>
        </w:tc>
        <w:tc>
          <w:tcPr>
            <w:tcW w:w="256" w:type="pct"/>
            <w:vMerge/>
            <w:tcBorders>
              <w:top w:val="nil"/>
              <w:left w:val="single" w:sz="4" w:space="0" w:color="auto"/>
              <w:bottom w:val="single" w:sz="4" w:space="0" w:color="auto"/>
              <w:right w:val="single" w:sz="4" w:space="0" w:color="auto"/>
            </w:tcBorders>
            <w:vAlign w:val="center"/>
            <w:hideMark/>
          </w:tcPr>
          <w:p w14:paraId="29B5DA4A" w14:textId="77777777" w:rsidR="000D4AB9" w:rsidRPr="000D4AB9" w:rsidRDefault="000D4AB9" w:rsidP="000D4AB9">
            <w:pPr>
              <w:spacing w:line="240" w:lineRule="auto"/>
              <w:rPr>
                <w:rFonts w:eastAsia="Times New Roman"/>
                <w:color w:val="000000"/>
              </w:rPr>
            </w:pPr>
          </w:p>
        </w:tc>
        <w:tc>
          <w:tcPr>
            <w:tcW w:w="256" w:type="pct"/>
            <w:vMerge/>
            <w:tcBorders>
              <w:top w:val="nil"/>
              <w:left w:val="single" w:sz="4" w:space="0" w:color="auto"/>
              <w:bottom w:val="single" w:sz="4" w:space="0" w:color="auto"/>
              <w:right w:val="single" w:sz="4" w:space="0" w:color="auto"/>
            </w:tcBorders>
            <w:vAlign w:val="center"/>
            <w:hideMark/>
          </w:tcPr>
          <w:p w14:paraId="4084068D" w14:textId="77777777" w:rsidR="000D4AB9" w:rsidRPr="000D4AB9" w:rsidRDefault="000D4AB9" w:rsidP="000D4AB9">
            <w:pPr>
              <w:spacing w:line="240" w:lineRule="auto"/>
              <w:rPr>
                <w:rFonts w:eastAsia="Times New Roman"/>
                <w:color w:val="000000"/>
              </w:rPr>
            </w:pPr>
          </w:p>
        </w:tc>
        <w:tc>
          <w:tcPr>
            <w:tcW w:w="256" w:type="pct"/>
            <w:vMerge/>
            <w:tcBorders>
              <w:top w:val="nil"/>
              <w:left w:val="single" w:sz="4" w:space="0" w:color="auto"/>
              <w:bottom w:val="single" w:sz="4" w:space="0" w:color="auto"/>
              <w:right w:val="single" w:sz="4" w:space="0" w:color="auto"/>
            </w:tcBorders>
            <w:vAlign w:val="center"/>
            <w:hideMark/>
          </w:tcPr>
          <w:p w14:paraId="23FC1582" w14:textId="77777777" w:rsidR="000D4AB9" w:rsidRPr="000D4AB9" w:rsidRDefault="000D4AB9" w:rsidP="000D4AB9">
            <w:pPr>
              <w:spacing w:line="240" w:lineRule="auto"/>
              <w:rPr>
                <w:rFonts w:eastAsia="Times New Roman"/>
                <w:color w:val="000000"/>
              </w:rPr>
            </w:pPr>
          </w:p>
        </w:tc>
        <w:tc>
          <w:tcPr>
            <w:tcW w:w="256" w:type="pct"/>
            <w:vMerge/>
            <w:tcBorders>
              <w:top w:val="nil"/>
              <w:left w:val="single" w:sz="4" w:space="0" w:color="auto"/>
              <w:bottom w:val="single" w:sz="4" w:space="0" w:color="auto"/>
              <w:right w:val="single" w:sz="4" w:space="0" w:color="auto"/>
            </w:tcBorders>
            <w:vAlign w:val="center"/>
            <w:hideMark/>
          </w:tcPr>
          <w:p w14:paraId="18D1DE3E" w14:textId="77777777" w:rsidR="000D4AB9" w:rsidRPr="000D4AB9" w:rsidRDefault="000D4AB9" w:rsidP="000D4AB9">
            <w:pPr>
              <w:spacing w:line="240" w:lineRule="auto"/>
              <w:rPr>
                <w:rFonts w:eastAsia="Times New Roman"/>
                <w:color w:val="000000"/>
              </w:rPr>
            </w:pPr>
          </w:p>
        </w:tc>
        <w:tc>
          <w:tcPr>
            <w:tcW w:w="256" w:type="pct"/>
            <w:vMerge/>
            <w:tcBorders>
              <w:top w:val="nil"/>
              <w:left w:val="single" w:sz="4" w:space="0" w:color="auto"/>
              <w:bottom w:val="single" w:sz="4" w:space="0" w:color="auto"/>
              <w:right w:val="single" w:sz="4" w:space="0" w:color="auto"/>
            </w:tcBorders>
            <w:vAlign w:val="center"/>
            <w:hideMark/>
          </w:tcPr>
          <w:p w14:paraId="4647A4F9" w14:textId="77777777" w:rsidR="000D4AB9" w:rsidRPr="000D4AB9" w:rsidRDefault="000D4AB9" w:rsidP="000D4AB9">
            <w:pPr>
              <w:keepNext/>
              <w:spacing w:line="240" w:lineRule="auto"/>
              <w:rPr>
                <w:rFonts w:eastAsia="Times New Roman"/>
                <w:color w:val="000000"/>
              </w:rPr>
            </w:pPr>
          </w:p>
        </w:tc>
      </w:tr>
    </w:tbl>
    <w:p w14:paraId="4BBE6974" w14:textId="77777777" w:rsidR="000D4AB9" w:rsidRDefault="000D4AB9" w:rsidP="000D4AB9">
      <w:pPr>
        <w:pStyle w:val="Caption"/>
        <w:spacing w:after="0" w:line="360" w:lineRule="auto"/>
        <w:rPr>
          <w:b/>
        </w:rPr>
      </w:pPr>
    </w:p>
    <w:p w14:paraId="01E26C76" w14:textId="4DE301C8" w:rsidR="000D4AB9" w:rsidRPr="003B1744" w:rsidRDefault="000D4AB9" w:rsidP="00B23FF8">
      <w:pPr>
        <w:pStyle w:val="Caption"/>
        <w:spacing w:after="0" w:line="360" w:lineRule="auto"/>
        <w:jc w:val="both"/>
        <w:rPr>
          <w:sz w:val="20"/>
          <w:szCs w:val="20"/>
        </w:rPr>
      </w:pPr>
      <w:bookmarkStart w:id="739" w:name="_Ref525235479"/>
      <w:bookmarkStart w:id="740" w:name="_Toc536814209"/>
      <w:r w:rsidRPr="003B1744">
        <w:rPr>
          <w:b/>
          <w:sz w:val="20"/>
          <w:szCs w:val="20"/>
        </w:rPr>
        <w:t xml:space="preserve">Table </w:t>
      </w:r>
      <w:r w:rsidR="00FF5FCD">
        <w:rPr>
          <w:b/>
          <w:sz w:val="20"/>
          <w:szCs w:val="20"/>
        </w:rPr>
        <w:fldChar w:fldCharType="begin"/>
      </w:r>
      <w:r w:rsidR="00FF5FCD">
        <w:rPr>
          <w:b/>
          <w:sz w:val="20"/>
          <w:szCs w:val="20"/>
        </w:rPr>
        <w:instrText xml:space="preserve"> STYLEREF 1 \s </w:instrText>
      </w:r>
      <w:r w:rsidR="00FF5FCD">
        <w:rPr>
          <w:b/>
          <w:sz w:val="20"/>
          <w:szCs w:val="20"/>
        </w:rPr>
        <w:fldChar w:fldCharType="separate"/>
      </w:r>
      <w:r w:rsidR="00FF5FCD">
        <w:rPr>
          <w:b/>
          <w:noProof/>
          <w:sz w:val="20"/>
          <w:szCs w:val="20"/>
        </w:rPr>
        <w:t>7</w:t>
      </w:r>
      <w:r w:rsidR="00FF5FCD">
        <w:rPr>
          <w:b/>
          <w:sz w:val="20"/>
          <w:szCs w:val="20"/>
        </w:rPr>
        <w:fldChar w:fldCharType="end"/>
      </w:r>
      <w:r w:rsidR="00FF5FCD">
        <w:rPr>
          <w:b/>
          <w:sz w:val="20"/>
          <w:szCs w:val="20"/>
        </w:rPr>
        <w:t>.</w:t>
      </w:r>
      <w:r w:rsidR="00FF5FCD">
        <w:rPr>
          <w:b/>
          <w:sz w:val="20"/>
          <w:szCs w:val="20"/>
        </w:rPr>
        <w:fldChar w:fldCharType="begin"/>
      </w:r>
      <w:r w:rsidR="00FF5FCD">
        <w:rPr>
          <w:b/>
          <w:sz w:val="20"/>
          <w:szCs w:val="20"/>
        </w:rPr>
        <w:instrText xml:space="preserve"> SEQ Table \* ARABIC \s 1 </w:instrText>
      </w:r>
      <w:r w:rsidR="00FF5FCD">
        <w:rPr>
          <w:b/>
          <w:sz w:val="20"/>
          <w:szCs w:val="20"/>
        </w:rPr>
        <w:fldChar w:fldCharType="separate"/>
      </w:r>
      <w:r w:rsidR="00FF5FCD">
        <w:rPr>
          <w:b/>
          <w:noProof/>
          <w:sz w:val="20"/>
          <w:szCs w:val="20"/>
        </w:rPr>
        <w:t>3</w:t>
      </w:r>
      <w:r w:rsidR="00FF5FCD">
        <w:rPr>
          <w:b/>
          <w:sz w:val="20"/>
          <w:szCs w:val="20"/>
        </w:rPr>
        <w:fldChar w:fldCharType="end"/>
      </w:r>
      <w:bookmarkEnd w:id="739"/>
      <w:r w:rsidRPr="003B1744">
        <w:rPr>
          <w:b/>
          <w:sz w:val="20"/>
          <w:szCs w:val="20"/>
        </w:rPr>
        <w:t xml:space="preserve"> - Information supplied to the </w:t>
      </w:r>
      <w:r w:rsidRPr="003B1744">
        <w:rPr>
          <w:b/>
          <w:i/>
          <w:sz w:val="20"/>
          <w:szCs w:val="20"/>
        </w:rPr>
        <w:t>ABC_sequential</w:t>
      </w:r>
      <w:r w:rsidRPr="003B1744">
        <w:rPr>
          <w:b/>
          <w:sz w:val="20"/>
          <w:szCs w:val="20"/>
        </w:rPr>
        <w:t xml:space="preserve"> function for calibration</w:t>
      </w:r>
      <w:r w:rsidRPr="003B1744">
        <w:rPr>
          <w:sz w:val="20"/>
          <w:szCs w:val="20"/>
        </w:rPr>
        <w:t>. Single objective optimisation was used when calibrating against a single population in a simulation model</w:t>
      </w:r>
      <w:r w:rsidR="00BC3F38">
        <w:rPr>
          <w:sz w:val="20"/>
          <w:szCs w:val="20"/>
        </w:rPr>
        <w:t>’</w:t>
      </w:r>
      <w:r w:rsidRPr="003B1744">
        <w:rPr>
          <w:sz w:val="20"/>
          <w:szCs w:val="20"/>
        </w:rPr>
        <w:t xml:space="preserve">s output. This table defines the model being calibrated, the population for which biological data and simulation output data were being compared, the algorithm employed by the </w:t>
      </w:r>
      <w:r w:rsidRPr="003B1744">
        <w:rPr>
          <w:i/>
          <w:sz w:val="20"/>
          <w:szCs w:val="20"/>
        </w:rPr>
        <w:t>ABC</w:t>
      </w:r>
      <w:r w:rsidRPr="003B1744">
        <w:rPr>
          <w:i/>
          <w:sz w:val="20"/>
          <w:szCs w:val="20"/>
        </w:rPr>
        <w:softHyphen/>
        <w:t>_sequential</w:t>
      </w:r>
      <w:r w:rsidRPr="003B1744">
        <w:rPr>
          <w:sz w:val="20"/>
          <w:szCs w:val="20"/>
        </w:rPr>
        <w:t xml:space="preserve"> function for parameter value sampling, parameters being calibrated and the tolerance values used to evaluate the goodness of fit of model output.</w:t>
      </w:r>
      <w:bookmarkEnd w:id="740"/>
    </w:p>
    <w:p w14:paraId="26C814B7" w14:textId="64CF7C15" w:rsidR="00E8666B" w:rsidRDefault="00E8666B" w:rsidP="00E8666B"/>
    <w:p w14:paraId="06D81609" w14:textId="34E992B2" w:rsidR="00E8666B" w:rsidRDefault="00E8666B" w:rsidP="00E8666B"/>
    <w:p w14:paraId="7FAD8CE7" w14:textId="1F479E52" w:rsidR="00E8666B" w:rsidRPr="00E8666B" w:rsidRDefault="00E8666B" w:rsidP="00E8666B">
      <w:pPr>
        <w:pStyle w:val="Heading2"/>
      </w:pPr>
      <w:bookmarkStart w:id="741" w:name="_Toc3716129"/>
      <w:r>
        <w:rPr>
          <w:noProof/>
        </w:rPr>
        <w:drawing>
          <wp:anchor distT="0" distB="0" distL="114300" distR="114300" simplePos="0" relativeHeight="251935744" behindDoc="0" locked="0" layoutInCell="1" allowOverlap="1" wp14:anchorId="7BB673C9" wp14:editId="0FEBEC05">
            <wp:simplePos x="0" y="0"/>
            <wp:positionH relativeFrom="column">
              <wp:posOffset>560070</wp:posOffset>
            </wp:positionH>
            <wp:positionV relativeFrom="paragraph">
              <wp:posOffset>235585</wp:posOffset>
            </wp:positionV>
            <wp:extent cx="7263765" cy="5003800"/>
            <wp:effectExtent l="0" t="0" r="635" b="0"/>
            <wp:wrapNone/>
            <wp:docPr id="559" name="Picture 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9" name="Picture 559"/>
                    <pic:cNvPicPr>
                      <a:picLocks noChangeAspect="1"/>
                    </pic:cNvPicPr>
                  </pic:nvPicPr>
                  <pic:blipFill>
                    <a:blip r:embed="rId109">
                      <a:extLst>
                        <a:ext uri="{28A0092B-C50C-407E-A947-70E740481C1C}">
                          <a14:useLocalDpi xmlns:a14="http://schemas.microsoft.com/office/drawing/2010/main" val="0"/>
                        </a:ext>
                      </a:extLst>
                    </a:blip>
                    <a:stretch>
                      <a:fillRect/>
                    </a:stretch>
                  </pic:blipFill>
                  <pic:spPr>
                    <a:xfrm>
                      <a:off x="0" y="0"/>
                      <a:ext cx="7263765" cy="5003800"/>
                    </a:xfrm>
                    <a:prstGeom prst="rect">
                      <a:avLst/>
                    </a:prstGeom>
                  </pic:spPr>
                </pic:pic>
              </a:graphicData>
            </a:graphic>
            <wp14:sizeRelH relativeFrom="margin">
              <wp14:pctWidth>0</wp14:pctWidth>
            </wp14:sizeRelH>
            <wp14:sizeRelV relativeFrom="margin">
              <wp14:pctHeight>0</wp14:pctHeight>
            </wp14:sizeRelV>
          </wp:anchor>
        </w:drawing>
      </w:r>
      <w:r w:rsidRPr="008B3AD6">
        <w:t xml:space="preserve">Extending global sensitivity analysis from </w:t>
      </w:r>
      <w:fldSimple w:instr=" REF _Ref522716221  \* MERGEFORMAT ">
        <w:r w:rsidRPr="00031DCA">
          <w:t xml:space="preserve">Figure </w:t>
        </w:r>
        <w:r w:rsidRPr="00031DCA">
          <w:rPr>
            <w:noProof/>
          </w:rPr>
          <w:t>5.7</w:t>
        </w:r>
      </w:fldSimple>
      <w:r w:rsidRPr="008B3AD6">
        <w:t xml:space="preserve"> to all entitie</w:t>
      </w:r>
      <w:r>
        <w:t>s</w:t>
      </w:r>
      <w:bookmarkEnd w:id="741"/>
    </w:p>
    <w:p w14:paraId="06CC4738" w14:textId="5B9D6775" w:rsidR="00E8666B" w:rsidRDefault="00E8666B" w:rsidP="00E8666B">
      <w:pPr>
        <w:pStyle w:val="Heading2"/>
        <w:numPr>
          <w:ilvl w:val="0"/>
          <w:numId w:val="0"/>
        </w:numPr>
      </w:pPr>
      <w:r w:rsidRPr="008B3AD6" w:rsidDel="00E8666B">
        <w:t xml:space="preserve"> </w:t>
      </w:r>
    </w:p>
    <w:p w14:paraId="354F31D1" w14:textId="77777777" w:rsidR="00E8666B" w:rsidRPr="00E8666B" w:rsidRDefault="00E8666B" w:rsidP="00B23FF8"/>
    <w:p w14:paraId="69CA0AAF" w14:textId="77777777" w:rsidR="00E8666B" w:rsidRPr="0084331B" w:rsidRDefault="00E8666B" w:rsidP="00B23FF8"/>
    <w:p w14:paraId="76F8D496" w14:textId="77777777" w:rsidR="00E8666B" w:rsidRPr="005610D6" w:rsidRDefault="00E8666B" w:rsidP="00B23FF8"/>
    <w:p w14:paraId="049089D9" w14:textId="77777777" w:rsidR="00E8666B" w:rsidRPr="00D540E9" w:rsidRDefault="00E8666B" w:rsidP="00B23FF8"/>
    <w:p w14:paraId="30A20674" w14:textId="77777777" w:rsidR="00E8666B" w:rsidRPr="000C4EF7" w:rsidRDefault="00E8666B" w:rsidP="00B23FF8"/>
    <w:p w14:paraId="36B1D518" w14:textId="77777777" w:rsidR="00E8666B" w:rsidRPr="00D40D5C" w:rsidRDefault="00E8666B" w:rsidP="00B23FF8"/>
    <w:p w14:paraId="0595E165" w14:textId="77777777" w:rsidR="00E8666B" w:rsidRPr="00B23FF8" w:rsidRDefault="00E8666B" w:rsidP="00B23FF8"/>
    <w:p w14:paraId="00093B6D" w14:textId="77777777" w:rsidR="00E8666B" w:rsidRPr="00B23FF8" w:rsidRDefault="00E8666B" w:rsidP="00B23FF8"/>
    <w:p w14:paraId="1EA6BAC3" w14:textId="77777777" w:rsidR="00E8666B" w:rsidRPr="00B23FF8" w:rsidRDefault="00E8666B" w:rsidP="00B23FF8"/>
    <w:p w14:paraId="2313DE64" w14:textId="1ECC39B0" w:rsidR="00E8666B" w:rsidRPr="00E8666B" w:rsidRDefault="00E8666B" w:rsidP="00B23FF8"/>
    <w:p w14:paraId="68828832" w14:textId="761EC8EF" w:rsidR="00E8666B" w:rsidRPr="00E8666B" w:rsidRDefault="00E8666B" w:rsidP="00B23FF8"/>
    <w:p w14:paraId="6A968F71" w14:textId="6F861296" w:rsidR="00E8666B" w:rsidRDefault="00E8666B" w:rsidP="00E8666B"/>
    <w:p w14:paraId="380C2C6C" w14:textId="28A644B5" w:rsidR="00E8666B" w:rsidRDefault="00F7425F" w:rsidP="00E8666B">
      <w:r>
        <w:rPr>
          <w:noProof/>
        </w:rPr>
        <mc:AlternateContent>
          <mc:Choice Requires="wps">
            <w:drawing>
              <wp:anchor distT="0" distB="0" distL="114300" distR="114300" simplePos="0" relativeHeight="252180480" behindDoc="0" locked="0" layoutInCell="1" allowOverlap="1" wp14:anchorId="626BF78C" wp14:editId="15223114">
                <wp:simplePos x="0" y="0"/>
                <wp:positionH relativeFrom="column">
                  <wp:posOffset>111809</wp:posOffset>
                </wp:positionH>
                <wp:positionV relativeFrom="paragraph">
                  <wp:posOffset>442058</wp:posOffset>
                </wp:positionV>
                <wp:extent cx="9144000" cy="871855"/>
                <wp:effectExtent l="0" t="0" r="0" b="4445"/>
                <wp:wrapNone/>
                <wp:docPr id="623" name="Text Box 623"/>
                <wp:cNvGraphicFramePr/>
                <a:graphic xmlns:a="http://schemas.openxmlformats.org/drawingml/2006/main">
                  <a:graphicData uri="http://schemas.microsoft.com/office/word/2010/wordprocessingShape">
                    <wps:wsp>
                      <wps:cNvSpPr txBox="1"/>
                      <wps:spPr>
                        <a:xfrm>
                          <a:off x="0" y="0"/>
                          <a:ext cx="9144000" cy="871855"/>
                        </a:xfrm>
                        <a:prstGeom prst="rect">
                          <a:avLst/>
                        </a:prstGeom>
                        <a:noFill/>
                        <a:ln>
                          <a:noFill/>
                        </a:ln>
                      </wps:spPr>
                      <wps:txbx>
                        <w:txbxContent>
                          <w:p w14:paraId="6F9C8555" w14:textId="6E0B26F5" w:rsidR="00F61130" w:rsidRPr="00CC788B" w:rsidRDefault="00F61130" w:rsidP="00CC788B">
                            <w:pPr>
                              <w:pStyle w:val="Caption"/>
                              <w:spacing w:line="360" w:lineRule="auto"/>
                              <w:rPr>
                                <w:b/>
                                <w:sz w:val="20"/>
                                <w:szCs w:val="20"/>
                              </w:rPr>
                            </w:pPr>
                            <w:bookmarkStart w:id="742" w:name="_Ref523573715"/>
                            <w:bookmarkStart w:id="743" w:name="_Toc525227261"/>
                            <w:bookmarkStart w:id="744" w:name="_Toc536814201"/>
                            <w:r w:rsidRPr="00CC788B">
                              <w:rPr>
                                <w:b/>
                                <w:sz w:val="20"/>
                                <w:szCs w:val="20"/>
                              </w:rPr>
                              <w:t xml:space="preserve">Figure </w:t>
                            </w:r>
                            <w:r>
                              <w:rPr>
                                <w:b/>
                                <w:sz w:val="20"/>
                                <w:szCs w:val="20"/>
                              </w:rPr>
                              <w:fldChar w:fldCharType="begin"/>
                            </w:r>
                            <w:r>
                              <w:rPr>
                                <w:b/>
                                <w:sz w:val="20"/>
                                <w:szCs w:val="20"/>
                              </w:rPr>
                              <w:instrText xml:space="preserve"> STYLEREF 1 \s </w:instrText>
                            </w:r>
                            <w:r>
                              <w:rPr>
                                <w:b/>
                                <w:sz w:val="20"/>
                                <w:szCs w:val="20"/>
                              </w:rPr>
                              <w:fldChar w:fldCharType="separate"/>
                            </w:r>
                            <w:r>
                              <w:rPr>
                                <w:b/>
                                <w:noProof/>
                                <w:sz w:val="20"/>
                                <w:szCs w:val="20"/>
                              </w:rPr>
                              <w:t>7</w:t>
                            </w:r>
                            <w:r>
                              <w:rPr>
                                <w:b/>
                                <w:sz w:val="20"/>
                                <w:szCs w:val="20"/>
                              </w:rPr>
                              <w:fldChar w:fldCharType="end"/>
                            </w:r>
                            <w:r>
                              <w:rPr>
                                <w:b/>
                                <w:sz w:val="20"/>
                                <w:szCs w:val="20"/>
                              </w:rPr>
                              <w:t>.</w:t>
                            </w:r>
                            <w:r>
                              <w:rPr>
                                <w:b/>
                                <w:sz w:val="20"/>
                                <w:szCs w:val="20"/>
                              </w:rPr>
                              <w:fldChar w:fldCharType="begin"/>
                            </w:r>
                            <w:r>
                              <w:rPr>
                                <w:b/>
                                <w:sz w:val="20"/>
                                <w:szCs w:val="20"/>
                              </w:rPr>
                              <w:instrText xml:space="preserve"> SEQ Figure \* ARABIC \s 1 </w:instrText>
                            </w:r>
                            <w:r>
                              <w:rPr>
                                <w:b/>
                                <w:sz w:val="20"/>
                                <w:szCs w:val="20"/>
                              </w:rPr>
                              <w:fldChar w:fldCharType="separate"/>
                            </w:r>
                            <w:r>
                              <w:rPr>
                                <w:b/>
                                <w:noProof/>
                                <w:sz w:val="20"/>
                                <w:szCs w:val="20"/>
                              </w:rPr>
                              <w:t>9</w:t>
                            </w:r>
                            <w:r>
                              <w:rPr>
                                <w:b/>
                                <w:sz w:val="20"/>
                                <w:szCs w:val="20"/>
                              </w:rPr>
                              <w:fldChar w:fldCharType="end"/>
                            </w:r>
                            <w:bookmarkEnd w:id="742"/>
                            <w:r w:rsidRPr="00CC788B">
                              <w:rPr>
                                <w:b/>
                                <w:sz w:val="20"/>
                                <w:szCs w:val="20"/>
                              </w:rPr>
                              <w:t xml:space="preserve"> - </w:t>
                            </w:r>
                            <w:r>
                              <w:rPr>
                                <w:b/>
                                <w:sz w:val="20"/>
                                <w:szCs w:val="20"/>
                              </w:rPr>
                              <w:t>Global Sensitivity Analysis of all populations in the finalised simulation model</w:t>
                            </w:r>
                            <w:r w:rsidRPr="00CC788B">
                              <w:rPr>
                                <w:b/>
                                <w:sz w:val="20"/>
                                <w:szCs w:val="20"/>
                              </w:rPr>
                              <w:t>.</w:t>
                            </w:r>
                            <w:r>
                              <w:rPr>
                                <w:b/>
                                <w:sz w:val="20"/>
                                <w:szCs w:val="20"/>
                              </w:rPr>
                              <w:t xml:space="preserve"> </w:t>
                            </w:r>
                            <w:r>
                              <w:rPr>
                                <w:sz w:val="20"/>
                                <w:szCs w:val="20"/>
                              </w:rPr>
                              <w:t xml:space="preserve">500 parameter sets were generated using latin hyper cube (LHC) sampling over parameter prior ranges (see </w:t>
                            </w:r>
                            <w:r>
                              <w:rPr>
                                <w:sz w:val="20"/>
                                <w:szCs w:val="20"/>
                              </w:rPr>
                              <w:fldChar w:fldCharType="begin"/>
                            </w:r>
                            <w:r>
                              <w:rPr>
                                <w:sz w:val="20"/>
                                <w:szCs w:val="20"/>
                              </w:rPr>
                              <w:instrText xml:space="preserve"> REF _Ref522637474 </w:instrText>
                            </w:r>
                            <w:r>
                              <w:rPr>
                                <w:sz w:val="20"/>
                                <w:szCs w:val="20"/>
                              </w:rPr>
                              <w:fldChar w:fldCharType="separate"/>
                            </w:r>
                            <w:r w:rsidRPr="00CC1327">
                              <w:rPr>
                                <w:b/>
                                <w:sz w:val="20"/>
                                <w:szCs w:val="20"/>
                              </w:rPr>
                              <w:t xml:space="preserve">Table </w:t>
                            </w:r>
                            <w:r>
                              <w:rPr>
                                <w:b/>
                                <w:noProof/>
                                <w:sz w:val="20"/>
                                <w:szCs w:val="20"/>
                              </w:rPr>
                              <w:t>5</w:t>
                            </w:r>
                            <w:r>
                              <w:rPr>
                                <w:b/>
                                <w:sz w:val="20"/>
                                <w:szCs w:val="20"/>
                              </w:rPr>
                              <w:t>.</w:t>
                            </w:r>
                            <w:r>
                              <w:rPr>
                                <w:b/>
                                <w:noProof/>
                                <w:sz w:val="20"/>
                                <w:szCs w:val="20"/>
                              </w:rPr>
                              <w:t>1</w:t>
                            </w:r>
                            <w:r>
                              <w:rPr>
                                <w:sz w:val="20"/>
                                <w:szCs w:val="20"/>
                              </w:rPr>
                              <w:fldChar w:fldCharType="end"/>
                            </w:r>
                            <w:r>
                              <w:rPr>
                                <w:sz w:val="20"/>
                                <w:szCs w:val="20"/>
                              </w:rPr>
                              <w:t xml:space="preserve"> and </w:t>
                            </w:r>
                            <w:r>
                              <w:rPr>
                                <w:sz w:val="20"/>
                                <w:szCs w:val="20"/>
                              </w:rPr>
                              <w:fldChar w:fldCharType="begin"/>
                            </w:r>
                            <w:r>
                              <w:rPr>
                                <w:sz w:val="20"/>
                                <w:szCs w:val="20"/>
                              </w:rPr>
                              <w:instrText xml:space="preserve"> REF _Ref522646935 </w:instrText>
                            </w:r>
                            <w:r>
                              <w:rPr>
                                <w:sz w:val="20"/>
                                <w:szCs w:val="20"/>
                              </w:rPr>
                              <w:fldChar w:fldCharType="separate"/>
                            </w:r>
                            <w:r w:rsidRPr="00162201">
                              <w:rPr>
                                <w:b/>
                                <w:sz w:val="20"/>
                                <w:szCs w:val="20"/>
                              </w:rPr>
                              <w:t xml:space="preserve">Table </w:t>
                            </w:r>
                            <w:r>
                              <w:rPr>
                                <w:b/>
                                <w:noProof/>
                                <w:sz w:val="20"/>
                                <w:szCs w:val="20"/>
                              </w:rPr>
                              <w:t>5</w:t>
                            </w:r>
                            <w:r w:rsidRPr="00162201">
                              <w:rPr>
                                <w:b/>
                                <w:sz w:val="20"/>
                                <w:szCs w:val="20"/>
                              </w:rPr>
                              <w:t>.</w:t>
                            </w:r>
                            <w:r>
                              <w:rPr>
                                <w:b/>
                                <w:noProof/>
                                <w:sz w:val="20"/>
                                <w:szCs w:val="20"/>
                              </w:rPr>
                              <w:t>2</w:t>
                            </w:r>
                            <w:r>
                              <w:rPr>
                                <w:sz w:val="20"/>
                                <w:szCs w:val="20"/>
                              </w:rPr>
                              <w:fldChar w:fldCharType="end"/>
                            </w:r>
                            <w:r>
                              <w:rPr>
                                <w:sz w:val="20"/>
                                <w:szCs w:val="20"/>
                              </w:rPr>
                              <w:t>) and all populations were simulated. The influence of the parameters, shown in the legend, were quantified using a Partial Rank Correlation Coefficient (PRCC), whereby a positive value reflects a proportional relationship (</w:t>
                            </w:r>
                            <w:r>
                              <w:rPr>
                                <w:sz w:val="20"/>
                                <w:szCs w:val="20"/>
                              </w:rPr>
                              <w:sym w:font="Symbol" w:char="F020"/>
                            </w:r>
                            <w:r>
                              <w:rPr>
                                <w:sz w:val="20"/>
                                <w:szCs w:val="20"/>
                              </w:rPr>
                              <w:sym w:font="Symbol" w:char="F0AD"/>
                            </w:r>
                            <w:r>
                              <w:rPr>
                                <w:sz w:val="20"/>
                                <w:szCs w:val="20"/>
                              </w:rPr>
                              <w:t xml:space="preserve"> Parameter value = </w:t>
                            </w:r>
                            <w:r>
                              <w:rPr>
                                <w:sz w:val="20"/>
                                <w:szCs w:val="20"/>
                              </w:rPr>
                              <w:sym w:font="Symbol" w:char="F0AD"/>
                            </w:r>
                            <w:r>
                              <w:rPr>
                                <w:sz w:val="20"/>
                                <w:szCs w:val="20"/>
                              </w:rPr>
                              <w:t xml:space="preserve"> </w:t>
                            </w:r>
                            <w:r>
                              <w:rPr>
                                <w:i/>
                                <w:sz w:val="20"/>
                                <w:szCs w:val="20"/>
                              </w:rPr>
                              <w:t>L. donovani</w:t>
                            </w:r>
                            <w:r>
                              <w:rPr>
                                <w:sz w:val="20"/>
                                <w:szCs w:val="20"/>
                              </w:rPr>
                              <w:t xml:space="preserve"> number) and a negative value reflects an inverse proportional relationship (</w:t>
                            </w:r>
                            <w:r>
                              <w:rPr>
                                <w:sz w:val="20"/>
                                <w:szCs w:val="20"/>
                              </w:rPr>
                              <w:sym w:font="Symbol" w:char="F0AF"/>
                            </w:r>
                            <w:r>
                              <w:rPr>
                                <w:sz w:val="20"/>
                                <w:szCs w:val="20"/>
                              </w:rPr>
                              <w:t xml:space="preserve"> Parameter value = </w:t>
                            </w:r>
                            <w:r>
                              <w:rPr>
                                <w:sz w:val="20"/>
                                <w:szCs w:val="20"/>
                              </w:rPr>
                              <w:sym w:font="Symbol" w:char="F0AD"/>
                            </w:r>
                            <w:r>
                              <w:rPr>
                                <w:sz w:val="20"/>
                                <w:szCs w:val="20"/>
                              </w:rPr>
                              <w:t xml:space="preserve"> </w:t>
                            </w:r>
                            <w:r>
                              <w:rPr>
                                <w:i/>
                                <w:sz w:val="20"/>
                                <w:szCs w:val="20"/>
                              </w:rPr>
                              <w:t>L. donovani</w:t>
                            </w:r>
                            <w:r>
                              <w:rPr>
                                <w:sz w:val="20"/>
                                <w:szCs w:val="20"/>
                              </w:rPr>
                              <w:t>). The higher the value the stronger the relationship.</w:t>
                            </w:r>
                            <w:bookmarkEnd w:id="743"/>
                            <w:bookmarkEnd w:id="744"/>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6BF78C" id="Text Box 623" o:spid="_x0000_s1240" type="#_x0000_t202" style="position:absolute;margin-left:8.8pt;margin-top:34.8pt;width:10in;height:68.65pt;z-index:252180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MD+XXIgIAAEUEAAAOAAAAZHJzL2Uyb0RvYy54bWysU8Fu2zAMvQ/YPwi6L7aztMuMOEXWIsOA&#13;&#10;oi2QDD0rshQLsERNUmJnXz9KjtOu22nYRaZJ6ol8fFzc9LolR+G8AlPRYpJTIgyHWpl9Rb9v1x/m&#13;&#10;lPjATM1aMKKiJ+HpzfL9u0VnSzGFBtpaOIIgxpedrWgTgi2zzPNGaOYnYIXBoASnWcBft89qxzpE&#13;&#10;1202zfPrrANXWwdceI/euyFIlwlfSsHDo5ReBNJWFGsL6XTp3MUzWy5YuXfMNoqfy2D/UIVmyuCj&#13;&#10;F6g7Fhg5OPUHlFbcgQcZJhx0BlIqLlIP2E2Rv+lm0zArUi9IjrcXmvz/g+UPxydHVF3R6+lHSgzT&#13;&#10;OKSt6AP5Aj2JPmSos77ExI3F1NBjACc9+j06Y+O9dDp+sSWCceT6dOE3wnF0fi5mszzHEMfY/FMx&#13;&#10;v7qKMNnLbet8+CpAk2hU1OH8Eq3seO/DkDqmxMcMrFXbphm25jcHYkZPFksfSoxW6Hd9anZazMYG&#13;&#10;dlCfsC8Hgza85WuFj98zH56YQzFgvSjw8IiHbKGrKJwtShpwP//mj/k4I4xS0qG4Kup/HJgTlLTf&#13;&#10;DE4vKnE03GjsRsMc9C2gXgtcHcuTiRdcaEdTOtDPqPtVfAVDzHB8q6JhNG/DIHHcGy5Wq5SEerMs&#13;&#10;3JuN5RE6shWp3PbPzNkz3wEn9QCj7Fj5hvYhd+B5dQggVZpJZHZg8Uw4ajVN9bxXcRle/6esl+1f&#13;&#10;/gIAAP//AwBQSwMEFAAGAAgAAAAhAOXlomLhAAAADwEAAA8AAABkcnMvZG93bnJldi54bWxMT01P&#13;&#10;wzAMvSPxHyIjcWMJExTaNZ0mPk6TEF05cEybrI3WOKXJtvLv557gYuv52c/v5evJ9exkxmA9Srhf&#13;&#10;CGAGG68tthK+qve7Z2AhKtSq92gk/JoA6+L6KleZ9mcszWkXW0YiGDIloYtxyDgPTWecCgs/GCRu&#13;&#10;70enIsGx5XpUZxJ3PV8KkXCnLNKHTg3mpTPNYXd0EjbfWL7Zn4/6s9yXtqpSgdvkIOXtzfS6orJZ&#13;&#10;AYtmin8XMGcg/1CQsdofUQfWE35KaFNCklKf+YfHeVJLWIokBV7k/H+O4gIAAP//AwBQSwECLQAU&#13;&#10;AAYACAAAACEAtoM4kv4AAADhAQAAEwAAAAAAAAAAAAAAAAAAAAAAW0NvbnRlbnRfVHlwZXNdLnht&#13;&#10;bFBLAQItABQABgAIAAAAIQA4/SH/1gAAAJQBAAALAAAAAAAAAAAAAAAAAC8BAABfcmVscy8ucmVs&#13;&#10;c1BLAQItABQABgAIAAAAIQDMD+XXIgIAAEUEAAAOAAAAAAAAAAAAAAAAAC4CAABkcnMvZTJvRG9j&#13;&#10;LnhtbFBLAQItABQABgAIAAAAIQDl5aJi4QAAAA8BAAAPAAAAAAAAAAAAAAAAAHwEAABkcnMvZG93&#13;&#10;bnJldi54bWxQSwUGAAAAAAQABADzAAAAigUAAAAA&#13;&#10;" filled="f" stroked="f">
                <v:textbox inset="0,0,0,0">
                  <w:txbxContent>
                    <w:p w14:paraId="6F9C8555" w14:textId="6E0B26F5" w:rsidR="00F61130" w:rsidRPr="00CC788B" w:rsidRDefault="00F61130" w:rsidP="00CC788B">
                      <w:pPr>
                        <w:pStyle w:val="Caption"/>
                        <w:spacing w:line="360" w:lineRule="auto"/>
                        <w:rPr>
                          <w:b/>
                          <w:sz w:val="20"/>
                          <w:szCs w:val="20"/>
                        </w:rPr>
                      </w:pPr>
                      <w:bookmarkStart w:id="745" w:name="_Ref523573715"/>
                      <w:bookmarkStart w:id="746" w:name="_Toc525227261"/>
                      <w:bookmarkStart w:id="747" w:name="_Toc536814201"/>
                      <w:r w:rsidRPr="00CC788B">
                        <w:rPr>
                          <w:b/>
                          <w:sz w:val="20"/>
                          <w:szCs w:val="20"/>
                        </w:rPr>
                        <w:t xml:space="preserve">Figure </w:t>
                      </w:r>
                      <w:r>
                        <w:rPr>
                          <w:b/>
                          <w:sz w:val="20"/>
                          <w:szCs w:val="20"/>
                        </w:rPr>
                        <w:fldChar w:fldCharType="begin"/>
                      </w:r>
                      <w:r>
                        <w:rPr>
                          <w:b/>
                          <w:sz w:val="20"/>
                          <w:szCs w:val="20"/>
                        </w:rPr>
                        <w:instrText xml:space="preserve"> STYLEREF 1 \s </w:instrText>
                      </w:r>
                      <w:r>
                        <w:rPr>
                          <w:b/>
                          <w:sz w:val="20"/>
                          <w:szCs w:val="20"/>
                        </w:rPr>
                        <w:fldChar w:fldCharType="separate"/>
                      </w:r>
                      <w:r>
                        <w:rPr>
                          <w:b/>
                          <w:noProof/>
                          <w:sz w:val="20"/>
                          <w:szCs w:val="20"/>
                        </w:rPr>
                        <w:t>7</w:t>
                      </w:r>
                      <w:r>
                        <w:rPr>
                          <w:b/>
                          <w:sz w:val="20"/>
                          <w:szCs w:val="20"/>
                        </w:rPr>
                        <w:fldChar w:fldCharType="end"/>
                      </w:r>
                      <w:r>
                        <w:rPr>
                          <w:b/>
                          <w:sz w:val="20"/>
                          <w:szCs w:val="20"/>
                        </w:rPr>
                        <w:t>.</w:t>
                      </w:r>
                      <w:r>
                        <w:rPr>
                          <w:b/>
                          <w:sz w:val="20"/>
                          <w:szCs w:val="20"/>
                        </w:rPr>
                        <w:fldChar w:fldCharType="begin"/>
                      </w:r>
                      <w:r>
                        <w:rPr>
                          <w:b/>
                          <w:sz w:val="20"/>
                          <w:szCs w:val="20"/>
                        </w:rPr>
                        <w:instrText xml:space="preserve"> SEQ Figure \* ARABIC \s 1 </w:instrText>
                      </w:r>
                      <w:r>
                        <w:rPr>
                          <w:b/>
                          <w:sz w:val="20"/>
                          <w:szCs w:val="20"/>
                        </w:rPr>
                        <w:fldChar w:fldCharType="separate"/>
                      </w:r>
                      <w:r>
                        <w:rPr>
                          <w:b/>
                          <w:noProof/>
                          <w:sz w:val="20"/>
                          <w:szCs w:val="20"/>
                        </w:rPr>
                        <w:t>9</w:t>
                      </w:r>
                      <w:r>
                        <w:rPr>
                          <w:b/>
                          <w:sz w:val="20"/>
                          <w:szCs w:val="20"/>
                        </w:rPr>
                        <w:fldChar w:fldCharType="end"/>
                      </w:r>
                      <w:bookmarkEnd w:id="745"/>
                      <w:r w:rsidRPr="00CC788B">
                        <w:rPr>
                          <w:b/>
                          <w:sz w:val="20"/>
                          <w:szCs w:val="20"/>
                        </w:rPr>
                        <w:t xml:space="preserve"> - </w:t>
                      </w:r>
                      <w:r>
                        <w:rPr>
                          <w:b/>
                          <w:sz w:val="20"/>
                          <w:szCs w:val="20"/>
                        </w:rPr>
                        <w:t>Global Sensitivity Analysis of all populations in the finalised simulation model</w:t>
                      </w:r>
                      <w:r w:rsidRPr="00CC788B">
                        <w:rPr>
                          <w:b/>
                          <w:sz w:val="20"/>
                          <w:szCs w:val="20"/>
                        </w:rPr>
                        <w:t>.</w:t>
                      </w:r>
                      <w:r>
                        <w:rPr>
                          <w:b/>
                          <w:sz w:val="20"/>
                          <w:szCs w:val="20"/>
                        </w:rPr>
                        <w:t xml:space="preserve"> </w:t>
                      </w:r>
                      <w:r>
                        <w:rPr>
                          <w:sz w:val="20"/>
                          <w:szCs w:val="20"/>
                        </w:rPr>
                        <w:t xml:space="preserve">500 parameter sets were generated using latin hyper cube (LHC) sampling over parameter prior ranges (see </w:t>
                      </w:r>
                      <w:r>
                        <w:rPr>
                          <w:sz w:val="20"/>
                          <w:szCs w:val="20"/>
                        </w:rPr>
                        <w:fldChar w:fldCharType="begin"/>
                      </w:r>
                      <w:r>
                        <w:rPr>
                          <w:sz w:val="20"/>
                          <w:szCs w:val="20"/>
                        </w:rPr>
                        <w:instrText xml:space="preserve"> REF _Ref522637474 </w:instrText>
                      </w:r>
                      <w:r>
                        <w:rPr>
                          <w:sz w:val="20"/>
                          <w:szCs w:val="20"/>
                        </w:rPr>
                        <w:fldChar w:fldCharType="separate"/>
                      </w:r>
                      <w:r w:rsidRPr="00CC1327">
                        <w:rPr>
                          <w:b/>
                          <w:sz w:val="20"/>
                          <w:szCs w:val="20"/>
                        </w:rPr>
                        <w:t xml:space="preserve">Table </w:t>
                      </w:r>
                      <w:r>
                        <w:rPr>
                          <w:b/>
                          <w:noProof/>
                          <w:sz w:val="20"/>
                          <w:szCs w:val="20"/>
                        </w:rPr>
                        <w:t>5</w:t>
                      </w:r>
                      <w:r>
                        <w:rPr>
                          <w:b/>
                          <w:sz w:val="20"/>
                          <w:szCs w:val="20"/>
                        </w:rPr>
                        <w:t>.</w:t>
                      </w:r>
                      <w:r>
                        <w:rPr>
                          <w:b/>
                          <w:noProof/>
                          <w:sz w:val="20"/>
                          <w:szCs w:val="20"/>
                        </w:rPr>
                        <w:t>1</w:t>
                      </w:r>
                      <w:r>
                        <w:rPr>
                          <w:sz w:val="20"/>
                          <w:szCs w:val="20"/>
                        </w:rPr>
                        <w:fldChar w:fldCharType="end"/>
                      </w:r>
                      <w:r>
                        <w:rPr>
                          <w:sz w:val="20"/>
                          <w:szCs w:val="20"/>
                        </w:rPr>
                        <w:t xml:space="preserve"> and </w:t>
                      </w:r>
                      <w:r>
                        <w:rPr>
                          <w:sz w:val="20"/>
                          <w:szCs w:val="20"/>
                        </w:rPr>
                        <w:fldChar w:fldCharType="begin"/>
                      </w:r>
                      <w:r>
                        <w:rPr>
                          <w:sz w:val="20"/>
                          <w:szCs w:val="20"/>
                        </w:rPr>
                        <w:instrText xml:space="preserve"> REF _Ref522646935 </w:instrText>
                      </w:r>
                      <w:r>
                        <w:rPr>
                          <w:sz w:val="20"/>
                          <w:szCs w:val="20"/>
                        </w:rPr>
                        <w:fldChar w:fldCharType="separate"/>
                      </w:r>
                      <w:r w:rsidRPr="00162201">
                        <w:rPr>
                          <w:b/>
                          <w:sz w:val="20"/>
                          <w:szCs w:val="20"/>
                        </w:rPr>
                        <w:t xml:space="preserve">Table </w:t>
                      </w:r>
                      <w:r>
                        <w:rPr>
                          <w:b/>
                          <w:noProof/>
                          <w:sz w:val="20"/>
                          <w:szCs w:val="20"/>
                        </w:rPr>
                        <w:t>5</w:t>
                      </w:r>
                      <w:r w:rsidRPr="00162201">
                        <w:rPr>
                          <w:b/>
                          <w:sz w:val="20"/>
                          <w:szCs w:val="20"/>
                        </w:rPr>
                        <w:t>.</w:t>
                      </w:r>
                      <w:r>
                        <w:rPr>
                          <w:b/>
                          <w:noProof/>
                          <w:sz w:val="20"/>
                          <w:szCs w:val="20"/>
                        </w:rPr>
                        <w:t>2</w:t>
                      </w:r>
                      <w:r>
                        <w:rPr>
                          <w:sz w:val="20"/>
                          <w:szCs w:val="20"/>
                        </w:rPr>
                        <w:fldChar w:fldCharType="end"/>
                      </w:r>
                      <w:r>
                        <w:rPr>
                          <w:sz w:val="20"/>
                          <w:szCs w:val="20"/>
                        </w:rPr>
                        <w:t>) and all populations were simulated. The influence of the parameters, shown in the legend, were quantified using a Partial Rank Correlation Coefficient (PRCC), whereby a positive value reflects a proportional relationship (</w:t>
                      </w:r>
                      <w:r>
                        <w:rPr>
                          <w:sz w:val="20"/>
                          <w:szCs w:val="20"/>
                        </w:rPr>
                        <w:sym w:font="Symbol" w:char="F020"/>
                      </w:r>
                      <w:r>
                        <w:rPr>
                          <w:sz w:val="20"/>
                          <w:szCs w:val="20"/>
                        </w:rPr>
                        <w:sym w:font="Symbol" w:char="F0AD"/>
                      </w:r>
                      <w:r>
                        <w:rPr>
                          <w:sz w:val="20"/>
                          <w:szCs w:val="20"/>
                        </w:rPr>
                        <w:t xml:space="preserve"> Parameter value = </w:t>
                      </w:r>
                      <w:r>
                        <w:rPr>
                          <w:sz w:val="20"/>
                          <w:szCs w:val="20"/>
                        </w:rPr>
                        <w:sym w:font="Symbol" w:char="F0AD"/>
                      </w:r>
                      <w:r>
                        <w:rPr>
                          <w:sz w:val="20"/>
                          <w:szCs w:val="20"/>
                        </w:rPr>
                        <w:t xml:space="preserve"> </w:t>
                      </w:r>
                      <w:r>
                        <w:rPr>
                          <w:i/>
                          <w:sz w:val="20"/>
                          <w:szCs w:val="20"/>
                        </w:rPr>
                        <w:t>L. donovani</w:t>
                      </w:r>
                      <w:r>
                        <w:rPr>
                          <w:sz w:val="20"/>
                          <w:szCs w:val="20"/>
                        </w:rPr>
                        <w:t xml:space="preserve"> number) and a negative value reflects an inverse proportional relationship (</w:t>
                      </w:r>
                      <w:r>
                        <w:rPr>
                          <w:sz w:val="20"/>
                          <w:szCs w:val="20"/>
                        </w:rPr>
                        <w:sym w:font="Symbol" w:char="F0AF"/>
                      </w:r>
                      <w:r>
                        <w:rPr>
                          <w:sz w:val="20"/>
                          <w:szCs w:val="20"/>
                        </w:rPr>
                        <w:t xml:space="preserve"> Parameter value = </w:t>
                      </w:r>
                      <w:r>
                        <w:rPr>
                          <w:sz w:val="20"/>
                          <w:szCs w:val="20"/>
                        </w:rPr>
                        <w:sym w:font="Symbol" w:char="F0AD"/>
                      </w:r>
                      <w:r>
                        <w:rPr>
                          <w:sz w:val="20"/>
                          <w:szCs w:val="20"/>
                        </w:rPr>
                        <w:t xml:space="preserve"> </w:t>
                      </w:r>
                      <w:r>
                        <w:rPr>
                          <w:i/>
                          <w:sz w:val="20"/>
                          <w:szCs w:val="20"/>
                        </w:rPr>
                        <w:t>L. donovani</w:t>
                      </w:r>
                      <w:r>
                        <w:rPr>
                          <w:sz w:val="20"/>
                          <w:szCs w:val="20"/>
                        </w:rPr>
                        <w:t>). The higher the value the stronger the relationship.</w:t>
                      </w:r>
                      <w:bookmarkEnd w:id="746"/>
                      <w:bookmarkEnd w:id="747"/>
                    </w:p>
                  </w:txbxContent>
                </v:textbox>
              </v:shape>
            </w:pict>
          </mc:Fallback>
        </mc:AlternateContent>
      </w:r>
    </w:p>
    <w:p w14:paraId="4F300158" w14:textId="5F4657E1" w:rsidR="00E8666B" w:rsidRPr="00E8666B" w:rsidRDefault="00E8666B" w:rsidP="00E8666B"/>
    <w:p w14:paraId="4CA04059" w14:textId="4096D450" w:rsidR="00CB207C" w:rsidRDefault="00E8666B" w:rsidP="00E8666B">
      <w:pPr>
        <w:pStyle w:val="Heading2"/>
      </w:pPr>
      <w:r>
        <w:tab/>
      </w:r>
      <w:bookmarkStart w:id="748" w:name="_Toc536814116"/>
      <w:bookmarkStart w:id="749" w:name="_Toc3716130"/>
      <w:bookmarkEnd w:id="748"/>
      <w:r w:rsidR="00CB207C">
        <w:t>Supplementary Information for the development of a mathematical model describing the sub-tissue distribution of Amphotericin B</w:t>
      </w:r>
      <w:bookmarkEnd w:id="749"/>
    </w:p>
    <w:p w14:paraId="1D8F9E96" w14:textId="77777777" w:rsidR="00E8666B" w:rsidRPr="00E8666B" w:rsidRDefault="00E8666B" w:rsidP="00B23FF8"/>
    <w:tbl>
      <w:tblPr>
        <w:tblW w:w="0" w:type="auto"/>
        <w:tblLayout w:type="fixed"/>
        <w:tblLook w:val="04A0" w:firstRow="1" w:lastRow="0" w:firstColumn="1" w:lastColumn="0" w:noHBand="0" w:noVBand="1"/>
      </w:tblPr>
      <w:tblGrid>
        <w:gridCol w:w="1129"/>
        <w:gridCol w:w="1418"/>
        <w:gridCol w:w="1843"/>
        <w:gridCol w:w="3390"/>
        <w:gridCol w:w="3391"/>
        <w:gridCol w:w="3391"/>
      </w:tblGrid>
      <w:tr w:rsidR="00FF5FCD" w:rsidRPr="00FF5FCD" w14:paraId="1B5D5F93" w14:textId="77777777" w:rsidTr="00F7425F">
        <w:trPr>
          <w:trHeight w:val="720"/>
        </w:trPr>
        <w:tc>
          <w:tcPr>
            <w:tcW w:w="1129" w:type="dxa"/>
            <w:tcBorders>
              <w:top w:val="single" w:sz="4" w:space="0" w:color="auto"/>
              <w:left w:val="single" w:sz="4" w:space="0" w:color="auto"/>
              <w:bottom w:val="single" w:sz="4" w:space="0" w:color="auto"/>
              <w:right w:val="single" w:sz="4" w:space="0" w:color="auto"/>
            </w:tcBorders>
            <w:shd w:val="clear" w:color="000000" w:fill="BFBFBF"/>
            <w:vAlign w:val="center"/>
            <w:hideMark/>
          </w:tcPr>
          <w:p w14:paraId="2F8F44C8" w14:textId="77777777" w:rsidR="00FF5FCD" w:rsidRPr="00FF5FCD" w:rsidRDefault="00FF5FCD" w:rsidP="00FF5FCD">
            <w:pPr>
              <w:spacing w:line="240" w:lineRule="auto"/>
              <w:jc w:val="center"/>
              <w:rPr>
                <w:rFonts w:eastAsia="Times New Roman"/>
                <w:b/>
                <w:bCs/>
                <w:color w:val="000000"/>
                <w:sz w:val="17"/>
                <w:szCs w:val="17"/>
              </w:rPr>
            </w:pPr>
            <w:r w:rsidRPr="00FF5FCD">
              <w:rPr>
                <w:rFonts w:eastAsia="Times New Roman"/>
                <w:b/>
                <w:bCs/>
                <w:color w:val="000000"/>
                <w:sz w:val="17"/>
                <w:szCs w:val="17"/>
              </w:rPr>
              <w:t>Statement</w:t>
            </w:r>
          </w:p>
        </w:tc>
        <w:tc>
          <w:tcPr>
            <w:tcW w:w="1418" w:type="dxa"/>
            <w:tcBorders>
              <w:top w:val="single" w:sz="4" w:space="0" w:color="auto"/>
              <w:left w:val="nil"/>
              <w:bottom w:val="single" w:sz="4" w:space="0" w:color="auto"/>
              <w:right w:val="single" w:sz="4" w:space="0" w:color="auto"/>
            </w:tcBorders>
            <w:shd w:val="clear" w:color="000000" w:fill="BFBFBF"/>
            <w:vAlign w:val="center"/>
            <w:hideMark/>
          </w:tcPr>
          <w:p w14:paraId="264E8419" w14:textId="77777777" w:rsidR="00FF5FCD" w:rsidRPr="00FF5FCD" w:rsidRDefault="00FF5FCD" w:rsidP="00FF5FCD">
            <w:pPr>
              <w:spacing w:line="240" w:lineRule="auto"/>
              <w:jc w:val="center"/>
              <w:rPr>
                <w:rFonts w:eastAsia="Times New Roman"/>
                <w:b/>
                <w:bCs/>
                <w:sz w:val="17"/>
                <w:szCs w:val="17"/>
              </w:rPr>
            </w:pPr>
            <w:r w:rsidRPr="00FF5FCD">
              <w:rPr>
                <w:rFonts w:eastAsia="Times New Roman"/>
                <w:b/>
                <w:bCs/>
                <w:sz w:val="17"/>
                <w:szCs w:val="17"/>
              </w:rPr>
              <w:t>Statement Evidence</w:t>
            </w:r>
          </w:p>
        </w:tc>
        <w:tc>
          <w:tcPr>
            <w:tcW w:w="1843" w:type="dxa"/>
            <w:tcBorders>
              <w:top w:val="single" w:sz="4" w:space="0" w:color="auto"/>
              <w:left w:val="nil"/>
              <w:bottom w:val="single" w:sz="4" w:space="0" w:color="auto"/>
              <w:right w:val="single" w:sz="4" w:space="0" w:color="auto"/>
            </w:tcBorders>
            <w:shd w:val="clear" w:color="000000" w:fill="BFBFBF"/>
            <w:vAlign w:val="center"/>
            <w:hideMark/>
          </w:tcPr>
          <w:p w14:paraId="2D2E8BF3" w14:textId="4B70E00B" w:rsidR="00FF5FCD" w:rsidRPr="00FF5FCD" w:rsidRDefault="00FF5FCD" w:rsidP="00FF5FCD">
            <w:pPr>
              <w:spacing w:line="240" w:lineRule="auto"/>
              <w:jc w:val="center"/>
              <w:rPr>
                <w:rFonts w:eastAsia="Times New Roman"/>
                <w:b/>
                <w:bCs/>
                <w:color w:val="000000"/>
                <w:sz w:val="17"/>
                <w:szCs w:val="17"/>
              </w:rPr>
            </w:pPr>
            <w:r w:rsidRPr="00FF5FCD">
              <w:rPr>
                <w:rFonts w:eastAsia="Times New Roman"/>
                <w:b/>
                <w:bCs/>
                <w:color w:val="000000"/>
                <w:sz w:val="17"/>
                <w:szCs w:val="17"/>
              </w:rPr>
              <w:t>Domain Model Representation</w:t>
            </w:r>
          </w:p>
        </w:tc>
        <w:tc>
          <w:tcPr>
            <w:tcW w:w="3390" w:type="dxa"/>
            <w:tcBorders>
              <w:top w:val="single" w:sz="4" w:space="0" w:color="auto"/>
              <w:left w:val="nil"/>
              <w:bottom w:val="single" w:sz="4" w:space="0" w:color="auto"/>
              <w:right w:val="single" w:sz="4" w:space="0" w:color="auto"/>
            </w:tcBorders>
            <w:shd w:val="clear" w:color="000000" w:fill="BFBFBF"/>
            <w:vAlign w:val="center"/>
            <w:hideMark/>
          </w:tcPr>
          <w:p w14:paraId="6DBBAD16" w14:textId="77777777" w:rsidR="00FF5FCD" w:rsidRPr="00FF5FCD" w:rsidRDefault="00FF5FCD" w:rsidP="00FF5FCD">
            <w:pPr>
              <w:spacing w:line="240" w:lineRule="auto"/>
              <w:jc w:val="center"/>
              <w:rPr>
                <w:rFonts w:eastAsia="Times New Roman"/>
                <w:b/>
                <w:bCs/>
                <w:color w:val="000000"/>
                <w:sz w:val="17"/>
                <w:szCs w:val="17"/>
              </w:rPr>
            </w:pPr>
            <w:r w:rsidRPr="00FF5FCD">
              <w:rPr>
                <w:rFonts w:eastAsia="Times New Roman"/>
                <w:b/>
                <w:bCs/>
                <w:color w:val="000000"/>
                <w:sz w:val="17"/>
                <w:szCs w:val="17"/>
              </w:rPr>
              <w:t>Domain Assumption</w:t>
            </w:r>
          </w:p>
        </w:tc>
        <w:tc>
          <w:tcPr>
            <w:tcW w:w="3391" w:type="dxa"/>
            <w:tcBorders>
              <w:top w:val="single" w:sz="4" w:space="0" w:color="auto"/>
              <w:left w:val="nil"/>
              <w:bottom w:val="single" w:sz="4" w:space="0" w:color="auto"/>
              <w:right w:val="single" w:sz="4" w:space="0" w:color="auto"/>
            </w:tcBorders>
            <w:shd w:val="clear" w:color="000000" w:fill="BFBFBF"/>
            <w:vAlign w:val="center"/>
            <w:hideMark/>
          </w:tcPr>
          <w:p w14:paraId="53EC0D97" w14:textId="77777777" w:rsidR="00FF5FCD" w:rsidRPr="00FF5FCD" w:rsidRDefault="00FF5FCD" w:rsidP="00FF5FCD">
            <w:pPr>
              <w:spacing w:line="240" w:lineRule="auto"/>
              <w:jc w:val="center"/>
              <w:rPr>
                <w:rFonts w:eastAsia="Times New Roman"/>
                <w:b/>
                <w:bCs/>
                <w:color w:val="000000"/>
                <w:sz w:val="17"/>
                <w:szCs w:val="17"/>
              </w:rPr>
            </w:pPr>
            <w:r w:rsidRPr="00FF5FCD">
              <w:rPr>
                <w:rFonts w:eastAsia="Times New Roman"/>
                <w:b/>
                <w:bCs/>
                <w:color w:val="000000"/>
                <w:sz w:val="17"/>
                <w:szCs w:val="17"/>
              </w:rPr>
              <w:t>Platform Model Representation</w:t>
            </w:r>
          </w:p>
        </w:tc>
        <w:tc>
          <w:tcPr>
            <w:tcW w:w="3391" w:type="dxa"/>
            <w:tcBorders>
              <w:top w:val="single" w:sz="4" w:space="0" w:color="auto"/>
              <w:left w:val="nil"/>
              <w:bottom w:val="single" w:sz="4" w:space="0" w:color="auto"/>
              <w:right w:val="single" w:sz="4" w:space="0" w:color="auto"/>
            </w:tcBorders>
            <w:shd w:val="clear" w:color="000000" w:fill="BFBFBF"/>
            <w:noWrap/>
            <w:vAlign w:val="center"/>
            <w:hideMark/>
          </w:tcPr>
          <w:p w14:paraId="21D24993" w14:textId="77777777" w:rsidR="00FF5FCD" w:rsidRPr="00FF5FCD" w:rsidRDefault="00FF5FCD" w:rsidP="00FF5FCD">
            <w:pPr>
              <w:spacing w:line="240" w:lineRule="auto"/>
              <w:jc w:val="center"/>
              <w:rPr>
                <w:rFonts w:eastAsia="Times New Roman"/>
                <w:b/>
                <w:bCs/>
                <w:color w:val="000000"/>
                <w:sz w:val="17"/>
                <w:szCs w:val="17"/>
              </w:rPr>
            </w:pPr>
            <w:r w:rsidRPr="00FF5FCD">
              <w:rPr>
                <w:rFonts w:eastAsia="Times New Roman"/>
                <w:b/>
                <w:bCs/>
                <w:color w:val="000000"/>
                <w:sz w:val="17"/>
                <w:szCs w:val="17"/>
              </w:rPr>
              <w:t>Simulation Model Representation</w:t>
            </w:r>
          </w:p>
        </w:tc>
      </w:tr>
      <w:tr w:rsidR="00FF5FCD" w:rsidRPr="00FF5FCD" w14:paraId="6305A447" w14:textId="77777777" w:rsidTr="00F7425F">
        <w:trPr>
          <w:trHeight w:val="2100"/>
        </w:trPr>
        <w:tc>
          <w:tcPr>
            <w:tcW w:w="1129" w:type="dxa"/>
            <w:tcBorders>
              <w:top w:val="nil"/>
              <w:left w:val="single" w:sz="4" w:space="0" w:color="auto"/>
              <w:bottom w:val="single" w:sz="4" w:space="0" w:color="auto"/>
              <w:right w:val="single" w:sz="4" w:space="0" w:color="auto"/>
            </w:tcBorders>
            <w:shd w:val="clear" w:color="auto" w:fill="auto"/>
            <w:vAlign w:val="center"/>
            <w:hideMark/>
          </w:tcPr>
          <w:p w14:paraId="682855B4" w14:textId="77777777" w:rsidR="00FF5FCD" w:rsidRPr="00B23FF8" w:rsidRDefault="00FF5FCD" w:rsidP="00FF5FCD">
            <w:pPr>
              <w:spacing w:line="240" w:lineRule="auto"/>
              <w:jc w:val="center"/>
              <w:rPr>
                <w:rFonts w:eastAsia="Times New Roman"/>
                <w:color w:val="000000"/>
                <w:sz w:val="16"/>
                <w:szCs w:val="16"/>
              </w:rPr>
            </w:pPr>
            <w:r w:rsidRPr="00B23FF8">
              <w:rPr>
                <w:rFonts w:eastAsia="Times New Roman"/>
                <w:color w:val="000000"/>
                <w:sz w:val="16"/>
                <w:szCs w:val="16"/>
              </w:rPr>
              <w:t>Liposomal Amphotericin B can release Amphotericin B to exist in a monomer</w:t>
            </w:r>
          </w:p>
        </w:tc>
        <w:tc>
          <w:tcPr>
            <w:tcW w:w="1418" w:type="dxa"/>
            <w:tcBorders>
              <w:top w:val="nil"/>
              <w:left w:val="nil"/>
              <w:bottom w:val="single" w:sz="4" w:space="0" w:color="auto"/>
              <w:right w:val="single" w:sz="4" w:space="0" w:color="auto"/>
            </w:tcBorders>
            <w:shd w:val="clear" w:color="auto" w:fill="auto"/>
            <w:vAlign w:val="center"/>
            <w:hideMark/>
          </w:tcPr>
          <w:p w14:paraId="6E6CC948" w14:textId="77777777" w:rsidR="00FF5FCD" w:rsidRPr="00B23FF8" w:rsidRDefault="00FF5FCD" w:rsidP="00FF5FCD">
            <w:pPr>
              <w:spacing w:line="240" w:lineRule="auto"/>
              <w:jc w:val="center"/>
              <w:rPr>
                <w:rFonts w:eastAsia="Times New Roman"/>
                <w:sz w:val="16"/>
                <w:szCs w:val="16"/>
              </w:rPr>
            </w:pPr>
            <w:r w:rsidRPr="00B23FF8">
              <w:rPr>
                <w:rFonts w:eastAsia="Times New Roman"/>
                <w:sz w:val="16"/>
                <w:szCs w:val="16"/>
              </w:rPr>
              <w:t>(Cunningham et al., 2012)</w:t>
            </w:r>
          </w:p>
        </w:tc>
        <w:tc>
          <w:tcPr>
            <w:tcW w:w="1843" w:type="dxa"/>
            <w:tcBorders>
              <w:top w:val="nil"/>
              <w:left w:val="nil"/>
              <w:bottom w:val="single" w:sz="4" w:space="0" w:color="auto"/>
              <w:right w:val="single" w:sz="4" w:space="0" w:color="auto"/>
            </w:tcBorders>
            <w:shd w:val="clear" w:color="auto" w:fill="auto"/>
            <w:vAlign w:val="center"/>
            <w:hideMark/>
          </w:tcPr>
          <w:p w14:paraId="5E72C8C3" w14:textId="77777777" w:rsidR="00FF5FCD" w:rsidRPr="00B23FF8" w:rsidRDefault="00FF5FCD" w:rsidP="00FF5FCD">
            <w:pPr>
              <w:spacing w:line="240" w:lineRule="auto"/>
              <w:jc w:val="center"/>
              <w:rPr>
                <w:rFonts w:eastAsia="Times New Roman"/>
                <w:color w:val="000000"/>
                <w:sz w:val="16"/>
                <w:szCs w:val="16"/>
              </w:rPr>
            </w:pPr>
            <w:r w:rsidRPr="00B23FF8">
              <w:rPr>
                <w:rFonts w:eastAsia="Times New Roman"/>
                <w:color w:val="000000"/>
                <w:sz w:val="16"/>
                <w:szCs w:val="16"/>
              </w:rPr>
              <w:t>Disruption of Liposomal Amphotericin B leads to the existence of Amphotericin B monomers in the same location (</w:t>
            </w:r>
            <w:r w:rsidRPr="00B23FF8">
              <w:rPr>
                <w:rFonts w:eastAsia="Times New Roman"/>
                <w:b/>
                <w:bCs/>
                <w:color w:val="000000"/>
                <w:sz w:val="16"/>
                <w:szCs w:val="16"/>
              </w:rPr>
              <w:t>Figure 5.11</w:t>
            </w:r>
            <w:r w:rsidRPr="00B23FF8">
              <w:rPr>
                <w:rFonts w:eastAsia="Times New Roman"/>
                <w:color w:val="000000"/>
                <w:sz w:val="16"/>
                <w:szCs w:val="16"/>
              </w:rPr>
              <w:t>)</w:t>
            </w:r>
          </w:p>
        </w:tc>
        <w:tc>
          <w:tcPr>
            <w:tcW w:w="3390" w:type="dxa"/>
            <w:tcBorders>
              <w:top w:val="nil"/>
              <w:left w:val="nil"/>
              <w:bottom w:val="single" w:sz="4" w:space="0" w:color="auto"/>
              <w:right w:val="single" w:sz="4" w:space="0" w:color="auto"/>
            </w:tcBorders>
            <w:shd w:val="clear" w:color="auto" w:fill="auto"/>
            <w:vAlign w:val="center"/>
            <w:hideMark/>
          </w:tcPr>
          <w:p w14:paraId="748CD98C" w14:textId="77777777" w:rsidR="00FF5FCD" w:rsidRPr="00B23FF8" w:rsidRDefault="00FF5FCD" w:rsidP="00FF5FCD">
            <w:pPr>
              <w:spacing w:line="240" w:lineRule="auto"/>
              <w:jc w:val="center"/>
              <w:rPr>
                <w:rFonts w:eastAsia="Times New Roman"/>
                <w:color w:val="000000"/>
                <w:sz w:val="16"/>
                <w:szCs w:val="16"/>
              </w:rPr>
            </w:pPr>
            <w:r w:rsidRPr="00B23FF8">
              <w:rPr>
                <w:rFonts w:eastAsia="Times New Roman"/>
                <w:color w:val="000000"/>
                <w:sz w:val="16"/>
                <w:szCs w:val="16"/>
              </w:rPr>
              <w:t>Disruption of Liposomes to release Amphotericin B is an irreversible process</w:t>
            </w:r>
          </w:p>
        </w:tc>
        <w:tc>
          <w:tcPr>
            <w:tcW w:w="3391" w:type="dxa"/>
            <w:tcBorders>
              <w:top w:val="nil"/>
              <w:left w:val="nil"/>
              <w:bottom w:val="single" w:sz="4" w:space="0" w:color="auto"/>
              <w:right w:val="single" w:sz="4" w:space="0" w:color="auto"/>
            </w:tcBorders>
            <w:shd w:val="clear" w:color="auto" w:fill="auto"/>
            <w:vAlign w:val="center"/>
            <w:hideMark/>
          </w:tcPr>
          <w:p w14:paraId="5A82C199" w14:textId="77777777" w:rsidR="00FF5FCD" w:rsidRPr="00B23FF8" w:rsidRDefault="00FF5FCD" w:rsidP="00FF5FCD">
            <w:pPr>
              <w:spacing w:line="240" w:lineRule="auto"/>
              <w:jc w:val="center"/>
              <w:rPr>
                <w:rFonts w:eastAsia="Times New Roman"/>
                <w:color w:val="000000"/>
                <w:sz w:val="16"/>
                <w:szCs w:val="16"/>
              </w:rPr>
            </w:pPr>
            <w:r w:rsidRPr="00B23FF8">
              <w:rPr>
                <w:rFonts w:eastAsia="Times New Roman"/>
                <w:color w:val="000000"/>
                <w:sz w:val="16"/>
                <w:szCs w:val="16"/>
              </w:rPr>
              <w:t>In the platform model there is no representation of the different states of Amphotericin B as shown in the domain (</w:t>
            </w:r>
            <w:r w:rsidRPr="00B23FF8">
              <w:rPr>
                <w:rFonts w:eastAsia="Times New Roman"/>
                <w:b/>
                <w:bCs/>
                <w:color w:val="000000"/>
                <w:sz w:val="16"/>
                <w:szCs w:val="16"/>
              </w:rPr>
              <w:t>Figure 5.12</w:t>
            </w:r>
            <w:r w:rsidRPr="00B23FF8">
              <w:rPr>
                <w:rFonts w:eastAsia="Times New Roman"/>
                <w:color w:val="000000"/>
                <w:sz w:val="16"/>
                <w:szCs w:val="16"/>
              </w:rPr>
              <w:t xml:space="preserve">) instead a single entity referred to as 'AmB' represents the total amount of Amphotericin B </w:t>
            </w:r>
            <w:r w:rsidRPr="00B23FF8">
              <w:rPr>
                <w:rFonts w:eastAsia="Times New Roman"/>
                <w:b/>
                <w:bCs/>
                <w:color w:val="000000"/>
                <w:sz w:val="16"/>
                <w:szCs w:val="16"/>
              </w:rPr>
              <w:t>(Figure 5.15</w:t>
            </w:r>
            <w:r w:rsidRPr="00B23FF8">
              <w:rPr>
                <w:rFonts w:eastAsia="Times New Roman"/>
                <w:color w:val="000000"/>
                <w:sz w:val="16"/>
                <w:szCs w:val="16"/>
              </w:rPr>
              <w:t>), this is due to the lack of data surrounding the amounts of the different states in a biological system after administration where typically only total Amphotericin B concentration is tracked</w:t>
            </w:r>
          </w:p>
        </w:tc>
        <w:tc>
          <w:tcPr>
            <w:tcW w:w="3391" w:type="dxa"/>
            <w:tcBorders>
              <w:top w:val="nil"/>
              <w:left w:val="nil"/>
              <w:bottom w:val="single" w:sz="4" w:space="0" w:color="auto"/>
              <w:right w:val="single" w:sz="4" w:space="0" w:color="auto"/>
            </w:tcBorders>
            <w:shd w:val="clear" w:color="auto" w:fill="auto"/>
            <w:noWrap/>
            <w:vAlign w:val="center"/>
            <w:hideMark/>
          </w:tcPr>
          <w:p w14:paraId="654A0098" w14:textId="77777777" w:rsidR="00FF5FCD" w:rsidRPr="00B23FF8" w:rsidRDefault="00FF5FCD" w:rsidP="00FF5FCD">
            <w:pPr>
              <w:spacing w:line="240" w:lineRule="auto"/>
              <w:rPr>
                <w:rFonts w:eastAsia="Times New Roman"/>
                <w:color w:val="000000"/>
                <w:sz w:val="16"/>
                <w:szCs w:val="16"/>
              </w:rPr>
            </w:pPr>
            <w:r w:rsidRPr="00B23FF8">
              <w:rPr>
                <w:rFonts w:eastAsia="Times New Roman"/>
                <w:color w:val="000000"/>
                <w:sz w:val="16"/>
                <w:szCs w:val="16"/>
              </w:rPr>
              <w:t> </w:t>
            </w:r>
          </w:p>
        </w:tc>
      </w:tr>
      <w:tr w:rsidR="00FF5FCD" w:rsidRPr="00FF5FCD" w14:paraId="403C1054" w14:textId="77777777" w:rsidTr="00F7425F">
        <w:trPr>
          <w:trHeight w:val="2100"/>
        </w:trPr>
        <w:tc>
          <w:tcPr>
            <w:tcW w:w="1129" w:type="dxa"/>
            <w:tcBorders>
              <w:top w:val="nil"/>
              <w:left w:val="single" w:sz="4" w:space="0" w:color="auto"/>
              <w:bottom w:val="single" w:sz="4" w:space="0" w:color="auto"/>
              <w:right w:val="single" w:sz="4" w:space="0" w:color="auto"/>
            </w:tcBorders>
            <w:shd w:val="clear" w:color="auto" w:fill="auto"/>
            <w:vAlign w:val="center"/>
            <w:hideMark/>
          </w:tcPr>
          <w:p w14:paraId="6A7C288F" w14:textId="77777777" w:rsidR="00FF5FCD" w:rsidRPr="00B23FF8" w:rsidRDefault="00FF5FCD" w:rsidP="00FF5FCD">
            <w:pPr>
              <w:spacing w:line="240" w:lineRule="auto"/>
              <w:jc w:val="center"/>
              <w:rPr>
                <w:rFonts w:eastAsia="Times New Roman"/>
                <w:color w:val="000000"/>
                <w:sz w:val="16"/>
                <w:szCs w:val="16"/>
              </w:rPr>
            </w:pPr>
            <w:r w:rsidRPr="00B23FF8">
              <w:rPr>
                <w:rFonts w:eastAsia="Times New Roman"/>
                <w:color w:val="000000"/>
                <w:sz w:val="16"/>
                <w:szCs w:val="16"/>
              </w:rPr>
              <w:t>Amphotericin B monomers can form aggregates</w:t>
            </w:r>
          </w:p>
        </w:tc>
        <w:tc>
          <w:tcPr>
            <w:tcW w:w="1418" w:type="dxa"/>
            <w:tcBorders>
              <w:top w:val="nil"/>
              <w:left w:val="nil"/>
              <w:bottom w:val="single" w:sz="4" w:space="0" w:color="auto"/>
              <w:right w:val="single" w:sz="4" w:space="0" w:color="auto"/>
            </w:tcBorders>
            <w:shd w:val="clear" w:color="auto" w:fill="auto"/>
            <w:vAlign w:val="center"/>
            <w:hideMark/>
          </w:tcPr>
          <w:p w14:paraId="382CDDF3" w14:textId="77777777" w:rsidR="00FF5FCD" w:rsidRPr="00B23FF8" w:rsidRDefault="00FF5FCD" w:rsidP="00FF5FCD">
            <w:pPr>
              <w:spacing w:line="240" w:lineRule="auto"/>
              <w:jc w:val="center"/>
              <w:rPr>
                <w:rFonts w:eastAsia="Times New Roman"/>
                <w:sz w:val="16"/>
                <w:szCs w:val="16"/>
              </w:rPr>
            </w:pPr>
            <w:r w:rsidRPr="00B23FF8">
              <w:rPr>
                <w:rFonts w:eastAsia="Times New Roman"/>
                <w:sz w:val="16"/>
                <w:szCs w:val="16"/>
              </w:rPr>
              <w:t>(Janout et al., 2015)</w:t>
            </w:r>
          </w:p>
        </w:tc>
        <w:tc>
          <w:tcPr>
            <w:tcW w:w="1843" w:type="dxa"/>
            <w:tcBorders>
              <w:top w:val="nil"/>
              <w:left w:val="nil"/>
              <w:bottom w:val="single" w:sz="4" w:space="0" w:color="auto"/>
              <w:right w:val="single" w:sz="4" w:space="0" w:color="auto"/>
            </w:tcBorders>
            <w:shd w:val="clear" w:color="auto" w:fill="auto"/>
            <w:vAlign w:val="center"/>
            <w:hideMark/>
          </w:tcPr>
          <w:p w14:paraId="2C4B919D" w14:textId="77777777" w:rsidR="00FF5FCD" w:rsidRPr="00B23FF8" w:rsidRDefault="00FF5FCD" w:rsidP="00FF5FCD">
            <w:pPr>
              <w:spacing w:line="240" w:lineRule="auto"/>
              <w:jc w:val="center"/>
              <w:rPr>
                <w:rFonts w:eastAsia="Times New Roman"/>
                <w:color w:val="000000"/>
                <w:sz w:val="16"/>
                <w:szCs w:val="16"/>
              </w:rPr>
            </w:pPr>
            <w:r w:rsidRPr="00B23FF8">
              <w:rPr>
                <w:rFonts w:eastAsia="Times New Roman"/>
                <w:color w:val="000000"/>
                <w:sz w:val="16"/>
                <w:szCs w:val="16"/>
              </w:rPr>
              <w:t>Amphotericin B monomers that come into contact bind to form monomers (</w:t>
            </w:r>
            <w:r w:rsidRPr="00B23FF8">
              <w:rPr>
                <w:rFonts w:eastAsia="Times New Roman"/>
                <w:b/>
                <w:bCs/>
                <w:color w:val="000000"/>
                <w:sz w:val="16"/>
                <w:szCs w:val="16"/>
              </w:rPr>
              <w:t>Figure 5.11</w:t>
            </w:r>
            <w:r w:rsidRPr="00B23FF8">
              <w:rPr>
                <w:rFonts w:eastAsia="Times New Roman"/>
                <w:color w:val="000000"/>
                <w:sz w:val="16"/>
                <w:szCs w:val="16"/>
              </w:rPr>
              <w:t>)</w:t>
            </w:r>
          </w:p>
        </w:tc>
        <w:tc>
          <w:tcPr>
            <w:tcW w:w="3390" w:type="dxa"/>
            <w:tcBorders>
              <w:top w:val="nil"/>
              <w:left w:val="nil"/>
              <w:bottom w:val="single" w:sz="4" w:space="0" w:color="auto"/>
              <w:right w:val="single" w:sz="4" w:space="0" w:color="auto"/>
            </w:tcBorders>
            <w:shd w:val="clear" w:color="auto" w:fill="auto"/>
            <w:vAlign w:val="center"/>
            <w:hideMark/>
          </w:tcPr>
          <w:p w14:paraId="6A1E01CF" w14:textId="77777777" w:rsidR="00FF5FCD" w:rsidRPr="00B23FF8" w:rsidRDefault="00FF5FCD" w:rsidP="00FF5FCD">
            <w:pPr>
              <w:spacing w:line="240" w:lineRule="auto"/>
              <w:jc w:val="center"/>
              <w:rPr>
                <w:rFonts w:eastAsia="Times New Roman"/>
                <w:color w:val="000000"/>
                <w:sz w:val="16"/>
                <w:szCs w:val="16"/>
              </w:rPr>
            </w:pPr>
            <w:r w:rsidRPr="00B23FF8">
              <w:rPr>
                <w:rFonts w:eastAsia="Times New Roman"/>
                <w:color w:val="000000"/>
                <w:sz w:val="16"/>
                <w:szCs w:val="16"/>
              </w:rPr>
              <w:t>Monomers contacting to form aggregates is an irreversible process, it is assumed that existing aggregates do not bind monomers nor do aggregates bind other aggregates</w:t>
            </w:r>
          </w:p>
        </w:tc>
        <w:tc>
          <w:tcPr>
            <w:tcW w:w="3391" w:type="dxa"/>
            <w:tcBorders>
              <w:top w:val="nil"/>
              <w:left w:val="nil"/>
              <w:bottom w:val="single" w:sz="4" w:space="0" w:color="auto"/>
              <w:right w:val="single" w:sz="4" w:space="0" w:color="auto"/>
            </w:tcBorders>
            <w:shd w:val="clear" w:color="auto" w:fill="auto"/>
            <w:vAlign w:val="center"/>
            <w:hideMark/>
          </w:tcPr>
          <w:p w14:paraId="1C3850DF" w14:textId="77777777" w:rsidR="00FF5FCD" w:rsidRPr="00B23FF8" w:rsidRDefault="00FF5FCD" w:rsidP="00FF5FCD">
            <w:pPr>
              <w:spacing w:line="240" w:lineRule="auto"/>
              <w:jc w:val="center"/>
              <w:rPr>
                <w:rFonts w:eastAsia="Times New Roman"/>
                <w:color w:val="000000"/>
                <w:sz w:val="16"/>
                <w:szCs w:val="16"/>
              </w:rPr>
            </w:pPr>
            <w:r w:rsidRPr="00B23FF8">
              <w:rPr>
                <w:rFonts w:eastAsia="Times New Roman"/>
                <w:color w:val="000000"/>
                <w:sz w:val="16"/>
                <w:szCs w:val="16"/>
              </w:rPr>
              <w:t>In the platform model there is no representation of the different states of Amphotericin B as shown in the domain (</w:t>
            </w:r>
            <w:r w:rsidRPr="00B23FF8">
              <w:rPr>
                <w:rFonts w:eastAsia="Times New Roman"/>
                <w:b/>
                <w:bCs/>
                <w:color w:val="000000"/>
                <w:sz w:val="16"/>
                <w:szCs w:val="16"/>
              </w:rPr>
              <w:t>Figure 5.12</w:t>
            </w:r>
            <w:r w:rsidRPr="00B23FF8">
              <w:rPr>
                <w:rFonts w:eastAsia="Times New Roman"/>
                <w:color w:val="000000"/>
                <w:sz w:val="16"/>
                <w:szCs w:val="16"/>
              </w:rPr>
              <w:t xml:space="preserve">) instead a single entity referred to as 'AmB' represents the total amount of Amphotericin B </w:t>
            </w:r>
            <w:r w:rsidRPr="00B23FF8">
              <w:rPr>
                <w:rFonts w:eastAsia="Times New Roman"/>
                <w:b/>
                <w:bCs/>
                <w:color w:val="000000"/>
                <w:sz w:val="16"/>
                <w:szCs w:val="16"/>
              </w:rPr>
              <w:t>(Figure 5.15</w:t>
            </w:r>
            <w:r w:rsidRPr="00B23FF8">
              <w:rPr>
                <w:rFonts w:eastAsia="Times New Roman"/>
                <w:color w:val="000000"/>
                <w:sz w:val="16"/>
                <w:szCs w:val="16"/>
              </w:rPr>
              <w:t>), this is due to the lack of data surrounding the amounts of the different states in a biological system after administration where typically only total Amphotericin B concentration is tracked</w:t>
            </w:r>
          </w:p>
        </w:tc>
        <w:tc>
          <w:tcPr>
            <w:tcW w:w="3391" w:type="dxa"/>
            <w:tcBorders>
              <w:top w:val="nil"/>
              <w:left w:val="nil"/>
              <w:bottom w:val="single" w:sz="4" w:space="0" w:color="auto"/>
              <w:right w:val="single" w:sz="4" w:space="0" w:color="auto"/>
            </w:tcBorders>
            <w:shd w:val="clear" w:color="auto" w:fill="auto"/>
            <w:noWrap/>
            <w:vAlign w:val="center"/>
            <w:hideMark/>
          </w:tcPr>
          <w:p w14:paraId="3783395A" w14:textId="77777777" w:rsidR="00FF5FCD" w:rsidRPr="00B23FF8" w:rsidRDefault="00FF5FCD" w:rsidP="00FF5FCD">
            <w:pPr>
              <w:spacing w:line="240" w:lineRule="auto"/>
              <w:rPr>
                <w:rFonts w:eastAsia="Times New Roman"/>
                <w:color w:val="000000"/>
                <w:sz w:val="16"/>
                <w:szCs w:val="16"/>
              </w:rPr>
            </w:pPr>
            <w:r w:rsidRPr="00B23FF8">
              <w:rPr>
                <w:rFonts w:eastAsia="Times New Roman"/>
                <w:color w:val="000000"/>
                <w:sz w:val="16"/>
                <w:szCs w:val="16"/>
              </w:rPr>
              <w:t> </w:t>
            </w:r>
          </w:p>
        </w:tc>
      </w:tr>
      <w:tr w:rsidR="00FF5FCD" w:rsidRPr="00FF5FCD" w14:paraId="1FDD6177" w14:textId="77777777" w:rsidTr="00F7425F">
        <w:trPr>
          <w:trHeight w:val="4680"/>
        </w:trPr>
        <w:tc>
          <w:tcPr>
            <w:tcW w:w="1129" w:type="dxa"/>
            <w:tcBorders>
              <w:top w:val="nil"/>
              <w:left w:val="single" w:sz="4" w:space="0" w:color="auto"/>
              <w:bottom w:val="single" w:sz="4" w:space="0" w:color="auto"/>
              <w:right w:val="single" w:sz="4" w:space="0" w:color="auto"/>
            </w:tcBorders>
            <w:shd w:val="clear" w:color="auto" w:fill="auto"/>
            <w:vAlign w:val="center"/>
            <w:hideMark/>
          </w:tcPr>
          <w:p w14:paraId="5B4B502A" w14:textId="77777777" w:rsidR="00FF5FCD" w:rsidRPr="00B23FF8" w:rsidRDefault="00FF5FCD" w:rsidP="00FF5FCD">
            <w:pPr>
              <w:spacing w:line="240" w:lineRule="auto"/>
              <w:jc w:val="center"/>
              <w:rPr>
                <w:rFonts w:eastAsia="Times New Roman"/>
                <w:color w:val="000000"/>
                <w:sz w:val="16"/>
                <w:szCs w:val="16"/>
              </w:rPr>
            </w:pPr>
            <w:r w:rsidRPr="00B23FF8">
              <w:rPr>
                <w:rFonts w:eastAsia="Times New Roman"/>
                <w:color w:val="000000"/>
                <w:sz w:val="16"/>
                <w:szCs w:val="16"/>
              </w:rPr>
              <w:lastRenderedPageBreak/>
              <w:t>Amphotericin B can enter/leave the liver (in either a Liposomal, Monomeric or Aggregrate form)</w:t>
            </w:r>
          </w:p>
        </w:tc>
        <w:tc>
          <w:tcPr>
            <w:tcW w:w="1418" w:type="dxa"/>
            <w:tcBorders>
              <w:top w:val="nil"/>
              <w:left w:val="nil"/>
              <w:bottom w:val="single" w:sz="4" w:space="0" w:color="auto"/>
              <w:right w:val="single" w:sz="4" w:space="0" w:color="auto"/>
            </w:tcBorders>
            <w:shd w:val="clear" w:color="auto" w:fill="auto"/>
            <w:vAlign w:val="center"/>
            <w:hideMark/>
          </w:tcPr>
          <w:p w14:paraId="734F3971" w14:textId="77777777" w:rsidR="00FF5FCD" w:rsidRPr="00B23FF8" w:rsidRDefault="00FF5FCD" w:rsidP="00FF5FCD">
            <w:pPr>
              <w:spacing w:line="240" w:lineRule="auto"/>
              <w:jc w:val="center"/>
              <w:rPr>
                <w:rFonts w:eastAsia="Times New Roman"/>
                <w:sz w:val="16"/>
                <w:szCs w:val="16"/>
              </w:rPr>
            </w:pPr>
            <w:r w:rsidRPr="00B23FF8">
              <w:rPr>
                <w:rFonts w:eastAsia="Times New Roman"/>
                <w:sz w:val="16"/>
                <w:szCs w:val="16"/>
              </w:rPr>
              <w:t>(Rosenecker et al., 1996)</w:t>
            </w:r>
          </w:p>
        </w:tc>
        <w:tc>
          <w:tcPr>
            <w:tcW w:w="1843" w:type="dxa"/>
            <w:tcBorders>
              <w:top w:val="nil"/>
              <w:left w:val="nil"/>
              <w:bottom w:val="single" w:sz="4" w:space="0" w:color="auto"/>
              <w:right w:val="single" w:sz="4" w:space="0" w:color="auto"/>
            </w:tcBorders>
            <w:shd w:val="clear" w:color="auto" w:fill="auto"/>
            <w:vAlign w:val="center"/>
            <w:hideMark/>
          </w:tcPr>
          <w:p w14:paraId="415B8A41" w14:textId="77777777" w:rsidR="00FF5FCD" w:rsidRPr="00B23FF8" w:rsidRDefault="00FF5FCD" w:rsidP="00FF5FCD">
            <w:pPr>
              <w:spacing w:line="240" w:lineRule="auto"/>
              <w:jc w:val="center"/>
              <w:rPr>
                <w:rFonts w:eastAsia="Times New Roman"/>
                <w:color w:val="000000"/>
                <w:sz w:val="16"/>
                <w:szCs w:val="16"/>
              </w:rPr>
            </w:pPr>
            <w:r w:rsidRPr="00B23FF8">
              <w:rPr>
                <w:rFonts w:eastAsia="Times New Roman"/>
                <w:color w:val="000000"/>
                <w:sz w:val="16"/>
                <w:szCs w:val="16"/>
              </w:rPr>
              <w:t>Amphotericin B, in any state (</w:t>
            </w:r>
            <w:r w:rsidRPr="00B23FF8">
              <w:rPr>
                <w:rFonts w:eastAsia="Times New Roman"/>
                <w:b/>
                <w:bCs/>
                <w:color w:val="000000"/>
                <w:sz w:val="16"/>
                <w:szCs w:val="16"/>
              </w:rPr>
              <w:t>Figure 5.12</w:t>
            </w:r>
            <w:r w:rsidRPr="00B23FF8">
              <w:rPr>
                <w:rFonts w:eastAsia="Times New Roman"/>
                <w:color w:val="000000"/>
                <w:sz w:val="16"/>
                <w:szCs w:val="16"/>
              </w:rPr>
              <w:t>), may influx from other sites to the liver (or vice versa) (</w:t>
            </w:r>
            <w:r w:rsidRPr="00B23FF8">
              <w:rPr>
                <w:rFonts w:eastAsia="Times New Roman"/>
                <w:b/>
                <w:bCs/>
                <w:color w:val="000000"/>
                <w:sz w:val="16"/>
                <w:szCs w:val="16"/>
              </w:rPr>
              <w:t>Figure 5.11</w:t>
            </w:r>
            <w:r w:rsidRPr="00B23FF8">
              <w:rPr>
                <w:rFonts w:eastAsia="Times New Roman"/>
                <w:color w:val="000000"/>
                <w:sz w:val="16"/>
                <w:szCs w:val="16"/>
              </w:rPr>
              <w:t>)</w:t>
            </w:r>
          </w:p>
        </w:tc>
        <w:tc>
          <w:tcPr>
            <w:tcW w:w="3390" w:type="dxa"/>
            <w:tcBorders>
              <w:top w:val="nil"/>
              <w:left w:val="nil"/>
              <w:bottom w:val="single" w:sz="4" w:space="0" w:color="auto"/>
              <w:right w:val="single" w:sz="4" w:space="0" w:color="auto"/>
            </w:tcBorders>
            <w:shd w:val="clear" w:color="auto" w:fill="auto"/>
            <w:vAlign w:val="center"/>
            <w:hideMark/>
          </w:tcPr>
          <w:p w14:paraId="6FD3B029" w14:textId="77777777" w:rsidR="00FF5FCD" w:rsidRPr="00B23FF8" w:rsidRDefault="00FF5FCD" w:rsidP="00FF5FCD">
            <w:pPr>
              <w:spacing w:line="240" w:lineRule="auto"/>
              <w:jc w:val="center"/>
              <w:rPr>
                <w:rFonts w:eastAsia="Times New Roman"/>
                <w:color w:val="000000"/>
                <w:sz w:val="16"/>
                <w:szCs w:val="16"/>
              </w:rPr>
            </w:pPr>
            <w:r w:rsidRPr="00B23FF8">
              <w:rPr>
                <w:rFonts w:eastAsia="Times New Roman"/>
                <w:color w:val="000000"/>
                <w:sz w:val="16"/>
                <w:szCs w:val="16"/>
              </w:rPr>
              <w:t>There is no metabolism/clearance of Amphotericin B within the liver, this occurs in other sites and thus any decreases in liver Amphotericin B accumulation occur through efflux of Amphotericin B to other sites. Biologically this efflux would be a multistage process of Amphotericin B entering the hepatic blood supply however here this is simplified such that Amphotericin B is either in the liver OR in other sites.</w:t>
            </w:r>
          </w:p>
        </w:tc>
        <w:tc>
          <w:tcPr>
            <w:tcW w:w="3391" w:type="dxa"/>
            <w:tcBorders>
              <w:top w:val="nil"/>
              <w:left w:val="nil"/>
              <w:bottom w:val="single" w:sz="4" w:space="0" w:color="auto"/>
              <w:right w:val="single" w:sz="4" w:space="0" w:color="auto"/>
            </w:tcBorders>
            <w:shd w:val="clear" w:color="auto" w:fill="auto"/>
            <w:vAlign w:val="center"/>
            <w:hideMark/>
          </w:tcPr>
          <w:p w14:paraId="2719F8DA" w14:textId="77777777" w:rsidR="00FF5FCD" w:rsidRPr="00B23FF8" w:rsidRDefault="00FF5FCD" w:rsidP="00FF5FCD">
            <w:pPr>
              <w:spacing w:line="240" w:lineRule="auto"/>
              <w:jc w:val="center"/>
              <w:rPr>
                <w:rFonts w:eastAsia="Times New Roman"/>
                <w:color w:val="000000"/>
                <w:sz w:val="16"/>
                <w:szCs w:val="16"/>
              </w:rPr>
            </w:pPr>
            <w:r w:rsidRPr="00B23FF8">
              <w:rPr>
                <w:rFonts w:eastAsia="Times New Roman"/>
                <w:color w:val="000000"/>
                <w:sz w:val="16"/>
                <w:szCs w:val="16"/>
              </w:rPr>
              <w:t>For the representation an 'Other Site' is still included whereby 'AmB' can enter and exit the liver at set rates (</w:t>
            </w:r>
            <w:r w:rsidRPr="00B23FF8">
              <w:rPr>
                <w:rFonts w:eastAsia="Times New Roman"/>
                <w:b/>
                <w:bCs/>
                <w:color w:val="000000"/>
                <w:sz w:val="16"/>
                <w:szCs w:val="16"/>
              </w:rPr>
              <w:t>Figure 5.15</w:t>
            </w:r>
            <w:r w:rsidRPr="00B23FF8">
              <w:rPr>
                <w:rFonts w:eastAsia="Times New Roman"/>
                <w:color w:val="000000"/>
                <w:sz w:val="16"/>
                <w:szCs w:val="16"/>
              </w:rPr>
              <w:t>) this aims to reflect that Amphotericin B is metabolised and excreted in other sites and not the liver and thus to maintain this process an 'Other Site' is included.</w:t>
            </w:r>
          </w:p>
        </w:tc>
        <w:tc>
          <w:tcPr>
            <w:tcW w:w="3391" w:type="dxa"/>
            <w:tcBorders>
              <w:top w:val="nil"/>
              <w:left w:val="nil"/>
              <w:bottom w:val="single" w:sz="4" w:space="0" w:color="auto"/>
              <w:right w:val="single" w:sz="4" w:space="0" w:color="auto"/>
            </w:tcBorders>
            <w:shd w:val="clear" w:color="auto" w:fill="auto"/>
            <w:vAlign w:val="center"/>
            <w:hideMark/>
          </w:tcPr>
          <w:p w14:paraId="2A6C82A9" w14:textId="77777777" w:rsidR="00FF5FCD" w:rsidRPr="00B23FF8" w:rsidRDefault="00FF5FCD" w:rsidP="00FF5FCD">
            <w:pPr>
              <w:spacing w:line="240" w:lineRule="auto"/>
              <w:jc w:val="center"/>
              <w:rPr>
                <w:rFonts w:eastAsia="Times New Roman"/>
                <w:i/>
                <w:iCs/>
                <w:color w:val="000000"/>
                <w:sz w:val="16"/>
                <w:szCs w:val="16"/>
              </w:rPr>
            </w:pPr>
            <w:r w:rsidRPr="00B23FF8">
              <w:rPr>
                <w:rFonts w:eastAsia="Times New Roman"/>
                <w:i/>
                <w:iCs/>
                <w:color w:val="000000"/>
                <w:sz w:val="16"/>
                <w:szCs w:val="16"/>
              </w:rPr>
              <w:t>AmB in Other Sites: (k</w:t>
            </w:r>
            <w:r w:rsidRPr="00B23FF8">
              <w:rPr>
                <w:rFonts w:eastAsia="Times New Roman"/>
                <w:i/>
                <w:iCs/>
                <w:color w:val="000000"/>
                <w:sz w:val="16"/>
                <w:szCs w:val="16"/>
                <w:vertAlign w:val="subscript"/>
              </w:rPr>
              <w:t>LO</w:t>
            </w:r>
            <w:r w:rsidRPr="00B23FF8">
              <w:rPr>
                <w:rFonts w:eastAsia="Times New Roman"/>
                <w:i/>
                <w:iCs/>
                <w:color w:val="000000"/>
                <w:sz w:val="16"/>
                <w:szCs w:val="16"/>
              </w:rPr>
              <w:t xml:space="preserve"> x (L/r</w:t>
            </w:r>
            <w:r w:rsidRPr="00B23FF8">
              <w:rPr>
                <w:rFonts w:eastAsia="Times New Roman"/>
                <w:i/>
                <w:iCs/>
                <w:color w:val="000000"/>
                <w:sz w:val="16"/>
                <w:szCs w:val="16"/>
                <w:vertAlign w:val="subscript"/>
              </w:rPr>
              <w:t>L</w:t>
            </w:r>
            <w:r w:rsidRPr="00B23FF8">
              <w:rPr>
                <w:rFonts w:eastAsia="Times New Roman"/>
                <w:i/>
                <w:iCs/>
                <w:color w:val="000000"/>
                <w:sz w:val="16"/>
                <w:szCs w:val="16"/>
              </w:rPr>
              <w:t>)) - (k</w:t>
            </w:r>
            <w:r w:rsidRPr="00B23FF8">
              <w:rPr>
                <w:rFonts w:eastAsia="Times New Roman"/>
                <w:i/>
                <w:iCs/>
                <w:color w:val="000000"/>
                <w:sz w:val="16"/>
                <w:szCs w:val="16"/>
                <w:vertAlign w:val="subscript"/>
              </w:rPr>
              <w:t>OL</w:t>
            </w:r>
            <w:r w:rsidRPr="00B23FF8">
              <w:rPr>
                <w:rFonts w:eastAsia="Times New Roman"/>
                <w:i/>
                <w:iCs/>
                <w:color w:val="000000"/>
                <w:sz w:val="16"/>
                <w:szCs w:val="16"/>
              </w:rPr>
              <w:t xml:space="preserve"> x O) -  (c</w:t>
            </w:r>
            <w:r w:rsidRPr="00B23FF8">
              <w:rPr>
                <w:rFonts w:eastAsia="Times New Roman"/>
                <w:i/>
                <w:iCs/>
                <w:color w:val="000000"/>
                <w:sz w:val="16"/>
                <w:szCs w:val="16"/>
                <w:vertAlign w:val="subscript"/>
              </w:rPr>
              <w:t>O</w:t>
            </w:r>
            <w:r w:rsidRPr="00B23FF8">
              <w:rPr>
                <w:rFonts w:eastAsia="Times New Roman"/>
                <w:i/>
                <w:iCs/>
                <w:color w:val="000000"/>
                <w:sz w:val="16"/>
                <w:szCs w:val="16"/>
              </w:rPr>
              <w:t xml:space="preserve"> x O)</w:t>
            </w:r>
            <w:r w:rsidRPr="00B23FF8">
              <w:rPr>
                <w:rFonts w:eastAsia="Times New Roman"/>
                <w:i/>
                <w:iCs/>
                <w:color w:val="000000"/>
                <w:sz w:val="16"/>
                <w:szCs w:val="16"/>
              </w:rPr>
              <w:br/>
              <w:t>AmB in the liver: (k</w:t>
            </w:r>
            <w:r w:rsidRPr="00B23FF8">
              <w:rPr>
                <w:rFonts w:eastAsia="Times New Roman"/>
                <w:i/>
                <w:iCs/>
                <w:color w:val="000000"/>
                <w:sz w:val="16"/>
                <w:szCs w:val="16"/>
                <w:vertAlign w:val="subscript"/>
              </w:rPr>
              <w:t>OL</w:t>
            </w:r>
            <w:r w:rsidRPr="00B23FF8">
              <w:rPr>
                <w:rFonts w:eastAsia="Times New Roman"/>
                <w:i/>
                <w:iCs/>
                <w:color w:val="000000"/>
                <w:sz w:val="16"/>
                <w:szCs w:val="16"/>
              </w:rPr>
              <w:t xml:space="preserve"> x O) - (k</w:t>
            </w:r>
            <w:r w:rsidRPr="00B23FF8">
              <w:rPr>
                <w:rFonts w:eastAsia="Times New Roman"/>
                <w:i/>
                <w:iCs/>
                <w:color w:val="000000"/>
                <w:sz w:val="16"/>
                <w:szCs w:val="16"/>
                <w:vertAlign w:val="subscript"/>
              </w:rPr>
              <w:t>LO</w:t>
            </w:r>
            <w:r w:rsidRPr="00B23FF8">
              <w:rPr>
                <w:rFonts w:eastAsia="Times New Roman"/>
                <w:i/>
                <w:iCs/>
                <w:color w:val="000000"/>
                <w:sz w:val="16"/>
                <w:szCs w:val="16"/>
              </w:rPr>
              <w:t xml:space="preserve"> x (L/r</w:t>
            </w:r>
            <w:r w:rsidRPr="00B23FF8">
              <w:rPr>
                <w:rFonts w:eastAsia="Times New Roman"/>
                <w:i/>
                <w:iCs/>
                <w:color w:val="000000"/>
                <w:sz w:val="16"/>
                <w:szCs w:val="16"/>
                <w:vertAlign w:val="subscript"/>
              </w:rPr>
              <w:t>L</w:t>
            </w:r>
            <w:r w:rsidRPr="00B23FF8">
              <w:rPr>
                <w:rFonts w:eastAsia="Times New Roman"/>
                <w:i/>
                <w:iCs/>
                <w:color w:val="000000"/>
                <w:sz w:val="16"/>
                <w:szCs w:val="16"/>
              </w:rPr>
              <w:t>)) -  (k</w:t>
            </w:r>
            <w:r w:rsidRPr="00B23FF8">
              <w:rPr>
                <w:rFonts w:eastAsia="Times New Roman"/>
                <w:i/>
                <w:iCs/>
                <w:color w:val="000000"/>
                <w:sz w:val="16"/>
                <w:szCs w:val="16"/>
                <w:vertAlign w:val="subscript"/>
              </w:rPr>
              <w:t>LT</w:t>
            </w:r>
            <w:r w:rsidRPr="00B23FF8">
              <w:rPr>
                <w:rFonts w:eastAsia="Times New Roman"/>
                <w:i/>
                <w:iCs/>
                <w:color w:val="000000"/>
                <w:sz w:val="16"/>
                <w:szCs w:val="16"/>
              </w:rPr>
              <w:t xml:space="preserve"> x T x (L/r</w:t>
            </w:r>
            <w:r w:rsidRPr="00B23FF8">
              <w:rPr>
                <w:rFonts w:eastAsia="Times New Roman"/>
                <w:i/>
                <w:iCs/>
                <w:color w:val="000000"/>
                <w:sz w:val="16"/>
                <w:szCs w:val="16"/>
                <w:vertAlign w:val="subscript"/>
              </w:rPr>
              <w:t>L</w:t>
            </w:r>
            <w:r w:rsidRPr="00B23FF8">
              <w:rPr>
                <w:rFonts w:eastAsia="Times New Roman"/>
                <w:i/>
                <w:iCs/>
                <w:color w:val="000000"/>
                <w:sz w:val="16"/>
                <w:szCs w:val="16"/>
              </w:rPr>
              <w:t>)) - (k</w:t>
            </w:r>
            <w:r w:rsidRPr="00B23FF8">
              <w:rPr>
                <w:rFonts w:eastAsia="Times New Roman"/>
                <w:i/>
                <w:iCs/>
                <w:color w:val="000000"/>
                <w:sz w:val="16"/>
                <w:szCs w:val="16"/>
                <w:vertAlign w:val="subscript"/>
              </w:rPr>
              <w:t>LM</w:t>
            </w:r>
            <w:r w:rsidRPr="00B23FF8">
              <w:rPr>
                <w:rFonts w:eastAsia="Times New Roman"/>
                <w:i/>
                <w:iCs/>
                <w:color w:val="000000"/>
                <w:sz w:val="16"/>
                <w:szCs w:val="16"/>
              </w:rPr>
              <w:t xml:space="preserve"> x (M</w:t>
            </w:r>
            <w:r w:rsidRPr="00B23FF8">
              <w:rPr>
                <w:rFonts w:eastAsia="Times New Roman"/>
                <w:i/>
                <w:iCs/>
                <w:color w:val="000000"/>
                <w:sz w:val="16"/>
                <w:szCs w:val="16"/>
                <w:vertAlign w:val="subscript"/>
              </w:rPr>
              <w:t>s</w:t>
            </w:r>
            <w:r w:rsidRPr="00B23FF8">
              <w:rPr>
                <w:rFonts w:eastAsia="Times New Roman"/>
                <w:i/>
                <w:iCs/>
                <w:color w:val="000000"/>
                <w:sz w:val="16"/>
                <w:szCs w:val="16"/>
              </w:rPr>
              <w:t xml:space="preserve"> + M</w:t>
            </w:r>
            <w:r w:rsidRPr="00B23FF8">
              <w:rPr>
                <w:rFonts w:eastAsia="Times New Roman"/>
                <w:i/>
                <w:iCs/>
                <w:color w:val="000000"/>
                <w:sz w:val="16"/>
                <w:szCs w:val="16"/>
                <w:vertAlign w:val="subscript"/>
              </w:rPr>
              <w:t>i</w:t>
            </w:r>
            <w:r w:rsidRPr="00B23FF8">
              <w:rPr>
                <w:rFonts w:eastAsia="Times New Roman"/>
                <w:i/>
                <w:iCs/>
                <w:color w:val="000000"/>
                <w:sz w:val="16"/>
                <w:szCs w:val="16"/>
              </w:rPr>
              <w:t>) x (L/r</w:t>
            </w:r>
            <w:r w:rsidRPr="00B23FF8">
              <w:rPr>
                <w:rFonts w:eastAsia="Times New Roman"/>
                <w:i/>
                <w:iCs/>
                <w:color w:val="000000"/>
                <w:sz w:val="16"/>
                <w:szCs w:val="16"/>
                <w:vertAlign w:val="subscript"/>
              </w:rPr>
              <w:t>L</w:t>
            </w:r>
            <w:r w:rsidRPr="00B23FF8">
              <w:rPr>
                <w:rFonts w:eastAsia="Times New Roman"/>
                <w:i/>
                <w:iCs/>
                <w:color w:val="000000"/>
                <w:sz w:val="16"/>
                <w:szCs w:val="16"/>
              </w:rPr>
              <w:t>)) + (k</w:t>
            </w:r>
            <w:r w:rsidRPr="00B23FF8">
              <w:rPr>
                <w:rFonts w:eastAsia="Times New Roman"/>
                <w:i/>
                <w:iCs/>
                <w:color w:val="000000"/>
                <w:sz w:val="16"/>
                <w:szCs w:val="16"/>
                <w:vertAlign w:val="subscript"/>
              </w:rPr>
              <w:t>TL</w:t>
            </w:r>
            <w:r w:rsidRPr="00B23FF8">
              <w:rPr>
                <w:rFonts w:eastAsia="Times New Roman"/>
                <w:i/>
                <w:iCs/>
                <w:color w:val="000000"/>
                <w:sz w:val="16"/>
                <w:szCs w:val="16"/>
              </w:rPr>
              <w:t xml:space="preserve"> x T</w:t>
            </w:r>
            <w:r w:rsidRPr="00B23FF8">
              <w:rPr>
                <w:rFonts w:eastAsia="Times New Roman"/>
                <w:i/>
                <w:iCs/>
                <w:color w:val="000000"/>
                <w:sz w:val="16"/>
                <w:szCs w:val="16"/>
                <w:vertAlign w:val="subscript"/>
              </w:rPr>
              <w:t>a</w:t>
            </w:r>
            <w:r w:rsidRPr="00B23FF8">
              <w:rPr>
                <w:rFonts w:eastAsia="Times New Roman"/>
                <w:i/>
                <w:iCs/>
                <w:color w:val="000000"/>
                <w:sz w:val="16"/>
                <w:szCs w:val="16"/>
              </w:rPr>
              <w:t>) + (k</w:t>
            </w:r>
            <w:r w:rsidRPr="00B23FF8">
              <w:rPr>
                <w:rFonts w:eastAsia="Times New Roman"/>
                <w:i/>
                <w:iCs/>
                <w:color w:val="000000"/>
                <w:sz w:val="16"/>
                <w:szCs w:val="16"/>
                <w:vertAlign w:val="subscript"/>
              </w:rPr>
              <w:t xml:space="preserve">ML </w:t>
            </w:r>
            <w:r w:rsidRPr="00B23FF8">
              <w:rPr>
                <w:rFonts w:eastAsia="Times New Roman"/>
                <w:i/>
                <w:iCs/>
                <w:color w:val="000000"/>
                <w:sz w:val="16"/>
                <w:szCs w:val="16"/>
              </w:rPr>
              <w:t>x M</w:t>
            </w:r>
            <w:r w:rsidRPr="00B23FF8">
              <w:rPr>
                <w:rFonts w:eastAsia="Times New Roman"/>
                <w:i/>
                <w:iCs/>
                <w:color w:val="000000"/>
                <w:sz w:val="16"/>
                <w:szCs w:val="16"/>
                <w:vertAlign w:val="subscript"/>
              </w:rPr>
              <w:t>a</w:t>
            </w:r>
            <w:r w:rsidRPr="00B23FF8">
              <w:rPr>
                <w:rFonts w:eastAsia="Times New Roman"/>
                <w:i/>
                <w:iCs/>
                <w:color w:val="000000"/>
                <w:sz w:val="16"/>
                <w:szCs w:val="16"/>
              </w:rPr>
              <w:t>)</w:t>
            </w:r>
            <w:r w:rsidRPr="00B23FF8">
              <w:rPr>
                <w:rFonts w:eastAsia="Times New Roman"/>
                <w:i/>
                <w:iCs/>
                <w:color w:val="000000"/>
                <w:sz w:val="16"/>
                <w:szCs w:val="16"/>
              </w:rPr>
              <w:br/>
            </w:r>
            <w:r w:rsidRPr="00B23FF8">
              <w:rPr>
                <w:rFonts w:eastAsia="Times New Roman"/>
                <w:color w:val="000000"/>
                <w:sz w:val="16"/>
                <w:szCs w:val="16"/>
              </w:rPr>
              <w:t>k</w:t>
            </w:r>
            <w:r w:rsidRPr="00B23FF8">
              <w:rPr>
                <w:rFonts w:eastAsia="Times New Roman"/>
                <w:color w:val="000000"/>
                <w:sz w:val="16"/>
                <w:szCs w:val="16"/>
                <w:vertAlign w:val="subscript"/>
              </w:rPr>
              <w:t>LO</w:t>
            </w:r>
            <w:r w:rsidRPr="00B23FF8">
              <w:rPr>
                <w:rFonts w:eastAsia="Times New Roman"/>
                <w:color w:val="000000"/>
                <w:sz w:val="16"/>
                <w:szCs w:val="16"/>
              </w:rPr>
              <w:t xml:space="preserve"> = AmB transfer rate from Liver to Other Sites</w:t>
            </w:r>
            <w:r w:rsidRPr="00B23FF8">
              <w:rPr>
                <w:rFonts w:eastAsia="Times New Roman"/>
                <w:color w:val="000000"/>
                <w:sz w:val="16"/>
                <w:szCs w:val="16"/>
              </w:rPr>
              <w:br/>
              <w:t>L = Liver AmB Amount</w:t>
            </w:r>
            <w:r w:rsidRPr="00B23FF8">
              <w:rPr>
                <w:rFonts w:eastAsia="Times New Roman"/>
                <w:color w:val="000000"/>
                <w:sz w:val="16"/>
                <w:szCs w:val="16"/>
              </w:rPr>
              <w:br/>
              <w:t>r</w:t>
            </w:r>
            <w:r w:rsidRPr="00B23FF8">
              <w:rPr>
                <w:rFonts w:eastAsia="Times New Roman"/>
                <w:color w:val="000000"/>
                <w:sz w:val="16"/>
                <w:szCs w:val="16"/>
                <w:vertAlign w:val="subscript"/>
              </w:rPr>
              <w:t>L</w:t>
            </w:r>
            <w:r w:rsidRPr="00B23FF8">
              <w:rPr>
                <w:rFonts w:eastAsia="Times New Roman"/>
                <w:color w:val="000000"/>
                <w:sz w:val="16"/>
                <w:szCs w:val="16"/>
              </w:rPr>
              <w:t xml:space="preserve"> = Retention Rate of AmB within the Liver</w:t>
            </w:r>
            <w:r w:rsidRPr="00B23FF8">
              <w:rPr>
                <w:rFonts w:eastAsia="Times New Roman"/>
                <w:color w:val="000000"/>
                <w:sz w:val="16"/>
                <w:szCs w:val="16"/>
              </w:rPr>
              <w:br/>
              <w:t>k</w:t>
            </w:r>
            <w:r w:rsidRPr="00B23FF8">
              <w:rPr>
                <w:rFonts w:eastAsia="Times New Roman"/>
                <w:color w:val="000000"/>
                <w:sz w:val="16"/>
                <w:szCs w:val="16"/>
                <w:vertAlign w:val="subscript"/>
              </w:rPr>
              <w:t>OL</w:t>
            </w:r>
            <w:r w:rsidRPr="00B23FF8">
              <w:rPr>
                <w:rFonts w:eastAsia="Times New Roman"/>
                <w:color w:val="000000"/>
                <w:sz w:val="16"/>
                <w:szCs w:val="16"/>
              </w:rPr>
              <w:t xml:space="preserve"> = AmB transfer rate from Other Sites to Liver</w:t>
            </w:r>
            <w:r w:rsidRPr="00B23FF8">
              <w:rPr>
                <w:rFonts w:eastAsia="Times New Roman"/>
                <w:color w:val="000000"/>
                <w:sz w:val="16"/>
                <w:szCs w:val="16"/>
              </w:rPr>
              <w:br/>
              <w:t>O = Other Sites AmB Amount</w:t>
            </w:r>
            <w:r w:rsidRPr="00B23FF8">
              <w:rPr>
                <w:rFonts w:eastAsia="Times New Roman"/>
                <w:color w:val="000000"/>
                <w:sz w:val="16"/>
                <w:szCs w:val="16"/>
              </w:rPr>
              <w:br/>
              <w:t>c</w:t>
            </w:r>
            <w:r w:rsidRPr="00B23FF8">
              <w:rPr>
                <w:rFonts w:eastAsia="Times New Roman"/>
                <w:color w:val="000000"/>
                <w:sz w:val="16"/>
                <w:szCs w:val="16"/>
                <w:vertAlign w:val="subscript"/>
              </w:rPr>
              <w:t>O</w:t>
            </w:r>
            <w:r w:rsidRPr="00B23FF8">
              <w:rPr>
                <w:rFonts w:eastAsia="Times New Roman"/>
                <w:color w:val="000000"/>
                <w:sz w:val="16"/>
                <w:szCs w:val="16"/>
              </w:rPr>
              <w:t xml:space="preserve"> = Clearance Rate of AmB</w:t>
            </w:r>
            <w:r w:rsidRPr="00B23FF8">
              <w:rPr>
                <w:rFonts w:eastAsia="Times New Roman"/>
                <w:color w:val="000000"/>
                <w:sz w:val="16"/>
                <w:szCs w:val="16"/>
              </w:rPr>
              <w:br/>
              <w:t>k</w:t>
            </w:r>
            <w:r w:rsidRPr="00B23FF8">
              <w:rPr>
                <w:rFonts w:eastAsia="Times New Roman"/>
                <w:color w:val="000000"/>
                <w:sz w:val="16"/>
                <w:szCs w:val="16"/>
                <w:vertAlign w:val="subscript"/>
              </w:rPr>
              <w:t>LT</w:t>
            </w:r>
            <w:r w:rsidRPr="00B23FF8">
              <w:rPr>
                <w:rFonts w:eastAsia="Times New Roman"/>
                <w:color w:val="000000"/>
                <w:sz w:val="16"/>
                <w:szCs w:val="16"/>
              </w:rPr>
              <w:t xml:space="preserve"> = AmB transfer rate from Liver to T cells</w:t>
            </w:r>
            <w:r w:rsidRPr="00B23FF8">
              <w:rPr>
                <w:rFonts w:eastAsia="Times New Roman"/>
                <w:color w:val="000000"/>
                <w:sz w:val="16"/>
                <w:szCs w:val="16"/>
              </w:rPr>
              <w:br/>
              <w:t>k</w:t>
            </w:r>
            <w:r w:rsidRPr="00B23FF8">
              <w:rPr>
                <w:rFonts w:eastAsia="Times New Roman"/>
                <w:color w:val="000000"/>
                <w:sz w:val="16"/>
                <w:szCs w:val="16"/>
                <w:vertAlign w:val="subscript"/>
              </w:rPr>
              <w:t>LM</w:t>
            </w:r>
            <w:r w:rsidRPr="00B23FF8">
              <w:rPr>
                <w:rFonts w:eastAsia="Times New Roman"/>
                <w:color w:val="000000"/>
                <w:sz w:val="16"/>
                <w:szCs w:val="16"/>
              </w:rPr>
              <w:t xml:space="preserve"> = AmB transfer rate from Liver to myeloid cells</w:t>
            </w:r>
            <w:r w:rsidRPr="00B23FF8">
              <w:rPr>
                <w:rFonts w:eastAsia="Times New Roman"/>
                <w:color w:val="000000"/>
                <w:sz w:val="16"/>
                <w:szCs w:val="16"/>
              </w:rPr>
              <w:br/>
              <w:t>T = T Cell Population</w:t>
            </w:r>
            <w:r w:rsidRPr="00B23FF8">
              <w:rPr>
                <w:rFonts w:eastAsia="Times New Roman"/>
                <w:color w:val="000000"/>
                <w:sz w:val="16"/>
                <w:szCs w:val="16"/>
              </w:rPr>
              <w:br/>
              <w:t>M</w:t>
            </w:r>
            <w:r w:rsidRPr="00B23FF8">
              <w:rPr>
                <w:rFonts w:eastAsia="Times New Roman"/>
                <w:color w:val="000000"/>
                <w:sz w:val="16"/>
                <w:szCs w:val="16"/>
                <w:vertAlign w:val="subscript"/>
              </w:rPr>
              <w:t>s</w:t>
            </w:r>
            <w:r w:rsidRPr="00B23FF8">
              <w:rPr>
                <w:rFonts w:eastAsia="Times New Roman"/>
                <w:color w:val="000000"/>
                <w:sz w:val="16"/>
                <w:szCs w:val="16"/>
              </w:rPr>
              <w:t xml:space="preserve"> = Susceptible Myeloid Cell Population</w:t>
            </w:r>
            <w:r w:rsidRPr="00B23FF8">
              <w:rPr>
                <w:rFonts w:eastAsia="Times New Roman"/>
                <w:color w:val="000000"/>
                <w:sz w:val="16"/>
                <w:szCs w:val="16"/>
              </w:rPr>
              <w:br/>
              <w:t>M</w:t>
            </w:r>
            <w:r w:rsidRPr="00B23FF8">
              <w:rPr>
                <w:rFonts w:eastAsia="Times New Roman"/>
                <w:color w:val="000000"/>
                <w:sz w:val="16"/>
                <w:szCs w:val="16"/>
                <w:vertAlign w:val="subscript"/>
              </w:rPr>
              <w:t>i</w:t>
            </w:r>
            <w:r w:rsidRPr="00B23FF8">
              <w:rPr>
                <w:rFonts w:eastAsia="Times New Roman"/>
                <w:color w:val="000000"/>
                <w:sz w:val="16"/>
                <w:szCs w:val="16"/>
              </w:rPr>
              <w:t xml:space="preserve"> = Infected Myeloid Cell Population</w:t>
            </w:r>
            <w:r w:rsidRPr="00B23FF8">
              <w:rPr>
                <w:rFonts w:eastAsia="Times New Roman"/>
                <w:color w:val="000000"/>
                <w:sz w:val="16"/>
                <w:szCs w:val="16"/>
              </w:rPr>
              <w:br/>
              <w:t>r</w:t>
            </w:r>
            <w:r w:rsidRPr="00B23FF8">
              <w:rPr>
                <w:rFonts w:eastAsia="Times New Roman"/>
                <w:color w:val="000000"/>
                <w:sz w:val="16"/>
                <w:szCs w:val="16"/>
                <w:vertAlign w:val="subscript"/>
              </w:rPr>
              <w:t>L</w:t>
            </w:r>
            <w:r w:rsidRPr="00B23FF8">
              <w:rPr>
                <w:rFonts w:eastAsia="Times New Roman"/>
                <w:color w:val="000000"/>
                <w:sz w:val="16"/>
                <w:szCs w:val="16"/>
              </w:rPr>
              <w:t xml:space="preserve"> = Retention Rate of AmB within the Liver</w:t>
            </w:r>
            <w:r w:rsidRPr="00B23FF8">
              <w:rPr>
                <w:rFonts w:eastAsia="Times New Roman"/>
                <w:color w:val="000000"/>
                <w:sz w:val="16"/>
                <w:szCs w:val="16"/>
              </w:rPr>
              <w:br/>
              <w:t>k</w:t>
            </w:r>
            <w:r w:rsidRPr="00B23FF8">
              <w:rPr>
                <w:rFonts w:eastAsia="Times New Roman"/>
                <w:color w:val="000000"/>
                <w:sz w:val="16"/>
                <w:szCs w:val="16"/>
                <w:vertAlign w:val="subscript"/>
              </w:rPr>
              <w:t>TL</w:t>
            </w:r>
            <w:r w:rsidRPr="00B23FF8">
              <w:rPr>
                <w:rFonts w:eastAsia="Times New Roman"/>
                <w:color w:val="000000"/>
                <w:sz w:val="16"/>
                <w:szCs w:val="16"/>
              </w:rPr>
              <w:t xml:space="preserve"> = AmB transfer rate from T cells to Liver</w:t>
            </w:r>
            <w:r w:rsidRPr="00B23FF8">
              <w:rPr>
                <w:rFonts w:eastAsia="Times New Roman"/>
                <w:color w:val="000000"/>
                <w:sz w:val="16"/>
                <w:szCs w:val="16"/>
              </w:rPr>
              <w:br/>
              <w:t>k</w:t>
            </w:r>
            <w:r w:rsidRPr="00B23FF8">
              <w:rPr>
                <w:rFonts w:eastAsia="Times New Roman"/>
                <w:color w:val="000000"/>
                <w:sz w:val="16"/>
                <w:szCs w:val="16"/>
                <w:vertAlign w:val="subscript"/>
              </w:rPr>
              <w:t>ML</w:t>
            </w:r>
            <w:r w:rsidRPr="00B23FF8">
              <w:rPr>
                <w:rFonts w:eastAsia="Times New Roman"/>
                <w:color w:val="000000"/>
                <w:sz w:val="16"/>
                <w:szCs w:val="16"/>
              </w:rPr>
              <w:t xml:space="preserve"> = AmB transfer rate from myeloid cells to Liver</w:t>
            </w:r>
            <w:r w:rsidRPr="00B23FF8">
              <w:rPr>
                <w:rFonts w:eastAsia="Times New Roman"/>
                <w:color w:val="000000"/>
                <w:sz w:val="16"/>
                <w:szCs w:val="16"/>
              </w:rPr>
              <w:br/>
              <w:t>T</w:t>
            </w:r>
            <w:r w:rsidRPr="00B23FF8">
              <w:rPr>
                <w:rFonts w:eastAsia="Times New Roman"/>
                <w:color w:val="000000"/>
                <w:sz w:val="16"/>
                <w:szCs w:val="16"/>
                <w:vertAlign w:val="subscript"/>
              </w:rPr>
              <w:t>a</w:t>
            </w:r>
            <w:r w:rsidRPr="00B23FF8">
              <w:rPr>
                <w:rFonts w:eastAsia="Times New Roman"/>
                <w:color w:val="000000"/>
                <w:sz w:val="16"/>
                <w:szCs w:val="16"/>
              </w:rPr>
              <w:t xml:space="preserve"> = T Cell AmB Amount</w:t>
            </w:r>
            <w:r w:rsidRPr="00B23FF8">
              <w:rPr>
                <w:rFonts w:eastAsia="Times New Roman"/>
                <w:color w:val="000000"/>
                <w:sz w:val="16"/>
                <w:szCs w:val="16"/>
              </w:rPr>
              <w:br/>
              <w:t>M</w:t>
            </w:r>
            <w:r w:rsidRPr="00B23FF8">
              <w:rPr>
                <w:rFonts w:eastAsia="Times New Roman"/>
                <w:color w:val="000000"/>
                <w:sz w:val="16"/>
                <w:szCs w:val="16"/>
                <w:vertAlign w:val="subscript"/>
              </w:rPr>
              <w:t>a</w:t>
            </w:r>
            <w:r w:rsidRPr="00B23FF8">
              <w:rPr>
                <w:rFonts w:eastAsia="Times New Roman"/>
                <w:color w:val="000000"/>
                <w:sz w:val="16"/>
                <w:szCs w:val="16"/>
              </w:rPr>
              <w:t xml:space="preserve"> = Myeloid Cell AmB Amount</w:t>
            </w:r>
          </w:p>
        </w:tc>
      </w:tr>
      <w:tr w:rsidR="00FF5FCD" w:rsidRPr="00FF5FCD" w14:paraId="703E263F" w14:textId="77777777" w:rsidTr="00F7425F">
        <w:trPr>
          <w:trHeight w:val="3120"/>
        </w:trPr>
        <w:tc>
          <w:tcPr>
            <w:tcW w:w="1129" w:type="dxa"/>
            <w:tcBorders>
              <w:top w:val="nil"/>
              <w:left w:val="single" w:sz="4" w:space="0" w:color="auto"/>
              <w:bottom w:val="single" w:sz="4" w:space="0" w:color="auto"/>
              <w:right w:val="single" w:sz="4" w:space="0" w:color="auto"/>
            </w:tcBorders>
            <w:shd w:val="clear" w:color="auto" w:fill="auto"/>
            <w:vAlign w:val="center"/>
            <w:hideMark/>
          </w:tcPr>
          <w:p w14:paraId="0AF0E46E" w14:textId="77777777" w:rsidR="00FF5FCD" w:rsidRPr="00B23FF8" w:rsidRDefault="00FF5FCD" w:rsidP="00FF5FCD">
            <w:pPr>
              <w:spacing w:line="240" w:lineRule="auto"/>
              <w:jc w:val="center"/>
              <w:rPr>
                <w:rFonts w:eastAsia="Times New Roman"/>
                <w:color w:val="000000"/>
                <w:sz w:val="16"/>
                <w:szCs w:val="16"/>
              </w:rPr>
            </w:pPr>
            <w:r w:rsidRPr="00B23FF8">
              <w:rPr>
                <w:rFonts w:eastAsia="Times New Roman"/>
                <w:color w:val="000000"/>
                <w:sz w:val="16"/>
                <w:szCs w:val="16"/>
              </w:rPr>
              <w:t>Liposomes can be internalised by cells</w:t>
            </w:r>
          </w:p>
        </w:tc>
        <w:tc>
          <w:tcPr>
            <w:tcW w:w="1418" w:type="dxa"/>
            <w:tcBorders>
              <w:top w:val="nil"/>
              <w:left w:val="nil"/>
              <w:bottom w:val="single" w:sz="4" w:space="0" w:color="auto"/>
              <w:right w:val="single" w:sz="4" w:space="0" w:color="auto"/>
            </w:tcBorders>
            <w:shd w:val="clear" w:color="auto" w:fill="auto"/>
            <w:vAlign w:val="center"/>
            <w:hideMark/>
          </w:tcPr>
          <w:p w14:paraId="56780D67" w14:textId="77777777" w:rsidR="00FF5FCD" w:rsidRPr="00B23FF8" w:rsidRDefault="00FF5FCD" w:rsidP="00FF5FCD">
            <w:pPr>
              <w:spacing w:line="240" w:lineRule="auto"/>
              <w:jc w:val="center"/>
              <w:rPr>
                <w:rFonts w:eastAsia="Times New Roman"/>
                <w:sz w:val="16"/>
                <w:szCs w:val="16"/>
              </w:rPr>
            </w:pPr>
            <w:r w:rsidRPr="00B23FF8">
              <w:rPr>
                <w:rFonts w:eastAsia="Times New Roman"/>
                <w:sz w:val="16"/>
                <w:szCs w:val="16"/>
              </w:rPr>
              <w:t>(Azanza, Sádada and Reis, 2015)</w:t>
            </w:r>
          </w:p>
        </w:tc>
        <w:tc>
          <w:tcPr>
            <w:tcW w:w="1843" w:type="dxa"/>
            <w:tcBorders>
              <w:top w:val="nil"/>
              <w:left w:val="nil"/>
              <w:bottom w:val="single" w:sz="4" w:space="0" w:color="auto"/>
              <w:right w:val="single" w:sz="4" w:space="0" w:color="auto"/>
            </w:tcBorders>
            <w:shd w:val="clear" w:color="auto" w:fill="auto"/>
            <w:vAlign w:val="center"/>
            <w:hideMark/>
          </w:tcPr>
          <w:p w14:paraId="56A70028" w14:textId="77777777" w:rsidR="00FF5FCD" w:rsidRPr="00B23FF8" w:rsidRDefault="00FF5FCD" w:rsidP="00FF5FCD">
            <w:pPr>
              <w:spacing w:line="240" w:lineRule="auto"/>
              <w:jc w:val="center"/>
              <w:rPr>
                <w:rFonts w:eastAsia="Times New Roman"/>
                <w:color w:val="000000"/>
                <w:sz w:val="16"/>
                <w:szCs w:val="16"/>
              </w:rPr>
            </w:pPr>
            <w:r w:rsidRPr="00B23FF8">
              <w:rPr>
                <w:rFonts w:eastAsia="Times New Roman"/>
                <w:color w:val="000000"/>
                <w:sz w:val="16"/>
                <w:szCs w:val="16"/>
              </w:rPr>
              <w:t>Liposomal Amphotericin B are phago- or endocytosed by cells within the liver leading to their internalisation (</w:t>
            </w:r>
            <w:r w:rsidRPr="00B23FF8">
              <w:rPr>
                <w:rFonts w:eastAsia="Times New Roman"/>
                <w:b/>
                <w:bCs/>
                <w:color w:val="000000"/>
                <w:sz w:val="16"/>
                <w:szCs w:val="16"/>
              </w:rPr>
              <w:t>Figure 5.11</w:t>
            </w:r>
            <w:r w:rsidRPr="00B23FF8">
              <w:rPr>
                <w:rFonts w:eastAsia="Times New Roman"/>
                <w:color w:val="000000"/>
                <w:sz w:val="16"/>
                <w:szCs w:val="16"/>
              </w:rPr>
              <w:t>)</w:t>
            </w:r>
          </w:p>
        </w:tc>
        <w:tc>
          <w:tcPr>
            <w:tcW w:w="3390" w:type="dxa"/>
            <w:tcBorders>
              <w:top w:val="nil"/>
              <w:left w:val="nil"/>
              <w:bottom w:val="single" w:sz="4" w:space="0" w:color="auto"/>
              <w:right w:val="single" w:sz="4" w:space="0" w:color="auto"/>
            </w:tcBorders>
            <w:shd w:val="clear" w:color="auto" w:fill="auto"/>
            <w:vAlign w:val="center"/>
            <w:hideMark/>
          </w:tcPr>
          <w:p w14:paraId="5FBDF345" w14:textId="77777777" w:rsidR="00FF5FCD" w:rsidRPr="00B23FF8" w:rsidRDefault="00FF5FCD" w:rsidP="00FF5FCD">
            <w:pPr>
              <w:spacing w:line="240" w:lineRule="auto"/>
              <w:jc w:val="center"/>
              <w:rPr>
                <w:rFonts w:eastAsia="Times New Roman"/>
                <w:color w:val="000000"/>
                <w:sz w:val="16"/>
                <w:szCs w:val="16"/>
              </w:rPr>
            </w:pPr>
            <w:r w:rsidRPr="00B23FF8">
              <w:rPr>
                <w:rFonts w:eastAsia="Times New Roman"/>
                <w:color w:val="000000"/>
                <w:sz w:val="16"/>
                <w:szCs w:val="16"/>
              </w:rPr>
              <w:t>This representation assumes that all cells within the liver within the context of the pre-existing model (thus populations include T cells, iNKT cells, myeloid cells and Kupffer cells) can either phagocytose or endocytose Amphotericin B (albeit at different rates)</w:t>
            </w:r>
          </w:p>
        </w:tc>
        <w:tc>
          <w:tcPr>
            <w:tcW w:w="3391" w:type="dxa"/>
            <w:tcBorders>
              <w:top w:val="nil"/>
              <w:left w:val="nil"/>
              <w:bottom w:val="single" w:sz="4" w:space="0" w:color="auto"/>
              <w:right w:val="single" w:sz="4" w:space="0" w:color="auto"/>
            </w:tcBorders>
            <w:shd w:val="clear" w:color="auto" w:fill="auto"/>
            <w:vAlign w:val="center"/>
            <w:hideMark/>
          </w:tcPr>
          <w:p w14:paraId="152A77C2" w14:textId="77777777" w:rsidR="00FF5FCD" w:rsidRPr="00B23FF8" w:rsidRDefault="00FF5FCD" w:rsidP="00FF5FCD">
            <w:pPr>
              <w:spacing w:line="240" w:lineRule="auto"/>
              <w:jc w:val="center"/>
              <w:rPr>
                <w:rFonts w:eastAsia="Times New Roman"/>
                <w:color w:val="000000"/>
                <w:sz w:val="16"/>
                <w:szCs w:val="16"/>
              </w:rPr>
            </w:pPr>
            <w:r w:rsidRPr="00B23FF8">
              <w:rPr>
                <w:rFonts w:eastAsia="Times New Roman"/>
                <w:color w:val="000000"/>
                <w:sz w:val="16"/>
                <w:szCs w:val="16"/>
              </w:rPr>
              <w:t>Set entry rates for the uptake of 'AmB' for both T cells and myeloid cells is represented in the platform and this uptake is dependent upon the number of cells (either T cells or myeloid cells) and the amount of 'AmB' in the liver (</w:t>
            </w:r>
            <w:r w:rsidRPr="00B23FF8">
              <w:rPr>
                <w:rFonts w:eastAsia="Times New Roman"/>
                <w:b/>
                <w:bCs/>
                <w:color w:val="000000"/>
                <w:sz w:val="16"/>
                <w:szCs w:val="16"/>
              </w:rPr>
              <w:t>Figure 5.15</w:t>
            </w:r>
            <w:r w:rsidRPr="00B23FF8">
              <w:rPr>
                <w:rFonts w:eastAsia="Times New Roman"/>
                <w:color w:val="000000"/>
                <w:sz w:val="16"/>
                <w:szCs w:val="16"/>
              </w:rPr>
              <w:t>)</w:t>
            </w:r>
          </w:p>
        </w:tc>
        <w:tc>
          <w:tcPr>
            <w:tcW w:w="3391" w:type="dxa"/>
            <w:vMerge w:val="restart"/>
            <w:tcBorders>
              <w:top w:val="nil"/>
              <w:left w:val="single" w:sz="4" w:space="0" w:color="auto"/>
              <w:bottom w:val="single" w:sz="4" w:space="0" w:color="000000"/>
              <w:right w:val="single" w:sz="4" w:space="0" w:color="auto"/>
            </w:tcBorders>
            <w:shd w:val="clear" w:color="auto" w:fill="auto"/>
            <w:vAlign w:val="center"/>
            <w:hideMark/>
          </w:tcPr>
          <w:p w14:paraId="19411137" w14:textId="77777777" w:rsidR="00FF5FCD" w:rsidRPr="00B23FF8" w:rsidRDefault="00FF5FCD" w:rsidP="00FF5FCD">
            <w:pPr>
              <w:spacing w:line="240" w:lineRule="auto"/>
              <w:jc w:val="center"/>
              <w:rPr>
                <w:rFonts w:eastAsia="Times New Roman"/>
                <w:i/>
                <w:iCs/>
                <w:color w:val="000000"/>
                <w:sz w:val="16"/>
                <w:szCs w:val="16"/>
              </w:rPr>
            </w:pPr>
            <w:r w:rsidRPr="00B23FF8">
              <w:rPr>
                <w:rFonts w:eastAsia="Times New Roman"/>
                <w:i/>
                <w:iCs/>
                <w:color w:val="000000"/>
                <w:sz w:val="16"/>
                <w:szCs w:val="16"/>
              </w:rPr>
              <w:t>AmB in T Cells: (k</w:t>
            </w:r>
            <w:r w:rsidRPr="00B23FF8">
              <w:rPr>
                <w:rFonts w:eastAsia="Times New Roman"/>
                <w:i/>
                <w:iCs/>
                <w:color w:val="000000"/>
                <w:sz w:val="16"/>
                <w:szCs w:val="16"/>
                <w:vertAlign w:val="subscript"/>
              </w:rPr>
              <w:t>LT</w:t>
            </w:r>
            <w:r w:rsidRPr="00B23FF8">
              <w:rPr>
                <w:rFonts w:eastAsia="Times New Roman"/>
                <w:i/>
                <w:iCs/>
                <w:color w:val="000000"/>
                <w:sz w:val="16"/>
                <w:szCs w:val="16"/>
              </w:rPr>
              <w:t xml:space="preserve"> x T x (L/r</w:t>
            </w:r>
            <w:r w:rsidRPr="00B23FF8">
              <w:rPr>
                <w:rFonts w:eastAsia="Times New Roman"/>
                <w:i/>
                <w:iCs/>
                <w:color w:val="000000"/>
                <w:sz w:val="16"/>
                <w:szCs w:val="16"/>
                <w:vertAlign w:val="subscript"/>
              </w:rPr>
              <w:t>L</w:t>
            </w:r>
            <w:r w:rsidRPr="00B23FF8">
              <w:rPr>
                <w:rFonts w:eastAsia="Times New Roman"/>
                <w:i/>
                <w:iCs/>
                <w:color w:val="000000"/>
                <w:sz w:val="16"/>
                <w:szCs w:val="16"/>
              </w:rPr>
              <w:t>)) - (k</w:t>
            </w:r>
            <w:r w:rsidRPr="00B23FF8">
              <w:rPr>
                <w:rFonts w:eastAsia="Times New Roman"/>
                <w:i/>
                <w:iCs/>
                <w:color w:val="000000"/>
                <w:sz w:val="16"/>
                <w:szCs w:val="16"/>
                <w:vertAlign w:val="subscript"/>
              </w:rPr>
              <w:t>TL</w:t>
            </w:r>
            <w:r w:rsidRPr="00B23FF8">
              <w:rPr>
                <w:rFonts w:eastAsia="Times New Roman"/>
                <w:i/>
                <w:iCs/>
                <w:color w:val="000000"/>
                <w:sz w:val="16"/>
                <w:szCs w:val="16"/>
              </w:rPr>
              <w:t xml:space="preserve"> x T</w:t>
            </w:r>
            <w:r w:rsidRPr="00B23FF8">
              <w:rPr>
                <w:rFonts w:eastAsia="Times New Roman"/>
                <w:i/>
                <w:iCs/>
                <w:color w:val="000000"/>
                <w:sz w:val="16"/>
                <w:szCs w:val="16"/>
                <w:vertAlign w:val="subscript"/>
              </w:rPr>
              <w:t>a</w:t>
            </w:r>
            <w:r w:rsidRPr="00B23FF8">
              <w:rPr>
                <w:rFonts w:eastAsia="Times New Roman"/>
                <w:i/>
                <w:iCs/>
                <w:color w:val="000000"/>
                <w:sz w:val="16"/>
                <w:szCs w:val="16"/>
              </w:rPr>
              <w:t>)</w:t>
            </w:r>
            <w:r w:rsidRPr="00B23FF8">
              <w:rPr>
                <w:rFonts w:eastAsia="Times New Roman"/>
                <w:i/>
                <w:iCs/>
                <w:color w:val="000000"/>
                <w:sz w:val="16"/>
                <w:szCs w:val="16"/>
              </w:rPr>
              <w:br/>
              <w:t>AmB in Myeloid Cells: (k</w:t>
            </w:r>
            <w:r w:rsidRPr="00B23FF8">
              <w:rPr>
                <w:rFonts w:eastAsia="Times New Roman"/>
                <w:i/>
                <w:iCs/>
                <w:color w:val="000000"/>
                <w:sz w:val="16"/>
                <w:szCs w:val="16"/>
                <w:vertAlign w:val="subscript"/>
              </w:rPr>
              <w:t>LM</w:t>
            </w:r>
            <w:r w:rsidRPr="00B23FF8">
              <w:rPr>
                <w:rFonts w:eastAsia="Times New Roman"/>
                <w:i/>
                <w:iCs/>
                <w:color w:val="000000"/>
                <w:sz w:val="16"/>
                <w:szCs w:val="16"/>
              </w:rPr>
              <w:t xml:space="preserve"> x (M</w:t>
            </w:r>
            <w:r w:rsidRPr="00B23FF8">
              <w:rPr>
                <w:rFonts w:eastAsia="Times New Roman"/>
                <w:i/>
                <w:iCs/>
                <w:color w:val="000000"/>
                <w:sz w:val="16"/>
                <w:szCs w:val="16"/>
                <w:vertAlign w:val="subscript"/>
              </w:rPr>
              <w:t>s</w:t>
            </w:r>
            <w:r w:rsidRPr="00B23FF8">
              <w:rPr>
                <w:rFonts w:eastAsia="Times New Roman"/>
                <w:i/>
                <w:iCs/>
                <w:color w:val="000000"/>
                <w:sz w:val="16"/>
                <w:szCs w:val="16"/>
              </w:rPr>
              <w:t xml:space="preserve"> + M</w:t>
            </w:r>
            <w:r w:rsidRPr="00B23FF8">
              <w:rPr>
                <w:rFonts w:eastAsia="Times New Roman"/>
                <w:i/>
                <w:iCs/>
                <w:color w:val="000000"/>
                <w:sz w:val="16"/>
                <w:szCs w:val="16"/>
                <w:vertAlign w:val="subscript"/>
              </w:rPr>
              <w:t>i</w:t>
            </w:r>
            <w:r w:rsidRPr="00B23FF8">
              <w:rPr>
                <w:rFonts w:eastAsia="Times New Roman"/>
                <w:i/>
                <w:iCs/>
                <w:color w:val="000000"/>
                <w:sz w:val="16"/>
                <w:szCs w:val="16"/>
              </w:rPr>
              <w:t>) x (L/r</w:t>
            </w:r>
            <w:r w:rsidRPr="00B23FF8">
              <w:rPr>
                <w:rFonts w:eastAsia="Times New Roman"/>
                <w:i/>
                <w:iCs/>
                <w:color w:val="000000"/>
                <w:sz w:val="16"/>
                <w:szCs w:val="16"/>
                <w:vertAlign w:val="subscript"/>
              </w:rPr>
              <w:t>L</w:t>
            </w:r>
            <w:r w:rsidRPr="00B23FF8">
              <w:rPr>
                <w:rFonts w:eastAsia="Times New Roman"/>
                <w:i/>
                <w:iCs/>
                <w:color w:val="000000"/>
                <w:sz w:val="16"/>
                <w:szCs w:val="16"/>
              </w:rPr>
              <w:t>)) - (k</w:t>
            </w:r>
            <w:r w:rsidRPr="00B23FF8">
              <w:rPr>
                <w:rFonts w:eastAsia="Times New Roman"/>
                <w:i/>
                <w:iCs/>
                <w:color w:val="000000"/>
                <w:sz w:val="16"/>
                <w:szCs w:val="16"/>
                <w:vertAlign w:val="subscript"/>
              </w:rPr>
              <w:t>ML</w:t>
            </w:r>
            <w:r w:rsidRPr="00B23FF8">
              <w:rPr>
                <w:rFonts w:eastAsia="Times New Roman"/>
                <w:i/>
                <w:iCs/>
                <w:color w:val="000000"/>
                <w:sz w:val="16"/>
                <w:szCs w:val="16"/>
              </w:rPr>
              <w:t xml:space="preserve"> x M</w:t>
            </w:r>
            <w:r w:rsidRPr="00B23FF8">
              <w:rPr>
                <w:rFonts w:eastAsia="Times New Roman"/>
                <w:i/>
                <w:iCs/>
                <w:color w:val="000000"/>
                <w:sz w:val="16"/>
                <w:szCs w:val="16"/>
                <w:vertAlign w:val="subscript"/>
              </w:rPr>
              <w:t>a</w:t>
            </w:r>
            <w:r w:rsidRPr="00B23FF8">
              <w:rPr>
                <w:rFonts w:eastAsia="Times New Roman"/>
                <w:i/>
                <w:iCs/>
                <w:color w:val="000000"/>
                <w:sz w:val="16"/>
                <w:szCs w:val="16"/>
              </w:rPr>
              <w:t>)</w:t>
            </w:r>
            <w:r w:rsidRPr="00B23FF8">
              <w:rPr>
                <w:rFonts w:eastAsia="Times New Roman"/>
                <w:i/>
                <w:iCs/>
                <w:color w:val="000000"/>
                <w:sz w:val="16"/>
                <w:szCs w:val="16"/>
              </w:rPr>
              <w:br/>
            </w:r>
            <w:r w:rsidRPr="00B23FF8">
              <w:rPr>
                <w:rFonts w:eastAsia="Times New Roman"/>
                <w:color w:val="000000"/>
                <w:sz w:val="16"/>
                <w:szCs w:val="16"/>
              </w:rPr>
              <w:t>k</w:t>
            </w:r>
            <w:r w:rsidRPr="00B23FF8">
              <w:rPr>
                <w:rFonts w:eastAsia="Times New Roman"/>
                <w:color w:val="000000"/>
                <w:sz w:val="16"/>
                <w:szCs w:val="16"/>
                <w:vertAlign w:val="subscript"/>
              </w:rPr>
              <w:t>LT</w:t>
            </w:r>
            <w:r w:rsidRPr="00B23FF8">
              <w:rPr>
                <w:rFonts w:eastAsia="Times New Roman"/>
                <w:color w:val="000000"/>
                <w:sz w:val="16"/>
                <w:szCs w:val="16"/>
              </w:rPr>
              <w:t xml:space="preserve"> = AmB transfer rate from Liver to T cells</w:t>
            </w:r>
            <w:r w:rsidRPr="00B23FF8">
              <w:rPr>
                <w:rFonts w:eastAsia="Times New Roman"/>
                <w:color w:val="000000"/>
                <w:sz w:val="16"/>
                <w:szCs w:val="16"/>
              </w:rPr>
              <w:br/>
              <w:t>k</w:t>
            </w:r>
            <w:r w:rsidRPr="00B23FF8">
              <w:rPr>
                <w:rFonts w:eastAsia="Times New Roman"/>
                <w:color w:val="000000"/>
                <w:sz w:val="16"/>
                <w:szCs w:val="16"/>
                <w:vertAlign w:val="subscript"/>
              </w:rPr>
              <w:t>LM</w:t>
            </w:r>
            <w:r w:rsidRPr="00B23FF8">
              <w:rPr>
                <w:rFonts w:eastAsia="Times New Roman"/>
                <w:color w:val="000000"/>
                <w:sz w:val="16"/>
                <w:szCs w:val="16"/>
              </w:rPr>
              <w:t xml:space="preserve"> = AmB transfer rate from Liver to myeloid cells</w:t>
            </w:r>
            <w:r w:rsidRPr="00B23FF8">
              <w:rPr>
                <w:rFonts w:eastAsia="Times New Roman"/>
                <w:color w:val="000000"/>
                <w:sz w:val="16"/>
                <w:szCs w:val="16"/>
              </w:rPr>
              <w:br/>
              <w:t>T = T Cell Population</w:t>
            </w:r>
            <w:r w:rsidRPr="00B23FF8">
              <w:rPr>
                <w:rFonts w:eastAsia="Times New Roman"/>
                <w:color w:val="000000"/>
                <w:sz w:val="16"/>
                <w:szCs w:val="16"/>
              </w:rPr>
              <w:br/>
              <w:t>M</w:t>
            </w:r>
            <w:r w:rsidRPr="00B23FF8">
              <w:rPr>
                <w:rFonts w:eastAsia="Times New Roman"/>
                <w:color w:val="000000"/>
                <w:sz w:val="16"/>
                <w:szCs w:val="16"/>
                <w:vertAlign w:val="subscript"/>
              </w:rPr>
              <w:t>s</w:t>
            </w:r>
            <w:r w:rsidRPr="00B23FF8">
              <w:rPr>
                <w:rFonts w:eastAsia="Times New Roman"/>
                <w:color w:val="000000"/>
                <w:sz w:val="16"/>
                <w:szCs w:val="16"/>
              </w:rPr>
              <w:t xml:space="preserve"> = Susceptible Myeloid Cell Population</w:t>
            </w:r>
            <w:r w:rsidRPr="00B23FF8">
              <w:rPr>
                <w:rFonts w:eastAsia="Times New Roman"/>
                <w:color w:val="000000"/>
                <w:sz w:val="16"/>
                <w:szCs w:val="16"/>
              </w:rPr>
              <w:br/>
              <w:t>M</w:t>
            </w:r>
            <w:r w:rsidRPr="00B23FF8">
              <w:rPr>
                <w:rFonts w:eastAsia="Times New Roman"/>
                <w:color w:val="000000"/>
                <w:sz w:val="16"/>
                <w:szCs w:val="16"/>
                <w:vertAlign w:val="subscript"/>
              </w:rPr>
              <w:t>i</w:t>
            </w:r>
            <w:r w:rsidRPr="00B23FF8">
              <w:rPr>
                <w:rFonts w:eastAsia="Times New Roman"/>
                <w:color w:val="000000"/>
                <w:sz w:val="16"/>
                <w:szCs w:val="16"/>
              </w:rPr>
              <w:t xml:space="preserve"> = Infected Myeloid Cell Population</w:t>
            </w:r>
            <w:r w:rsidRPr="00B23FF8">
              <w:rPr>
                <w:rFonts w:eastAsia="Times New Roman"/>
                <w:color w:val="000000"/>
                <w:sz w:val="16"/>
                <w:szCs w:val="16"/>
              </w:rPr>
              <w:br/>
              <w:t>r</w:t>
            </w:r>
            <w:r w:rsidRPr="00B23FF8">
              <w:rPr>
                <w:rFonts w:eastAsia="Times New Roman"/>
                <w:color w:val="000000"/>
                <w:sz w:val="16"/>
                <w:szCs w:val="16"/>
                <w:vertAlign w:val="subscript"/>
              </w:rPr>
              <w:t>L</w:t>
            </w:r>
            <w:r w:rsidRPr="00B23FF8">
              <w:rPr>
                <w:rFonts w:eastAsia="Times New Roman"/>
                <w:color w:val="000000"/>
                <w:sz w:val="16"/>
                <w:szCs w:val="16"/>
              </w:rPr>
              <w:t xml:space="preserve"> = Retention Rate of AmB within the Liver</w:t>
            </w:r>
            <w:r w:rsidRPr="00B23FF8">
              <w:rPr>
                <w:rFonts w:eastAsia="Times New Roman"/>
                <w:color w:val="000000"/>
                <w:sz w:val="16"/>
                <w:szCs w:val="16"/>
              </w:rPr>
              <w:br/>
              <w:t>k</w:t>
            </w:r>
            <w:r w:rsidRPr="00B23FF8">
              <w:rPr>
                <w:rFonts w:eastAsia="Times New Roman"/>
                <w:color w:val="000000"/>
                <w:sz w:val="16"/>
                <w:szCs w:val="16"/>
                <w:vertAlign w:val="subscript"/>
              </w:rPr>
              <w:t>TL</w:t>
            </w:r>
            <w:r w:rsidRPr="00B23FF8">
              <w:rPr>
                <w:rFonts w:eastAsia="Times New Roman"/>
                <w:color w:val="000000"/>
                <w:sz w:val="16"/>
                <w:szCs w:val="16"/>
              </w:rPr>
              <w:t xml:space="preserve"> = AmB transfer rate from T cells to Liver</w:t>
            </w:r>
            <w:r w:rsidRPr="00B23FF8">
              <w:rPr>
                <w:rFonts w:eastAsia="Times New Roman"/>
                <w:color w:val="000000"/>
                <w:sz w:val="16"/>
                <w:szCs w:val="16"/>
              </w:rPr>
              <w:br/>
              <w:t>k</w:t>
            </w:r>
            <w:r w:rsidRPr="00B23FF8">
              <w:rPr>
                <w:rFonts w:eastAsia="Times New Roman"/>
                <w:color w:val="000000"/>
                <w:sz w:val="16"/>
                <w:szCs w:val="16"/>
                <w:vertAlign w:val="subscript"/>
              </w:rPr>
              <w:t>ML</w:t>
            </w:r>
            <w:r w:rsidRPr="00B23FF8">
              <w:rPr>
                <w:rFonts w:eastAsia="Times New Roman"/>
                <w:color w:val="000000"/>
                <w:sz w:val="16"/>
                <w:szCs w:val="16"/>
              </w:rPr>
              <w:t xml:space="preserve"> = AmB transfer rate from myeloid cells to Liver</w:t>
            </w:r>
            <w:r w:rsidRPr="00B23FF8">
              <w:rPr>
                <w:rFonts w:eastAsia="Times New Roman"/>
                <w:color w:val="000000"/>
                <w:sz w:val="16"/>
                <w:szCs w:val="16"/>
              </w:rPr>
              <w:br/>
              <w:t>T</w:t>
            </w:r>
            <w:r w:rsidRPr="00B23FF8">
              <w:rPr>
                <w:rFonts w:eastAsia="Times New Roman"/>
                <w:color w:val="000000"/>
                <w:sz w:val="16"/>
                <w:szCs w:val="16"/>
                <w:vertAlign w:val="subscript"/>
              </w:rPr>
              <w:t>a</w:t>
            </w:r>
            <w:r w:rsidRPr="00B23FF8">
              <w:rPr>
                <w:rFonts w:eastAsia="Times New Roman"/>
                <w:color w:val="000000"/>
                <w:sz w:val="16"/>
                <w:szCs w:val="16"/>
              </w:rPr>
              <w:t xml:space="preserve"> = T Cell AmB Amount</w:t>
            </w:r>
            <w:r w:rsidRPr="00B23FF8">
              <w:rPr>
                <w:rFonts w:eastAsia="Times New Roman"/>
                <w:color w:val="000000"/>
                <w:sz w:val="16"/>
                <w:szCs w:val="16"/>
              </w:rPr>
              <w:br/>
              <w:t>M</w:t>
            </w:r>
            <w:r w:rsidRPr="00B23FF8">
              <w:rPr>
                <w:rFonts w:eastAsia="Times New Roman"/>
                <w:color w:val="000000"/>
                <w:sz w:val="16"/>
                <w:szCs w:val="16"/>
                <w:vertAlign w:val="subscript"/>
              </w:rPr>
              <w:t>a</w:t>
            </w:r>
            <w:r w:rsidRPr="00B23FF8">
              <w:rPr>
                <w:rFonts w:eastAsia="Times New Roman"/>
                <w:color w:val="000000"/>
                <w:sz w:val="16"/>
                <w:szCs w:val="16"/>
              </w:rPr>
              <w:t xml:space="preserve"> = Myeloid Cell AmB Amount</w:t>
            </w:r>
          </w:p>
        </w:tc>
      </w:tr>
      <w:tr w:rsidR="00FF5FCD" w:rsidRPr="00FF5FCD" w14:paraId="2F5FF7B6" w14:textId="77777777" w:rsidTr="00F7425F">
        <w:trPr>
          <w:trHeight w:val="1820"/>
        </w:trPr>
        <w:tc>
          <w:tcPr>
            <w:tcW w:w="1129" w:type="dxa"/>
            <w:tcBorders>
              <w:top w:val="nil"/>
              <w:left w:val="single" w:sz="4" w:space="0" w:color="auto"/>
              <w:bottom w:val="single" w:sz="4" w:space="0" w:color="auto"/>
              <w:right w:val="single" w:sz="4" w:space="0" w:color="auto"/>
            </w:tcBorders>
            <w:shd w:val="clear" w:color="auto" w:fill="auto"/>
            <w:vAlign w:val="center"/>
            <w:hideMark/>
          </w:tcPr>
          <w:p w14:paraId="1B4E32BA" w14:textId="77777777" w:rsidR="00FF5FCD" w:rsidRPr="00B23FF8" w:rsidRDefault="00FF5FCD" w:rsidP="00FF5FCD">
            <w:pPr>
              <w:spacing w:line="240" w:lineRule="auto"/>
              <w:jc w:val="center"/>
              <w:rPr>
                <w:rFonts w:eastAsia="Times New Roman"/>
                <w:color w:val="000000"/>
                <w:sz w:val="16"/>
                <w:szCs w:val="16"/>
              </w:rPr>
            </w:pPr>
            <w:r w:rsidRPr="00B23FF8">
              <w:rPr>
                <w:rFonts w:eastAsia="Times New Roman"/>
                <w:color w:val="000000"/>
                <w:sz w:val="16"/>
                <w:szCs w:val="16"/>
              </w:rPr>
              <w:lastRenderedPageBreak/>
              <w:t>Amphotericin B monomers and aggregates can bind cellular membranes</w:t>
            </w:r>
          </w:p>
        </w:tc>
        <w:tc>
          <w:tcPr>
            <w:tcW w:w="1418" w:type="dxa"/>
            <w:tcBorders>
              <w:top w:val="nil"/>
              <w:left w:val="nil"/>
              <w:bottom w:val="single" w:sz="4" w:space="0" w:color="auto"/>
              <w:right w:val="single" w:sz="4" w:space="0" w:color="auto"/>
            </w:tcBorders>
            <w:shd w:val="clear" w:color="auto" w:fill="auto"/>
            <w:vAlign w:val="center"/>
            <w:hideMark/>
          </w:tcPr>
          <w:p w14:paraId="21FCDC85" w14:textId="77777777" w:rsidR="00FF5FCD" w:rsidRPr="00B23FF8" w:rsidRDefault="00FF5FCD" w:rsidP="00FF5FCD">
            <w:pPr>
              <w:spacing w:line="240" w:lineRule="auto"/>
              <w:jc w:val="center"/>
              <w:rPr>
                <w:rFonts w:eastAsia="Times New Roman"/>
                <w:sz w:val="16"/>
                <w:szCs w:val="16"/>
              </w:rPr>
            </w:pPr>
            <w:r w:rsidRPr="00B23FF8">
              <w:rPr>
                <w:rFonts w:eastAsia="Times New Roman"/>
                <w:sz w:val="16"/>
                <w:szCs w:val="16"/>
              </w:rPr>
              <w:t>(Baginski, Czub and Sternal, 2006, Czub and Baginski, 2006; Janout et al., 2015)</w:t>
            </w:r>
          </w:p>
        </w:tc>
        <w:tc>
          <w:tcPr>
            <w:tcW w:w="1843" w:type="dxa"/>
            <w:tcBorders>
              <w:top w:val="nil"/>
              <w:left w:val="nil"/>
              <w:bottom w:val="single" w:sz="4" w:space="0" w:color="auto"/>
              <w:right w:val="single" w:sz="4" w:space="0" w:color="auto"/>
            </w:tcBorders>
            <w:shd w:val="clear" w:color="auto" w:fill="auto"/>
            <w:vAlign w:val="center"/>
            <w:hideMark/>
          </w:tcPr>
          <w:p w14:paraId="7CA490B6" w14:textId="77777777" w:rsidR="00FF5FCD" w:rsidRPr="00B23FF8" w:rsidRDefault="00FF5FCD" w:rsidP="00FF5FCD">
            <w:pPr>
              <w:spacing w:line="240" w:lineRule="auto"/>
              <w:jc w:val="center"/>
              <w:rPr>
                <w:rFonts w:eastAsia="Times New Roman"/>
                <w:color w:val="000000"/>
                <w:sz w:val="16"/>
                <w:szCs w:val="16"/>
              </w:rPr>
            </w:pPr>
            <w:r w:rsidRPr="00B23FF8">
              <w:rPr>
                <w:rFonts w:eastAsia="Times New Roman"/>
                <w:color w:val="000000"/>
                <w:sz w:val="16"/>
                <w:szCs w:val="16"/>
              </w:rPr>
              <w:t>Amphotericin B monomers or aggregates bind the membranes of cells within the liver (</w:t>
            </w:r>
            <w:r w:rsidRPr="00B23FF8">
              <w:rPr>
                <w:rFonts w:eastAsia="Times New Roman"/>
                <w:b/>
                <w:bCs/>
                <w:color w:val="000000"/>
                <w:sz w:val="16"/>
                <w:szCs w:val="16"/>
              </w:rPr>
              <w:t>Figure 5.11</w:t>
            </w:r>
            <w:r w:rsidRPr="00B23FF8">
              <w:rPr>
                <w:rFonts w:eastAsia="Times New Roman"/>
                <w:color w:val="000000"/>
                <w:sz w:val="16"/>
                <w:szCs w:val="16"/>
              </w:rPr>
              <w:t>)</w:t>
            </w:r>
          </w:p>
        </w:tc>
        <w:tc>
          <w:tcPr>
            <w:tcW w:w="3390" w:type="dxa"/>
            <w:tcBorders>
              <w:top w:val="nil"/>
              <w:left w:val="nil"/>
              <w:bottom w:val="single" w:sz="4" w:space="0" w:color="auto"/>
              <w:right w:val="single" w:sz="4" w:space="0" w:color="auto"/>
            </w:tcBorders>
            <w:shd w:val="clear" w:color="auto" w:fill="auto"/>
            <w:vAlign w:val="center"/>
            <w:hideMark/>
          </w:tcPr>
          <w:p w14:paraId="50509160" w14:textId="77777777" w:rsidR="00FF5FCD" w:rsidRPr="00B23FF8" w:rsidRDefault="00FF5FCD" w:rsidP="00FF5FCD">
            <w:pPr>
              <w:spacing w:line="240" w:lineRule="auto"/>
              <w:jc w:val="center"/>
              <w:rPr>
                <w:rFonts w:eastAsia="Times New Roman"/>
                <w:color w:val="000000"/>
                <w:sz w:val="16"/>
                <w:szCs w:val="16"/>
              </w:rPr>
            </w:pPr>
            <w:r w:rsidRPr="00B23FF8">
              <w:rPr>
                <w:rFonts w:eastAsia="Times New Roman"/>
                <w:color w:val="000000"/>
                <w:sz w:val="16"/>
                <w:szCs w:val="16"/>
              </w:rPr>
              <w:t>An assumption here is that there is no cellular binding of Amphotericin B outside of the liver, this is represented this way due to the lack of accumulation of Amphotericin B in other organs (and the cells within those organs) such that the influx/efflux rates in the model are likely to be modified to account for lack of cellular retention</w:t>
            </w:r>
          </w:p>
        </w:tc>
        <w:tc>
          <w:tcPr>
            <w:tcW w:w="3391" w:type="dxa"/>
            <w:tcBorders>
              <w:top w:val="nil"/>
              <w:left w:val="nil"/>
              <w:bottom w:val="single" w:sz="4" w:space="0" w:color="auto"/>
              <w:right w:val="single" w:sz="4" w:space="0" w:color="auto"/>
            </w:tcBorders>
            <w:shd w:val="clear" w:color="auto" w:fill="auto"/>
            <w:vAlign w:val="center"/>
            <w:hideMark/>
          </w:tcPr>
          <w:p w14:paraId="3DE5E212" w14:textId="77777777" w:rsidR="00FF5FCD" w:rsidRPr="00B23FF8" w:rsidRDefault="00FF5FCD" w:rsidP="00FF5FCD">
            <w:pPr>
              <w:spacing w:line="240" w:lineRule="auto"/>
              <w:jc w:val="center"/>
              <w:rPr>
                <w:rFonts w:eastAsia="Times New Roman"/>
                <w:color w:val="000000"/>
                <w:sz w:val="16"/>
                <w:szCs w:val="16"/>
              </w:rPr>
            </w:pPr>
            <w:r w:rsidRPr="00B23FF8">
              <w:rPr>
                <w:rFonts w:eastAsia="Times New Roman"/>
                <w:color w:val="000000"/>
                <w:sz w:val="16"/>
                <w:szCs w:val="16"/>
              </w:rPr>
              <w:t>In the platform model there is no representation of the different states of Amphotericin B as shown in the domain (Figure 5.12) instead a single entity referred to as 'AmB' represents the total amount of Amphotericin B (</w:t>
            </w:r>
            <w:r w:rsidRPr="00B23FF8">
              <w:rPr>
                <w:rFonts w:eastAsia="Times New Roman"/>
                <w:b/>
                <w:bCs/>
                <w:color w:val="000000"/>
                <w:sz w:val="16"/>
                <w:szCs w:val="16"/>
              </w:rPr>
              <w:t>Figure 5.15</w:t>
            </w:r>
            <w:r w:rsidRPr="00B23FF8">
              <w:rPr>
                <w:rFonts w:eastAsia="Times New Roman"/>
                <w:color w:val="000000"/>
                <w:sz w:val="16"/>
                <w:szCs w:val="16"/>
              </w:rPr>
              <w:t>). Additionally there is no representation specifically of 'membrane bound' AmB however when AmB is internalised by either a myeloid or T cell that amount is added to a population of either myeloid-associated AmB or T cell-associated AmB (</w:t>
            </w:r>
            <w:r w:rsidRPr="00B23FF8">
              <w:rPr>
                <w:rFonts w:eastAsia="Times New Roman"/>
                <w:b/>
                <w:bCs/>
                <w:color w:val="000000"/>
                <w:sz w:val="16"/>
                <w:szCs w:val="16"/>
              </w:rPr>
              <w:t>Figure 5.15</w:t>
            </w:r>
            <w:r w:rsidRPr="00B23FF8">
              <w:rPr>
                <w:rFonts w:eastAsia="Times New Roman"/>
                <w:color w:val="000000"/>
                <w:sz w:val="16"/>
                <w:szCs w:val="16"/>
              </w:rPr>
              <w:t>)</w:t>
            </w:r>
          </w:p>
        </w:tc>
        <w:tc>
          <w:tcPr>
            <w:tcW w:w="3391" w:type="dxa"/>
            <w:vMerge/>
            <w:tcBorders>
              <w:top w:val="nil"/>
              <w:left w:val="single" w:sz="4" w:space="0" w:color="auto"/>
              <w:bottom w:val="single" w:sz="4" w:space="0" w:color="000000"/>
              <w:right w:val="single" w:sz="4" w:space="0" w:color="auto"/>
            </w:tcBorders>
            <w:shd w:val="clear" w:color="auto" w:fill="auto"/>
            <w:vAlign w:val="center"/>
            <w:hideMark/>
          </w:tcPr>
          <w:p w14:paraId="371EB058" w14:textId="77777777" w:rsidR="00FF5FCD" w:rsidRPr="00B23FF8" w:rsidRDefault="00FF5FCD" w:rsidP="00FF5FCD">
            <w:pPr>
              <w:spacing w:line="240" w:lineRule="auto"/>
              <w:rPr>
                <w:rFonts w:eastAsia="Times New Roman"/>
                <w:i/>
                <w:iCs/>
                <w:color w:val="000000"/>
                <w:sz w:val="16"/>
                <w:szCs w:val="16"/>
              </w:rPr>
            </w:pPr>
          </w:p>
        </w:tc>
      </w:tr>
      <w:tr w:rsidR="00FF5FCD" w:rsidRPr="00FF5FCD" w14:paraId="21F60C6F" w14:textId="77777777" w:rsidTr="00F7425F">
        <w:trPr>
          <w:trHeight w:val="1820"/>
        </w:trPr>
        <w:tc>
          <w:tcPr>
            <w:tcW w:w="1129" w:type="dxa"/>
            <w:tcBorders>
              <w:top w:val="nil"/>
              <w:left w:val="single" w:sz="4" w:space="0" w:color="auto"/>
              <w:bottom w:val="single" w:sz="4" w:space="0" w:color="auto"/>
              <w:right w:val="single" w:sz="4" w:space="0" w:color="auto"/>
            </w:tcBorders>
            <w:shd w:val="clear" w:color="auto" w:fill="auto"/>
            <w:vAlign w:val="center"/>
            <w:hideMark/>
          </w:tcPr>
          <w:p w14:paraId="0FAECF7F" w14:textId="77777777" w:rsidR="00FF5FCD" w:rsidRPr="00B23FF8" w:rsidRDefault="00FF5FCD" w:rsidP="00FF5FCD">
            <w:pPr>
              <w:spacing w:line="240" w:lineRule="auto"/>
              <w:jc w:val="center"/>
              <w:rPr>
                <w:rFonts w:eastAsia="Times New Roman"/>
                <w:color w:val="000000"/>
                <w:sz w:val="16"/>
                <w:szCs w:val="16"/>
              </w:rPr>
            </w:pPr>
            <w:r w:rsidRPr="00B23FF8">
              <w:rPr>
                <w:rFonts w:eastAsia="Times New Roman"/>
                <w:color w:val="000000"/>
                <w:sz w:val="16"/>
                <w:szCs w:val="16"/>
              </w:rPr>
              <w:t xml:space="preserve">Amphotericin B bound to the membrane of an </w:t>
            </w:r>
            <w:r w:rsidRPr="00B23FF8">
              <w:rPr>
                <w:rFonts w:eastAsia="Times New Roman"/>
                <w:i/>
                <w:iCs/>
                <w:color w:val="000000"/>
                <w:sz w:val="16"/>
                <w:szCs w:val="16"/>
              </w:rPr>
              <w:t>L. donovani</w:t>
            </w:r>
            <w:r w:rsidRPr="00B23FF8">
              <w:rPr>
                <w:rFonts w:eastAsia="Times New Roman"/>
                <w:color w:val="000000"/>
                <w:sz w:val="16"/>
                <w:szCs w:val="16"/>
              </w:rPr>
              <w:t xml:space="preserve"> cell can preferentially bind the membrane of </w:t>
            </w:r>
            <w:r w:rsidRPr="00B23FF8">
              <w:rPr>
                <w:rFonts w:eastAsia="Times New Roman"/>
                <w:i/>
                <w:iCs/>
                <w:color w:val="000000"/>
                <w:sz w:val="16"/>
                <w:szCs w:val="16"/>
              </w:rPr>
              <w:t>L. donovani</w:t>
            </w:r>
          </w:p>
        </w:tc>
        <w:tc>
          <w:tcPr>
            <w:tcW w:w="1418" w:type="dxa"/>
            <w:tcBorders>
              <w:top w:val="nil"/>
              <w:left w:val="nil"/>
              <w:bottom w:val="single" w:sz="4" w:space="0" w:color="auto"/>
              <w:right w:val="single" w:sz="4" w:space="0" w:color="auto"/>
            </w:tcBorders>
            <w:shd w:val="clear" w:color="auto" w:fill="auto"/>
            <w:vAlign w:val="center"/>
            <w:hideMark/>
          </w:tcPr>
          <w:p w14:paraId="405AEE77" w14:textId="77777777" w:rsidR="00FF5FCD" w:rsidRPr="00B23FF8" w:rsidRDefault="00FF5FCD" w:rsidP="00FF5FCD">
            <w:pPr>
              <w:spacing w:line="240" w:lineRule="auto"/>
              <w:jc w:val="center"/>
              <w:rPr>
                <w:rFonts w:eastAsia="Times New Roman"/>
                <w:sz w:val="16"/>
                <w:szCs w:val="16"/>
              </w:rPr>
            </w:pPr>
            <w:r w:rsidRPr="00B23FF8">
              <w:rPr>
                <w:rFonts w:eastAsia="Times New Roman"/>
                <w:sz w:val="16"/>
                <w:szCs w:val="16"/>
              </w:rPr>
              <w:t>(Saha, Mukherjee and Bhaduri, 1986; Paila, Saha and Chattopadhyay, 2010)</w:t>
            </w:r>
          </w:p>
        </w:tc>
        <w:tc>
          <w:tcPr>
            <w:tcW w:w="1843" w:type="dxa"/>
            <w:tcBorders>
              <w:top w:val="nil"/>
              <w:left w:val="nil"/>
              <w:bottom w:val="single" w:sz="4" w:space="0" w:color="auto"/>
              <w:right w:val="single" w:sz="4" w:space="0" w:color="auto"/>
            </w:tcBorders>
            <w:shd w:val="clear" w:color="auto" w:fill="auto"/>
            <w:vAlign w:val="center"/>
            <w:hideMark/>
          </w:tcPr>
          <w:p w14:paraId="7B7B0EF6" w14:textId="77777777" w:rsidR="00FF5FCD" w:rsidRPr="00B23FF8" w:rsidRDefault="00FF5FCD" w:rsidP="00FF5FCD">
            <w:pPr>
              <w:spacing w:line="240" w:lineRule="auto"/>
              <w:jc w:val="center"/>
              <w:rPr>
                <w:rFonts w:eastAsia="Times New Roman"/>
                <w:color w:val="000000"/>
                <w:sz w:val="16"/>
                <w:szCs w:val="16"/>
              </w:rPr>
            </w:pPr>
            <w:r w:rsidRPr="00B23FF8">
              <w:rPr>
                <w:rFonts w:eastAsia="Times New Roman"/>
                <w:color w:val="000000"/>
                <w:sz w:val="16"/>
                <w:szCs w:val="16"/>
              </w:rPr>
              <w:t xml:space="preserve">Amphotericin B bound to a myeloid cell or Kupffer cell that is infected with </w:t>
            </w:r>
            <w:r w:rsidRPr="00B23FF8">
              <w:rPr>
                <w:rFonts w:eastAsia="Times New Roman"/>
                <w:i/>
                <w:iCs/>
                <w:color w:val="000000"/>
                <w:sz w:val="16"/>
                <w:szCs w:val="16"/>
              </w:rPr>
              <w:t>L. donovani</w:t>
            </w:r>
            <w:r w:rsidRPr="00B23FF8">
              <w:rPr>
                <w:rFonts w:eastAsia="Times New Roman"/>
                <w:color w:val="000000"/>
                <w:sz w:val="16"/>
                <w:szCs w:val="16"/>
              </w:rPr>
              <w:t xml:space="preserve"> will preferentially bind the parasite membrane (</w:t>
            </w:r>
            <w:r w:rsidRPr="00B23FF8">
              <w:rPr>
                <w:rFonts w:eastAsia="Times New Roman"/>
                <w:b/>
                <w:bCs/>
                <w:color w:val="000000"/>
                <w:sz w:val="16"/>
                <w:szCs w:val="16"/>
              </w:rPr>
              <w:t>Figure 5.11</w:t>
            </w:r>
            <w:r w:rsidRPr="00B23FF8">
              <w:rPr>
                <w:rFonts w:eastAsia="Times New Roman"/>
                <w:color w:val="000000"/>
                <w:sz w:val="16"/>
                <w:szCs w:val="16"/>
              </w:rPr>
              <w:t>)</w:t>
            </w:r>
          </w:p>
        </w:tc>
        <w:tc>
          <w:tcPr>
            <w:tcW w:w="3390" w:type="dxa"/>
            <w:tcBorders>
              <w:top w:val="nil"/>
              <w:left w:val="nil"/>
              <w:bottom w:val="single" w:sz="4" w:space="0" w:color="auto"/>
              <w:right w:val="single" w:sz="4" w:space="0" w:color="auto"/>
            </w:tcBorders>
            <w:shd w:val="clear" w:color="auto" w:fill="auto"/>
            <w:vAlign w:val="center"/>
            <w:hideMark/>
          </w:tcPr>
          <w:p w14:paraId="3AF9FB5D" w14:textId="77777777" w:rsidR="00FF5FCD" w:rsidRPr="00B23FF8" w:rsidRDefault="00FF5FCD" w:rsidP="00FF5FCD">
            <w:pPr>
              <w:spacing w:line="240" w:lineRule="auto"/>
              <w:jc w:val="center"/>
              <w:rPr>
                <w:rFonts w:eastAsia="Times New Roman"/>
                <w:color w:val="000000"/>
                <w:sz w:val="16"/>
                <w:szCs w:val="16"/>
              </w:rPr>
            </w:pPr>
            <w:r w:rsidRPr="00B23FF8">
              <w:rPr>
                <w:rFonts w:eastAsia="Times New Roman"/>
                <w:color w:val="000000"/>
                <w:sz w:val="16"/>
                <w:szCs w:val="16"/>
              </w:rPr>
              <w:t>An abstraction here is that this representation is relatively 'binary' either the cell is uninfected and Amphotericin B remains on the membrane or it is infected in which case the Amphotericin B switches to the parasite, however this does not fully account for other factors such as parasite density within infected cells</w:t>
            </w:r>
          </w:p>
        </w:tc>
        <w:tc>
          <w:tcPr>
            <w:tcW w:w="3391" w:type="dxa"/>
            <w:tcBorders>
              <w:top w:val="nil"/>
              <w:left w:val="nil"/>
              <w:bottom w:val="single" w:sz="4" w:space="0" w:color="auto"/>
              <w:right w:val="single" w:sz="4" w:space="0" w:color="auto"/>
            </w:tcBorders>
            <w:shd w:val="clear" w:color="auto" w:fill="auto"/>
            <w:vAlign w:val="center"/>
            <w:hideMark/>
          </w:tcPr>
          <w:p w14:paraId="232CEC57" w14:textId="77777777" w:rsidR="00FF5FCD" w:rsidRPr="00B23FF8" w:rsidRDefault="00FF5FCD" w:rsidP="00FF5FCD">
            <w:pPr>
              <w:spacing w:line="240" w:lineRule="auto"/>
              <w:jc w:val="center"/>
              <w:rPr>
                <w:rFonts w:eastAsia="Times New Roman"/>
                <w:color w:val="000000"/>
                <w:sz w:val="16"/>
                <w:szCs w:val="16"/>
              </w:rPr>
            </w:pPr>
            <w:r w:rsidRPr="00B23FF8">
              <w:rPr>
                <w:rFonts w:eastAsia="Times New Roman"/>
                <w:color w:val="000000"/>
                <w:sz w:val="16"/>
                <w:szCs w:val="16"/>
              </w:rPr>
              <w:t xml:space="preserve">There is no representation of 'membrane bound' AmB for either T cells, myeloid cells or </w:t>
            </w:r>
            <w:r w:rsidRPr="00B23FF8">
              <w:rPr>
                <w:rFonts w:eastAsia="Times New Roman"/>
                <w:i/>
                <w:iCs/>
                <w:color w:val="000000"/>
                <w:sz w:val="16"/>
                <w:szCs w:val="16"/>
              </w:rPr>
              <w:t xml:space="preserve">L. donovani </w:t>
            </w:r>
            <w:r w:rsidRPr="00B23FF8">
              <w:rPr>
                <w:rFonts w:eastAsia="Times New Roman"/>
                <w:color w:val="000000"/>
                <w:sz w:val="16"/>
                <w:szCs w:val="16"/>
              </w:rPr>
              <w:t xml:space="preserve">instead this is abstracted such that AmB that is associated with myeloid cells can contribute towards the killing of the intracellular </w:t>
            </w:r>
            <w:r w:rsidRPr="00B23FF8">
              <w:rPr>
                <w:rFonts w:eastAsia="Times New Roman"/>
                <w:i/>
                <w:iCs/>
                <w:color w:val="000000"/>
                <w:sz w:val="16"/>
                <w:szCs w:val="16"/>
              </w:rPr>
              <w:t>L. donovani</w:t>
            </w:r>
            <w:r w:rsidRPr="00B23FF8">
              <w:rPr>
                <w:rFonts w:eastAsia="Times New Roman"/>
                <w:color w:val="000000"/>
                <w:sz w:val="16"/>
                <w:szCs w:val="16"/>
              </w:rPr>
              <w:t xml:space="preserve"> population (</w:t>
            </w:r>
            <w:r w:rsidRPr="00B23FF8">
              <w:rPr>
                <w:rFonts w:eastAsia="Times New Roman"/>
                <w:b/>
                <w:bCs/>
                <w:color w:val="000000"/>
                <w:sz w:val="16"/>
                <w:szCs w:val="16"/>
              </w:rPr>
              <w:t>Figure 5.15</w:t>
            </w:r>
            <w:r w:rsidRPr="00B23FF8">
              <w:rPr>
                <w:rFonts w:eastAsia="Times New Roman"/>
                <w:color w:val="000000"/>
                <w:sz w:val="16"/>
                <w:szCs w:val="16"/>
              </w:rPr>
              <w:t>)</w:t>
            </w:r>
          </w:p>
        </w:tc>
        <w:tc>
          <w:tcPr>
            <w:tcW w:w="3391" w:type="dxa"/>
            <w:vMerge/>
            <w:tcBorders>
              <w:top w:val="nil"/>
              <w:left w:val="single" w:sz="4" w:space="0" w:color="auto"/>
              <w:bottom w:val="single" w:sz="4" w:space="0" w:color="000000"/>
              <w:right w:val="single" w:sz="4" w:space="0" w:color="auto"/>
            </w:tcBorders>
            <w:shd w:val="clear" w:color="auto" w:fill="auto"/>
            <w:vAlign w:val="center"/>
            <w:hideMark/>
          </w:tcPr>
          <w:p w14:paraId="0D737902" w14:textId="77777777" w:rsidR="00FF5FCD" w:rsidRPr="00B23FF8" w:rsidRDefault="00FF5FCD" w:rsidP="00FF5FCD">
            <w:pPr>
              <w:spacing w:line="240" w:lineRule="auto"/>
              <w:rPr>
                <w:rFonts w:eastAsia="Times New Roman"/>
                <w:i/>
                <w:iCs/>
                <w:color w:val="000000"/>
                <w:sz w:val="16"/>
                <w:szCs w:val="16"/>
              </w:rPr>
            </w:pPr>
          </w:p>
        </w:tc>
      </w:tr>
      <w:tr w:rsidR="00FF5FCD" w:rsidRPr="00FF5FCD" w14:paraId="63677412" w14:textId="77777777" w:rsidTr="00F7425F">
        <w:trPr>
          <w:trHeight w:val="2641"/>
        </w:trPr>
        <w:tc>
          <w:tcPr>
            <w:tcW w:w="1129" w:type="dxa"/>
            <w:tcBorders>
              <w:top w:val="nil"/>
              <w:left w:val="single" w:sz="4" w:space="0" w:color="auto"/>
              <w:bottom w:val="single" w:sz="4" w:space="0" w:color="auto"/>
              <w:right w:val="single" w:sz="4" w:space="0" w:color="auto"/>
            </w:tcBorders>
            <w:shd w:val="clear" w:color="auto" w:fill="auto"/>
            <w:vAlign w:val="center"/>
            <w:hideMark/>
          </w:tcPr>
          <w:p w14:paraId="7747B578" w14:textId="77777777" w:rsidR="00FF5FCD" w:rsidRPr="00B23FF8" w:rsidRDefault="00FF5FCD" w:rsidP="00FF5FCD">
            <w:pPr>
              <w:spacing w:line="240" w:lineRule="auto"/>
              <w:jc w:val="center"/>
              <w:rPr>
                <w:rFonts w:eastAsia="Times New Roman"/>
                <w:color w:val="000000"/>
                <w:sz w:val="16"/>
                <w:szCs w:val="16"/>
              </w:rPr>
            </w:pPr>
            <w:r w:rsidRPr="00B23FF8">
              <w:rPr>
                <w:rFonts w:eastAsia="Times New Roman"/>
                <w:color w:val="000000"/>
                <w:sz w:val="16"/>
                <w:szCs w:val="16"/>
              </w:rPr>
              <w:t xml:space="preserve">Amphotericin B can kill </w:t>
            </w:r>
            <w:r w:rsidRPr="00B23FF8">
              <w:rPr>
                <w:rFonts w:eastAsia="Times New Roman"/>
                <w:i/>
                <w:iCs/>
                <w:color w:val="000000"/>
                <w:sz w:val="16"/>
                <w:szCs w:val="16"/>
              </w:rPr>
              <w:t>L. donovani</w:t>
            </w:r>
            <w:r w:rsidRPr="00B23FF8">
              <w:rPr>
                <w:rFonts w:eastAsia="Times New Roman"/>
                <w:color w:val="000000"/>
                <w:sz w:val="16"/>
                <w:szCs w:val="16"/>
              </w:rPr>
              <w:t xml:space="preserve"> </w:t>
            </w:r>
          </w:p>
        </w:tc>
        <w:tc>
          <w:tcPr>
            <w:tcW w:w="1418" w:type="dxa"/>
            <w:tcBorders>
              <w:top w:val="nil"/>
              <w:left w:val="nil"/>
              <w:bottom w:val="single" w:sz="4" w:space="0" w:color="auto"/>
              <w:right w:val="single" w:sz="4" w:space="0" w:color="auto"/>
            </w:tcBorders>
            <w:shd w:val="clear" w:color="auto" w:fill="auto"/>
            <w:vAlign w:val="center"/>
            <w:hideMark/>
          </w:tcPr>
          <w:p w14:paraId="1509B0CF" w14:textId="77777777" w:rsidR="00FF5FCD" w:rsidRPr="00B23FF8" w:rsidRDefault="00FF5FCD" w:rsidP="00FF5FCD">
            <w:pPr>
              <w:spacing w:line="240" w:lineRule="auto"/>
              <w:jc w:val="center"/>
              <w:rPr>
                <w:rFonts w:eastAsia="Times New Roman"/>
                <w:i/>
                <w:iCs/>
                <w:sz w:val="16"/>
                <w:szCs w:val="16"/>
              </w:rPr>
            </w:pPr>
            <w:r w:rsidRPr="00B23FF8">
              <w:rPr>
                <w:rFonts w:eastAsia="Times New Roman"/>
                <w:i/>
                <w:iCs/>
                <w:sz w:val="16"/>
                <w:szCs w:val="16"/>
              </w:rPr>
              <w:t>Common Knowledge in the field</w:t>
            </w:r>
          </w:p>
        </w:tc>
        <w:tc>
          <w:tcPr>
            <w:tcW w:w="1843" w:type="dxa"/>
            <w:tcBorders>
              <w:top w:val="nil"/>
              <w:left w:val="nil"/>
              <w:bottom w:val="single" w:sz="4" w:space="0" w:color="auto"/>
              <w:right w:val="single" w:sz="4" w:space="0" w:color="auto"/>
            </w:tcBorders>
            <w:shd w:val="clear" w:color="auto" w:fill="auto"/>
            <w:vAlign w:val="center"/>
            <w:hideMark/>
          </w:tcPr>
          <w:p w14:paraId="2FD0C48D" w14:textId="77777777" w:rsidR="00FF5FCD" w:rsidRPr="00B23FF8" w:rsidRDefault="00FF5FCD" w:rsidP="00FF5FCD">
            <w:pPr>
              <w:spacing w:line="240" w:lineRule="auto"/>
              <w:jc w:val="center"/>
              <w:rPr>
                <w:rFonts w:eastAsia="Times New Roman"/>
                <w:color w:val="000000"/>
                <w:sz w:val="16"/>
                <w:szCs w:val="16"/>
              </w:rPr>
            </w:pPr>
            <w:r w:rsidRPr="00B23FF8">
              <w:rPr>
                <w:rFonts w:eastAsia="Times New Roman"/>
                <w:color w:val="000000"/>
                <w:sz w:val="16"/>
                <w:szCs w:val="16"/>
              </w:rPr>
              <w:t>Amphotericin B binds parasite membranes and is released from the subsequent leishmanial fractions (</w:t>
            </w:r>
            <w:r w:rsidRPr="00B23FF8">
              <w:rPr>
                <w:rFonts w:eastAsia="Times New Roman"/>
                <w:b/>
                <w:bCs/>
                <w:color w:val="000000"/>
                <w:sz w:val="16"/>
                <w:szCs w:val="16"/>
              </w:rPr>
              <w:t>Figure 5.11</w:t>
            </w:r>
            <w:r w:rsidRPr="00B23FF8">
              <w:rPr>
                <w:rFonts w:eastAsia="Times New Roman"/>
                <w:color w:val="000000"/>
                <w:sz w:val="16"/>
                <w:szCs w:val="16"/>
              </w:rPr>
              <w:t>)</w:t>
            </w:r>
          </w:p>
        </w:tc>
        <w:tc>
          <w:tcPr>
            <w:tcW w:w="3390" w:type="dxa"/>
            <w:tcBorders>
              <w:top w:val="nil"/>
              <w:left w:val="nil"/>
              <w:bottom w:val="single" w:sz="4" w:space="0" w:color="auto"/>
              <w:right w:val="single" w:sz="4" w:space="0" w:color="auto"/>
            </w:tcBorders>
            <w:shd w:val="clear" w:color="auto" w:fill="auto"/>
            <w:vAlign w:val="center"/>
            <w:hideMark/>
          </w:tcPr>
          <w:p w14:paraId="77111668" w14:textId="77777777" w:rsidR="00FF5FCD" w:rsidRPr="00B23FF8" w:rsidRDefault="00FF5FCD" w:rsidP="00FF5FCD">
            <w:pPr>
              <w:spacing w:line="240" w:lineRule="auto"/>
              <w:jc w:val="center"/>
              <w:rPr>
                <w:rFonts w:eastAsia="Times New Roman"/>
                <w:color w:val="000000"/>
                <w:sz w:val="16"/>
                <w:szCs w:val="16"/>
              </w:rPr>
            </w:pPr>
            <w:r w:rsidRPr="00B23FF8">
              <w:rPr>
                <w:rFonts w:eastAsia="Times New Roman"/>
                <w:color w:val="000000"/>
                <w:sz w:val="16"/>
                <w:szCs w:val="16"/>
              </w:rPr>
              <w:t xml:space="preserve">Here the assumption is that the death of </w:t>
            </w:r>
            <w:r w:rsidRPr="00B23FF8">
              <w:rPr>
                <w:rFonts w:eastAsia="Times New Roman"/>
                <w:i/>
                <w:iCs/>
                <w:color w:val="000000"/>
                <w:sz w:val="16"/>
                <w:szCs w:val="16"/>
              </w:rPr>
              <w:t>L. donovani</w:t>
            </w:r>
            <w:r w:rsidRPr="00B23FF8">
              <w:rPr>
                <w:rFonts w:eastAsia="Times New Roman"/>
                <w:color w:val="000000"/>
                <w:sz w:val="16"/>
                <w:szCs w:val="16"/>
              </w:rPr>
              <w:t xml:space="preserve"> is mediated directly through the action of Amphotricin B and there is no immunomodulation mediated by Amphotericin B</w:t>
            </w:r>
          </w:p>
        </w:tc>
        <w:tc>
          <w:tcPr>
            <w:tcW w:w="3391" w:type="dxa"/>
            <w:tcBorders>
              <w:top w:val="nil"/>
              <w:left w:val="nil"/>
              <w:bottom w:val="single" w:sz="4" w:space="0" w:color="auto"/>
              <w:right w:val="single" w:sz="4" w:space="0" w:color="auto"/>
            </w:tcBorders>
            <w:shd w:val="clear" w:color="auto" w:fill="auto"/>
            <w:vAlign w:val="center"/>
            <w:hideMark/>
          </w:tcPr>
          <w:p w14:paraId="65959508" w14:textId="77777777" w:rsidR="00FF5FCD" w:rsidRPr="00B23FF8" w:rsidRDefault="00FF5FCD" w:rsidP="00FF5FCD">
            <w:pPr>
              <w:spacing w:line="240" w:lineRule="auto"/>
              <w:jc w:val="center"/>
              <w:rPr>
                <w:rFonts w:eastAsia="Times New Roman"/>
                <w:color w:val="000000"/>
                <w:sz w:val="16"/>
                <w:szCs w:val="16"/>
              </w:rPr>
            </w:pPr>
            <w:r w:rsidRPr="00B23FF8">
              <w:rPr>
                <w:rFonts w:eastAsia="Times New Roman"/>
                <w:color w:val="000000"/>
                <w:sz w:val="16"/>
                <w:szCs w:val="16"/>
              </w:rPr>
              <w:t xml:space="preserve">AmB within the platform can kil both both intracellular and extracellular </w:t>
            </w:r>
            <w:r w:rsidRPr="00B23FF8">
              <w:rPr>
                <w:rFonts w:eastAsia="Times New Roman"/>
                <w:i/>
                <w:iCs/>
                <w:color w:val="000000"/>
                <w:sz w:val="16"/>
                <w:szCs w:val="16"/>
              </w:rPr>
              <w:t>L. donovani</w:t>
            </w:r>
            <w:r w:rsidRPr="00B23FF8">
              <w:rPr>
                <w:rFonts w:eastAsia="Times New Roman"/>
                <w:color w:val="000000"/>
                <w:sz w:val="16"/>
                <w:szCs w:val="16"/>
              </w:rPr>
              <w:t xml:space="preserve"> in a dose-dependent manner (</w:t>
            </w:r>
            <w:r w:rsidRPr="00B23FF8">
              <w:rPr>
                <w:rFonts w:eastAsia="Times New Roman"/>
                <w:b/>
                <w:bCs/>
                <w:color w:val="000000"/>
                <w:sz w:val="16"/>
                <w:szCs w:val="16"/>
              </w:rPr>
              <w:t>Figure 5.15</w:t>
            </w:r>
            <w:r w:rsidRPr="00B23FF8">
              <w:rPr>
                <w:rFonts w:eastAsia="Times New Roman"/>
                <w:color w:val="000000"/>
                <w:sz w:val="16"/>
                <w:szCs w:val="16"/>
              </w:rPr>
              <w:t>)</w:t>
            </w:r>
          </w:p>
        </w:tc>
        <w:tc>
          <w:tcPr>
            <w:tcW w:w="3391" w:type="dxa"/>
            <w:tcBorders>
              <w:top w:val="nil"/>
              <w:left w:val="nil"/>
              <w:bottom w:val="single" w:sz="4" w:space="0" w:color="auto"/>
              <w:right w:val="single" w:sz="4" w:space="0" w:color="auto"/>
            </w:tcBorders>
            <w:shd w:val="clear" w:color="auto" w:fill="auto"/>
            <w:vAlign w:val="center"/>
            <w:hideMark/>
          </w:tcPr>
          <w:p w14:paraId="36833A7C" w14:textId="77777777" w:rsidR="00FF5FCD" w:rsidRPr="00B23FF8" w:rsidRDefault="00FF5FCD" w:rsidP="00FF5FCD">
            <w:pPr>
              <w:spacing w:line="240" w:lineRule="auto"/>
              <w:jc w:val="center"/>
              <w:rPr>
                <w:rFonts w:eastAsia="Times New Roman"/>
                <w:color w:val="000000"/>
                <w:sz w:val="16"/>
                <w:szCs w:val="16"/>
              </w:rPr>
            </w:pPr>
            <w:r w:rsidRPr="00B23FF8">
              <w:rPr>
                <w:rFonts w:eastAsia="Times New Roman"/>
                <w:i/>
                <w:iCs/>
                <w:color w:val="000000"/>
                <w:sz w:val="16"/>
                <w:szCs w:val="16"/>
              </w:rPr>
              <w:t xml:space="preserve">AmB induced death of intracellular </w:t>
            </w:r>
            <w:r w:rsidRPr="00B23FF8">
              <w:rPr>
                <w:rFonts w:eastAsia="Times New Roman"/>
                <w:color w:val="000000"/>
                <w:sz w:val="16"/>
                <w:szCs w:val="16"/>
              </w:rPr>
              <w:t xml:space="preserve">L. donovani: </w:t>
            </w:r>
            <w:r w:rsidRPr="00B23FF8">
              <w:rPr>
                <w:rFonts w:eastAsia="Times New Roman"/>
                <w:i/>
                <w:iCs/>
                <w:color w:val="000000"/>
                <w:sz w:val="16"/>
                <w:szCs w:val="16"/>
              </w:rPr>
              <w:t>-(L/(b + L)) x P</w:t>
            </w:r>
            <w:r w:rsidRPr="00B23FF8">
              <w:rPr>
                <w:rFonts w:eastAsia="Times New Roman"/>
                <w:i/>
                <w:iCs/>
                <w:color w:val="000000"/>
                <w:sz w:val="16"/>
                <w:szCs w:val="16"/>
                <w:vertAlign w:val="subscript"/>
              </w:rPr>
              <w:t>e</w:t>
            </w:r>
            <w:r w:rsidRPr="00B23FF8">
              <w:rPr>
                <w:rFonts w:eastAsia="Times New Roman"/>
                <w:i/>
                <w:iCs/>
                <w:color w:val="000000"/>
                <w:sz w:val="16"/>
                <w:szCs w:val="16"/>
              </w:rPr>
              <w:br/>
              <w:t xml:space="preserve">AmB induced death of extracellular </w:t>
            </w:r>
            <w:r w:rsidRPr="00B23FF8">
              <w:rPr>
                <w:rFonts w:eastAsia="Times New Roman"/>
                <w:color w:val="000000"/>
                <w:sz w:val="16"/>
                <w:szCs w:val="16"/>
              </w:rPr>
              <w:t xml:space="preserve">L. donovani: </w:t>
            </w:r>
            <w:r w:rsidRPr="00B23FF8">
              <w:rPr>
                <w:rFonts w:eastAsia="Times New Roman"/>
                <w:i/>
                <w:iCs/>
                <w:color w:val="000000"/>
                <w:sz w:val="16"/>
                <w:szCs w:val="16"/>
              </w:rPr>
              <w:t>-(M</w:t>
            </w:r>
            <w:r w:rsidRPr="00B23FF8">
              <w:rPr>
                <w:rFonts w:eastAsia="Times New Roman"/>
                <w:i/>
                <w:iCs/>
                <w:color w:val="000000"/>
                <w:sz w:val="16"/>
                <w:szCs w:val="16"/>
                <w:vertAlign w:val="subscript"/>
              </w:rPr>
              <w:t>a</w:t>
            </w:r>
            <w:r w:rsidRPr="00B23FF8">
              <w:rPr>
                <w:rFonts w:eastAsia="Times New Roman"/>
                <w:i/>
                <w:iCs/>
                <w:color w:val="000000"/>
                <w:sz w:val="16"/>
                <w:szCs w:val="16"/>
              </w:rPr>
              <w:t>/(d + M</w:t>
            </w:r>
            <w:r w:rsidRPr="00B23FF8">
              <w:rPr>
                <w:rFonts w:eastAsia="Times New Roman"/>
                <w:i/>
                <w:iCs/>
                <w:color w:val="000000"/>
                <w:sz w:val="16"/>
                <w:szCs w:val="16"/>
                <w:vertAlign w:val="subscript"/>
              </w:rPr>
              <w:t>a</w:t>
            </w:r>
            <w:r w:rsidRPr="00B23FF8">
              <w:rPr>
                <w:rFonts w:eastAsia="Times New Roman"/>
                <w:i/>
                <w:iCs/>
                <w:color w:val="000000"/>
                <w:sz w:val="16"/>
                <w:szCs w:val="16"/>
              </w:rPr>
              <w:t>)) x P</w:t>
            </w:r>
            <w:r w:rsidRPr="00B23FF8">
              <w:rPr>
                <w:rFonts w:eastAsia="Times New Roman"/>
                <w:i/>
                <w:iCs/>
                <w:color w:val="000000"/>
                <w:sz w:val="16"/>
                <w:szCs w:val="16"/>
                <w:vertAlign w:val="subscript"/>
              </w:rPr>
              <w:t>i</w:t>
            </w:r>
            <w:r w:rsidRPr="00B23FF8">
              <w:rPr>
                <w:rFonts w:eastAsia="Times New Roman"/>
                <w:i/>
                <w:iCs/>
                <w:color w:val="000000"/>
                <w:sz w:val="16"/>
                <w:szCs w:val="16"/>
                <w:vertAlign w:val="subscript"/>
              </w:rPr>
              <w:br/>
            </w:r>
            <w:r w:rsidRPr="00B23FF8">
              <w:rPr>
                <w:rFonts w:eastAsia="Times New Roman"/>
                <w:color w:val="000000"/>
                <w:sz w:val="16"/>
                <w:szCs w:val="16"/>
              </w:rPr>
              <w:t>L = Liver AmB amount</w:t>
            </w:r>
            <w:r w:rsidRPr="00B23FF8">
              <w:rPr>
                <w:rFonts w:eastAsia="Times New Roman"/>
                <w:color w:val="000000"/>
                <w:sz w:val="16"/>
                <w:szCs w:val="16"/>
              </w:rPr>
              <w:br/>
              <w:t xml:space="preserve">b = Amount of AmB required to kill 50% of the extracellular </w:t>
            </w:r>
            <w:r w:rsidRPr="00B23FF8">
              <w:rPr>
                <w:rFonts w:eastAsia="Times New Roman"/>
                <w:i/>
                <w:iCs/>
                <w:color w:val="000000"/>
                <w:sz w:val="16"/>
                <w:szCs w:val="16"/>
              </w:rPr>
              <w:t>L. donovani</w:t>
            </w:r>
            <w:r w:rsidRPr="00B23FF8">
              <w:rPr>
                <w:rFonts w:eastAsia="Times New Roman"/>
                <w:color w:val="000000"/>
                <w:sz w:val="16"/>
                <w:szCs w:val="16"/>
              </w:rPr>
              <w:t xml:space="preserve"> population</w:t>
            </w:r>
            <w:r w:rsidRPr="00B23FF8">
              <w:rPr>
                <w:rFonts w:eastAsia="Times New Roman"/>
                <w:color w:val="000000"/>
                <w:sz w:val="16"/>
                <w:szCs w:val="16"/>
              </w:rPr>
              <w:br/>
              <w:t>P</w:t>
            </w:r>
            <w:r w:rsidRPr="00B23FF8">
              <w:rPr>
                <w:rFonts w:eastAsia="Times New Roman"/>
                <w:color w:val="000000"/>
                <w:sz w:val="16"/>
                <w:szCs w:val="16"/>
                <w:vertAlign w:val="subscript"/>
              </w:rPr>
              <w:t>e</w:t>
            </w:r>
            <w:r w:rsidRPr="00B23FF8">
              <w:rPr>
                <w:rFonts w:eastAsia="Times New Roman"/>
                <w:color w:val="000000"/>
                <w:sz w:val="16"/>
                <w:szCs w:val="16"/>
              </w:rPr>
              <w:t xml:space="preserve"> = Extracellular </w:t>
            </w:r>
            <w:r w:rsidRPr="00B23FF8">
              <w:rPr>
                <w:rFonts w:eastAsia="Times New Roman"/>
                <w:i/>
                <w:iCs/>
                <w:color w:val="000000"/>
                <w:sz w:val="16"/>
                <w:szCs w:val="16"/>
              </w:rPr>
              <w:t>L. donovani</w:t>
            </w:r>
            <w:r w:rsidRPr="00B23FF8">
              <w:rPr>
                <w:rFonts w:eastAsia="Times New Roman"/>
                <w:color w:val="000000"/>
                <w:sz w:val="16"/>
                <w:szCs w:val="16"/>
              </w:rPr>
              <w:t xml:space="preserve"> population</w:t>
            </w:r>
            <w:r w:rsidRPr="00B23FF8">
              <w:rPr>
                <w:rFonts w:eastAsia="Times New Roman"/>
                <w:color w:val="000000"/>
                <w:sz w:val="16"/>
                <w:szCs w:val="16"/>
              </w:rPr>
              <w:br/>
              <w:t>M</w:t>
            </w:r>
            <w:r w:rsidRPr="00B23FF8">
              <w:rPr>
                <w:rFonts w:eastAsia="Times New Roman"/>
                <w:color w:val="000000"/>
                <w:sz w:val="16"/>
                <w:szCs w:val="16"/>
                <w:vertAlign w:val="subscript"/>
              </w:rPr>
              <w:t>a</w:t>
            </w:r>
            <w:r w:rsidRPr="00B23FF8">
              <w:rPr>
                <w:rFonts w:eastAsia="Times New Roman"/>
                <w:color w:val="000000"/>
                <w:sz w:val="16"/>
                <w:szCs w:val="16"/>
              </w:rPr>
              <w:t xml:space="preserve"> = Myeloid Cell AmB Amount</w:t>
            </w:r>
            <w:r w:rsidRPr="00B23FF8">
              <w:rPr>
                <w:rFonts w:eastAsia="Times New Roman"/>
                <w:color w:val="000000"/>
                <w:sz w:val="16"/>
                <w:szCs w:val="16"/>
              </w:rPr>
              <w:br/>
              <w:t xml:space="preserve">d = Amount of AmB required to kill 50% of the intracellular </w:t>
            </w:r>
            <w:r w:rsidRPr="00B23FF8">
              <w:rPr>
                <w:rFonts w:eastAsia="Times New Roman"/>
                <w:i/>
                <w:iCs/>
                <w:color w:val="000000"/>
                <w:sz w:val="16"/>
                <w:szCs w:val="16"/>
              </w:rPr>
              <w:t>L. donovani</w:t>
            </w:r>
            <w:r w:rsidRPr="00B23FF8">
              <w:rPr>
                <w:rFonts w:eastAsia="Times New Roman"/>
                <w:color w:val="000000"/>
                <w:sz w:val="16"/>
                <w:szCs w:val="16"/>
              </w:rPr>
              <w:t xml:space="preserve"> population</w:t>
            </w:r>
            <w:r w:rsidRPr="00B23FF8">
              <w:rPr>
                <w:rFonts w:eastAsia="Times New Roman"/>
                <w:color w:val="000000"/>
                <w:sz w:val="16"/>
                <w:szCs w:val="16"/>
              </w:rPr>
              <w:br/>
              <w:t>P</w:t>
            </w:r>
            <w:r w:rsidRPr="00B23FF8">
              <w:rPr>
                <w:rFonts w:eastAsia="Times New Roman"/>
                <w:color w:val="000000"/>
                <w:sz w:val="16"/>
                <w:szCs w:val="16"/>
                <w:vertAlign w:val="subscript"/>
              </w:rPr>
              <w:t>i</w:t>
            </w:r>
            <w:r w:rsidRPr="00B23FF8">
              <w:rPr>
                <w:rFonts w:eastAsia="Times New Roman"/>
                <w:color w:val="000000"/>
                <w:sz w:val="16"/>
                <w:szCs w:val="16"/>
              </w:rPr>
              <w:t xml:space="preserve"> = Intracellular </w:t>
            </w:r>
            <w:r w:rsidRPr="00B23FF8">
              <w:rPr>
                <w:rFonts w:eastAsia="Times New Roman"/>
                <w:i/>
                <w:iCs/>
                <w:color w:val="000000"/>
                <w:sz w:val="16"/>
                <w:szCs w:val="16"/>
              </w:rPr>
              <w:t>L. donovani</w:t>
            </w:r>
            <w:r w:rsidRPr="00B23FF8">
              <w:rPr>
                <w:rFonts w:eastAsia="Times New Roman"/>
                <w:color w:val="000000"/>
                <w:sz w:val="16"/>
                <w:szCs w:val="16"/>
              </w:rPr>
              <w:t xml:space="preserve"> population</w:t>
            </w:r>
          </w:p>
        </w:tc>
      </w:tr>
    </w:tbl>
    <w:p w14:paraId="7F6C4371" w14:textId="77777777" w:rsidR="00CB207C" w:rsidRPr="00B23FF8" w:rsidRDefault="00CB207C" w:rsidP="00B23FF8">
      <w:pPr>
        <w:tabs>
          <w:tab w:val="left" w:pos="1241"/>
        </w:tabs>
        <w:spacing w:line="360" w:lineRule="auto"/>
        <w:rPr>
          <w:sz w:val="20"/>
          <w:szCs w:val="20"/>
        </w:rPr>
      </w:pPr>
    </w:p>
    <w:p w14:paraId="252C8BB9" w14:textId="372FEC95" w:rsidR="00FF5FCD" w:rsidRPr="00CB207C" w:rsidRDefault="00FF5FCD" w:rsidP="00B23FF8">
      <w:pPr>
        <w:spacing w:line="360" w:lineRule="auto"/>
        <w:sectPr w:rsidR="00FF5FCD" w:rsidRPr="00CB207C" w:rsidSect="00B23FF8">
          <w:pgSz w:w="16840" w:h="11900" w:orient="landscape"/>
          <w:pgMar w:top="851" w:right="1134" w:bottom="2268" w:left="1134" w:header="709" w:footer="709" w:gutter="0"/>
          <w:cols w:space="708"/>
          <w:docGrid w:linePitch="360"/>
        </w:sectPr>
      </w:pPr>
      <w:bookmarkStart w:id="750" w:name="_Toc536814210"/>
      <w:r w:rsidRPr="00B23FF8">
        <w:rPr>
          <w:b/>
          <w:sz w:val="20"/>
          <w:szCs w:val="20"/>
        </w:rPr>
        <w:t xml:space="preserve">Table </w:t>
      </w:r>
      <w:r w:rsidRPr="00B23FF8">
        <w:rPr>
          <w:b/>
          <w:sz w:val="20"/>
          <w:szCs w:val="20"/>
        </w:rPr>
        <w:fldChar w:fldCharType="begin"/>
      </w:r>
      <w:r w:rsidRPr="00B23FF8">
        <w:rPr>
          <w:b/>
          <w:sz w:val="20"/>
          <w:szCs w:val="20"/>
        </w:rPr>
        <w:instrText xml:space="preserve"> STYLEREF 1 \s </w:instrText>
      </w:r>
      <w:r w:rsidRPr="00B23FF8">
        <w:rPr>
          <w:b/>
          <w:sz w:val="20"/>
          <w:szCs w:val="20"/>
        </w:rPr>
        <w:fldChar w:fldCharType="separate"/>
      </w:r>
      <w:r w:rsidRPr="00B23FF8">
        <w:rPr>
          <w:b/>
          <w:noProof/>
          <w:sz w:val="20"/>
          <w:szCs w:val="20"/>
        </w:rPr>
        <w:t>7</w:t>
      </w:r>
      <w:r w:rsidRPr="00B23FF8">
        <w:rPr>
          <w:b/>
          <w:sz w:val="20"/>
          <w:szCs w:val="20"/>
        </w:rPr>
        <w:fldChar w:fldCharType="end"/>
      </w:r>
      <w:r w:rsidRPr="00B23FF8">
        <w:rPr>
          <w:b/>
          <w:sz w:val="20"/>
          <w:szCs w:val="20"/>
        </w:rPr>
        <w:t>.</w:t>
      </w:r>
      <w:r w:rsidRPr="00B23FF8">
        <w:rPr>
          <w:b/>
          <w:sz w:val="20"/>
          <w:szCs w:val="20"/>
        </w:rPr>
        <w:fldChar w:fldCharType="begin"/>
      </w:r>
      <w:r w:rsidRPr="00B23FF8">
        <w:rPr>
          <w:b/>
          <w:sz w:val="20"/>
          <w:szCs w:val="20"/>
        </w:rPr>
        <w:instrText xml:space="preserve"> SEQ Table \* ARABIC \s 1 </w:instrText>
      </w:r>
      <w:r w:rsidRPr="00B23FF8">
        <w:rPr>
          <w:b/>
          <w:sz w:val="20"/>
          <w:szCs w:val="20"/>
        </w:rPr>
        <w:fldChar w:fldCharType="separate"/>
      </w:r>
      <w:r w:rsidRPr="00B23FF8">
        <w:rPr>
          <w:b/>
          <w:noProof/>
          <w:sz w:val="20"/>
          <w:szCs w:val="20"/>
        </w:rPr>
        <w:t>4</w:t>
      </w:r>
      <w:r w:rsidRPr="00B23FF8">
        <w:rPr>
          <w:b/>
          <w:sz w:val="20"/>
          <w:szCs w:val="20"/>
        </w:rPr>
        <w:fldChar w:fldCharType="end"/>
      </w:r>
      <w:r w:rsidRPr="00B23FF8">
        <w:rPr>
          <w:b/>
          <w:sz w:val="20"/>
          <w:szCs w:val="20"/>
        </w:rPr>
        <w:t xml:space="preserve"> - </w:t>
      </w:r>
      <w:r w:rsidRPr="00FF5FCD">
        <w:rPr>
          <w:b/>
          <w:sz w:val="20"/>
          <w:szCs w:val="20"/>
        </w:rPr>
        <w:t>Domain,</w:t>
      </w:r>
      <w:r w:rsidRPr="00A55185">
        <w:rPr>
          <w:b/>
          <w:sz w:val="20"/>
          <w:szCs w:val="20"/>
        </w:rPr>
        <w:t xml:space="preserve"> Platform and Simulation models implemented during the CoSMoS process for the </w:t>
      </w:r>
      <w:r>
        <w:rPr>
          <w:b/>
          <w:sz w:val="20"/>
          <w:szCs w:val="20"/>
        </w:rPr>
        <w:t>pharmacological</w:t>
      </w:r>
      <w:r w:rsidRPr="00A55185">
        <w:rPr>
          <w:b/>
          <w:sz w:val="20"/>
          <w:szCs w:val="20"/>
        </w:rPr>
        <w:t xml:space="preserve"> mathematical model. </w:t>
      </w:r>
      <w:r>
        <w:rPr>
          <w:sz w:val="20"/>
          <w:szCs w:val="20"/>
        </w:rPr>
        <w:t xml:space="preserve">The CoSMoS process was utilised to develop the mathematical model of the sub-tissue distribution of Amphotericin B during infection with </w:t>
      </w:r>
      <w:r>
        <w:rPr>
          <w:i/>
          <w:sz w:val="20"/>
          <w:szCs w:val="20"/>
        </w:rPr>
        <w:t xml:space="preserve">L. donovani </w:t>
      </w:r>
      <w:r>
        <w:rPr>
          <w:sz w:val="20"/>
          <w:szCs w:val="20"/>
        </w:rPr>
        <w:t xml:space="preserve">shown in </w:t>
      </w:r>
      <w:r>
        <w:rPr>
          <w:sz w:val="20"/>
          <w:szCs w:val="20"/>
        </w:rPr>
        <w:fldChar w:fldCharType="begin"/>
      </w:r>
      <w:r>
        <w:rPr>
          <w:sz w:val="20"/>
          <w:szCs w:val="20"/>
        </w:rPr>
        <w:instrText xml:space="preserve"> REF _Ref536814010 \h  \* MERGEFORMAT </w:instrText>
      </w:r>
      <w:r>
        <w:rPr>
          <w:sz w:val="20"/>
          <w:szCs w:val="20"/>
        </w:rPr>
      </w:r>
      <w:r>
        <w:rPr>
          <w:sz w:val="20"/>
          <w:szCs w:val="20"/>
        </w:rPr>
        <w:fldChar w:fldCharType="separate"/>
      </w:r>
      <w:r w:rsidRPr="004C1FDD">
        <w:rPr>
          <w:b/>
          <w:sz w:val="20"/>
          <w:szCs w:val="20"/>
        </w:rPr>
        <w:t xml:space="preserve">Figure </w:t>
      </w:r>
      <w:r>
        <w:rPr>
          <w:b/>
          <w:noProof/>
          <w:sz w:val="20"/>
          <w:szCs w:val="20"/>
        </w:rPr>
        <w:t>5</w:t>
      </w:r>
      <w:r>
        <w:rPr>
          <w:b/>
          <w:sz w:val="20"/>
          <w:szCs w:val="20"/>
        </w:rPr>
        <w:t>.</w:t>
      </w:r>
      <w:r>
        <w:rPr>
          <w:b/>
          <w:noProof/>
          <w:sz w:val="20"/>
          <w:szCs w:val="20"/>
        </w:rPr>
        <w:t>16</w:t>
      </w:r>
      <w:r>
        <w:rPr>
          <w:sz w:val="20"/>
          <w:szCs w:val="20"/>
        </w:rPr>
        <w:fldChar w:fldCharType="end"/>
      </w:r>
      <w:r>
        <w:rPr>
          <w:sz w:val="20"/>
          <w:szCs w:val="20"/>
        </w:rPr>
        <w:t>. The statements describing biological phenomena alongside their evidence are shown, followed by the domain, platform and simulation implementations.</w:t>
      </w:r>
      <w:bookmarkEnd w:id="750"/>
    </w:p>
    <w:p w14:paraId="2EDA244E" w14:textId="211BE7FA" w:rsidR="00713C98" w:rsidRPr="008B3AD6" w:rsidRDefault="007F39D6" w:rsidP="00CB207C">
      <w:pPr>
        <w:pStyle w:val="Heading1"/>
        <w:numPr>
          <w:ilvl w:val="0"/>
          <w:numId w:val="0"/>
        </w:numPr>
      </w:pPr>
      <w:bookmarkStart w:id="751" w:name="_Toc3716131"/>
      <w:r>
        <w:lastRenderedPageBreak/>
        <w:t>Abbreviations</w:t>
      </w:r>
      <w:bookmarkEnd w:id="751"/>
    </w:p>
    <w:tbl>
      <w:tblPr>
        <w:tblStyle w:val="TableGrid"/>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26"/>
        <w:gridCol w:w="7087"/>
      </w:tblGrid>
      <w:tr w:rsidR="009625EF" w:rsidRPr="0066379B" w14:paraId="4DECFB3D" w14:textId="77777777" w:rsidTr="0066379B">
        <w:trPr>
          <w:trHeight w:val="255"/>
        </w:trPr>
        <w:tc>
          <w:tcPr>
            <w:tcW w:w="1526" w:type="dxa"/>
            <w:tcBorders>
              <w:top w:val="single" w:sz="18" w:space="0" w:color="FFFFFF" w:themeColor="background1"/>
              <w:bottom w:val="single" w:sz="18" w:space="0" w:color="FFFFFF" w:themeColor="background1"/>
              <w:right w:val="single" w:sz="4" w:space="0" w:color="auto"/>
            </w:tcBorders>
            <w:noWrap/>
            <w:hideMark/>
          </w:tcPr>
          <w:p w14:paraId="3FF3E25D" w14:textId="77777777" w:rsidR="009625EF" w:rsidRPr="0066379B" w:rsidRDefault="009625EF" w:rsidP="0066379B">
            <w:pPr>
              <w:spacing w:line="240" w:lineRule="auto"/>
              <w:jc w:val="right"/>
              <w:rPr>
                <w:rFonts w:eastAsia="Times New Roman"/>
                <w:color w:val="000000"/>
              </w:rPr>
            </w:pPr>
            <w:r w:rsidRPr="0066379B">
              <w:rPr>
                <w:rFonts w:eastAsia="Times New Roman"/>
                <w:color w:val="000000"/>
              </w:rPr>
              <w:t>ABC</w:t>
            </w:r>
          </w:p>
        </w:tc>
        <w:tc>
          <w:tcPr>
            <w:tcW w:w="7087" w:type="dxa"/>
            <w:tcBorders>
              <w:top w:val="single" w:sz="18" w:space="0" w:color="FFFFFF" w:themeColor="background1"/>
              <w:left w:val="single" w:sz="4" w:space="0" w:color="auto"/>
              <w:bottom w:val="single" w:sz="18" w:space="0" w:color="FFFFFF" w:themeColor="background1"/>
            </w:tcBorders>
            <w:noWrap/>
            <w:hideMark/>
          </w:tcPr>
          <w:p w14:paraId="0A3FD577" w14:textId="1E9A8DC5" w:rsidR="009625EF" w:rsidRPr="0066379B" w:rsidRDefault="009625EF" w:rsidP="009625EF">
            <w:pPr>
              <w:spacing w:line="240" w:lineRule="auto"/>
              <w:rPr>
                <w:rFonts w:eastAsia="Times New Roman"/>
                <w:color w:val="000000"/>
              </w:rPr>
            </w:pPr>
            <w:r w:rsidRPr="0066379B">
              <w:rPr>
                <w:rFonts w:eastAsia="Times New Roman"/>
                <w:color w:val="000000"/>
              </w:rPr>
              <w:t>Approximate Bayesian Computation</w:t>
            </w:r>
          </w:p>
        </w:tc>
      </w:tr>
      <w:tr w:rsidR="009625EF" w:rsidRPr="0066379B" w14:paraId="12538396" w14:textId="77777777" w:rsidTr="0066379B">
        <w:trPr>
          <w:trHeight w:val="255"/>
        </w:trPr>
        <w:tc>
          <w:tcPr>
            <w:tcW w:w="1526" w:type="dxa"/>
            <w:tcBorders>
              <w:top w:val="single" w:sz="18" w:space="0" w:color="FFFFFF" w:themeColor="background1"/>
              <w:bottom w:val="single" w:sz="18" w:space="0" w:color="FFFFFF" w:themeColor="background1"/>
              <w:right w:val="single" w:sz="4" w:space="0" w:color="auto"/>
            </w:tcBorders>
            <w:noWrap/>
            <w:hideMark/>
          </w:tcPr>
          <w:p w14:paraId="176F382B" w14:textId="77777777" w:rsidR="009625EF" w:rsidRPr="0066379B" w:rsidRDefault="009625EF" w:rsidP="0066379B">
            <w:pPr>
              <w:spacing w:line="240" w:lineRule="auto"/>
              <w:jc w:val="right"/>
              <w:rPr>
                <w:rFonts w:eastAsia="Times New Roman"/>
                <w:color w:val="000000"/>
              </w:rPr>
            </w:pPr>
            <w:r w:rsidRPr="0066379B">
              <w:rPr>
                <w:rFonts w:eastAsia="Times New Roman"/>
                <w:color w:val="000000"/>
              </w:rPr>
              <w:t>ABM</w:t>
            </w:r>
          </w:p>
        </w:tc>
        <w:tc>
          <w:tcPr>
            <w:tcW w:w="7087" w:type="dxa"/>
            <w:tcBorders>
              <w:top w:val="single" w:sz="18" w:space="0" w:color="FFFFFF" w:themeColor="background1"/>
              <w:left w:val="single" w:sz="4" w:space="0" w:color="auto"/>
              <w:bottom w:val="single" w:sz="18" w:space="0" w:color="FFFFFF" w:themeColor="background1"/>
            </w:tcBorders>
            <w:noWrap/>
            <w:hideMark/>
          </w:tcPr>
          <w:p w14:paraId="20CA7768" w14:textId="3537E560" w:rsidR="009625EF" w:rsidRPr="0066379B" w:rsidRDefault="009625EF" w:rsidP="009625EF">
            <w:pPr>
              <w:spacing w:line="240" w:lineRule="auto"/>
              <w:rPr>
                <w:rFonts w:eastAsia="Times New Roman"/>
                <w:color w:val="000000"/>
              </w:rPr>
            </w:pPr>
            <w:r w:rsidRPr="0066379B">
              <w:rPr>
                <w:rFonts w:eastAsia="Times New Roman"/>
                <w:color w:val="000000"/>
              </w:rPr>
              <w:t>Agent Based Model</w:t>
            </w:r>
          </w:p>
        </w:tc>
      </w:tr>
      <w:tr w:rsidR="009625EF" w:rsidRPr="0066379B" w14:paraId="6DD98F10" w14:textId="77777777" w:rsidTr="0066379B">
        <w:trPr>
          <w:trHeight w:val="255"/>
        </w:trPr>
        <w:tc>
          <w:tcPr>
            <w:tcW w:w="1526" w:type="dxa"/>
            <w:tcBorders>
              <w:top w:val="single" w:sz="18" w:space="0" w:color="FFFFFF" w:themeColor="background1"/>
              <w:bottom w:val="single" w:sz="18" w:space="0" w:color="FFFFFF" w:themeColor="background1"/>
              <w:right w:val="single" w:sz="4" w:space="0" w:color="auto"/>
            </w:tcBorders>
            <w:noWrap/>
            <w:hideMark/>
          </w:tcPr>
          <w:p w14:paraId="28EBCAD0" w14:textId="77777777" w:rsidR="009625EF" w:rsidRPr="0066379B" w:rsidRDefault="009625EF" w:rsidP="0066379B">
            <w:pPr>
              <w:spacing w:line="240" w:lineRule="auto"/>
              <w:jc w:val="right"/>
              <w:rPr>
                <w:rFonts w:eastAsia="Times New Roman"/>
                <w:color w:val="000000"/>
              </w:rPr>
            </w:pPr>
            <w:r w:rsidRPr="0066379B">
              <w:rPr>
                <w:rFonts w:eastAsia="Times New Roman"/>
                <w:color w:val="000000"/>
              </w:rPr>
              <w:t>AmB</w:t>
            </w:r>
          </w:p>
        </w:tc>
        <w:tc>
          <w:tcPr>
            <w:tcW w:w="7087" w:type="dxa"/>
            <w:tcBorders>
              <w:top w:val="single" w:sz="18" w:space="0" w:color="FFFFFF" w:themeColor="background1"/>
              <w:left w:val="single" w:sz="4" w:space="0" w:color="auto"/>
              <w:bottom w:val="single" w:sz="18" w:space="0" w:color="FFFFFF" w:themeColor="background1"/>
            </w:tcBorders>
            <w:noWrap/>
            <w:hideMark/>
          </w:tcPr>
          <w:p w14:paraId="78D065AD" w14:textId="77777777" w:rsidR="009625EF" w:rsidRPr="0066379B" w:rsidRDefault="009625EF" w:rsidP="009625EF">
            <w:pPr>
              <w:spacing w:line="240" w:lineRule="auto"/>
              <w:rPr>
                <w:rFonts w:eastAsia="Times New Roman"/>
                <w:color w:val="000000"/>
              </w:rPr>
            </w:pPr>
            <w:r w:rsidRPr="0066379B">
              <w:rPr>
                <w:rFonts w:eastAsia="Times New Roman"/>
                <w:color w:val="000000"/>
              </w:rPr>
              <w:t>Amphotericin B</w:t>
            </w:r>
          </w:p>
        </w:tc>
      </w:tr>
      <w:tr w:rsidR="009625EF" w:rsidRPr="0066379B" w14:paraId="3A491B10" w14:textId="77777777" w:rsidTr="0066379B">
        <w:trPr>
          <w:trHeight w:val="255"/>
        </w:trPr>
        <w:tc>
          <w:tcPr>
            <w:tcW w:w="1526" w:type="dxa"/>
            <w:tcBorders>
              <w:top w:val="single" w:sz="18" w:space="0" w:color="FFFFFF" w:themeColor="background1"/>
              <w:bottom w:val="single" w:sz="18" w:space="0" w:color="FFFFFF" w:themeColor="background1"/>
              <w:right w:val="single" w:sz="4" w:space="0" w:color="auto"/>
            </w:tcBorders>
            <w:noWrap/>
            <w:hideMark/>
          </w:tcPr>
          <w:p w14:paraId="4E524456" w14:textId="2ABCF3EB" w:rsidR="009625EF" w:rsidRPr="0066379B" w:rsidRDefault="009625EF" w:rsidP="0066379B">
            <w:pPr>
              <w:spacing w:line="240" w:lineRule="auto"/>
              <w:jc w:val="right"/>
              <w:rPr>
                <w:rFonts w:eastAsia="Times New Roman"/>
                <w:color w:val="000000"/>
              </w:rPr>
            </w:pPr>
            <w:r w:rsidRPr="0066379B">
              <w:rPr>
                <w:rFonts w:eastAsia="Times New Roman"/>
                <w:color w:val="000000"/>
              </w:rPr>
              <w:t>APC</w:t>
            </w:r>
          </w:p>
        </w:tc>
        <w:tc>
          <w:tcPr>
            <w:tcW w:w="7087" w:type="dxa"/>
            <w:tcBorders>
              <w:top w:val="single" w:sz="18" w:space="0" w:color="FFFFFF" w:themeColor="background1"/>
              <w:left w:val="single" w:sz="4" w:space="0" w:color="auto"/>
              <w:bottom w:val="single" w:sz="18" w:space="0" w:color="FFFFFF" w:themeColor="background1"/>
            </w:tcBorders>
            <w:noWrap/>
            <w:hideMark/>
          </w:tcPr>
          <w:p w14:paraId="451463E5" w14:textId="6673023D" w:rsidR="009625EF" w:rsidRPr="0066379B" w:rsidRDefault="009625EF" w:rsidP="009625EF">
            <w:pPr>
              <w:spacing w:line="240" w:lineRule="auto"/>
              <w:rPr>
                <w:rFonts w:eastAsia="Times New Roman"/>
                <w:color w:val="000000"/>
              </w:rPr>
            </w:pPr>
            <w:r w:rsidRPr="0066379B">
              <w:rPr>
                <w:rFonts w:eastAsia="Times New Roman"/>
                <w:color w:val="000000"/>
              </w:rPr>
              <w:t>Antigen Presenting Cell</w:t>
            </w:r>
          </w:p>
        </w:tc>
      </w:tr>
      <w:tr w:rsidR="009625EF" w:rsidRPr="0066379B" w14:paraId="561002E6" w14:textId="77777777" w:rsidTr="0066379B">
        <w:trPr>
          <w:trHeight w:val="255"/>
        </w:trPr>
        <w:tc>
          <w:tcPr>
            <w:tcW w:w="1526" w:type="dxa"/>
            <w:tcBorders>
              <w:top w:val="single" w:sz="18" w:space="0" w:color="FFFFFF" w:themeColor="background1"/>
              <w:bottom w:val="single" w:sz="18" w:space="0" w:color="FFFFFF" w:themeColor="background1"/>
              <w:right w:val="single" w:sz="4" w:space="0" w:color="auto"/>
            </w:tcBorders>
            <w:noWrap/>
            <w:hideMark/>
          </w:tcPr>
          <w:p w14:paraId="21A00A9C" w14:textId="2DE65A3C" w:rsidR="009625EF" w:rsidRPr="0066379B" w:rsidRDefault="009625EF" w:rsidP="0066379B">
            <w:pPr>
              <w:spacing w:line="240" w:lineRule="auto"/>
              <w:jc w:val="right"/>
              <w:rPr>
                <w:rFonts w:eastAsia="Times New Roman"/>
                <w:color w:val="000000"/>
              </w:rPr>
            </w:pPr>
            <w:r w:rsidRPr="0066379B">
              <w:rPr>
                <w:rFonts w:eastAsia="Times New Roman"/>
                <w:color w:val="000000"/>
              </w:rPr>
              <w:t>B6</w:t>
            </w:r>
          </w:p>
        </w:tc>
        <w:tc>
          <w:tcPr>
            <w:tcW w:w="7087" w:type="dxa"/>
            <w:tcBorders>
              <w:top w:val="single" w:sz="18" w:space="0" w:color="FFFFFF" w:themeColor="background1"/>
              <w:left w:val="single" w:sz="4" w:space="0" w:color="auto"/>
              <w:bottom w:val="single" w:sz="18" w:space="0" w:color="FFFFFF" w:themeColor="background1"/>
            </w:tcBorders>
            <w:noWrap/>
            <w:hideMark/>
          </w:tcPr>
          <w:p w14:paraId="13C3B554" w14:textId="0CD5260E" w:rsidR="009625EF" w:rsidRPr="0066379B" w:rsidRDefault="009625EF" w:rsidP="009625EF">
            <w:pPr>
              <w:spacing w:line="240" w:lineRule="auto"/>
              <w:rPr>
                <w:rFonts w:eastAsia="Times New Roman"/>
                <w:color w:val="000000"/>
              </w:rPr>
            </w:pPr>
            <w:r w:rsidRPr="0066379B">
              <w:rPr>
                <w:rFonts w:eastAsia="Times New Roman"/>
                <w:color w:val="000000"/>
              </w:rPr>
              <w:t>C57bl/6 Mice</w:t>
            </w:r>
          </w:p>
        </w:tc>
      </w:tr>
      <w:tr w:rsidR="009625EF" w:rsidRPr="0066379B" w14:paraId="203C0CAA" w14:textId="77777777" w:rsidTr="0066379B">
        <w:trPr>
          <w:trHeight w:val="255"/>
        </w:trPr>
        <w:tc>
          <w:tcPr>
            <w:tcW w:w="1526" w:type="dxa"/>
            <w:tcBorders>
              <w:top w:val="single" w:sz="18" w:space="0" w:color="FFFFFF" w:themeColor="background1"/>
              <w:bottom w:val="single" w:sz="18" w:space="0" w:color="FFFFFF" w:themeColor="background1"/>
              <w:right w:val="single" w:sz="4" w:space="0" w:color="auto"/>
            </w:tcBorders>
            <w:noWrap/>
            <w:hideMark/>
          </w:tcPr>
          <w:p w14:paraId="3F4C11EA" w14:textId="77777777" w:rsidR="009625EF" w:rsidRPr="0066379B" w:rsidRDefault="009625EF" w:rsidP="0066379B">
            <w:pPr>
              <w:spacing w:line="240" w:lineRule="auto"/>
              <w:jc w:val="right"/>
              <w:rPr>
                <w:rFonts w:eastAsia="Times New Roman"/>
                <w:color w:val="000000"/>
              </w:rPr>
            </w:pPr>
            <w:r w:rsidRPr="0066379B">
              <w:rPr>
                <w:rFonts w:eastAsia="Times New Roman"/>
                <w:color w:val="000000"/>
              </w:rPr>
              <w:t>CCL</w:t>
            </w:r>
          </w:p>
        </w:tc>
        <w:tc>
          <w:tcPr>
            <w:tcW w:w="7087" w:type="dxa"/>
            <w:tcBorders>
              <w:top w:val="single" w:sz="18" w:space="0" w:color="FFFFFF" w:themeColor="background1"/>
              <w:left w:val="single" w:sz="4" w:space="0" w:color="auto"/>
              <w:bottom w:val="single" w:sz="18" w:space="0" w:color="FFFFFF" w:themeColor="background1"/>
            </w:tcBorders>
            <w:noWrap/>
            <w:hideMark/>
          </w:tcPr>
          <w:p w14:paraId="6458081C" w14:textId="7C125E07" w:rsidR="009625EF" w:rsidRPr="0066379B" w:rsidRDefault="009625EF" w:rsidP="009625EF">
            <w:pPr>
              <w:spacing w:line="240" w:lineRule="auto"/>
              <w:rPr>
                <w:rFonts w:eastAsia="Times New Roman"/>
                <w:color w:val="000000"/>
              </w:rPr>
            </w:pPr>
            <w:r w:rsidRPr="0066379B">
              <w:rPr>
                <w:rFonts w:eastAsia="Times New Roman"/>
                <w:color w:val="000000"/>
              </w:rPr>
              <w:t>Chemokine (C-C Motif) Ligand</w:t>
            </w:r>
          </w:p>
        </w:tc>
      </w:tr>
      <w:tr w:rsidR="009625EF" w:rsidRPr="0066379B" w14:paraId="4D876A5E" w14:textId="77777777" w:rsidTr="0066379B">
        <w:trPr>
          <w:trHeight w:val="255"/>
        </w:trPr>
        <w:tc>
          <w:tcPr>
            <w:tcW w:w="1526" w:type="dxa"/>
            <w:tcBorders>
              <w:top w:val="single" w:sz="18" w:space="0" w:color="FFFFFF" w:themeColor="background1"/>
              <w:bottom w:val="single" w:sz="18" w:space="0" w:color="FFFFFF" w:themeColor="background1"/>
              <w:right w:val="single" w:sz="4" w:space="0" w:color="auto"/>
            </w:tcBorders>
            <w:noWrap/>
            <w:hideMark/>
          </w:tcPr>
          <w:p w14:paraId="3ABE9E37" w14:textId="77777777" w:rsidR="009625EF" w:rsidRPr="0066379B" w:rsidRDefault="009625EF" w:rsidP="0066379B">
            <w:pPr>
              <w:spacing w:line="240" w:lineRule="auto"/>
              <w:jc w:val="right"/>
              <w:rPr>
                <w:rFonts w:eastAsia="Times New Roman"/>
                <w:color w:val="000000"/>
              </w:rPr>
            </w:pPr>
            <w:r w:rsidRPr="0066379B">
              <w:rPr>
                <w:rFonts w:eastAsia="Times New Roman"/>
                <w:color w:val="000000"/>
              </w:rPr>
              <w:t>CCR</w:t>
            </w:r>
          </w:p>
        </w:tc>
        <w:tc>
          <w:tcPr>
            <w:tcW w:w="7087" w:type="dxa"/>
            <w:tcBorders>
              <w:top w:val="single" w:sz="18" w:space="0" w:color="FFFFFF" w:themeColor="background1"/>
              <w:left w:val="single" w:sz="4" w:space="0" w:color="auto"/>
              <w:bottom w:val="single" w:sz="18" w:space="0" w:color="FFFFFF" w:themeColor="background1"/>
            </w:tcBorders>
            <w:noWrap/>
            <w:hideMark/>
          </w:tcPr>
          <w:p w14:paraId="3DC87042" w14:textId="44DAF689" w:rsidR="009625EF" w:rsidRPr="0066379B" w:rsidRDefault="009625EF" w:rsidP="009625EF">
            <w:pPr>
              <w:spacing w:line="240" w:lineRule="auto"/>
              <w:rPr>
                <w:rFonts w:eastAsia="Times New Roman"/>
                <w:color w:val="000000"/>
              </w:rPr>
            </w:pPr>
            <w:r w:rsidRPr="0066379B">
              <w:rPr>
                <w:rFonts w:eastAsia="Times New Roman"/>
                <w:color w:val="000000"/>
              </w:rPr>
              <w:t>C-C Motif Chemokine Receptor</w:t>
            </w:r>
          </w:p>
        </w:tc>
      </w:tr>
      <w:tr w:rsidR="009625EF" w:rsidRPr="0066379B" w14:paraId="5F2A3F5A" w14:textId="77777777" w:rsidTr="0066379B">
        <w:trPr>
          <w:trHeight w:val="255"/>
        </w:trPr>
        <w:tc>
          <w:tcPr>
            <w:tcW w:w="1526" w:type="dxa"/>
            <w:tcBorders>
              <w:top w:val="single" w:sz="18" w:space="0" w:color="FFFFFF" w:themeColor="background1"/>
              <w:bottom w:val="single" w:sz="18" w:space="0" w:color="FFFFFF" w:themeColor="background1"/>
              <w:right w:val="single" w:sz="4" w:space="0" w:color="auto"/>
            </w:tcBorders>
            <w:noWrap/>
            <w:hideMark/>
          </w:tcPr>
          <w:p w14:paraId="5F08828C" w14:textId="77777777" w:rsidR="009625EF" w:rsidRPr="0066379B" w:rsidRDefault="009625EF" w:rsidP="0066379B">
            <w:pPr>
              <w:spacing w:line="240" w:lineRule="auto"/>
              <w:jc w:val="right"/>
              <w:rPr>
                <w:rFonts w:eastAsia="Times New Roman"/>
                <w:color w:val="000000"/>
              </w:rPr>
            </w:pPr>
            <w:r w:rsidRPr="0066379B">
              <w:rPr>
                <w:rFonts w:eastAsia="Times New Roman"/>
                <w:color w:val="000000"/>
              </w:rPr>
              <w:t>CD</w:t>
            </w:r>
          </w:p>
        </w:tc>
        <w:tc>
          <w:tcPr>
            <w:tcW w:w="7087" w:type="dxa"/>
            <w:tcBorders>
              <w:top w:val="single" w:sz="18" w:space="0" w:color="FFFFFF" w:themeColor="background1"/>
              <w:left w:val="single" w:sz="4" w:space="0" w:color="auto"/>
              <w:bottom w:val="single" w:sz="18" w:space="0" w:color="FFFFFF" w:themeColor="background1"/>
            </w:tcBorders>
            <w:noWrap/>
            <w:hideMark/>
          </w:tcPr>
          <w:p w14:paraId="64850C00" w14:textId="2AA40752" w:rsidR="009625EF" w:rsidRPr="0066379B" w:rsidRDefault="009625EF" w:rsidP="009625EF">
            <w:pPr>
              <w:spacing w:line="240" w:lineRule="auto"/>
              <w:rPr>
                <w:rFonts w:eastAsia="Times New Roman"/>
                <w:color w:val="000000"/>
              </w:rPr>
            </w:pPr>
            <w:r w:rsidRPr="0066379B">
              <w:rPr>
                <w:rFonts w:eastAsia="Times New Roman"/>
                <w:color w:val="000000"/>
              </w:rPr>
              <w:t>Cluster Of Differentiation</w:t>
            </w:r>
          </w:p>
        </w:tc>
      </w:tr>
      <w:tr w:rsidR="009625EF" w:rsidRPr="0066379B" w14:paraId="43210A8D" w14:textId="77777777" w:rsidTr="0066379B">
        <w:trPr>
          <w:trHeight w:val="255"/>
        </w:trPr>
        <w:tc>
          <w:tcPr>
            <w:tcW w:w="1526" w:type="dxa"/>
            <w:tcBorders>
              <w:top w:val="single" w:sz="18" w:space="0" w:color="FFFFFF" w:themeColor="background1"/>
              <w:bottom w:val="single" w:sz="18" w:space="0" w:color="FFFFFF" w:themeColor="background1"/>
              <w:right w:val="single" w:sz="4" w:space="0" w:color="auto"/>
            </w:tcBorders>
            <w:noWrap/>
            <w:hideMark/>
          </w:tcPr>
          <w:p w14:paraId="72CD5A5A" w14:textId="77777777" w:rsidR="009625EF" w:rsidRPr="0066379B" w:rsidRDefault="009625EF" w:rsidP="0066379B">
            <w:pPr>
              <w:spacing w:line="240" w:lineRule="auto"/>
              <w:jc w:val="right"/>
              <w:rPr>
                <w:rFonts w:eastAsia="Times New Roman"/>
                <w:color w:val="000000"/>
              </w:rPr>
            </w:pPr>
            <w:r w:rsidRPr="0066379B">
              <w:rPr>
                <w:rFonts w:eastAsia="Times New Roman"/>
                <w:color w:val="000000"/>
              </w:rPr>
              <w:t>CL</w:t>
            </w:r>
          </w:p>
        </w:tc>
        <w:tc>
          <w:tcPr>
            <w:tcW w:w="7087" w:type="dxa"/>
            <w:tcBorders>
              <w:top w:val="single" w:sz="18" w:space="0" w:color="FFFFFF" w:themeColor="background1"/>
              <w:left w:val="single" w:sz="4" w:space="0" w:color="auto"/>
              <w:bottom w:val="single" w:sz="18" w:space="0" w:color="FFFFFF" w:themeColor="background1"/>
            </w:tcBorders>
            <w:noWrap/>
            <w:hideMark/>
          </w:tcPr>
          <w:p w14:paraId="4B1015CC" w14:textId="7AF74D76" w:rsidR="009625EF" w:rsidRPr="0066379B" w:rsidRDefault="009625EF" w:rsidP="009625EF">
            <w:pPr>
              <w:spacing w:line="240" w:lineRule="auto"/>
              <w:rPr>
                <w:rFonts w:eastAsia="Times New Roman"/>
                <w:color w:val="000000"/>
              </w:rPr>
            </w:pPr>
            <w:r w:rsidRPr="0066379B">
              <w:rPr>
                <w:rFonts w:eastAsia="Times New Roman"/>
                <w:color w:val="000000"/>
              </w:rPr>
              <w:t>Cutaneous Leishmaniasis</w:t>
            </w:r>
          </w:p>
        </w:tc>
      </w:tr>
      <w:tr w:rsidR="009625EF" w:rsidRPr="0066379B" w14:paraId="1EAF4DDC" w14:textId="77777777" w:rsidTr="0066379B">
        <w:trPr>
          <w:trHeight w:val="255"/>
        </w:trPr>
        <w:tc>
          <w:tcPr>
            <w:tcW w:w="1526" w:type="dxa"/>
            <w:tcBorders>
              <w:top w:val="single" w:sz="18" w:space="0" w:color="FFFFFF" w:themeColor="background1"/>
              <w:bottom w:val="single" w:sz="18" w:space="0" w:color="FFFFFF" w:themeColor="background1"/>
              <w:right w:val="single" w:sz="4" w:space="0" w:color="auto"/>
            </w:tcBorders>
            <w:noWrap/>
            <w:hideMark/>
          </w:tcPr>
          <w:p w14:paraId="659E9C16" w14:textId="77777777" w:rsidR="009625EF" w:rsidRPr="0066379B" w:rsidRDefault="009625EF" w:rsidP="0066379B">
            <w:pPr>
              <w:spacing w:line="240" w:lineRule="auto"/>
              <w:jc w:val="right"/>
              <w:rPr>
                <w:rFonts w:eastAsia="Times New Roman"/>
                <w:color w:val="000000"/>
              </w:rPr>
            </w:pPr>
            <w:r w:rsidRPr="0066379B">
              <w:rPr>
                <w:rFonts w:eastAsia="Times New Roman"/>
                <w:color w:val="000000"/>
              </w:rPr>
              <w:t>CoSMoS</w:t>
            </w:r>
          </w:p>
        </w:tc>
        <w:tc>
          <w:tcPr>
            <w:tcW w:w="7087" w:type="dxa"/>
            <w:tcBorders>
              <w:top w:val="single" w:sz="18" w:space="0" w:color="FFFFFF" w:themeColor="background1"/>
              <w:left w:val="single" w:sz="4" w:space="0" w:color="auto"/>
              <w:bottom w:val="single" w:sz="18" w:space="0" w:color="FFFFFF" w:themeColor="background1"/>
            </w:tcBorders>
            <w:noWrap/>
            <w:hideMark/>
          </w:tcPr>
          <w:p w14:paraId="10D6E22B" w14:textId="12B87461" w:rsidR="009625EF" w:rsidRPr="0066379B" w:rsidRDefault="009625EF" w:rsidP="009625EF">
            <w:pPr>
              <w:spacing w:line="240" w:lineRule="auto"/>
              <w:rPr>
                <w:rFonts w:eastAsia="Times New Roman"/>
                <w:color w:val="000000"/>
              </w:rPr>
            </w:pPr>
            <w:r w:rsidRPr="0066379B">
              <w:rPr>
                <w:rFonts w:eastAsia="Times New Roman"/>
                <w:color w:val="000000"/>
              </w:rPr>
              <w:t>Complex Systems Modelling And Simulation</w:t>
            </w:r>
          </w:p>
        </w:tc>
      </w:tr>
      <w:tr w:rsidR="009625EF" w:rsidRPr="0066379B" w14:paraId="1039B709" w14:textId="77777777" w:rsidTr="0066379B">
        <w:trPr>
          <w:trHeight w:val="255"/>
        </w:trPr>
        <w:tc>
          <w:tcPr>
            <w:tcW w:w="1526" w:type="dxa"/>
            <w:tcBorders>
              <w:top w:val="single" w:sz="18" w:space="0" w:color="FFFFFF" w:themeColor="background1"/>
              <w:bottom w:val="single" w:sz="18" w:space="0" w:color="FFFFFF" w:themeColor="background1"/>
              <w:right w:val="single" w:sz="4" w:space="0" w:color="auto"/>
            </w:tcBorders>
            <w:noWrap/>
            <w:hideMark/>
          </w:tcPr>
          <w:p w14:paraId="464ABA47" w14:textId="77777777" w:rsidR="009625EF" w:rsidRPr="0066379B" w:rsidRDefault="009625EF" w:rsidP="0066379B">
            <w:pPr>
              <w:spacing w:line="240" w:lineRule="auto"/>
              <w:jc w:val="right"/>
              <w:rPr>
                <w:rFonts w:eastAsia="Times New Roman"/>
                <w:color w:val="000000"/>
              </w:rPr>
            </w:pPr>
            <w:r w:rsidRPr="0066379B">
              <w:rPr>
                <w:rFonts w:eastAsia="Times New Roman"/>
                <w:color w:val="000000"/>
              </w:rPr>
              <w:t>CXCL</w:t>
            </w:r>
          </w:p>
        </w:tc>
        <w:tc>
          <w:tcPr>
            <w:tcW w:w="7087" w:type="dxa"/>
            <w:tcBorders>
              <w:top w:val="single" w:sz="18" w:space="0" w:color="FFFFFF" w:themeColor="background1"/>
              <w:left w:val="single" w:sz="4" w:space="0" w:color="auto"/>
              <w:bottom w:val="single" w:sz="18" w:space="0" w:color="FFFFFF" w:themeColor="background1"/>
            </w:tcBorders>
            <w:noWrap/>
            <w:hideMark/>
          </w:tcPr>
          <w:p w14:paraId="3BD908F7" w14:textId="169E8962" w:rsidR="009625EF" w:rsidRPr="0066379B" w:rsidRDefault="009625EF" w:rsidP="009625EF">
            <w:pPr>
              <w:spacing w:line="240" w:lineRule="auto"/>
              <w:rPr>
                <w:rFonts w:eastAsia="Times New Roman"/>
                <w:color w:val="000000"/>
              </w:rPr>
            </w:pPr>
            <w:r w:rsidRPr="0066379B">
              <w:rPr>
                <w:rFonts w:eastAsia="Times New Roman"/>
                <w:color w:val="000000"/>
              </w:rPr>
              <w:t>Chemokine (C-X-C Motif) Ligand</w:t>
            </w:r>
          </w:p>
        </w:tc>
      </w:tr>
      <w:tr w:rsidR="009625EF" w:rsidRPr="0066379B" w14:paraId="7929601D" w14:textId="77777777" w:rsidTr="0066379B">
        <w:trPr>
          <w:trHeight w:val="255"/>
        </w:trPr>
        <w:tc>
          <w:tcPr>
            <w:tcW w:w="1526" w:type="dxa"/>
            <w:tcBorders>
              <w:top w:val="single" w:sz="18" w:space="0" w:color="FFFFFF" w:themeColor="background1"/>
              <w:bottom w:val="single" w:sz="18" w:space="0" w:color="FFFFFF" w:themeColor="background1"/>
              <w:right w:val="single" w:sz="4" w:space="0" w:color="auto"/>
            </w:tcBorders>
            <w:noWrap/>
            <w:hideMark/>
          </w:tcPr>
          <w:p w14:paraId="112F9CCE" w14:textId="77777777" w:rsidR="009625EF" w:rsidRPr="0066379B" w:rsidRDefault="009625EF" w:rsidP="0066379B">
            <w:pPr>
              <w:spacing w:line="240" w:lineRule="auto"/>
              <w:jc w:val="right"/>
              <w:rPr>
                <w:rFonts w:eastAsia="Times New Roman"/>
                <w:color w:val="000000"/>
              </w:rPr>
            </w:pPr>
            <w:r w:rsidRPr="0066379B">
              <w:rPr>
                <w:rFonts w:eastAsia="Times New Roman"/>
                <w:color w:val="000000"/>
              </w:rPr>
              <w:t>CXCR</w:t>
            </w:r>
          </w:p>
        </w:tc>
        <w:tc>
          <w:tcPr>
            <w:tcW w:w="7087" w:type="dxa"/>
            <w:tcBorders>
              <w:top w:val="single" w:sz="18" w:space="0" w:color="FFFFFF" w:themeColor="background1"/>
              <w:left w:val="single" w:sz="4" w:space="0" w:color="auto"/>
              <w:bottom w:val="single" w:sz="18" w:space="0" w:color="FFFFFF" w:themeColor="background1"/>
            </w:tcBorders>
            <w:noWrap/>
            <w:hideMark/>
          </w:tcPr>
          <w:p w14:paraId="6A9F37B7" w14:textId="28550273" w:rsidR="009625EF" w:rsidRPr="0066379B" w:rsidRDefault="009625EF" w:rsidP="009625EF">
            <w:pPr>
              <w:spacing w:line="240" w:lineRule="auto"/>
              <w:rPr>
                <w:rFonts w:eastAsia="Times New Roman"/>
                <w:color w:val="000000"/>
              </w:rPr>
            </w:pPr>
            <w:r w:rsidRPr="0066379B">
              <w:rPr>
                <w:rFonts w:eastAsia="Times New Roman"/>
                <w:color w:val="000000"/>
              </w:rPr>
              <w:t>C-X-C Motif Chemokine Receptor</w:t>
            </w:r>
          </w:p>
        </w:tc>
      </w:tr>
      <w:tr w:rsidR="009625EF" w:rsidRPr="0066379B" w14:paraId="69213568" w14:textId="77777777" w:rsidTr="0066379B">
        <w:trPr>
          <w:trHeight w:val="255"/>
        </w:trPr>
        <w:tc>
          <w:tcPr>
            <w:tcW w:w="1526" w:type="dxa"/>
            <w:tcBorders>
              <w:top w:val="single" w:sz="18" w:space="0" w:color="FFFFFF" w:themeColor="background1"/>
              <w:bottom w:val="single" w:sz="18" w:space="0" w:color="FFFFFF" w:themeColor="background1"/>
              <w:right w:val="single" w:sz="4" w:space="0" w:color="auto"/>
            </w:tcBorders>
            <w:noWrap/>
            <w:hideMark/>
          </w:tcPr>
          <w:p w14:paraId="4359234F" w14:textId="77777777" w:rsidR="009625EF" w:rsidRPr="0066379B" w:rsidRDefault="009625EF" w:rsidP="0066379B">
            <w:pPr>
              <w:spacing w:line="240" w:lineRule="auto"/>
              <w:jc w:val="right"/>
              <w:rPr>
                <w:rFonts w:eastAsia="Times New Roman"/>
                <w:color w:val="000000"/>
              </w:rPr>
            </w:pPr>
            <w:r w:rsidRPr="0066379B">
              <w:rPr>
                <w:rFonts w:eastAsia="Times New Roman"/>
                <w:color w:val="000000"/>
              </w:rPr>
              <w:t>DAmB</w:t>
            </w:r>
          </w:p>
        </w:tc>
        <w:tc>
          <w:tcPr>
            <w:tcW w:w="7087" w:type="dxa"/>
            <w:tcBorders>
              <w:top w:val="single" w:sz="18" w:space="0" w:color="FFFFFF" w:themeColor="background1"/>
              <w:left w:val="single" w:sz="4" w:space="0" w:color="auto"/>
              <w:bottom w:val="single" w:sz="18" w:space="0" w:color="FFFFFF" w:themeColor="background1"/>
            </w:tcBorders>
            <w:noWrap/>
            <w:hideMark/>
          </w:tcPr>
          <w:p w14:paraId="4DAC6165" w14:textId="532A22F4" w:rsidR="009625EF" w:rsidRPr="0066379B" w:rsidRDefault="009625EF" w:rsidP="009625EF">
            <w:pPr>
              <w:spacing w:line="240" w:lineRule="auto"/>
              <w:rPr>
                <w:rFonts w:eastAsia="Times New Roman"/>
                <w:color w:val="000000"/>
              </w:rPr>
            </w:pPr>
            <w:r w:rsidRPr="0066379B">
              <w:rPr>
                <w:rFonts w:eastAsia="Times New Roman"/>
                <w:color w:val="000000"/>
              </w:rPr>
              <w:t>Amphotericin B Deoxycholate</w:t>
            </w:r>
          </w:p>
        </w:tc>
      </w:tr>
      <w:tr w:rsidR="009625EF" w:rsidRPr="0066379B" w14:paraId="6E78601A" w14:textId="77777777" w:rsidTr="0066379B">
        <w:trPr>
          <w:trHeight w:val="255"/>
        </w:trPr>
        <w:tc>
          <w:tcPr>
            <w:tcW w:w="1526" w:type="dxa"/>
            <w:tcBorders>
              <w:top w:val="single" w:sz="18" w:space="0" w:color="FFFFFF" w:themeColor="background1"/>
              <w:bottom w:val="single" w:sz="18" w:space="0" w:color="FFFFFF" w:themeColor="background1"/>
              <w:right w:val="single" w:sz="4" w:space="0" w:color="auto"/>
            </w:tcBorders>
            <w:noWrap/>
            <w:hideMark/>
          </w:tcPr>
          <w:p w14:paraId="3A0ACF31" w14:textId="77777777" w:rsidR="009625EF" w:rsidRPr="0066379B" w:rsidRDefault="009625EF" w:rsidP="0066379B">
            <w:pPr>
              <w:spacing w:line="240" w:lineRule="auto"/>
              <w:jc w:val="right"/>
              <w:rPr>
                <w:rFonts w:eastAsia="Times New Roman"/>
                <w:color w:val="000000"/>
              </w:rPr>
            </w:pPr>
            <w:r w:rsidRPr="0066379B">
              <w:rPr>
                <w:rFonts w:eastAsia="Times New Roman"/>
                <w:color w:val="000000"/>
              </w:rPr>
              <w:t>EVL</w:t>
            </w:r>
          </w:p>
        </w:tc>
        <w:tc>
          <w:tcPr>
            <w:tcW w:w="7087" w:type="dxa"/>
            <w:tcBorders>
              <w:top w:val="single" w:sz="18" w:space="0" w:color="FFFFFF" w:themeColor="background1"/>
              <w:left w:val="single" w:sz="4" w:space="0" w:color="auto"/>
              <w:bottom w:val="single" w:sz="18" w:space="0" w:color="FFFFFF" w:themeColor="background1"/>
            </w:tcBorders>
            <w:noWrap/>
            <w:hideMark/>
          </w:tcPr>
          <w:p w14:paraId="4BBB60AB" w14:textId="046867A6" w:rsidR="009625EF" w:rsidRPr="0066379B" w:rsidRDefault="009625EF" w:rsidP="009625EF">
            <w:pPr>
              <w:spacing w:line="240" w:lineRule="auto"/>
              <w:rPr>
                <w:rFonts w:eastAsia="Times New Roman"/>
                <w:color w:val="000000"/>
              </w:rPr>
            </w:pPr>
            <w:r w:rsidRPr="0066379B">
              <w:rPr>
                <w:rFonts w:eastAsia="Times New Roman"/>
                <w:color w:val="000000"/>
              </w:rPr>
              <w:t>Experimental Visceral Leishmaniasis</w:t>
            </w:r>
          </w:p>
        </w:tc>
      </w:tr>
      <w:tr w:rsidR="009625EF" w:rsidRPr="0066379B" w14:paraId="4102DE08" w14:textId="77777777" w:rsidTr="0066379B">
        <w:trPr>
          <w:trHeight w:val="255"/>
        </w:trPr>
        <w:tc>
          <w:tcPr>
            <w:tcW w:w="1526" w:type="dxa"/>
            <w:tcBorders>
              <w:top w:val="single" w:sz="18" w:space="0" w:color="FFFFFF" w:themeColor="background1"/>
              <w:bottom w:val="single" w:sz="18" w:space="0" w:color="FFFFFF" w:themeColor="background1"/>
              <w:right w:val="single" w:sz="4" w:space="0" w:color="auto"/>
            </w:tcBorders>
            <w:noWrap/>
            <w:hideMark/>
          </w:tcPr>
          <w:p w14:paraId="1B0BB970" w14:textId="77777777" w:rsidR="009625EF" w:rsidRPr="0066379B" w:rsidRDefault="009625EF" w:rsidP="0066379B">
            <w:pPr>
              <w:spacing w:line="240" w:lineRule="auto"/>
              <w:jc w:val="right"/>
              <w:rPr>
                <w:rFonts w:eastAsia="Times New Roman"/>
                <w:color w:val="000000"/>
              </w:rPr>
            </w:pPr>
            <w:r w:rsidRPr="0066379B">
              <w:rPr>
                <w:rFonts w:eastAsia="Times New Roman"/>
                <w:color w:val="000000"/>
              </w:rPr>
              <w:t>GA</w:t>
            </w:r>
          </w:p>
        </w:tc>
        <w:tc>
          <w:tcPr>
            <w:tcW w:w="7087" w:type="dxa"/>
            <w:tcBorders>
              <w:top w:val="single" w:sz="18" w:space="0" w:color="FFFFFF" w:themeColor="background1"/>
              <w:left w:val="single" w:sz="4" w:space="0" w:color="auto"/>
              <w:bottom w:val="single" w:sz="18" w:space="0" w:color="FFFFFF" w:themeColor="background1"/>
            </w:tcBorders>
            <w:noWrap/>
            <w:hideMark/>
          </w:tcPr>
          <w:p w14:paraId="2BD5B80F" w14:textId="6D14A26E" w:rsidR="009625EF" w:rsidRPr="0066379B" w:rsidRDefault="009625EF" w:rsidP="009625EF">
            <w:pPr>
              <w:spacing w:line="240" w:lineRule="auto"/>
              <w:rPr>
                <w:rFonts w:eastAsia="Times New Roman"/>
                <w:color w:val="000000"/>
              </w:rPr>
            </w:pPr>
            <w:r w:rsidRPr="0066379B">
              <w:rPr>
                <w:rFonts w:eastAsia="Times New Roman"/>
                <w:color w:val="000000"/>
              </w:rPr>
              <w:t>Genetic Algorithm</w:t>
            </w:r>
          </w:p>
        </w:tc>
      </w:tr>
      <w:tr w:rsidR="009625EF" w:rsidRPr="0066379B" w14:paraId="701F3DEF" w14:textId="77777777" w:rsidTr="0066379B">
        <w:trPr>
          <w:trHeight w:val="255"/>
        </w:trPr>
        <w:tc>
          <w:tcPr>
            <w:tcW w:w="1526" w:type="dxa"/>
            <w:tcBorders>
              <w:top w:val="single" w:sz="18" w:space="0" w:color="FFFFFF" w:themeColor="background1"/>
              <w:bottom w:val="single" w:sz="18" w:space="0" w:color="FFFFFF" w:themeColor="background1"/>
              <w:right w:val="single" w:sz="4" w:space="0" w:color="auto"/>
            </w:tcBorders>
            <w:noWrap/>
            <w:hideMark/>
          </w:tcPr>
          <w:p w14:paraId="260CB6CB" w14:textId="77777777" w:rsidR="009625EF" w:rsidRPr="0066379B" w:rsidRDefault="009625EF" w:rsidP="0066379B">
            <w:pPr>
              <w:spacing w:line="240" w:lineRule="auto"/>
              <w:jc w:val="right"/>
              <w:rPr>
                <w:rFonts w:eastAsia="Times New Roman"/>
                <w:color w:val="000000"/>
              </w:rPr>
            </w:pPr>
            <w:r w:rsidRPr="0066379B">
              <w:rPr>
                <w:rFonts w:eastAsia="Times New Roman"/>
                <w:color w:val="000000" w:themeColor="text1"/>
              </w:rPr>
              <w:t>GM-CSF</w:t>
            </w:r>
          </w:p>
        </w:tc>
        <w:tc>
          <w:tcPr>
            <w:tcW w:w="7087" w:type="dxa"/>
            <w:tcBorders>
              <w:top w:val="single" w:sz="18" w:space="0" w:color="FFFFFF" w:themeColor="background1"/>
              <w:left w:val="single" w:sz="4" w:space="0" w:color="auto"/>
              <w:bottom w:val="single" w:sz="18" w:space="0" w:color="FFFFFF" w:themeColor="background1"/>
            </w:tcBorders>
            <w:noWrap/>
            <w:hideMark/>
          </w:tcPr>
          <w:p w14:paraId="50CD5413" w14:textId="3E80912E" w:rsidR="009625EF" w:rsidRPr="0066379B" w:rsidRDefault="009625EF" w:rsidP="009625EF">
            <w:pPr>
              <w:spacing w:line="240" w:lineRule="auto"/>
              <w:rPr>
                <w:rFonts w:eastAsia="Times New Roman"/>
                <w:color w:val="000000"/>
              </w:rPr>
            </w:pPr>
            <w:r w:rsidRPr="0066379B">
              <w:rPr>
                <w:rFonts w:eastAsia="Times New Roman"/>
                <w:color w:val="000000"/>
              </w:rPr>
              <w:t>Granulocyte-Macrophage Colony-Stimulating Factor</w:t>
            </w:r>
          </w:p>
        </w:tc>
      </w:tr>
      <w:tr w:rsidR="0066379B" w:rsidRPr="0066379B" w14:paraId="4D1F8583" w14:textId="77777777" w:rsidTr="0066379B">
        <w:trPr>
          <w:trHeight w:val="255"/>
        </w:trPr>
        <w:tc>
          <w:tcPr>
            <w:tcW w:w="1526" w:type="dxa"/>
            <w:tcBorders>
              <w:top w:val="single" w:sz="18" w:space="0" w:color="FFFFFF" w:themeColor="background1"/>
              <w:bottom w:val="single" w:sz="18" w:space="0" w:color="FFFFFF" w:themeColor="background1"/>
              <w:right w:val="single" w:sz="4" w:space="0" w:color="auto"/>
            </w:tcBorders>
            <w:noWrap/>
          </w:tcPr>
          <w:p w14:paraId="4C4F9080" w14:textId="5407CFB2" w:rsidR="0066379B" w:rsidRPr="0066379B" w:rsidRDefault="0066379B" w:rsidP="0066379B">
            <w:pPr>
              <w:spacing w:line="240" w:lineRule="auto"/>
              <w:jc w:val="right"/>
              <w:rPr>
                <w:rFonts w:eastAsia="Times New Roman"/>
                <w:color w:val="000000" w:themeColor="text1"/>
              </w:rPr>
            </w:pPr>
            <w:r w:rsidRPr="0066379B">
              <w:rPr>
                <w:rFonts w:eastAsia="Times New Roman"/>
                <w:color w:val="000000" w:themeColor="text1"/>
              </w:rPr>
              <w:t>GSA</w:t>
            </w:r>
          </w:p>
        </w:tc>
        <w:tc>
          <w:tcPr>
            <w:tcW w:w="7087" w:type="dxa"/>
            <w:tcBorders>
              <w:top w:val="single" w:sz="18" w:space="0" w:color="FFFFFF" w:themeColor="background1"/>
              <w:left w:val="single" w:sz="4" w:space="0" w:color="auto"/>
              <w:bottom w:val="single" w:sz="18" w:space="0" w:color="FFFFFF" w:themeColor="background1"/>
            </w:tcBorders>
            <w:noWrap/>
          </w:tcPr>
          <w:p w14:paraId="23674DC7" w14:textId="74B3067D" w:rsidR="0066379B" w:rsidRPr="0066379B" w:rsidRDefault="0066379B" w:rsidP="009625EF">
            <w:pPr>
              <w:spacing w:line="240" w:lineRule="auto"/>
              <w:rPr>
                <w:rFonts w:eastAsia="Times New Roman"/>
                <w:color w:val="000000"/>
              </w:rPr>
            </w:pPr>
            <w:r w:rsidRPr="0066379B">
              <w:rPr>
                <w:rFonts w:eastAsia="Times New Roman"/>
                <w:color w:val="000000"/>
              </w:rPr>
              <w:t>Global Sensitivity Analysis</w:t>
            </w:r>
          </w:p>
        </w:tc>
      </w:tr>
      <w:tr w:rsidR="009625EF" w:rsidRPr="0066379B" w14:paraId="2CCB9098" w14:textId="77777777" w:rsidTr="0066379B">
        <w:trPr>
          <w:trHeight w:val="255"/>
        </w:trPr>
        <w:tc>
          <w:tcPr>
            <w:tcW w:w="1526" w:type="dxa"/>
            <w:tcBorders>
              <w:top w:val="single" w:sz="18" w:space="0" w:color="FFFFFF" w:themeColor="background1"/>
              <w:bottom w:val="single" w:sz="18" w:space="0" w:color="FFFFFF" w:themeColor="background1"/>
              <w:right w:val="single" w:sz="4" w:space="0" w:color="auto"/>
            </w:tcBorders>
            <w:noWrap/>
            <w:hideMark/>
          </w:tcPr>
          <w:p w14:paraId="7997DC47" w14:textId="77777777" w:rsidR="009625EF" w:rsidRPr="0066379B" w:rsidRDefault="009625EF" w:rsidP="0066379B">
            <w:pPr>
              <w:spacing w:line="240" w:lineRule="auto"/>
              <w:jc w:val="right"/>
              <w:rPr>
                <w:rFonts w:eastAsia="Times New Roman"/>
                <w:color w:val="000000"/>
              </w:rPr>
            </w:pPr>
            <w:r w:rsidRPr="0066379B">
              <w:rPr>
                <w:rFonts w:eastAsia="Times New Roman"/>
                <w:color w:val="000000"/>
              </w:rPr>
              <w:t>HIV</w:t>
            </w:r>
          </w:p>
        </w:tc>
        <w:tc>
          <w:tcPr>
            <w:tcW w:w="7087" w:type="dxa"/>
            <w:tcBorders>
              <w:top w:val="single" w:sz="18" w:space="0" w:color="FFFFFF" w:themeColor="background1"/>
              <w:left w:val="single" w:sz="4" w:space="0" w:color="auto"/>
              <w:bottom w:val="single" w:sz="18" w:space="0" w:color="FFFFFF" w:themeColor="background1"/>
            </w:tcBorders>
            <w:noWrap/>
            <w:hideMark/>
          </w:tcPr>
          <w:p w14:paraId="51EA83B5" w14:textId="09BAD1D7" w:rsidR="009625EF" w:rsidRPr="0066379B" w:rsidRDefault="009625EF" w:rsidP="009625EF">
            <w:pPr>
              <w:spacing w:line="240" w:lineRule="auto"/>
              <w:rPr>
                <w:rFonts w:eastAsia="Times New Roman"/>
                <w:color w:val="000000"/>
              </w:rPr>
            </w:pPr>
            <w:r w:rsidRPr="0066379B">
              <w:rPr>
                <w:rFonts w:eastAsia="Times New Roman"/>
                <w:color w:val="000000"/>
              </w:rPr>
              <w:t>Human Immunodeficiency Virus</w:t>
            </w:r>
          </w:p>
        </w:tc>
      </w:tr>
      <w:tr w:rsidR="009625EF" w:rsidRPr="0066379B" w14:paraId="0C65CE93" w14:textId="77777777" w:rsidTr="0066379B">
        <w:trPr>
          <w:trHeight w:val="255"/>
        </w:trPr>
        <w:tc>
          <w:tcPr>
            <w:tcW w:w="1526" w:type="dxa"/>
            <w:tcBorders>
              <w:top w:val="single" w:sz="18" w:space="0" w:color="FFFFFF" w:themeColor="background1"/>
              <w:bottom w:val="single" w:sz="18" w:space="0" w:color="FFFFFF" w:themeColor="background1"/>
              <w:right w:val="single" w:sz="4" w:space="0" w:color="auto"/>
            </w:tcBorders>
            <w:noWrap/>
            <w:hideMark/>
          </w:tcPr>
          <w:p w14:paraId="1876E8E5" w14:textId="77777777" w:rsidR="009625EF" w:rsidRPr="0066379B" w:rsidRDefault="009625EF" w:rsidP="0066379B">
            <w:pPr>
              <w:spacing w:line="240" w:lineRule="auto"/>
              <w:jc w:val="right"/>
              <w:rPr>
                <w:rFonts w:eastAsia="Times New Roman"/>
                <w:color w:val="000000"/>
              </w:rPr>
            </w:pPr>
            <w:r w:rsidRPr="0066379B">
              <w:rPr>
                <w:rFonts w:eastAsia="Times New Roman"/>
                <w:color w:val="000000"/>
              </w:rPr>
              <w:t>HPLC</w:t>
            </w:r>
          </w:p>
        </w:tc>
        <w:tc>
          <w:tcPr>
            <w:tcW w:w="7087" w:type="dxa"/>
            <w:tcBorders>
              <w:top w:val="single" w:sz="18" w:space="0" w:color="FFFFFF" w:themeColor="background1"/>
              <w:left w:val="single" w:sz="4" w:space="0" w:color="auto"/>
              <w:bottom w:val="single" w:sz="18" w:space="0" w:color="FFFFFF" w:themeColor="background1"/>
            </w:tcBorders>
            <w:noWrap/>
            <w:hideMark/>
          </w:tcPr>
          <w:p w14:paraId="24D14C38" w14:textId="27511B46" w:rsidR="009625EF" w:rsidRPr="0066379B" w:rsidRDefault="009625EF" w:rsidP="009625EF">
            <w:pPr>
              <w:spacing w:line="240" w:lineRule="auto"/>
              <w:rPr>
                <w:rFonts w:eastAsia="Times New Roman"/>
                <w:color w:val="000000"/>
              </w:rPr>
            </w:pPr>
            <w:r w:rsidRPr="0066379B">
              <w:rPr>
                <w:rFonts w:eastAsia="Times New Roman"/>
                <w:color w:val="000000"/>
              </w:rPr>
              <w:t>High Performance Liquid Chromatography</w:t>
            </w:r>
          </w:p>
        </w:tc>
      </w:tr>
      <w:tr w:rsidR="009625EF" w:rsidRPr="0066379B" w14:paraId="3027A717" w14:textId="77777777" w:rsidTr="0066379B">
        <w:trPr>
          <w:trHeight w:val="255"/>
        </w:trPr>
        <w:tc>
          <w:tcPr>
            <w:tcW w:w="1526" w:type="dxa"/>
            <w:tcBorders>
              <w:top w:val="single" w:sz="18" w:space="0" w:color="FFFFFF" w:themeColor="background1"/>
              <w:bottom w:val="single" w:sz="18" w:space="0" w:color="FFFFFF" w:themeColor="background1"/>
              <w:right w:val="single" w:sz="4" w:space="0" w:color="auto"/>
            </w:tcBorders>
            <w:noWrap/>
            <w:hideMark/>
          </w:tcPr>
          <w:p w14:paraId="38B282CB" w14:textId="77777777" w:rsidR="009625EF" w:rsidRPr="0066379B" w:rsidRDefault="009625EF" w:rsidP="0066379B">
            <w:pPr>
              <w:spacing w:line="240" w:lineRule="auto"/>
              <w:jc w:val="right"/>
              <w:rPr>
                <w:rFonts w:eastAsia="Times New Roman"/>
                <w:color w:val="000000"/>
              </w:rPr>
            </w:pPr>
            <w:r w:rsidRPr="0066379B">
              <w:rPr>
                <w:rFonts w:eastAsia="Times New Roman"/>
                <w:color w:val="000000"/>
              </w:rPr>
              <w:t>IFNg</w:t>
            </w:r>
          </w:p>
        </w:tc>
        <w:tc>
          <w:tcPr>
            <w:tcW w:w="7087" w:type="dxa"/>
            <w:tcBorders>
              <w:top w:val="single" w:sz="18" w:space="0" w:color="FFFFFF" w:themeColor="background1"/>
              <w:left w:val="single" w:sz="4" w:space="0" w:color="auto"/>
              <w:bottom w:val="single" w:sz="18" w:space="0" w:color="FFFFFF" w:themeColor="background1"/>
            </w:tcBorders>
            <w:noWrap/>
            <w:hideMark/>
          </w:tcPr>
          <w:p w14:paraId="335071B9" w14:textId="4A1C84A6" w:rsidR="009625EF" w:rsidRPr="0066379B" w:rsidRDefault="009625EF" w:rsidP="009625EF">
            <w:pPr>
              <w:spacing w:line="240" w:lineRule="auto"/>
              <w:rPr>
                <w:rFonts w:eastAsia="Times New Roman"/>
                <w:color w:val="000000"/>
              </w:rPr>
            </w:pPr>
            <w:r w:rsidRPr="0066379B">
              <w:rPr>
                <w:rFonts w:eastAsia="Times New Roman"/>
                <w:color w:val="000000"/>
              </w:rPr>
              <w:t>Interferon Gamma</w:t>
            </w:r>
          </w:p>
        </w:tc>
      </w:tr>
      <w:tr w:rsidR="009625EF" w:rsidRPr="0066379B" w14:paraId="6BE62EF8" w14:textId="77777777" w:rsidTr="0066379B">
        <w:trPr>
          <w:trHeight w:val="255"/>
        </w:trPr>
        <w:tc>
          <w:tcPr>
            <w:tcW w:w="1526" w:type="dxa"/>
            <w:tcBorders>
              <w:top w:val="single" w:sz="18" w:space="0" w:color="FFFFFF" w:themeColor="background1"/>
              <w:bottom w:val="single" w:sz="18" w:space="0" w:color="FFFFFF" w:themeColor="background1"/>
              <w:right w:val="single" w:sz="4" w:space="0" w:color="auto"/>
            </w:tcBorders>
            <w:noWrap/>
            <w:hideMark/>
          </w:tcPr>
          <w:p w14:paraId="7C41F1DF" w14:textId="77777777" w:rsidR="009625EF" w:rsidRPr="0066379B" w:rsidRDefault="009625EF" w:rsidP="0066379B">
            <w:pPr>
              <w:spacing w:line="240" w:lineRule="auto"/>
              <w:jc w:val="right"/>
              <w:rPr>
                <w:rFonts w:eastAsia="Times New Roman"/>
                <w:color w:val="000000"/>
              </w:rPr>
            </w:pPr>
            <w:r w:rsidRPr="0066379B">
              <w:rPr>
                <w:rFonts w:eastAsia="Times New Roman"/>
                <w:color w:val="000000"/>
              </w:rPr>
              <w:t>IL</w:t>
            </w:r>
          </w:p>
        </w:tc>
        <w:tc>
          <w:tcPr>
            <w:tcW w:w="7087" w:type="dxa"/>
            <w:tcBorders>
              <w:top w:val="single" w:sz="18" w:space="0" w:color="FFFFFF" w:themeColor="background1"/>
              <w:left w:val="single" w:sz="4" w:space="0" w:color="auto"/>
              <w:bottom w:val="single" w:sz="18" w:space="0" w:color="FFFFFF" w:themeColor="background1"/>
            </w:tcBorders>
            <w:noWrap/>
            <w:hideMark/>
          </w:tcPr>
          <w:p w14:paraId="08E8F406" w14:textId="77777777" w:rsidR="009625EF" w:rsidRPr="0066379B" w:rsidRDefault="009625EF" w:rsidP="009625EF">
            <w:pPr>
              <w:spacing w:line="240" w:lineRule="auto"/>
              <w:rPr>
                <w:rFonts w:eastAsia="Times New Roman"/>
                <w:color w:val="000000"/>
              </w:rPr>
            </w:pPr>
            <w:r w:rsidRPr="0066379B">
              <w:rPr>
                <w:rFonts w:eastAsia="Times New Roman"/>
                <w:color w:val="000000"/>
              </w:rPr>
              <w:t>Interleukin</w:t>
            </w:r>
          </w:p>
        </w:tc>
      </w:tr>
      <w:tr w:rsidR="009625EF" w:rsidRPr="0066379B" w14:paraId="7CE807F4" w14:textId="77777777" w:rsidTr="0066379B">
        <w:trPr>
          <w:trHeight w:val="255"/>
        </w:trPr>
        <w:tc>
          <w:tcPr>
            <w:tcW w:w="1526" w:type="dxa"/>
            <w:tcBorders>
              <w:top w:val="single" w:sz="18" w:space="0" w:color="FFFFFF" w:themeColor="background1"/>
              <w:bottom w:val="single" w:sz="18" w:space="0" w:color="FFFFFF" w:themeColor="background1"/>
              <w:right w:val="single" w:sz="4" w:space="0" w:color="auto"/>
            </w:tcBorders>
            <w:noWrap/>
            <w:hideMark/>
          </w:tcPr>
          <w:p w14:paraId="78A4C10C" w14:textId="79207DCB" w:rsidR="009625EF" w:rsidRPr="0066379B" w:rsidRDefault="009625EF" w:rsidP="0066379B">
            <w:pPr>
              <w:spacing w:line="240" w:lineRule="auto"/>
              <w:jc w:val="right"/>
              <w:rPr>
                <w:rFonts w:eastAsia="Times New Roman"/>
                <w:color w:val="000000"/>
              </w:rPr>
            </w:pPr>
            <w:r w:rsidRPr="0066379B">
              <w:rPr>
                <w:rFonts w:eastAsia="Times New Roman"/>
                <w:color w:val="000000"/>
              </w:rPr>
              <w:t>iNKT</w:t>
            </w:r>
          </w:p>
        </w:tc>
        <w:tc>
          <w:tcPr>
            <w:tcW w:w="7087" w:type="dxa"/>
            <w:tcBorders>
              <w:top w:val="single" w:sz="18" w:space="0" w:color="FFFFFF" w:themeColor="background1"/>
              <w:left w:val="single" w:sz="4" w:space="0" w:color="auto"/>
              <w:bottom w:val="single" w:sz="18" w:space="0" w:color="FFFFFF" w:themeColor="background1"/>
            </w:tcBorders>
            <w:noWrap/>
            <w:hideMark/>
          </w:tcPr>
          <w:p w14:paraId="638EEB5C" w14:textId="4BF28AD6" w:rsidR="009625EF" w:rsidRPr="0066379B" w:rsidRDefault="009625EF" w:rsidP="009625EF">
            <w:pPr>
              <w:spacing w:line="240" w:lineRule="auto"/>
              <w:rPr>
                <w:rFonts w:eastAsia="Times New Roman"/>
                <w:color w:val="000000"/>
              </w:rPr>
            </w:pPr>
            <w:r w:rsidRPr="0066379B">
              <w:rPr>
                <w:rFonts w:eastAsia="Times New Roman"/>
                <w:color w:val="000000"/>
              </w:rPr>
              <w:t>Invariant Natural Killer T Cell</w:t>
            </w:r>
          </w:p>
        </w:tc>
      </w:tr>
      <w:tr w:rsidR="009625EF" w:rsidRPr="0066379B" w14:paraId="04602E24" w14:textId="77777777" w:rsidTr="0066379B">
        <w:trPr>
          <w:trHeight w:val="255"/>
        </w:trPr>
        <w:tc>
          <w:tcPr>
            <w:tcW w:w="1526" w:type="dxa"/>
            <w:tcBorders>
              <w:top w:val="single" w:sz="18" w:space="0" w:color="FFFFFF" w:themeColor="background1"/>
              <w:bottom w:val="single" w:sz="18" w:space="0" w:color="FFFFFF" w:themeColor="background1"/>
              <w:right w:val="single" w:sz="4" w:space="0" w:color="auto"/>
            </w:tcBorders>
            <w:noWrap/>
            <w:hideMark/>
          </w:tcPr>
          <w:p w14:paraId="6C860C2E" w14:textId="77777777" w:rsidR="009625EF" w:rsidRPr="0066379B" w:rsidRDefault="009625EF" w:rsidP="0066379B">
            <w:pPr>
              <w:spacing w:line="240" w:lineRule="auto"/>
              <w:jc w:val="right"/>
              <w:rPr>
                <w:rFonts w:eastAsia="Times New Roman"/>
                <w:color w:val="000000"/>
              </w:rPr>
            </w:pPr>
            <w:r w:rsidRPr="0066379B">
              <w:rPr>
                <w:rFonts w:eastAsia="Times New Roman"/>
                <w:color w:val="000000"/>
              </w:rPr>
              <w:t>KC</w:t>
            </w:r>
          </w:p>
        </w:tc>
        <w:tc>
          <w:tcPr>
            <w:tcW w:w="7087" w:type="dxa"/>
            <w:tcBorders>
              <w:top w:val="single" w:sz="18" w:space="0" w:color="FFFFFF" w:themeColor="background1"/>
              <w:left w:val="single" w:sz="4" w:space="0" w:color="auto"/>
              <w:bottom w:val="single" w:sz="18" w:space="0" w:color="FFFFFF" w:themeColor="background1"/>
            </w:tcBorders>
            <w:noWrap/>
            <w:hideMark/>
          </w:tcPr>
          <w:p w14:paraId="6D8E3A51" w14:textId="4D4D974D" w:rsidR="009625EF" w:rsidRPr="0066379B" w:rsidRDefault="009625EF" w:rsidP="009625EF">
            <w:pPr>
              <w:spacing w:line="240" w:lineRule="auto"/>
              <w:rPr>
                <w:rFonts w:eastAsia="Times New Roman"/>
                <w:color w:val="000000"/>
              </w:rPr>
            </w:pPr>
            <w:r w:rsidRPr="0066379B">
              <w:rPr>
                <w:rFonts w:eastAsia="Times New Roman"/>
                <w:color w:val="000000"/>
              </w:rPr>
              <w:t>Kupffer Cell</w:t>
            </w:r>
          </w:p>
        </w:tc>
      </w:tr>
      <w:tr w:rsidR="009625EF" w:rsidRPr="0066379B" w14:paraId="7A1E2581" w14:textId="77777777" w:rsidTr="0066379B">
        <w:trPr>
          <w:trHeight w:val="255"/>
        </w:trPr>
        <w:tc>
          <w:tcPr>
            <w:tcW w:w="1526" w:type="dxa"/>
            <w:tcBorders>
              <w:top w:val="single" w:sz="18" w:space="0" w:color="FFFFFF" w:themeColor="background1"/>
              <w:bottom w:val="single" w:sz="18" w:space="0" w:color="FFFFFF" w:themeColor="background1"/>
              <w:right w:val="single" w:sz="4" w:space="0" w:color="auto"/>
            </w:tcBorders>
            <w:noWrap/>
            <w:hideMark/>
          </w:tcPr>
          <w:p w14:paraId="78D6C02A" w14:textId="77777777" w:rsidR="009625EF" w:rsidRPr="0066379B" w:rsidRDefault="009625EF" w:rsidP="0066379B">
            <w:pPr>
              <w:spacing w:line="240" w:lineRule="auto"/>
              <w:jc w:val="right"/>
              <w:rPr>
                <w:rFonts w:eastAsia="Times New Roman"/>
                <w:color w:val="000000"/>
              </w:rPr>
            </w:pPr>
            <w:r w:rsidRPr="0066379B">
              <w:rPr>
                <w:rFonts w:eastAsia="Times New Roman"/>
                <w:color w:val="000000"/>
              </w:rPr>
              <w:t>LAmB</w:t>
            </w:r>
          </w:p>
        </w:tc>
        <w:tc>
          <w:tcPr>
            <w:tcW w:w="7087" w:type="dxa"/>
            <w:tcBorders>
              <w:top w:val="single" w:sz="18" w:space="0" w:color="FFFFFF" w:themeColor="background1"/>
              <w:left w:val="single" w:sz="4" w:space="0" w:color="auto"/>
              <w:bottom w:val="single" w:sz="18" w:space="0" w:color="FFFFFF" w:themeColor="background1"/>
            </w:tcBorders>
            <w:noWrap/>
            <w:hideMark/>
          </w:tcPr>
          <w:p w14:paraId="61970816" w14:textId="33BC1346" w:rsidR="009625EF" w:rsidRPr="0066379B" w:rsidRDefault="009625EF" w:rsidP="009625EF">
            <w:pPr>
              <w:spacing w:line="240" w:lineRule="auto"/>
              <w:rPr>
                <w:rFonts w:eastAsia="Times New Roman"/>
                <w:color w:val="000000"/>
              </w:rPr>
            </w:pPr>
            <w:r w:rsidRPr="0066379B">
              <w:rPr>
                <w:rFonts w:eastAsia="Times New Roman"/>
                <w:color w:val="000000"/>
              </w:rPr>
              <w:t>Liposomal Amphotericin B</w:t>
            </w:r>
          </w:p>
        </w:tc>
      </w:tr>
      <w:tr w:rsidR="009625EF" w:rsidRPr="0066379B" w14:paraId="2859A8A7" w14:textId="77777777" w:rsidTr="0066379B">
        <w:trPr>
          <w:trHeight w:val="255"/>
        </w:trPr>
        <w:tc>
          <w:tcPr>
            <w:tcW w:w="1526" w:type="dxa"/>
            <w:tcBorders>
              <w:top w:val="single" w:sz="18" w:space="0" w:color="FFFFFF" w:themeColor="background1"/>
              <w:bottom w:val="single" w:sz="18" w:space="0" w:color="FFFFFF" w:themeColor="background1"/>
              <w:right w:val="single" w:sz="4" w:space="0" w:color="auto"/>
            </w:tcBorders>
            <w:noWrap/>
            <w:hideMark/>
          </w:tcPr>
          <w:p w14:paraId="7191CD2E" w14:textId="77777777" w:rsidR="009625EF" w:rsidRPr="0066379B" w:rsidRDefault="009625EF" w:rsidP="0066379B">
            <w:pPr>
              <w:spacing w:line="240" w:lineRule="auto"/>
              <w:jc w:val="right"/>
              <w:rPr>
                <w:rFonts w:eastAsia="Times New Roman"/>
                <w:color w:val="000000"/>
              </w:rPr>
            </w:pPr>
            <w:r w:rsidRPr="0066379B">
              <w:rPr>
                <w:rFonts w:eastAsia="Times New Roman"/>
                <w:color w:val="000000"/>
              </w:rPr>
              <w:t>LC-MS/MS</w:t>
            </w:r>
          </w:p>
        </w:tc>
        <w:tc>
          <w:tcPr>
            <w:tcW w:w="7087" w:type="dxa"/>
            <w:tcBorders>
              <w:top w:val="single" w:sz="18" w:space="0" w:color="FFFFFF" w:themeColor="background1"/>
              <w:left w:val="single" w:sz="4" w:space="0" w:color="auto"/>
              <w:bottom w:val="single" w:sz="18" w:space="0" w:color="FFFFFF" w:themeColor="background1"/>
            </w:tcBorders>
            <w:noWrap/>
            <w:hideMark/>
          </w:tcPr>
          <w:p w14:paraId="01795FB7" w14:textId="0B341C86" w:rsidR="009625EF" w:rsidRPr="0066379B" w:rsidRDefault="009625EF" w:rsidP="009625EF">
            <w:pPr>
              <w:spacing w:line="240" w:lineRule="auto"/>
              <w:rPr>
                <w:rFonts w:eastAsia="Times New Roman"/>
                <w:color w:val="000000"/>
              </w:rPr>
            </w:pPr>
            <w:r w:rsidRPr="0066379B">
              <w:rPr>
                <w:rFonts w:eastAsia="Times New Roman"/>
                <w:color w:val="000000"/>
              </w:rPr>
              <w:t>Liquid Chromatography Tandem Mass Spectrometry</w:t>
            </w:r>
          </w:p>
        </w:tc>
      </w:tr>
      <w:tr w:rsidR="009625EF" w:rsidRPr="0066379B" w14:paraId="6F8CDDF1" w14:textId="77777777" w:rsidTr="0066379B">
        <w:trPr>
          <w:trHeight w:val="255"/>
        </w:trPr>
        <w:tc>
          <w:tcPr>
            <w:tcW w:w="1526" w:type="dxa"/>
            <w:tcBorders>
              <w:top w:val="single" w:sz="18" w:space="0" w:color="FFFFFF" w:themeColor="background1"/>
              <w:bottom w:val="single" w:sz="18" w:space="0" w:color="FFFFFF" w:themeColor="background1"/>
              <w:right w:val="single" w:sz="4" w:space="0" w:color="auto"/>
            </w:tcBorders>
            <w:noWrap/>
            <w:hideMark/>
          </w:tcPr>
          <w:p w14:paraId="12A7D8DA" w14:textId="77777777" w:rsidR="009625EF" w:rsidRPr="0066379B" w:rsidRDefault="009625EF" w:rsidP="0066379B">
            <w:pPr>
              <w:spacing w:line="240" w:lineRule="auto"/>
              <w:jc w:val="right"/>
              <w:rPr>
                <w:rFonts w:eastAsia="Times New Roman"/>
                <w:color w:val="000000"/>
              </w:rPr>
            </w:pPr>
            <w:r w:rsidRPr="0066379B">
              <w:rPr>
                <w:rFonts w:eastAsia="Times New Roman"/>
                <w:color w:val="000000"/>
              </w:rPr>
              <w:t>LHC</w:t>
            </w:r>
          </w:p>
        </w:tc>
        <w:tc>
          <w:tcPr>
            <w:tcW w:w="7087" w:type="dxa"/>
            <w:tcBorders>
              <w:top w:val="single" w:sz="18" w:space="0" w:color="FFFFFF" w:themeColor="background1"/>
              <w:left w:val="single" w:sz="4" w:space="0" w:color="auto"/>
              <w:bottom w:val="single" w:sz="18" w:space="0" w:color="FFFFFF" w:themeColor="background1"/>
            </w:tcBorders>
            <w:noWrap/>
            <w:hideMark/>
          </w:tcPr>
          <w:p w14:paraId="4C36DB6E" w14:textId="7C58732A" w:rsidR="009625EF" w:rsidRPr="0066379B" w:rsidRDefault="009625EF" w:rsidP="009625EF">
            <w:pPr>
              <w:spacing w:line="240" w:lineRule="auto"/>
              <w:rPr>
                <w:rFonts w:eastAsia="Times New Roman"/>
                <w:color w:val="000000"/>
              </w:rPr>
            </w:pPr>
            <w:r w:rsidRPr="0066379B">
              <w:rPr>
                <w:rFonts w:eastAsia="Times New Roman"/>
                <w:color w:val="000000"/>
              </w:rPr>
              <w:t>Latin-Hypercube</w:t>
            </w:r>
          </w:p>
        </w:tc>
      </w:tr>
      <w:tr w:rsidR="009625EF" w:rsidRPr="0066379B" w14:paraId="22BAFC1C" w14:textId="77777777" w:rsidTr="0066379B">
        <w:trPr>
          <w:trHeight w:val="255"/>
        </w:trPr>
        <w:tc>
          <w:tcPr>
            <w:tcW w:w="1526" w:type="dxa"/>
            <w:tcBorders>
              <w:top w:val="single" w:sz="18" w:space="0" w:color="FFFFFF" w:themeColor="background1"/>
              <w:bottom w:val="single" w:sz="18" w:space="0" w:color="FFFFFF" w:themeColor="background1"/>
              <w:right w:val="single" w:sz="4" w:space="0" w:color="auto"/>
            </w:tcBorders>
            <w:noWrap/>
            <w:hideMark/>
          </w:tcPr>
          <w:p w14:paraId="0A2B59F2" w14:textId="77777777" w:rsidR="009625EF" w:rsidRPr="0066379B" w:rsidRDefault="009625EF" w:rsidP="0066379B">
            <w:pPr>
              <w:spacing w:line="240" w:lineRule="auto"/>
              <w:jc w:val="right"/>
              <w:rPr>
                <w:rFonts w:eastAsia="Times New Roman"/>
                <w:color w:val="000000"/>
              </w:rPr>
            </w:pPr>
            <w:r w:rsidRPr="0066379B">
              <w:rPr>
                <w:rFonts w:eastAsia="Times New Roman"/>
                <w:color w:val="000000" w:themeColor="text1"/>
              </w:rPr>
              <w:t>LT</w:t>
            </w:r>
          </w:p>
        </w:tc>
        <w:tc>
          <w:tcPr>
            <w:tcW w:w="7087" w:type="dxa"/>
            <w:tcBorders>
              <w:top w:val="single" w:sz="18" w:space="0" w:color="FFFFFF" w:themeColor="background1"/>
              <w:left w:val="single" w:sz="4" w:space="0" w:color="auto"/>
              <w:bottom w:val="single" w:sz="18" w:space="0" w:color="FFFFFF" w:themeColor="background1"/>
            </w:tcBorders>
            <w:noWrap/>
            <w:hideMark/>
          </w:tcPr>
          <w:p w14:paraId="3C2641E7" w14:textId="77777777" w:rsidR="009625EF" w:rsidRPr="0066379B" w:rsidRDefault="009625EF" w:rsidP="009625EF">
            <w:pPr>
              <w:spacing w:line="240" w:lineRule="auto"/>
              <w:rPr>
                <w:rFonts w:eastAsia="Times New Roman"/>
                <w:color w:val="000000"/>
              </w:rPr>
            </w:pPr>
            <w:r w:rsidRPr="0066379B">
              <w:rPr>
                <w:rFonts w:eastAsia="Times New Roman"/>
                <w:color w:val="000000"/>
              </w:rPr>
              <w:t>Lymphotoxin</w:t>
            </w:r>
          </w:p>
        </w:tc>
      </w:tr>
      <w:tr w:rsidR="009625EF" w:rsidRPr="0066379B" w14:paraId="22DF20AE" w14:textId="77777777" w:rsidTr="0066379B">
        <w:trPr>
          <w:trHeight w:val="255"/>
        </w:trPr>
        <w:tc>
          <w:tcPr>
            <w:tcW w:w="1526" w:type="dxa"/>
            <w:tcBorders>
              <w:top w:val="single" w:sz="18" w:space="0" w:color="FFFFFF" w:themeColor="background1"/>
              <w:bottom w:val="single" w:sz="18" w:space="0" w:color="FFFFFF" w:themeColor="background1"/>
              <w:right w:val="single" w:sz="4" w:space="0" w:color="auto"/>
            </w:tcBorders>
            <w:noWrap/>
            <w:hideMark/>
          </w:tcPr>
          <w:p w14:paraId="7A6672B2" w14:textId="77777777" w:rsidR="009625EF" w:rsidRPr="0066379B" w:rsidRDefault="009625EF" w:rsidP="0066379B">
            <w:pPr>
              <w:spacing w:line="240" w:lineRule="auto"/>
              <w:jc w:val="right"/>
              <w:rPr>
                <w:rFonts w:eastAsia="Times New Roman"/>
                <w:color w:val="000000"/>
              </w:rPr>
            </w:pPr>
            <w:r w:rsidRPr="0066379B">
              <w:rPr>
                <w:rFonts w:eastAsia="Times New Roman"/>
                <w:color w:val="000000"/>
              </w:rPr>
              <w:t>MCL</w:t>
            </w:r>
          </w:p>
        </w:tc>
        <w:tc>
          <w:tcPr>
            <w:tcW w:w="7087" w:type="dxa"/>
            <w:tcBorders>
              <w:top w:val="single" w:sz="18" w:space="0" w:color="FFFFFF" w:themeColor="background1"/>
              <w:left w:val="single" w:sz="4" w:space="0" w:color="auto"/>
              <w:bottom w:val="single" w:sz="18" w:space="0" w:color="FFFFFF" w:themeColor="background1"/>
            </w:tcBorders>
            <w:noWrap/>
            <w:hideMark/>
          </w:tcPr>
          <w:p w14:paraId="474AFD2A" w14:textId="4BE8CB97" w:rsidR="009625EF" w:rsidRPr="0066379B" w:rsidRDefault="009625EF" w:rsidP="009625EF">
            <w:pPr>
              <w:spacing w:line="240" w:lineRule="auto"/>
              <w:rPr>
                <w:rFonts w:eastAsia="Times New Roman"/>
                <w:color w:val="000000"/>
              </w:rPr>
            </w:pPr>
            <w:r w:rsidRPr="0066379B">
              <w:rPr>
                <w:rFonts w:eastAsia="Times New Roman"/>
                <w:color w:val="000000"/>
              </w:rPr>
              <w:t>Muco-Cutaneous Leishmaniasis</w:t>
            </w:r>
          </w:p>
        </w:tc>
      </w:tr>
      <w:tr w:rsidR="009625EF" w:rsidRPr="0066379B" w14:paraId="4414BC60" w14:textId="77777777" w:rsidTr="0066379B">
        <w:trPr>
          <w:trHeight w:val="255"/>
        </w:trPr>
        <w:tc>
          <w:tcPr>
            <w:tcW w:w="1526" w:type="dxa"/>
            <w:tcBorders>
              <w:top w:val="single" w:sz="18" w:space="0" w:color="FFFFFF" w:themeColor="background1"/>
              <w:bottom w:val="single" w:sz="18" w:space="0" w:color="FFFFFF" w:themeColor="background1"/>
              <w:right w:val="single" w:sz="4" w:space="0" w:color="auto"/>
            </w:tcBorders>
            <w:noWrap/>
            <w:hideMark/>
          </w:tcPr>
          <w:p w14:paraId="64F586AE" w14:textId="77777777" w:rsidR="009625EF" w:rsidRPr="0066379B" w:rsidRDefault="009625EF" w:rsidP="0066379B">
            <w:pPr>
              <w:spacing w:line="240" w:lineRule="auto"/>
              <w:jc w:val="right"/>
              <w:rPr>
                <w:rFonts w:eastAsia="Times New Roman"/>
                <w:color w:val="000000"/>
              </w:rPr>
            </w:pPr>
            <w:r w:rsidRPr="0066379B">
              <w:rPr>
                <w:rFonts w:eastAsia="Times New Roman"/>
                <w:color w:val="000000"/>
              </w:rPr>
              <w:t>MHC</w:t>
            </w:r>
          </w:p>
        </w:tc>
        <w:tc>
          <w:tcPr>
            <w:tcW w:w="7087" w:type="dxa"/>
            <w:tcBorders>
              <w:top w:val="single" w:sz="18" w:space="0" w:color="FFFFFF" w:themeColor="background1"/>
              <w:left w:val="single" w:sz="4" w:space="0" w:color="auto"/>
              <w:bottom w:val="single" w:sz="18" w:space="0" w:color="FFFFFF" w:themeColor="background1"/>
            </w:tcBorders>
            <w:noWrap/>
            <w:hideMark/>
          </w:tcPr>
          <w:p w14:paraId="3A3CA863" w14:textId="292343F3" w:rsidR="009625EF" w:rsidRPr="0066379B" w:rsidRDefault="009625EF" w:rsidP="009625EF">
            <w:pPr>
              <w:spacing w:line="240" w:lineRule="auto"/>
              <w:rPr>
                <w:rFonts w:eastAsia="Times New Roman"/>
                <w:color w:val="000000"/>
              </w:rPr>
            </w:pPr>
            <w:r w:rsidRPr="0066379B">
              <w:rPr>
                <w:rFonts w:eastAsia="Times New Roman"/>
                <w:color w:val="000000"/>
              </w:rPr>
              <w:t>Major Histocompatibility Complex</w:t>
            </w:r>
          </w:p>
        </w:tc>
      </w:tr>
      <w:tr w:rsidR="009625EF" w:rsidRPr="0066379B" w14:paraId="4A26DEFE" w14:textId="77777777" w:rsidTr="0066379B">
        <w:trPr>
          <w:trHeight w:val="255"/>
        </w:trPr>
        <w:tc>
          <w:tcPr>
            <w:tcW w:w="1526" w:type="dxa"/>
            <w:tcBorders>
              <w:top w:val="single" w:sz="18" w:space="0" w:color="FFFFFF" w:themeColor="background1"/>
              <w:bottom w:val="single" w:sz="18" w:space="0" w:color="FFFFFF" w:themeColor="background1"/>
              <w:right w:val="single" w:sz="4" w:space="0" w:color="auto"/>
            </w:tcBorders>
            <w:noWrap/>
            <w:hideMark/>
          </w:tcPr>
          <w:p w14:paraId="6A8B839E" w14:textId="77777777" w:rsidR="009625EF" w:rsidRPr="0066379B" w:rsidRDefault="009625EF" w:rsidP="0066379B">
            <w:pPr>
              <w:spacing w:line="240" w:lineRule="auto"/>
              <w:jc w:val="right"/>
              <w:rPr>
                <w:rFonts w:eastAsia="Times New Roman"/>
                <w:color w:val="000000"/>
              </w:rPr>
            </w:pPr>
            <w:r w:rsidRPr="0066379B">
              <w:rPr>
                <w:rFonts w:eastAsia="Times New Roman"/>
                <w:color w:val="000000"/>
              </w:rPr>
              <w:t>MOO</w:t>
            </w:r>
          </w:p>
        </w:tc>
        <w:tc>
          <w:tcPr>
            <w:tcW w:w="7087" w:type="dxa"/>
            <w:tcBorders>
              <w:top w:val="single" w:sz="18" w:space="0" w:color="FFFFFF" w:themeColor="background1"/>
              <w:left w:val="single" w:sz="4" w:space="0" w:color="auto"/>
              <w:bottom w:val="single" w:sz="18" w:space="0" w:color="FFFFFF" w:themeColor="background1"/>
            </w:tcBorders>
            <w:noWrap/>
            <w:hideMark/>
          </w:tcPr>
          <w:p w14:paraId="05452EF3" w14:textId="19A3B435" w:rsidR="009625EF" w:rsidRPr="0066379B" w:rsidRDefault="009625EF" w:rsidP="009625EF">
            <w:pPr>
              <w:spacing w:line="240" w:lineRule="auto"/>
              <w:rPr>
                <w:rFonts w:eastAsia="Times New Roman"/>
                <w:color w:val="000000"/>
              </w:rPr>
            </w:pPr>
            <w:r w:rsidRPr="0066379B">
              <w:rPr>
                <w:rFonts w:eastAsia="Times New Roman"/>
                <w:color w:val="000000"/>
              </w:rPr>
              <w:t>Multi-Objective</w:t>
            </w:r>
          </w:p>
        </w:tc>
      </w:tr>
      <w:tr w:rsidR="009625EF" w:rsidRPr="0066379B" w14:paraId="212824C9" w14:textId="77777777" w:rsidTr="0066379B">
        <w:trPr>
          <w:trHeight w:val="255"/>
        </w:trPr>
        <w:tc>
          <w:tcPr>
            <w:tcW w:w="1526" w:type="dxa"/>
            <w:tcBorders>
              <w:top w:val="single" w:sz="18" w:space="0" w:color="FFFFFF" w:themeColor="background1"/>
              <w:bottom w:val="single" w:sz="18" w:space="0" w:color="FFFFFF" w:themeColor="background1"/>
              <w:right w:val="single" w:sz="4" w:space="0" w:color="auto"/>
            </w:tcBorders>
            <w:noWrap/>
            <w:hideMark/>
          </w:tcPr>
          <w:p w14:paraId="50459163" w14:textId="77777777" w:rsidR="009625EF" w:rsidRPr="0066379B" w:rsidRDefault="009625EF" w:rsidP="0066379B">
            <w:pPr>
              <w:spacing w:line="240" w:lineRule="auto"/>
              <w:jc w:val="right"/>
              <w:rPr>
                <w:rFonts w:eastAsia="Times New Roman"/>
                <w:color w:val="000000"/>
              </w:rPr>
            </w:pPr>
            <w:r w:rsidRPr="0066379B">
              <w:rPr>
                <w:rFonts w:eastAsia="Times New Roman"/>
                <w:color w:val="000000"/>
              </w:rPr>
              <w:t>NK</w:t>
            </w:r>
          </w:p>
        </w:tc>
        <w:tc>
          <w:tcPr>
            <w:tcW w:w="7087" w:type="dxa"/>
            <w:tcBorders>
              <w:top w:val="single" w:sz="18" w:space="0" w:color="FFFFFF" w:themeColor="background1"/>
              <w:left w:val="single" w:sz="4" w:space="0" w:color="auto"/>
              <w:bottom w:val="single" w:sz="18" w:space="0" w:color="FFFFFF" w:themeColor="background1"/>
            </w:tcBorders>
            <w:noWrap/>
            <w:hideMark/>
          </w:tcPr>
          <w:p w14:paraId="17E75803" w14:textId="4F8030A9" w:rsidR="009625EF" w:rsidRPr="0066379B" w:rsidRDefault="009625EF" w:rsidP="009625EF">
            <w:pPr>
              <w:spacing w:line="240" w:lineRule="auto"/>
              <w:rPr>
                <w:rFonts w:eastAsia="Times New Roman"/>
                <w:color w:val="000000"/>
              </w:rPr>
            </w:pPr>
            <w:r w:rsidRPr="0066379B">
              <w:rPr>
                <w:rFonts w:eastAsia="Times New Roman"/>
                <w:color w:val="000000"/>
              </w:rPr>
              <w:t>Natural Killer Cell</w:t>
            </w:r>
          </w:p>
        </w:tc>
      </w:tr>
      <w:tr w:rsidR="009625EF" w:rsidRPr="0066379B" w14:paraId="63181D43" w14:textId="77777777" w:rsidTr="0066379B">
        <w:trPr>
          <w:trHeight w:val="255"/>
        </w:trPr>
        <w:tc>
          <w:tcPr>
            <w:tcW w:w="1526" w:type="dxa"/>
            <w:tcBorders>
              <w:top w:val="single" w:sz="18" w:space="0" w:color="FFFFFF" w:themeColor="background1"/>
              <w:bottom w:val="single" w:sz="18" w:space="0" w:color="FFFFFF" w:themeColor="background1"/>
              <w:right w:val="single" w:sz="4" w:space="0" w:color="auto"/>
            </w:tcBorders>
            <w:noWrap/>
            <w:hideMark/>
          </w:tcPr>
          <w:p w14:paraId="1C18079E" w14:textId="77777777" w:rsidR="009625EF" w:rsidRPr="0066379B" w:rsidRDefault="009625EF" w:rsidP="0066379B">
            <w:pPr>
              <w:spacing w:line="240" w:lineRule="auto"/>
              <w:jc w:val="right"/>
              <w:rPr>
                <w:rFonts w:eastAsia="Times New Roman"/>
                <w:color w:val="000000"/>
              </w:rPr>
            </w:pPr>
            <w:r w:rsidRPr="0066379B">
              <w:rPr>
                <w:rFonts w:eastAsia="Times New Roman"/>
                <w:color w:val="000000"/>
              </w:rPr>
              <w:t>NKT</w:t>
            </w:r>
          </w:p>
        </w:tc>
        <w:tc>
          <w:tcPr>
            <w:tcW w:w="7087" w:type="dxa"/>
            <w:tcBorders>
              <w:top w:val="single" w:sz="18" w:space="0" w:color="FFFFFF" w:themeColor="background1"/>
              <w:left w:val="single" w:sz="4" w:space="0" w:color="auto"/>
              <w:bottom w:val="single" w:sz="18" w:space="0" w:color="FFFFFF" w:themeColor="background1"/>
            </w:tcBorders>
            <w:noWrap/>
            <w:hideMark/>
          </w:tcPr>
          <w:p w14:paraId="60E8EEA5" w14:textId="01AF38DC" w:rsidR="009625EF" w:rsidRPr="0066379B" w:rsidRDefault="009625EF" w:rsidP="009625EF">
            <w:pPr>
              <w:spacing w:line="240" w:lineRule="auto"/>
              <w:rPr>
                <w:rFonts w:eastAsia="Times New Roman"/>
                <w:color w:val="000000"/>
              </w:rPr>
            </w:pPr>
            <w:r w:rsidRPr="0066379B">
              <w:rPr>
                <w:rFonts w:eastAsia="Times New Roman"/>
                <w:color w:val="000000"/>
              </w:rPr>
              <w:t>Natural Killer T Cell</w:t>
            </w:r>
          </w:p>
        </w:tc>
      </w:tr>
      <w:tr w:rsidR="009625EF" w:rsidRPr="0066379B" w14:paraId="56A32139" w14:textId="77777777" w:rsidTr="0066379B">
        <w:trPr>
          <w:trHeight w:val="255"/>
        </w:trPr>
        <w:tc>
          <w:tcPr>
            <w:tcW w:w="1526" w:type="dxa"/>
            <w:tcBorders>
              <w:top w:val="single" w:sz="18" w:space="0" w:color="FFFFFF" w:themeColor="background1"/>
              <w:bottom w:val="single" w:sz="18" w:space="0" w:color="FFFFFF" w:themeColor="background1"/>
              <w:right w:val="single" w:sz="4" w:space="0" w:color="auto"/>
            </w:tcBorders>
            <w:noWrap/>
            <w:hideMark/>
          </w:tcPr>
          <w:p w14:paraId="2F276DB4" w14:textId="77777777" w:rsidR="009625EF" w:rsidRPr="0066379B" w:rsidRDefault="009625EF" w:rsidP="0066379B">
            <w:pPr>
              <w:spacing w:line="240" w:lineRule="auto"/>
              <w:jc w:val="right"/>
              <w:rPr>
                <w:rFonts w:eastAsia="Times New Roman"/>
                <w:color w:val="000000"/>
              </w:rPr>
            </w:pPr>
            <w:r w:rsidRPr="0066379B">
              <w:rPr>
                <w:rFonts w:eastAsia="Times New Roman"/>
                <w:color w:val="000000"/>
              </w:rPr>
              <w:t>NSGA2</w:t>
            </w:r>
          </w:p>
        </w:tc>
        <w:tc>
          <w:tcPr>
            <w:tcW w:w="7087" w:type="dxa"/>
            <w:tcBorders>
              <w:top w:val="single" w:sz="18" w:space="0" w:color="FFFFFF" w:themeColor="background1"/>
              <w:left w:val="single" w:sz="4" w:space="0" w:color="auto"/>
              <w:bottom w:val="single" w:sz="18" w:space="0" w:color="FFFFFF" w:themeColor="background1"/>
            </w:tcBorders>
            <w:noWrap/>
            <w:hideMark/>
          </w:tcPr>
          <w:p w14:paraId="16A86E7B" w14:textId="08784522" w:rsidR="009625EF" w:rsidRPr="0066379B" w:rsidRDefault="009625EF" w:rsidP="009625EF">
            <w:pPr>
              <w:spacing w:line="240" w:lineRule="auto"/>
              <w:rPr>
                <w:rFonts w:eastAsia="Times New Roman"/>
                <w:color w:val="000000"/>
              </w:rPr>
            </w:pPr>
            <w:r w:rsidRPr="0066379B">
              <w:rPr>
                <w:rFonts w:eastAsia="Times New Roman"/>
                <w:color w:val="000000"/>
              </w:rPr>
              <w:t>Non-Dominated Sorting Genetic Algorithm II</w:t>
            </w:r>
          </w:p>
        </w:tc>
      </w:tr>
      <w:tr w:rsidR="009625EF" w:rsidRPr="0066379B" w14:paraId="5719A4EF" w14:textId="77777777" w:rsidTr="0066379B">
        <w:trPr>
          <w:trHeight w:val="255"/>
        </w:trPr>
        <w:tc>
          <w:tcPr>
            <w:tcW w:w="1526" w:type="dxa"/>
            <w:tcBorders>
              <w:top w:val="single" w:sz="18" w:space="0" w:color="FFFFFF" w:themeColor="background1"/>
              <w:bottom w:val="single" w:sz="18" w:space="0" w:color="FFFFFF" w:themeColor="background1"/>
              <w:right w:val="single" w:sz="4" w:space="0" w:color="auto"/>
            </w:tcBorders>
            <w:noWrap/>
            <w:hideMark/>
          </w:tcPr>
          <w:p w14:paraId="4B3E7EEB" w14:textId="77777777" w:rsidR="009625EF" w:rsidRPr="0066379B" w:rsidRDefault="009625EF" w:rsidP="0066379B">
            <w:pPr>
              <w:spacing w:line="240" w:lineRule="auto"/>
              <w:jc w:val="right"/>
              <w:rPr>
                <w:rFonts w:eastAsia="Times New Roman"/>
                <w:color w:val="000000"/>
              </w:rPr>
            </w:pPr>
            <w:r w:rsidRPr="0066379B">
              <w:rPr>
                <w:rFonts w:eastAsia="Times New Roman"/>
                <w:color w:val="000000"/>
              </w:rPr>
              <w:t>ODE</w:t>
            </w:r>
          </w:p>
        </w:tc>
        <w:tc>
          <w:tcPr>
            <w:tcW w:w="7087" w:type="dxa"/>
            <w:tcBorders>
              <w:top w:val="single" w:sz="18" w:space="0" w:color="FFFFFF" w:themeColor="background1"/>
              <w:left w:val="single" w:sz="4" w:space="0" w:color="auto"/>
              <w:bottom w:val="single" w:sz="18" w:space="0" w:color="FFFFFF" w:themeColor="background1"/>
            </w:tcBorders>
            <w:noWrap/>
            <w:hideMark/>
          </w:tcPr>
          <w:p w14:paraId="3797D6D6" w14:textId="017ABED0" w:rsidR="009625EF" w:rsidRPr="0066379B" w:rsidRDefault="009625EF" w:rsidP="009625EF">
            <w:pPr>
              <w:spacing w:line="240" w:lineRule="auto"/>
              <w:rPr>
                <w:rFonts w:eastAsia="Times New Roman"/>
                <w:color w:val="000000"/>
              </w:rPr>
            </w:pPr>
            <w:r w:rsidRPr="0066379B">
              <w:rPr>
                <w:rFonts w:eastAsia="Times New Roman"/>
                <w:color w:val="000000"/>
              </w:rPr>
              <w:t>Ordinary Differential Equation</w:t>
            </w:r>
          </w:p>
        </w:tc>
      </w:tr>
      <w:tr w:rsidR="009625EF" w:rsidRPr="0066379B" w14:paraId="0B7D86F1" w14:textId="77777777" w:rsidTr="0066379B">
        <w:trPr>
          <w:trHeight w:val="255"/>
        </w:trPr>
        <w:tc>
          <w:tcPr>
            <w:tcW w:w="1526" w:type="dxa"/>
            <w:tcBorders>
              <w:top w:val="single" w:sz="18" w:space="0" w:color="FFFFFF" w:themeColor="background1"/>
              <w:bottom w:val="single" w:sz="18" w:space="0" w:color="FFFFFF" w:themeColor="background1"/>
              <w:right w:val="single" w:sz="4" w:space="0" w:color="auto"/>
            </w:tcBorders>
            <w:noWrap/>
            <w:hideMark/>
          </w:tcPr>
          <w:p w14:paraId="0DD952D3" w14:textId="77777777" w:rsidR="009625EF" w:rsidRPr="0066379B" w:rsidRDefault="009625EF" w:rsidP="0066379B">
            <w:pPr>
              <w:spacing w:line="240" w:lineRule="auto"/>
              <w:jc w:val="right"/>
              <w:rPr>
                <w:rFonts w:eastAsia="Times New Roman"/>
                <w:color w:val="000000"/>
              </w:rPr>
            </w:pPr>
            <w:r w:rsidRPr="0066379B">
              <w:rPr>
                <w:rFonts w:eastAsiaTheme="minorEastAsia"/>
                <w:color w:val="000000"/>
              </w:rPr>
              <w:t>PBPK</w:t>
            </w:r>
          </w:p>
        </w:tc>
        <w:tc>
          <w:tcPr>
            <w:tcW w:w="7087" w:type="dxa"/>
            <w:tcBorders>
              <w:top w:val="single" w:sz="18" w:space="0" w:color="FFFFFF" w:themeColor="background1"/>
              <w:left w:val="single" w:sz="4" w:space="0" w:color="auto"/>
              <w:bottom w:val="single" w:sz="18" w:space="0" w:color="FFFFFF" w:themeColor="background1"/>
            </w:tcBorders>
            <w:noWrap/>
            <w:hideMark/>
          </w:tcPr>
          <w:p w14:paraId="654B0EA4" w14:textId="056491D4" w:rsidR="009625EF" w:rsidRPr="0066379B" w:rsidRDefault="009625EF" w:rsidP="009625EF">
            <w:pPr>
              <w:spacing w:line="240" w:lineRule="auto"/>
              <w:rPr>
                <w:rFonts w:eastAsia="Times New Roman"/>
                <w:color w:val="000000"/>
              </w:rPr>
            </w:pPr>
            <w:r w:rsidRPr="0066379B">
              <w:rPr>
                <w:rFonts w:eastAsia="Times New Roman"/>
                <w:color w:val="000000"/>
              </w:rPr>
              <w:t>Physiologically-Based Pharmacokinetic Model</w:t>
            </w:r>
          </w:p>
        </w:tc>
      </w:tr>
      <w:tr w:rsidR="009625EF" w:rsidRPr="0066379B" w14:paraId="0E801E39" w14:textId="77777777" w:rsidTr="0066379B">
        <w:trPr>
          <w:trHeight w:val="255"/>
        </w:trPr>
        <w:tc>
          <w:tcPr>
            <w:tcW w:w="1526" w:type="dxa"/>
            <w:tcBorders>
              <w:top w:val="single" w:sz="18" w:space="0" w:color="FFFFFF" w:themeColor="background1"/>
              <w:bottom w:val="single" w:sz="18" w:space="0" w:color="FFFFFF" w:themeColor="background1"/>
              <w:right w:val="single" w:sz="4" w:space="0" w:color="auto"/>
            </w:tcBorders>
            <w:noWrap/>
            <w:hideMark/>
          </w:tcPr>
          <w:p w14:paraId="69AE8B76" w14:textId="6E86D851" w:rsidR="009625EF" w:rsidRPr="0066379B" w:rsidRDefault="009625EF" w:rsidP="0066379B">
            <w:pPr>
              <w:spacing w:line="240" w:lineRule="auto"/>
              <w:jc w:val="right"/>
              <w:rPr>
                <w:rFonts w:eastAsia="Times New Roman"/>
                <w:color w:val="000000"/>
              </w:rPr>
            </w:pPr>
            <w:r w:rsidRPr="0066379B">
              <w:rPr>
                <w:rFonts w:eastAsia="Times New Roman"/>
                <w:color w:val="000000"/>
              </w:rPr>
              <w:t>PD</w:t>
            </w:r>
          </w:p>
        </w:tc>
        <w:tc>
          <w:tcPr>
            <w:tcW w:w="7087" w:type="dxa"/>
            <w:tcBorders>
              <w:top w:val="single" w:sz="18" w:space="0" w:color="FFFFFF" w:themeColor="background1"/>
              <w:left w:val="single" w:sz="4" w:space="0" w:color="auto"/>
              <w:bottom w:val="single" w:sz="18" w:space="0" w:color="FFFFFF" w:themeColor="background1"/>
            </w:tcBorders>
            <w:noWrap/>
            <w:hideMark/>
          </w:tcPr>
          <w:p w14:paraId="68292BBF" w14:textId="77777777" w:rsidR="009625EF" w:rsidRPr="0066379B" w:rsidRDefault="009625EF" w:rsidP="009625EF">
            <w:pPr>
              <w:spacing w:line="240" w:lineRule="auto"/>
              <w:rPr>
                <w:rFonts w:eastAsia="Times New Roman"/>
                <w:color w:val="000000"/>
              </w:rPr>
            </w:pPr>
            <w:r w:rsidRPr="0066379B">
              <w:rPr>
                <w:rFonts w:eastAsia="Times New Roman"/>
                <w:color w:val="000000"/>
              </w:rPr>
              <w:t>Pharmacodynamics</w:t>
            </w:r>
          </w:p>
        </w:tc>
      </w:tr>
      <w:tr w:rsidR="009625EF" w:rsidRPr="0066379B" w14:paraId="694214F4" w14:textId="77777777" w:rsidTr="0066379B">
        <w:trPr>
          <w:trHeight w:val="255"/>
        </w:trPr>
        <w:tc>
          <w:tcPr>
            <w:tcW w:w="1526" w:type="dxa"/>
            <w:tcBorders>
              <w:top w:val="single" w:sz="18" w:space="0" w:color="FFFFFF" w:themeColor="background1"/>
              <w:bottom w:val="single" w:sz="18" w:space="0" w:color="FFFFFF" w:themeColor="background1"/>
              <w:right w:val="single" w:sz="4" w:space="0" w:color="auto"/>
            </w:tcBorders>
            <w:noWrap/>
            <w:hideMark/>
          </w:tcPr>
          <w:p w14:paraId="64143065" w14:textId="77777777" w:rsidR="009625EF" w:rsidRPr="0066379B" w:rsidRDefault="009625EF" w:rsidP="0066379B">
            <w:pPr>
              <w:spacing w:line="240" w:lineRule="auto"/>
              <w:jc w:val="right"/>
              <w:rPr>
                <w:rFonts w:eastAsia="Times New Roman"/>
                <w:color w:val="000000"/>
              </w:rPr>
            </w:pPr>
            <w:r w:rsidRPr="0066379B">
              <w:rPr>
                <w:rFonts w:eastAsia="Times New Roman"/>
                <w:color w:val="000000"/>
              </w:rPr>
              <w:t>PDE</w:t>
            </w:r>
          </w:p>
        </w:tc>
        <w:tc>
          <w:tcPr>
            <w:tcW w:w="7087" w:type="dxa"/>
            <w:tcBorders>
              <w:top w:val="single" w:sz="18" w:space="0" w:color="FFFFFF" w:themeColor="background1"/>
              <w:left w:val="single" w:sz="4" w:space="0" w:color="auto"/>
              <w:bottom w:val="single" w:sz="18" w:space="0" w:color="FFFFFF" w:themeColor="background1"/>
            </w:tcBorders>
            <w:noWrap/>
            <w:hideMark/>
          </w:tcPr>
          <w:p w14:paraId="75917BAA" w14:textId="3F1FB8AD" w:rsidR="009625EF" w:rsidRPr="0066379B" w:rsidRDefault="009625EF" w:rsidP="009625EF">
            <w:pPr>
              <w:spacing w:line="240" w:lineRule="auto"/>
              <w:rPr>
                <w:rFonts w:eastAsia="Times New Roman"/>
                <w:color w:val="000000"/>
              </w:rPr>
            </w:pPr>
            <w:r w:rsidRPr="0066379B">
              <w:rPr>
                <w:rFonts w:eastAsia="Times New Roman"/>
                <w:color w:val="000000"/>
              </w:rPr>
              <w:t>Partial Differential Equation</w:t>
            </w:r>
          </w:p>
        </w:tc>
      </w:tr>
      <w:tr w:rsidR="009625EF" w:rsidRPr="0066379B" w14:paraId="6EA29243" w14:textId="77777777" w:rsidTr="0066379B">
        <w:trPr>
          <w:trHeight w:val="255"/>
        </w:trPr>
        <w:tc>
          <w:tcPr>
            <w:tcW w:w="1526" w:type="dxa"/>
            <w:tcBorders>
              <w:top w:val="single" w:sz="18" w:space="0" w:color="FFFFFF" w:themeColor="background1"/>
              <w:bottom w:val="single" w:sz="18" w:space="0" w:color="FFFFFF" w:themeColor="background1"/>
              <w:right w:val="single" w:sz="4" w:space="0" w:color="auto"/>
            </w:tcBorders>
            <w:noWrap/>
            <w:hideMark/>
          </w:tcPr>
          <w:p w14:paraId="272AB992" w14:textId="46259A21" w:rsidR="009625EF" w:rsidRPr="0066379B" w:rsidRDefault="009625EF" w:rsidP="0066379B">
            <w:pPr>
              <w:spacing w:line="240" w:lineRule="auto"/>
              <w:jc w:val="right"/>
              <w:rPr>
                <w:rFonts w:eastAsia="Times New Roman"/>
                <w:color w:val="000000"/>
              </w:rPr>
            </w:pPr>
            <w:r w:rsidRPr="0066379B">
              <w:rPr>
                <w:rFonts w:eastAsia="Times New Roman"/>
                <w:color w:val="000000"/>
              </w:rPr>
              <w:t>PK</w:t>
            </w:r>
          </w:p>
        </w:tc>
        <w:tc>
          <w:tcPr>
            <w:tcW w:w="7087" w:type="dxa"/>
            <w:tcBorders>
              <w:top w:val="single" w:sz="18" w:space="0" w:color="FFFFFF" w:themeColor="background1"/>
              <w:left w:val="single" w:sz="4" w:space="0" w:color="auto"/>
              <w:bottom w:val="single" w:sz="18" w:space="0" w:color="FFFFFF" w:themeColor="background1"/>
            </w:tcBorders>
            <w:noWrap/>
            <w:hideMark/>
          </w:tcPr>
          <w:p w14:paraId="2D1DE337" w14:textId="77777777" w:rsidR="009625EF" w:rsidRPr="0066379B" w:rsidRDefault="009625EF" w:rsidP="009625EF">
            <w:pPr>
              <w:spacing w:line="240" w:lineRule="auto"/>
              <w:rPr>
                <w:rFonts w:eastAsia="Times New Roman"/>
                <w:color w:val="000000"/>
              </w:rPr>
            </w:pPr>
            <w:r w:rsidRPr="0066379B">
              <w:rPr>
                <w:rFonts w:eastAsia="Times New Roman"/>
                <w:color w:val="000000"/>
              </w:rPr>
              <w:t>Pharmacokinetics</w:t>
            </w:r>
          </w:p>
        </w:tc>
      </w:tr>
      <w:tr w:rsidR="009625EF" w:rsidRPr="0066379B" w14:paraId="25BA7F1B" w14:textId="77777777" w:rsidTr="0066379B">
        <w:trPr>
          <w:trHeight w:val="255"/>
        </w:trPr>
        <w:tc>
          <w:tcPr>
            <w:tcW w:w="1526" w:type="dxa"/>
            <w:tcBorders>
              <w:top w:val="single" w:sz="18" w:space="0" w:color="FFFFFF" w:themeColor="background1"/>
              <w:bottom w:val="single" w:sz="18" w:space="0" w:color="FFFFFF" w:themeColor="background1"/>
              <w:right w:val="single" w:sz="4" w:space="0" w:color="auto"/>
            </w:tcBorders>
            <w:noWrap/>
            <w:hideMark/>
          </w:tcPr>
          <w:p w14:paraId="6DD21A02" w14:textId="77777777" w:rsidR="009625EF" w:rsidRPr="0066379B" w:rsidRDefault="009625EF" w:rsidP="0066379B">
            <w:pPr>
              <w:spacing w:line="240" w:lineRule="auto"/>
              <w:jc w:val="right"/>
              <w:rPr>
                <w:rFonts w:eastAsia="Times New Roman"/>
                <w:color w:val="000000"/>
              </w:rPr>
            </w:pPr>
            <w:r w:rsidRPr="0066379B">
              <w:rPr>
                <w:rFonts w:eastAsia="Times New Roman"/>
                <w:color w:val="000000"/>
              </w:rPr>
              <w:t>PKDL</w:t>
            </w:r>
          </w:p>
        </w:tc>
        <w:tc>
          <w:tcPr>
            <w:tcW w:w="7087" w:type="dxa"/>
            <w:tcBorders>
              <w:top w:val="single" w:sz="18" w:space="0" w:color="FFFFFF" w:themeColor="background1"/>
              <w:left w:val="single" w:sz="4" w:space="0" w:color="auto"/>
              <w:bottom w:val="single" w:sz="18" w:space="0" w:color="FFFFFF" w:themeColor="background1"/>
            </w:tcBorders>
            <w:noWrap/>
            <w:hideMark/>
          </w:tcPr>
          <w:p w14:paraId="303CC0BA" w14:textId="076FA331" w:rsidR="009625EF" w:rsidRPr="0066379B" w:rsidRDefault="009625EF" w:rsidP="009625EF">
            <w:pPr>
              <w:spacing w:line="240" w:lineRule="auto"/>
              <w:rPr>
                <w:rFonts w:eastAsia="Times New Roman"/>
                <w:color w:val="000000"/>
              </w:rPr>
            </w:pPr>
            <w:r w:rsidRPr="0066379B">
              <w:rPr>
                <w:rFonts w:eastAsia="Times New Roman"/>
                <w:color w:val="000000"/>
              </w:rPr>
              <w:t>Post-Kala Azar Dermal Leishmaniasis</w:t>
            </w:r>
          </w:p>
        </w:tc>
      </w:tr>
      <w:tr w:rsidR="009625EF" w:rsidRPr="0066379B" w14:paraId="39DE7223" w14:textId="77777777" w:rsidTr="0066379B">
        <w:trPr>
          <w:trHeight w:val="255"/>
        </w:trPr>
        <w:tc>
          <w:tcPr>
            <w:tcW w:w="1526" w:type="dxa"/>
            <w:tcBorders>
              <w:top w:val="single" w:sz="18" w:space="0" w:color="FFFFFF" w:themeColor="background1"/>
              <w:bottom w:val="single" w:sz="18" w:space="0" w:color="FFFFFF" w:themeColor="background1"/>
              <w:right w:val="single" w:sz="4" w:space="0" w:color="auto"/>
            </w:tcBorders>
            <w:noWrap/>
            <w:hideMark/>
          </w:tcPr>
          <w:p w14:paraId="7EAAF8FC" w14:textId="77777777" w:rsidR="009625EF" w:rsidRPr="0066379B" w:rsidRDefault="009625EF" w:rsidP="0066379B">
            <w:pPr>
              <w:spacing w:line="240" w:lineRule="auto"/>
              <w:jc w:val="right"/>
              <w:rPr>
                <w:rFonts w:eastAsia="Times New Roman"/>
                <w:color w:val="000000"/>
              </w:rPr>
            </w:pPr>
            <w:r w:rsidRPr="0066379B">
              <w:rPr>
                <w:rFonts w:eastAsia="Times New Roman"/>
                <w:color w:val="000000"/>
              </w:rPr>
              <w:t>PRCC</w:t>
            </w:r>
          </w:p>
        </w:tc>
        <w:tc>
          <w:tcPr>
            <w:tcW w:w="7087" w:type="dxa"/>
            <w:tcBorders>
              <w:top w:val="single" w:sz="18" w:space="0" w:color="FFFFFF" w:themeColor="background1"/>
              <w:left w:val="single" w:sz="4" w:space="0" w:color="auto"/>
              <w:bottom w:val="single" w:sz="18" w:space="0" w:color="FFFFFF" w:themeColor="background1"/>
            </w:tcBorders>
            <w:noWrap/>
            <w:hideMark/>
          </w:tcPr>
          <w:p w14:paraId="001ED503" w14:textId="49A93358" w:rsidR="009625EF" w:rsidRPr="0066379B" w:rsidRDefault="009625EF" w:rsidP="009625EF">
            <w:pPr>
              <w:spacing w:line="240" w:lineRule="auto"/>
              <w:rPr>
                <w:rFonts w:eastAsia="Times New Roman"/>
                <w:color w:val="000000"/>
              </w:rPr>
            </w:pPr>
            <w:r w:rsidRPr="0066379B">
              <w:rPr>
                <w:rFonts w:eastAsia="Times New Roman"/>
                <w:color w:val="000000"/>
              </w:rPr>
              <w:t>Partial Rank Correlation Coefficient</w:t>
            </w:r>
          </w:p>
        </w:tc>
      </w:tr>
      <w:tr w:rsidR="009625EF" w:rsidRPr="0066379B" w14:paraId="2CD8769D" w14:textId="77777777" w:rsidTr="0066379B">
        <w:trPr>
          <w:trHeight w:val="255"/>
        </w:trPr>
        <w:tc>
          <w:tcPr>
            <w:tcW w:w="1526" w:type="dxa"/>
            <w:tcBorders>
              <w:top w:val="single" w:sz="18" w:space="0" w:color="FFFFFF" w:themeColor="background1"/>
              <w:bottom w:val="single" w:sz="18" w:space="0" w:color="FFFFFF" w:themeColor="background1"/>
              <w:right w:val="single" w:sz="4" w:space="0" w:color="auto"/>
            </w:tcBorders>
            <w:noWrap/>
            <w:hideMark/>
          </w:tcPr>
          <w:p w14:paraId="25CD7C57" w14:textId="77777777" w:rsidR="009625EF" w:rsidRPr="0066379B" w:rsidRDefault="009625EF" w:rsidP="0066379B">
            <w:pPr>
              <w:spacing w:line="240" w:lineRule="auto"/>
              <w:jc w:val="right"/>
              <w:rPr>
                <w:rFonts w:eastAsia="Times New Roman"/>
                <w:color w:val="000000"/>
              </w:rPr>
            </w:pPr>
            <w:r w:rsidRPr="0066379B">
              <w:rPr>
                <w:rFonts w:eastAsia="Times New Roman"/>
                <w:color w:val="000000"/>
              </w:rPr>
              <w:t>RMSE</w:t>
            </w:r>
          </w:p>
        </w:tc>
        <w:tc>
          <w:tcPr>
            <w:tcW w:w="7087" w:type="dxa"/>
            <w:tcBorders>
              <w:top w:val="single" w:sz="18" w:space="0" w:color="FFFFFF" w:themeColor="background1"/>
              <w:left w:val="single" w:sz="4" w:space="0" w:color="auto"/>
              <w:bottom w:val="single" w:sz="18" w:space="0" w:color="FFFFFF" w:themeColor="background1"/>
            </w:tcBorders>
            <w:noWrap/>
            <w:hideMark/>
          </w:tcPr>
          <w:p w14:paraId="5727CC61" w14:textId="1FAD98E8" w:rsidR="009625EF" w:rsidRPr="0066379B" w:rsidRDefault="009625EF" w:rsidP="009625EF">
            <w:pPr>
              <w:spacing w:line="240" w:lineRule="auto"/>
              <w:rPr>
                <w:rFonts w:eastAsia="Times New Roman"/>
                <w:color w:val="000000"/>
              </w:rPr>
            </w:pPr>
            <w:r w:rsidRPr="0066379B">
              <w:rPr>
                <w:rFonts w:eastAsia="Times New Roman"/>
                <w:color w:val="000000"/>
              </w:rPr>
              <w:t>Root Mean Square Error</w:t>
            </w:r>
          </w:p>
        </w:tc>
      </w:tr>
      <w:tr w:rsidR="009625EF" w:rsidRPr="0066379B" w14:paraId="127BF015" w14:textId="77777777" w:rsidTr="0066379B">
        <w:trPr>
          <w:trHeight w:val="255"/>
        </w:trPr>
        <w:tc>
          <w:tcPr>
            <w:tcW w:w="1526" w:type="dxa"/>
            <w:tcBorders>
              <w:top w:val="single" w:sz="18" w:space="0" w:color="FFFFFF" w:themeColor="background1"/>
              <w:bottom w:val="single" w:sz="18" w:space="0" w:color="FFFFFF" w:themeColor="background1"/>
              <w:right w:val="single" w:sz="4" w:space="0" w:color="auto"/>
            </w:tcBorders>
            <w:noWrap/>
            <w:hideMark/>
          </w:tcPr>
          <w:p w14:paraId="074B228E" w14:textId="2B96C3D3" w:rsidR="009625EF" w:rsidRPr="0066379B" w:rsidRDefault="009625EF" w:rsidP="0066379B">
            <w:pPr>
              <w:spacing w:line="240" w:lineRule="auto"/>
              <w:jc w:val="right"/>
              <w:rPr>
                <w:rFonts w:eastAsia="Times New Roman"/>
                <w:color w:val="000000"/>
              </w:rPr>
            </w:pPr>
            <w:r w:rsidRPr="0066379B">
              <w:rPr>
                <w:rFonts w:eastAsia="Times New Roman"/>
                <w:color w:val="000000"/>
              </w:rPr>
              <w:lastRenderedPageBreak/>
              <w:t>T</w:t>
            </w:r>
            <w:r w:rsidRPr="0066379B">
              <w:rPr>
                <w:rFonts w:eastAsia="Times New Roman"/>
                <w:color w:val="000000"/>
                <w:vertAlign w:val="subscript"/>
              </w:rPr>
              <w:t>c</w:t>
            </w:r>
          </w:p>
        </w:tc>
        <w:tc>
          <w:tcPr>
            <w:tcW w:w="7087" w:type="dxa"/>
            <w:tcBorders>
              <w:top w:val="single" w:sz="18" w:space="0" w:color="FFFFFF" w:themeColor="background1"/>
              <w:left w:val="single" w:sz="4" w:space="0" w:color="auto"/>
              <w:bottom w:val="single" w:sz="18" w:space="0" w:color="FFFFFF" w:themeColor="background1"/>
            </w:tcBorders>
            <w:noWrap/>
            <w:hideMark/>
          </w:tcPr>
          <w:p w14:paraId="687959EE" w14:textId="79D55D48" w:rsidR="009625EF" w:rsidRPr="0066379B" w:rsidRDefault="009625EF" w:rsidP="009625EF">
            <w:pPr>
              <w:spacing w:line="240" w:lineRule="auto"/>
              <w:rPr>
                <w:rFonts w:eastAsia="Times New Roman"/>
                <w:color w:val="000000"/>
              </w:rPr>
            </w:pPr>
            <w:r w:rsidRPr="0066379B">
              <w:rPr>
                <w:rFonts w:eastAsia="Times New Roman"/>
                <w:color w:val="000000"/>
              </w:rPr>
              <w:t>T Cytotoxic Cell</w:t>
            </w:r>
          </w:p>
        </w:tc>
      </w:tr>
      <w:tr w:rsidR="009625EF" w:rsidRPr="0066379B" w14:paraId="1572DFBF" w14:textId="77777777" w:rsidTr="0066379B">
        <w:trPr>
          <w:trHeight w:val="255"/>
        </w:trPr>
        <w:tc>
          <w:tcPr>
            <w:tcW w:w="1526" w:type="dxa"/>
            <w:tcBorders>
              <w:top w:val="single" w:sz="18" w:space="0" w:color="FFFFFF" w:themeColor="background1"/>
              <w:bottom w:val="single" w:sz="18" w:space="0" w:color="FFFFFF" w:themeColor="background1"/>
              <w:right w:val="single" w:sz="4" w:space="0" w:color="auto"/>
            </w:tcBorders>
            <w:noWrap/>
            <w:hideMark/>
          </w:tcPr>
          <w:p w14:paraId="37B60955" w14:textId="51E33557" w:rsidR="009625EF" w:rsidRPr="0066379B" w:rsidRDefault="009625EF" w:rsidP="0066379B">
            <w:pPr>
              <w:spacing w:line="240" w:lineRule="auto"/>
              <w:jc w:val="right"/>
              <w:rPr>
                <w:rFonts w:eastAsia="Times New Roman"/>
                <w:color w:val="000000"/>
              </w:rPr>
            </w:pPr>
            <w:r w:rsidRPr="0066379B">
              <w:rPr>
                <w:rFonts w:eastAsia="Times New Roman"/>
                <w:color w:val="000000"/>
              </w:rPr>
              <w:t>TCR</w:t>
            </w:r>
          </w:p>
        </w:tc>
        <w:tc>
          <w:tcPr>
            <w:tcW w:w="7087" w:type="dxa"/>
            <w:tcBorders>
              <w:top w:val="single" w:sz="18" w:space="0" w:color="FFFFFF" w:themeColor="background1"/>
              <w:left w:val="single" w:sz="4" w:space="0" w:color="auto"/>
              <w:bottom w:val="single" w:sz="18" w:space="0" w:color="FFFFFF" w:themeColor="background1"/>
            </w:tcBorders>
            <w:noWrap/>
            <w:hideMark/>
          </w:tcPr>
          <w:p w14:paraId="5D90C217" w14:textId="090FE305" w:rsidR="009625EF" w:rsidRPr="0066379B" w:rsidRDefault="009625EF" w:rsidP="009625EF">
            <w:pPr>
              <w:spacing w:line="240" w:lineRule="auto"/>
              <w:rPr>
                <w:rFonts w:eastAsia="Times New Roman"/>
                <w:color w:val="000000"/>
              </w:rPr>
            </w:pPr>
            <w:r w:rsidRPr="0066379B">
              <w:rPr>
                <w:rFonts w:eastAsia="Times New Roman"/>
                <w:color w:val="000000"/>
              </w:rPr>
              <w:t>T Cell Receptor</w:t>
            </w:r>
          </w:p>
        </w:tc>
      </w:tr>
      <w:tr w:rsidR="009625EF" w:rsidRPr="0066379B" w14:paraId="041EFFE0" w14:textId="77777777" w:rsidTr="0066379B">
        <w:trPr>
          <w:trHeight w:val="255"/>
        </w:trPr>
        <w:tc>
          <w:tcPr>
            <w:tcW w:w="1526" w:type="dxa"/>
            <w:tcBorders>
              <w:top w:val="single" w:sz="18" w:space="0" w:color="FFFFFF" w:themeColor="background1"/>
              <w:bottom w:val="single" w:sz="18" w:space="0" w:color="FFFFFF" w:themeColor="background1"/>
              <w:right w:val="single" w:sz="4" w:space="0" w:color="auto"/>
            </w:tcBorders>
            <w:noWrap/>
            <w:hideMark/>
          </w:tcPr>
          <w:p w14:paraId="72FE71BC" w14:textId="77777777" w:rsidR="009625EF" w:rsidRPr="0066379B" w:rsidRDefault="009625EF" w:rsidP="0066379B">
            <w:pPr>
              <w:spacing w:line="240" w:lineRule="auto"/>
              <w:jc w:val="right"/>
              <w:rPr>
                <w:rFonts w:eastAsia="Times New Roman"/>
                <w:color w:val="000000"/>
              </w:rPr>
            </w:pPr>
            <w:r w:rsidRPr="0066379B">
              <w:rPr>
                <w:rFonts w:eastAsia="Times New Roman"/>
                <w:color w:val="000000"/>
              </w:rPr>
              <w:t>TGFb</w:t>
            </w:r>
          </w:p>
        </w:tc>
        <w:tc>
          <w:tcPr>
            <w:tcW w:w="7087" w:type="dxa"/>
            <w:tcBorders>
              <w:top w:val="single" w:sz="18" w:space="0" w:color="FFFFFF" w:themeColor="background1"/>
              <w:left w:val="single" w:sz="4" w:space="0" w:color="auto"/>
              <w:bottom w:val="single" w:sz="18" w:space="0" w:color="FFFFFF" w:themeColor="background1"/>
            </w:tcBorders>
            <w:noWrap/>
            <w:hideMark/>
          </w:tcPr>
          <w:p w14:paraId="265E20DA" w14:textId="25BAD2C9" w:rsidR="009625EF" w:rsidRPr="0066379B" w:rsidRDefault="009625EF" w:rsidP="009625EF">
            <w:pPr>
              <w:spacing w:line="240" w:lineRule="auto"/>
              <w:rPr>
                <w:rFonts w:eastAsia="Times New Roman"/>
                <w:color w:val="000000"/>
              </w:rPr>
            </w:pPr>
            <w:r w:rsidRPr="0066379B">
              <w:rPr>
                <w:rFonts w:eastAsia="Times New Roman"/>
                <w:color w:val="000000"/>
              </w:rPr>
              <w:t>Transforming Growth Factor Beta</w:t>
            </w:r>
          </w:p>
        </w:tc>
      </w:tr>
      <w:tr w:rsidR="009625EF" w:rsidRPr="0066379B" w14:paraId="4E479834" w14:textId="77777777" w:rsidTr="0066379B">
        <w:trPr>
          <w:trHeight w:val="255"/>
        </w:trPr>
        <w:tc>
          <w:tcPr>
            <w:tcW w:w="1526" w:type="dxa"/>
            <w:tcBorders>
              <w:top w:val="single" w:sz="18" w:space="0" w:color="FFFFFF" w:themeColor="background1"/>
              <w:bottom w:val="single" w:sz="18" w:space="0" w:color="FFFFFF" w:themeColor="background1"/>
              <w:right w:val="single" w:sz="4" w:space="0" w:color="auto"/>
            </w:tcBorders>
            <w:noWrap/>
            <w:hideMark/>
          </w:tcPr>
          <w:p w14:paraId="344ADC17" w14:textId="6FA4D236" w:rsidR="009625EF" w:rsidRPr="0066379B" w:rsidRDefault="009625EF" w:rsidP="0066379B">
            <w:pPr>
              <w:spacing w:line="240" w:lineRule="auto"/>
              <w:jc w:val="right"/>
              <w:rPr>
                <w:rFonts w:eastAsia="Times New Roman"/>
                <w:color w:val="000000"/>
              </w:rPr>
            </w:pPr>
            <w:r w:rsidRPr="0066379B">
              <w:rPr>
                <w:rFonts w:eastAsia="Times New Roman"/>
                <w:color w:val="000000"/>
              </w:rPr>
              <w:t>T</w:t>
            </w:r>
            <w:r w:rsidR="0066379B" w:rsidRPr="0066379B">
              <w:rPr>
                <w:rFonts w:eastAsia="Times New Roman"/>
                <w:color w:val="000000"/>
              </w:rPr>
              <w:t>h</w:t>
            </w:r>
          </w:p>
        </w:tc>
        <w:tc>
          <w:tcPr>
            <w:tcW w:w="7087" w:type="dxa"/>
            <w:tcBorders>
              <w:top w:val="single" w:sz="18" w:space="0" w:color="FFFFFF" w:themeColor="background1"/>
              <w:left w:val="single" w:sz="4" w:space="0" w:color="auto"/>
              <w:bottom w:val="single" w:sz="18" w:space="0" w:color="FFFFFF" w:themeColor="background1"/>
            </w:tcBorders>
            <w:noWrap/>
            <w:hideMark/>
          </w:tcPr>
          <w:p w14:paraId="36EA1C2C" w14:textId="15166650" w:rsidR="009625EF" w:rsidRPr="0066379B" w:rsidRDefault="009625EF" w:rsidP="009625EF">
            <w:pPr>
              <w:spacing w:line="240" w:lineRule="auto"/>
              <w:rPr>
                <w:rFonts w:eastAsia="Times New Roman"/>
                <w:color w:val="000000"/>
              </w:rPr>
            </w:pPr>
            <w:r w:rsidRPr="0066379B">
              <w:rPr>
                <w:rFonts w:eastAsia="Times New Roman"/>
                <w:color w:val="000000"/>
              </w:rPr>
              <w:t>T Helper Cell</w:t>
            </w:r>
          </w:p>
        </w:tc>
      </w:tr>
      <w:tr w:rsidR="009625EF" w:rsidRPr="0066379B" w14:paraId="526DA983" w14:textId="77777777" w:rsidTr="0066379B">
        <w:trPr>
          <w:trHeight w:val="255"/>
        </w:trPr>
        <w:tc>
          <w:tcPr>
            <w:tcW w:w="1526" w:type="dxa"/>
            <w:tcBorders>
              <w:top w:val="single" w:sz="18" w:space="0" w:color="FFFFFF" w:themeColor="background1"/>
              <w:right w:val="single" w:sz="4" w:space="0" w:color="auto"/>
            </w:tcBorders>
            <w:noWrap/>
            <w:hideMark/>
          </w:tcPr>
          <w:p w14:paraId="2BA6E306" w14:textId="6201A0F6" w:rsidR="009625EF" w:rsidRPr="0066379B" w:rsidRDefault="009625EF" w:rsidP="0066379B">
            <w:pPr>
              <w:spacing w:line="240" w:lineRule="auto"/>
              <w:jc w:val="right"/>
              <w:rPr>
                <w:rFonts w:eastAsia="Times New Roman"/>
                <w:color w:val="000000"/>
              </w:rPr>
            </w:pPr>
            <w:r w:rsidRPr="0066379B">
              <w:rPr>
                <w:rFonts w:eastAsia="Times New Roman"/>
                <w:color w:val="000000"/>
              </w:rPr>
              <w:t>TLR</w:t>
            </w:r>
          </w:p>
        </w:tc>
        <w:tc>
          <w:tcPr>
            <w:tcW w:w="7087" w:type="dxa"/>
            <w:tcBorders>
              <w:top w:val="single" w:sz="18" w:space="0" w:color="FFFFFF" w:themeColor="background1"/>
              <w:left w:val="single" w:sz="4" w:space="0" w:color="auto"/>
            </w:tcBorders>
            <w:noWrap/>
            <w:hideMark/>
          </w:tcPr>
          <w:p w14:paraId="3C6038BE" w14:textId="5084D5A3" w:rsidR="009625EF" w:rsidRPr="0066379B" w:rsidRDefault="009625EF" w:rsidP="009625EF">
            <w:pPr>
              <w:spacing w:line="240" w:lineRule="auto"/>
              <w:rPr>
                <w:rFonts w:eastAsia="Times New Roman"/>
                <w:color w:val="000000"/>
              </w:rPr>
            </w:pPr>
            <w:r w:rsidRPr="0066379B">
              <w:rPr>
                <w:rFonts w:eastAsia="Times New Roman"/>
                <w:color w:val="000000"/>
              </w:rPr>
              <w:t>Toll-Like Receptor</w:t>
            </w:r>
          </w:p>
        </w:tc>
      </w:tr>
      <w:tr w:rsidR="009625EF" w:rsidRPr="0066379B" w14:paraId="14979645" w14:textId="77777777" w:rsidTr="0066379B">
        <w:trPr>
          <w:trHeight w:val="255"/>
        </w:trPr>
        <w:tc>
          <w:tcPr>
            <w:tcW w:w="1526" w:type="dxa"/>
            <w:tcBorders>
              <w:top w:val="single" w:sz="18" w:space="0" w:color="FFFFFF" w:themeColor="background1"/>
              <w:bottom w:val="single" w:sz="18" w:space="0" w:color="FFFFFF" w:themeColor="background1"/>
              <w:right w:val="single" w:sz="4" w:space="0" w:color="auto"/>
            </w:tcBorders>
            <w:noWrap/>
            <w:hideMark/>
          </w:tcPr>
          <w:p w14:paraId="540CF449" w14:textId="77777777" w:rsidR="009625EF" w:rsidRPr="0066379B" w:rsidRDefault="009625EF" w:rsidP="0066379B">
            <w:pPr>
              <w:spacing w:line="240" w:lineRule="auto"/>
              <w:jc w:val="right"/>
              <w:rPr>
                <w:rFonts w:eastAsia="Times New Roman"/>
                <w:color w:val="000000"/>
              </w:rPr>
            </w:pPr>
            <w:r w:rsidRPr="0066379B">
              <w:rPr>
                <w:rFonts w:eastAsia="Times New Roman"/>
                <w:color w:val="000000" w:themeColor="text1"/>
              </w:rPr>
              <w:t>TNF</w:t>
            </w:r>
          </w:p>
        </w:tc>
        <w:tc>
          <w:tcPr>
            <w:tcW w:w="7087" w:type="dxa"/>
            <w:tcBorders>
              <w:top w:val="single" w:sz="18" w:space="0" w:color="FFFFFF" w:themeColor="background1"/>
              <w:left w:val="single" w:sz="4" w:space="0" w:color="auto"/>
              <w:bottom w:val="single" w:sz="18" w:space="0" w:color="FFFFFF" w:themeColor="background1"/>
            </w:tcBorders>
            <w:noWrap/>
            <w:hideMark/>
          </w:tcPr>
          <w:p w14:paraId="10046B5D" w14:textId="36A75E12" w:rsidR="009625EF" w:rsidRPr="0066379B" w:rsidRDefault="009625EF" w:rsidP="009625EF">
            <w:pPr>
              <w:spacing w:line="240" w:lineRule="auto"/>
              <w:rPr>
                <w:rFonts w:eastAsia="Times New Roman"/>
                <w:color w:val="000000"/>
              </w:rPr>
            </w:pPr>
            <w:r w:rsidRPr="0066379B">
              <w:rPr>
                <w:rFonts w:eastAsia="Times New Roman"/>
                <w:color w:val="000000"/>
              </w:rPr>
              <w:t>Tumour Necrosis Factor</w:t>
            </w:r>
          </w:p>
        </w:tc>
      </w:tr>
      <w:tr w:rsidR="009625EF" w:rsidRPr="0066379B" w14:paraId="0CB7C50D" w14:textId="77777777" w:rsidTr="0066379B">
        <w:trPr>
          <w:trHeight w:val="255"/>
        </w:trPr>
        <w:tc>
          <w:tcPr>
            <w:tcW w:w="1526" w:type="dxa"/>
            <w:tcBorders>
              <w:top w:val="single" w:sz="18" w:space="0" w:color="FFFFFF" w:themeColor="background1"/>
              <w:bottom w:val="single" w:sz="18" w:space="0" w:color="FFFFFF" w:themeColor="background1"/>
              <w:right w:val="single" w:sz="4" w:space="0" w:color="auto"/>
            </w:tcBorders>
            <w:noWrap/>
            <w:hideMark/>
          </w:tcPr>
          <w:p w14:paraId="166C937C" w14:textId="77777777" w:rsidR="009625EF" w:rsidRPr="0066379B" w:rsidRDefault="009625EF" w:rsidP="0066379B">
            <w:pPr>
              <w:spacing w:line="240" w:lineRule="auto"/>
              <w:jc w:val="right"/>
              <w:rPr>
                <w:rFonts w:eastAsia="Times New Roman"/>
                <w:color w:val="000000"/>
              </w:rPr>
            </w:pPr>
            <w:r w:rsidRPr="0066379B">
              <w:rPr>
                <w:rFonts w:eastAsia="Times New Roman"/>
                <w:color w:val="000000"/>
              </w:rPr>
              <w:t>TQMS</w:t>
            </w:r>
          </w:p>
        </w:tc>
        <w:tc>
          <w:tcPr>
            <w:tcW w:w="7087" w:type="dxa"/>
            <w:tcBorders>
              <w:top w:val="single" w:sz="18" w:space="0" w:color="FFFFFF" w:themeColor="background1"/>
              <w:left w:val="single" w:sz="4" w:space="0" w:color="auto"/>
              <w:bottom w:val="single" w:sz="18" w:space="0" w:color="FFFFFF" w:themeColor="background1"/>
            </w:tcBorders>
            <w:noWrap/>
            <w:hideMark/>
          </w:tcPr>
          <w:p w14:paraId="5E62BB49" w14:textId="5641B3FC" w:rsidR="009625EF" w:rsidRPr="0066379B" w:rsidRDefault="009625EF" w:rsidP="009625EF">
            <w:pPr>
              <w:spacing w:line="240" w:lineRule="auto"/>
              <w:rPr>
                <w:rFonts w:eastAsia="Times New Roman"/>
                <w:color w:val="000000"/>
              </w:rPr>
            </w:pPr>
            <w:r w:rsidRPr="0066379B">
              <w:rPr>
                <w:rFonts w:eastAsia="Times New Roman"/>
                <w:color w:val="000000"/>
              </w:rPr>
              <w:t>Triple Quadrupole Mass Spectrometer </w:t>
            </w:r>
          </w:p>
        </w:tc>
      </w:tr>
      <w:tr w:rsidR="009625EF" w:rsidRPr="0066379B" w14:paraId="37E89A08" w14:textId="77777777" w:rsidTr="0066379B">
        <w:trPr>
          <w:trHeight w:val="255"/>
        </w:trPr>
        <w:tc>
          <w:tcPr>
            <w:tcW w:w="1526" w:type="dxa"/>
            <w:tcBorders>
              <w:top w:val="single" w:sz="18" w:space="0" w:color="FFFFFF" w:themeColor="background1"/>
              <w:bottom w:val="single" w:sz="18" w:space="0" w:color="FFFFFF" w:themeColor="background1"/>
              <w:right w:val="single" w:sz="4" w:space="0" w:color="auto"/>
            </w:tcBorders>
            <w:noWrap/>
            <w:hideMark/>
          </w:tcPr>
          <w:p w14:paraId="010F3BEC" w14:textId="77777777" w:rsidR="009625EF" w:rsidRPr="0066379B" w:rsidRDefault="009625EF" w:rsidP="0066379B">
            <w:pPr>
              <w:spacing w:line="240" w:lineRule="auto"/>
              <w:jc w:val="right"/>
              <w:rPr>
                <w:rFonts w:eastAsia="Times New Roman"/>
                <w:color w:val="000000"/>
              </w:rPr>
            </w:pPr>
            <w:r w:rsidRPr="0066379B">
              <w:rPr>
                <w:rFonts w:eastAsia="Times New Roman"/>
                <w:color w:val="000000"/>
              </w:rPr>
              <w:t>UML</w:t>
            </w:r>
          </w:p>
        </w:tc>
        <w:tc>
          <w:tcPr>
            <w:tcW w:w="7087" w:type="dxa"/>
            <w:tcBorders>
              <w:top w:val="single" w:sz="18" w:space="0" w:color="FFFFFF" w:themeColor="background1"/>
              <w:left w:val="single" w:sz="4" w:space="0" w:color="auto"/>
              <w:bottom w:val="single" w:sz="18" w:space="0" w:color="FFFFFF" w:themeColor="background1"/>
            </w:tcBorders>
            <w:noWrap/>
            <w:hideMark/>
          </w:tcPr>
          <w:p w14:paraId="407A890D" w14:textId="480D75B0" w:rsidR="009625EF" w:rsidRPr="0066379B" w:rsidRDefault="009625EF" w:rsidP="009625EF">
            <w:pPr>
              <w:spacing w:line="240" w:lineRule="auto"/>
              <w:rPr>
                <w:rFonts w:eastAsia="Times New Roman"/>
                <w:color w:val="000000"/>
              </w:rPr>
            </w:pPr>
            <w:r w:rsidRPr="0066379B">
              <w:rPr>
                <w:rFonts w:eastAsia="Times New Roman"/>
                <w:color w:val="000000"/>
              </w:rPr>
              <w:t>Unified Modelling Language</w:t>
            </w:r>
          </w:p>
        </w:tc>
      </w:tr>
      <w:tr w:rsidR="009625EF" w:rsidRPr="0066379B" w14:paraId="35E543AC" w14:textId="77777777" w:rsidTr="0066379B">
        <w:trPr>
          <w:trHeight w:val="255"/>
        </w:trPr>
        <w:tc>
          <w:tcPr>
            <w:tcW w:w="1526" w:type="dxa"/>
            <w:tcBorders>
              <w:top w:val="single" w:sz="18" w:space="0" w:color="FFFFFF" w:themeColor="background1"/>
              <w:bottom w:val="single" w:sz="18" w:space="0" w:color="FFFFFF" w:themeColor="background1"/>
              <w:right w:val="single" w:sz="4" w:space="0" w:color="auto"/>
            </w:tcBorders>
            <w:noWrap/>
            <w:hideMark/>
          </w:tcPr>
          <w:p w14:paraId="7169EFD5" w14:textId="77777777" w:rsidR="009625EF" w:rsidRPr="0066379B" w:rsidRDefault="009625EF" w:rsidP="0066379B">
            <w:pPr>
              <w:spacing w:line="240" w:lineRule="auto"/>
              <w:jc w:val="right"/>
              <w:rPr>
                <w:rFonts w:eastAsia="Times New Roman"/>
                <w:color w:val="000000"/>
              </w:rPr>
            </w:pPr>
            <w:r w:rsidRPr="0066379B">
              <w:rPr>
                <w:rFonts w:eastAsia="Times New Roman"/>
                <w:color w:val="000000"/>
              </w:rPr>
              <w:t>VL</w:t>
            </w:r>
          </w:p>
        </w:tc>
        <w:tc>
          <w:tcPr>
            <w:tcW w:w="7087" w:type="dxa"/>
            <w:tcBorders>
              <w:top w:val="single" w:sz="18" w:space="0" w:color="FFFFFF" w:themeColor="background1"/>
              <w:left w:val="single" w:sz="4" w:space="0" w:color="auto"/>
              <w:bottom w:val="single" w:sz="18" w:space="0" w:color="FFFFFF" w:themeColor="background1"/>
            </w:tcBorders>
            <w:noWrap/>
            <w:hideMark/>
          </w:tcPr>
          <w:p w14:paraId="0822B0CC" w14:textId="181732DD" w:rsidR="009625EF" w:rsidRPr="0066379B" w:rsidRDefault="009625EF" w:rsidP="009625EF">
            <w:pPr>
              <w:spacing w:line="240" w:lineRule="auto"/>
              <w:rPr>
                <w:rFonts w:eastAsia="Times New Roman"/>
                <w:color w:val="000000"/>
              </w:rPr>
            </w:pPr>
            <w:r w:rsidRPr="0066379B">
              <w:rPr>
                <w:rFonts w:eastAsia="Times New Roman"/>
                <w:color w:val="000000"/>
              </w:rPr>
              <w:t>Visceral Leishmaniasis</w:t>
            </w:r>
          </w:p>
        </w:tc>
      </w:tr>
    </w:tbl>
    <w:p w14:paraId="00B2610F" w14:textId="77777777" w:rsidR="00713C98" w:rsidRPr="008B3AD6" w:rsidRDefault="00713C98" w:rsidP="007F39D6"/>
    <w:p w14:paraId="457A3A28" w14:textId="77777777" w:rsidR="00713C98" w:rsidRPr="008B3AD6" w:rsidRDefault="00713C98">
      <w:pPr>
        <w:spacing w:line="240" w:lineRule="auto"/>
        <w:rPr>
          <w:rFonts w:eastAsiaTheme="majorEastAsia" w:cstheme="majorBidi"/>
          <w:b/>
          <w:color w:val="000000" w:themeColor="text1"/>
          <w:sz w:val="48"/>
          <w:szCs w:val="32"/>
        </w:rPr>
      </w:pPr>
      <w:r w:rsidRPr="008B3AD6">
        <w:br w:type="page"/>
      </w:r>
    </w:p>
    <w:p w14:paraId="14A034C0" w14:textId="56423864" w:rsidR="00E96C8F" w:rsidRDefault="00E96C8F" w:rsidP="000A237B">
      <w:pPr>
        <w:pStyle w:val="Heading1"/>
        <w:numPr>
          <w:ilvl w:val="0"/>
          <w:numId w:val="0"/>
        </w:numPr>
      </w:pPr>
      <w:bookmarkStart w:id="752" w:name="_Toc3716132"/>
      <w:r w:rsidRPr="008B3AD6">
        <w:lastRenderedPageBreak/>
        <w:t>Bibliography</w:t>
      </w:r>
      <w:bookmarkEnd w:id="752"/>
    </w:p>
    <w:p w14:paraId="6EBCEAAB" w14:textId="77777777" w:rsidR="000C4EF7" w:rsidRPr="00F44DE2" w:rsidRDefault="000C4EF7" w:rsidP="00B23FF8">
      <w:pPr>
        <w:snapToGrid w:val="0"/>
        <w:spacing w:afterLines="60" w:after="144" w:line="240" w:lineRule="auto"/>
        <w:ind w:hanging="480"/>
        <w:rPr>
          <w:rFonts w:eastAsia="Times New Roman"/>
          <w:lang w:eastAsia="en-GB"/>
        </w:rPr>
      </w:pPr>
      <w:r w:rsidRPr="000C4EF7">
        <w:rPr>
          <w:rFonts w:eastAsia="Times New Roman"/>
          <w:lang w:eastAsia="en-GB"/>
        </w:rPr>
        <w:t xml:space="preserve">Abdel-Misih, Sherif R. Z., and Mark Bloomston. 2010. ‘Liver Anatomy’. </w:t>
      </w:r>
      <w:r w:rsidRPr="00F44DE2">
        <w:rPr>
          <w:rFonts w:eastAsia="Times New Roman"/>
          <w:i/>
          <w:iCs/>
          <w:lang w:eastAsia="en-GB"/>
        </w:rPr>
        <w:t>The Surgical Clinics of North America</w:t>
      </w:r>
      <w:r w:rsidRPr="00D40D5C">
        <w:rPr>
          <w:rFonts w:eastAsia="Times New Roman"/>
          <w:lang w:eastAsia="en-GB"/>
        </w:rPr>
        <w:t xml:space="preserve"> 90 (4): 643–53. </w:t>
      </w:r>
      <w:hyperlink r:id="rId110" w:history="1">
        <w:r w:rsidRPr="00F44DE2">
          <w:rPr>
            <w:rFonts w:eastAsia="Times New Roman"/>
            <w:color w:val="0000FF"/>
            <w:u w:val="single"/>
            <w:lang w:eastAsia="en-GB"/>
          </w:rPr>
          <w:t>https://doi.org/10.1016/j.suc.2010.04.017</w:t>
        </w:r>
      </w:hyperlink>
      <w:r w:rsidRPr="000C4EF7">
        <w:rPr>
          <w:rFonts w:eastAsia="Times New Roman"/>
          <w:lang w:eastAsia="en-GB"/>
        </w:rPr>
        <w:t>.</w:t>
      </w:r>
    </w:p>
    <w:p w14:paraId="60839C07" w14:textId="77777777" w:rsidR="000C4EF7" w:rsidRPr="00F44DE2" w:rsidRDefault="000C4EF7" w:rsidP="00B23FF8">
      <w:pPr>
        <w:snapToGrid w:val="0"/>
        <w:spacing w:afterLines="60" w:after="144" w:line="240" w:lineRule="auto"/>
        <w:ind w:hanging="480"/>
        <w:rPr>
          <w:rFonts w:eastAsia="Times New Roman"/>
          <w:lang w:eastAsia="en-GB"/>
        </w:rPr>
      </w:pPr>
      <w:r w:rsidRPr="00D40D5C">
        <w:rPr>
          <w:rFonts w:eastAsia="Times New Roman"/>
          <w:lang w:eastAsia="en-GB"/>
        </w:rPr>
        <w:t xml:space="preserve">‘About Leishmaniasis – DNDi’ Accessed 2 August 2018. </w:t>
      </w:r>
      <w:hyperlink r:id="rId111" w:history="1">
        <w:r w:rsidRPr="00F44DE2">
          <w:rPr>
            <w:rFonts w:eastAsia="Times New Roman"/>
            <w:color w:val="0000FF"/>
            <w:u w:val="single"/>
            <w:lang w:eastAsia="en-GB"/>
          </w:rPr>
          <w:t>https://www.dndi.org/diseases-projects/leishmaniasis/</w:t>
        </w:r>
      </w:hyperlink>
      <w:r w:rsidRPr="000C4EF7">
        <w:rPr>
          <w:rFonts w:eastAsia="Times New Roman"/>
          <w:lang w:eastAsia="en-GB"/>
        </w:rPr>
        <w:t>.</w:t>
      </w:r>
    </w:p>
    <w:p w14:paraId="3405A6C3" w14:textId="77777777" w:rsidR="000C4EF7" w:rsidRPr="00F44DE2" w:rsidRDefault="000C4EF7" w:rsidP="00B23FF8">
      <w:pPr>
        <w:snapToGrid w:val="0"/>
        <w:spacing w:afterLines="60" w:after="144" w:line="240" w:lineRule="auto"/>
        <w:ind w:hanging="480"/>
        <w:rPr>
          <w:rFonts w:eastAsia="Times New Roman"/>
          <w:lang w:eastAsia="en-GB"/>
        </w:rPr>
      </w:pPr>
      <w:r w:rsidRPr="00D40D5C">
        <w:rPr>
          <w:rFonts w:eastAsia="Times New Roman"/>
          <w:lang w:eastAsia="en-GB"/>
        </w:rPr>
        <w:t>Albergante, Luca, Jon Timmis, Lynette Beattie, and Paul M. Kaye. 2013. ‘A Petri Net Model of Granulomatous Inflammation: Implicatio</w:t>
      </w:r>
      <w:r w:rsidRPr="000C4EF7">
        <w:rPr>
          <w:rFonts w:eastAsia="Times New Roman"/>
          <w:lang w:eastAsia="en-GB"/>
        </w:rPr>
        <w:t xml:space="preserve">ns for IL-10 Mediated Control of Leishmania Donovani Infection’. </w:t>
      </w:r>
      <w:r w:rsidRPr="000C4EF7">
        <w:rPr>
          <w:rFonts w:eastAsia="Times New Roman"/>
          <w:i/>
          <w:iCs/>
          <w:lang w:eastAsia="en-GB"/>
        </w:rPr>
        <w:t>PLoS Computational Biology</w:t>
      </w:r>
      <w:r w:rsidRPr="000C4EF7">
        <w:rPr>
          <w:rFonts w:eastAsia="Times New Roman"/>
          <w:lang w:eastAsia="en-GB"/>
        </w:rPr>
        <w:t xml:space="preserve"> 9 (11): e1003334. </w:t>
      </w:r>
      <w:hyperlink r:id="rId112" w:history="1">
        <w:r w:rsidRPr="00F44DE2">
          <w:rPr>
            <w:rFonts w:eastAsia="Times New Roman"/>
            <w:color w:val="0000FF"/>
            <w:u w:val="single"/>
            <w:lang w:eastAsia="en-GB"/>
          </w:rPr>
          <w:t>https://doi.org/10.1371/journal.pcbi.1003334</w:t>
        </w:r>
      </w:hyperlink>
      <w:r w:rsidRPr="000C4EF7">
        <w:rPr>
          <w:rFonts w:eastAsia="Times New Roman"/>
          <w:lang w:eastAsia="en-GB"/>
        </w:rPr>
        <w:t>.</w:t>
      </w:r>
    </w:p>
    <w:p w14:paraId="57DB6818" w14:textId="77777777" w:rsidR="000C4EF7" w:rsidRPr="00F44DE2" w:rsidRDefault="000C4EF7" w:rsidP="00B23FF8">
      <w:pPr>
        <w:snapToGrid w:val="0"/>
        <w:spacing w:afterLines="60" w:after="144" w:line="240" w:lineRule="auto"/>
        <w:ind w:hanging="480"/>
        <w:rPr>
          <w:rFonts w:eastAsia="Times New Roman"/>
          <w:lang w:eastAsia="en-GB"/>
        </w:rPr>
      </w:pPr>
      <w:r w:rsidRPr="00D40D5C">
        <w:rPr>
          <w:rFonts w:eastAsia="Times New Roman"/>
          <w:lang w:eastAsia="en-GB"/>
        </w:rPr>
        <w:t>Alberts, Bruce, Alexander Johnson, Juli</w:t>
      </w:r>
      <w:r w:rsidRPr="000C4EF7">
        <w:rPr>
          <w:rFonts w:eastAsia="Times New Roman"/>
          <w:lang w:eastAsia="en-GB"/>
        </w:rPr>
        <w:t xml:space="preserve">an Lewis, Martin Raff, Keith Roberts, and Peter Walter. 2002. ‘The Adaptive Immune System’. </w:t>
      </w:r>
      <w:r w:rsidRPr="000C4EF7">
        <w:rPr>
          <w:rFonts w:eastAsia="Times New Roman"/>
          <w:i/>
          <w:iCs/>
          <w:lang w:eastAsia="en-GB"/>
        </w:rPr>
        <w:t>Molecular Biology of the Cell. 4th Edition</w:t>
      </w:r>
      <w:r w:rsidRPr="000C4EF7">
        <w:rPr>
          <w:rFonts w:eastAsia="Times New Roman"/>
          <w:lang w:eastAsia="en-GB"/>
        </w:rPr>
        <w:t xml:space="preserve">. </w:t>
      </w:r>
      <w:hyperlink r:id="rId113" w:history="1">
        <w:r w:rsidRPr="00F44DE2">
          <w:rPr>
            <w:rFonts w:eastAsia="Times New Roman"/>
            <w:color w:val="0000FF"/>
            <w:u w:val="single"/>
            <w:lang w:eastAsia="en-GB"/>
          </w:rPr>
          <w:t>https://www.ncbi.nlm.nih.gov/books</w:t>
        </w:r>
        <w:r w:rsidRPr="00D40D5C">
          <w:rPr>
            <w:rFonts w:eastAsia="Times New Roman"/>
            <w:color w:val="0000FF"/>
            <w:u w:val="single"/>
            <w:lang w:eastAsia="en-GB"/>
          </w:rPr>
          <w:t>/NBK21070/</w:t>
        </w:r>
      </w:hyperlink>
      <w:r w:rsidRPr="000C4EF7">
        <w:rPr>
          <w:rFonts w:eastAsia="Times New Roman"/>
          <w:lang w:eastAsia="en-GB"/>
        </w:rPr>
        <w:t>.</w:t>
      </w:r>
    </w:p>
    <w:p w14:paraId="17355815" w14:textId="77777777" w:rsidR="000C4EF7" w:rsidRPr="00F44DE2" w:rsidRDefault="000C4EF7" w:rsidP="00B23FF8">
      <w:pPr>
        <w:snapToGrid w:val="0"/>
        <w:spacing w:afterLines="60" w:after="144" w:line="240" w:lineRule="auto"/>
        <w:ind w:hanging="480"/>
        <w:rPr>
          <w:rFonts w:eastAsia="Times New Roman"/>
          <w:lang w:eastAsia="en-GB"/>
        </w:rPr>
      </w:pPr>
      <w:r w:rsidRPr="00D40D5C">
        <w:rPr>
          <w:rFonts w:eastAsia="Times New Roman"/>
          <w:lang w:eastAsia="en-GB"/>
        </w:rPr>
        <w:t>Alden, Kieran</w:t>
      </w:r>
      <w:r w:rsidRPr="000C4EF7">
        <w:rPr>
          <w:rFonts w:eastAsia="Times New Roman"/>
          <w:lang w:eastAsia="en-GB"/>
        </w:rPr>
        <w:t xml:space="preserve">, Mark Read, Jon Timmis, Paul S. Andrews, Henrique Veiga-Fernandes, and Mark Coles. 2013. ‘Spartan: A Comprehensive Tool for Understanding Uncertainty in Simulations of Biological Systems’. </w:t>
      </w:r>
      <w:r w:rsidRPr="000C4EF7">
        <w:rPr>
          <w:rFonts w:eastAsia="Times New Roman"/>
          <w:i/>
          <w:iCs/>
          <w:lang w:eastAsia="en-GB"/>
        </w:rPr>
        <w:t>PLOS Computational Biology</w:t>
      </w:r>
      <w:r w:rsidRPr="000C4EF7">
        <w:rPr>
          <w:rFonts w:eastAsia="Times New Roman"/>
          <w:lang w:eastAsia="en-GB"/>
        </w:rPr>
        <w:t xml:space="preserve"> 9 (2): e1002916. </w:t>
      </w:r>
      <w:hyperlink r:id="rId114" w:history="1">
        <w:r w:rsidRPr="00F44DE2">
          <w:rPr>
            <w:rFonts w:eastAsia="Times New Roman"/>
            <w:color w:val="0000FF"/>
            <w:u w:val="single"/>
            <w:lang w:eastAsia="en-GB"/>
          </w:rPr>
          <w:t>https://doi.org/10.1371/journal.pcbi.1002916</w:t>
        </w:r>
      </w:hyperlink>
      <w:r w:rsidRPr="000C4EF7">
        <w:rPr>
          <w:rFonts w:eastAsia="Times New Roman"/>
          <w:lang w:eastAsia="en-GB"/>
        </w:rPr>
        <w:t>.</w:t>
      </w:r>
    </w:p>
    <w:p w14:paraId="7480DEAA" w14:textId="77777777" w:rsidR="000C4EF7" w:rsidRPr="00F44DE2" w:rsidRDefault="000C4EF7" w:rsidP="00B23FF8">
      <w:pPr>
        <w:snapToGrid w:val="0"/>
        <w:spacing w:afterLines="60" w:after="144" w:line="240" w:lineRule="auto"/>
        <w:ind w:hanging="480"/>
        <w:rPr>
          <w:rFonts w:eastAsia="Times New Roman"/>
          <w:lang w:eastAsia="en-GB"/>
        </w:rPr>
      </w:pPr>
      <w:r w:rsidRPr="00D40D5C">
        <w:rPr>
          <w:rFonts w:eastAsia="Times New Roman"/>
          <w:lang w:eastAsia="en-GB"/>
        </w:rPr>
        <w:t>Alden, Kieran, Jon Timmis, Paul S. Andrews, Henrique Veiga-Fernandes, and Mark Christopher Coles. 2012. ‘Pairing Experimentation and Computational Modeling to Understand t</w:t>
      </w:r>
      <w:r w:rsidRPr="000C4EF7">
        <w:rPr>
          <w:rFonts w:eastAsia="Times New Roman"/>
          <w:lang w:eastAsia="en-GB"/>
        </w:rPr>
        <w:t xml:space="preserve">he Role of Tissue Inducer Cells in the Development of Lymphoid Organs’. </w:t>
      </w:r>
      <w:r w:rsidRPr="000C4EF7">
        <w:rPr>
          <w:rFonts w:eastAsia="Times New Roman"/>
          <w:i/>
          <w:iCs/>
          <w:lang w:eastAsia="en-GB"/>
        </w:rPr>
        <w:t>Frontiers in Immunology</w:t>
      </w:r>
      <w:r w:rsidRPr="000C4EF7">
        <w:rPr>
          <w:rFonts w:eastAsia="Times New Roman"/>
          <w:lang w:eastAsia="en-GB"/>
        </w:rPr>
        <w:t xml:space="preserve"> 3. </w:t>
      </w:r>
      <w:hyperlink r:id="rId115" w:history="1">
        <w:r w:rsidRPr="00F44DE2">
          <w:rPr>
            <w:rFonts w:eastAsia="Times New Roman"/>
            <w:color w:val="0000FF"/>
            <w:u w:val="single"/>
            <w:lang w:eastAsia="en-GB"/>
          </w:rPr>
          <w:t>https://doi.org/10.3389/fimmu.2012.00172</w:t>
        </w:r>
      </w:hyperlink>
      <w:r w:rsidRPr="000C4EF7">
        <w:rPr>
          <w:rFonts w:eastAsia="Times New Roman"/>
          <w:lang w:eastAsia="en-GB"/>
        </w:rPr>
        <w:t>.</w:t>
      </w:r>
    </w:p>
    <w:p w14:paraId="0EEB1313" w14:textId="77777777" w:rsidR="000C4EF7" w:rsidRPr="00F44DE2" w:rsidRDefault="000C4EF7" w:rsidP="00B23FF8">
      <w:pPr>
        <w:snapToGrid w:val="0"/>
        <w:spacing w:afterLines="60" w:after="144" w:line="240" w:lineRule="auto"/>
        <w:ind w:hanging="480"/>
        <w:rPr>
          <w:rFonts w:eastAsia="Times New Roman"/>
          <w:lang w:eastAsia="en-GB"/>
        </w:rPr>
      </w:pPr>
      <w:r w:rsidRPr="00D40D5C">
        <w:rPr>
          <w:rFonts w:eastAsia="Times New Roman"/>
          <w:lang w:eastAsia="en-GB"/>
        </w:rPr>
        <w:t>Alexander, C. E., P. M. Kaye, and C. R. Engwerda. 2001. ‘C</w:t>
      </w:r>
      <w:r w:rsidRPr="000C4EF7">
        <w:rPr>
          <w:rFonts w:eastAsia="Times New Roman"/>
          <w:lang w:eastAsia="en-GB"/>
        </w:rPr>
        <w:t xml:space="preserve">D95 Is Required for the Early Control of Parasite Burden in the Liver of Leishmania Donovani-Infected Mice’. </w:t>
      </w:r>
      <w:r w:rsidRPr="000C4EF7">
        <w:rPr>
          <w:rFonts w:eastAsia="Times New Roman"/>
          <w:i/>
          <w:iCs/>
          <w:lang w:eastAsia="en-GB"/>
        </w:rPr>
        <w:t>European Journal of Immunology</w:t>
      </w:r>
      <w:r w:rsidRPr="000C4EF7">
        <w:rPr>
          <w:rFonts w:eastAsia="Times New Roman"/>
          <w:lang w:eastAsia="en-GB"/>
        </w:rPr>
        <w:t xml:space="preserve"> 31 (4): 1199–1210. </w:t>
      </w:r>
      <w:hyperlink r:id="rId116" w:history="1">
        <w:r w:rsidRPr="00F44DE2">
          <w:rPr>
            <w:rFonts w:eastAsia="Times New Roman"/>
            <w:color w:val="0000FF"/>
            <w:u w:val="single"/>
            <w:lang w:eastAsia="en-GB"/>
          </w:rPr>
          <w:t>https://doi.org/10.1002/1521-4141(200104)31:4&lt;1199::AID-IMMU1199gt;3.0.CO;2-6</w:t>
        </w:r>
      </w:hyperlink>
      <w:r w:rsidRPr="000C4EF7">
        <w:rPr>
          <w:rFonts w:eastAsia="Times New Roman"/>
          <w:lang w:eastAsia="en-GB"/>
        </w:rPr>
        <w:t>.</w:t>
      </w:r>
    </w:p>
    <w:p w14:paraId="6B47885B" w14:textId="77777777" w:rsidR="000C4EF7" w:rsidRPr="00F44DE2" w:rsidRDefault="000C4EF7" w:rsidP="00B23FF8">
      <w:pPr>
        <w:snapToGrid w:val="0"/>
        <w:spacing w:afterLines="60" w:after="144" w:line="240" w:lineRule="auto"/>
        <w:ind w:hanging="480"/>
        <w:rPr>
          <w:rFonts w:eastAsia="Times New Roman"/>
          <w:lang w:eastAsia="en-GB"/>
        </w:rPr>
      </w:pPr>
      <w:r w:rsidRPr="00D40D5C">
        <w:rPr>
          <w:rFonts w:eastAsia="Times New Roman"/>
          <w:lang w:eastAsia="en-GB"/>
        </w:rPr>
        <w:t>Alvar, Jorge, Iván D. Vélez, Caryn Bern, Mercé Herrero, Philippe Desjeux, Jorge Cano, Jean Jannin, and Margriet den Boer. 2012. ‘Leishmaniasis Worldwide and Global Estimates of I</w:t>
      </w:r>
      <w:r w:rsidRPr="000C4EF7">
        <w:rPr>
          <w:rFonts w:eastAsia="Times New Roman"/>
          <w:lang w:eastAsia="en-GB"/>
        </w:rPr>
        <w:t xml:space="preserve">ts Incidence’. </w:t>
      </w:r>
      <w:r w:rsidRPr="000C4EF7">
        <w:rPr>
          <w:rFonts w:eastAsia="Times New Roman"/>
          <w:i/>
          <w:iCs/>
          <w:lang w:eastAsia="en-GB"/>
        </w:rPr>
        <w:t>PLoS ONE</w:t>
      </w:r>
      <w:r w:rsidRPr="000C4EF7">
        <w:rPr>
          <w:rFonts w:eastAsia="Times New Roman"/>
          <w:lang w:eastAsia="en-GB"/>
        </w:rPr>
        <w:t xml:space="preserve"> 7 (5). </w:t>
      </w:r>
      <w:hyperlink r:id="rId117" w:history="1">
        <w:r w:rsidRPr="00F44DE2">
          <w:rPr>
            <w:rFonts w:eastAsia="Times New Roman"/>
            <w:color w:val="0000FF"/>
            <w:u w:val="single"/>
            <w:lang w:eastAsia="en-GB"/>
          </w:rPr>
          <w:t>https://doi.org/10.1371/journal.pone.0035671</w:t>
        </w:r>
      </w:hyperlink>
      <w:r w:rsidRPr="000C4EF7">
        <w:rPr>
          <w:rFonts w:eastAsia="Times New Roman"/>
          <w:lang w:eastAsia="en-GB"/>
        </w:rPr>
        <w:t>.</w:t>
      </w:r>
    </w:p>
    <w:p w14:paraId="3246FDB3" w14:textId="77777777" w:rsidR="000C4EF7" w:rsidRPr="00F44DE2" w:rsidRDefault="000C4EF7" w:rsidP="00B23FF8">
      <w:pPr>
        <w:snapToGrid w:val="0"/>
        <w:spacing w:afterLines="60" w:after="144" w:line="240" w:lineRule="auto"/>
        <w:ind w:hanging="480"/>
        <w:rPr>
          <w:rFonts w:eastAsia="Times New Roman"/>
          <w:lang w:eastAsia="en-GB"/>
        </w:rPr>
      </w:pPr>
      <w:r w:rsidRPr="00D40D5C">
        <w:rPr>
          <w:rFonts w:eastAsia="Times New Roman"/>
          <w:lang w:eastAsia="en-GB"/>
        </w:rPr>
        <w:t xml:space="preserve">Alvar, Jorge, Sergio Yactayo, and Caryn Bern. 2006. ‘Leishmaniasis and Poverty’. </w:t>
      </w:r>
      <w:r w:rsidRPr="000C4EF7">
        <w:rPr>
          <w:rFonts w:eastAsia="Times New Roman"/>
          <w:i/>
          <w:iCs/>
          <w:lang w:eastAsia="en-GB"/>
        </w:rPr>
        <w:t>Trends in Parasitology</w:t>
      </w:r>
      <w:r w:rsidRPr="000C4EF7">
        <w:rPr>
          <w:rFonts w:eastAsia="Times New Roman"/>
          <w:lang w:eastAsia="en-GB"/>
        </w:rPr>
        <w:t xml:space="preserve"> 22 (12): 552–57. </w:t>
      </w:r>
      <w:hyperlink r:id="rId118" w:history="1">
        <w:r w:rsidRPr="00F44DE2">
          <w:rPr>
            <w:rFonts w:eastAsia="Times New Roman"/>
            <w:color w:val="0000FF"/>
            <w:u w:val="single"/>
            <w:lang w:eastAsia="en-GB"/>
          </w:rPr>
          <w:t>https://doi.org/10</w:t>
        </w:r>
        <w:r w:rsidRPr="00D40D5C">
          <w:rPr>
            <w:rFonts w:eastAsia="Times New Roman"/>
            <w:color w:val="0000FF"/>
            <w:u w:val="single"/>
            <w:lang w:eastAsia="en-GB"/>
          </w:rPr>
          <w:t>.1016/j.pt.2006.09.004</w:t>
        </w:r>
      </w:hyperlink>
      <w:r w:rsidRPr="000C4EF7">
        <w:rPr>
          <w:rFonts w:eastAsia="Times New Roman"/>
          <w:lang w:eastAsia="en-GB"/>
        </w:rPr>
        <w:t>.</w:t>
      </w:r>
    </w:p>
    <w:p w14:paraId="687F9291" w14:textId="77777777" w:rsidR="000C4EF7" w:rsidRPr="00F44DE2" w:rsidRDefault="000C4EF7" w:rsidP="00B23FF8">
      <w:pPr>
        <w:snapToGrid w:val="0"/>
        <w:spacing w:afterLines="60" w:after="144" w:line="240" w:lineRule="auto"/>
        <w:ind w:hanging="480"/>
        <w:rPr>
          <w:rFonts w:eastAsia="Times New Roman"/>
          <w:lang w:eastAsia="en-GB"/>
        </w:rPr>
      </w:pPr>
      <w:r w:rsidRPr="00D40D5C">
        <w:rPr>
          <w:rFonts w:eastAsia="Times New Roman"/>
          <w:lang w:eastAsia="en-GB"/>
        </w:rPr>
        <w:t>Amprey, Joseph L., Jin S. Im, Salvatore J. Turco, Henry W. Murray, Petr A. Illarionov, Gurdyal S. Besra, Steven A. Porcelli, and Gerald F. Späth. 2004. ‘A</w:t>
      </w:r>
      <w:r w:rsidRPr="000C4EF7">
        <w:rPr>
          <w:rFonts w:eastAsia="Times New Roman"/>
          <w:lang w:eastAsia="en-GB"/>
        </w:rPr>
        <w:t xml:space="preserve"> Subset of Liver NK T Cells Is Activated during Leishmania Donovani Infection by CD1d-Bound Lipophosphoglycan’. </w:t>
      </w:r>
      <w:r w:rsidRPr="000C4EF7">
        <w:rPr>
          <w:rFonts w:eastAsia="Times New Roman"/>
          <w:i/>
          <w:iCs/>
          <w:lang w:eastAsia="en-GB"/>
        </w:rPr>
        <w:t>The Journal of Experimental Medicine</w:t>
      </w:r>
      <w:r w:rsidRPr="000C4EF7">
        <w:rPr>
          <w:rFonts w:eastAsia="Times New Roman"/>
          <w:lang w:eastAsia="en-GB"/>
        </w:rPr>
        <w:t xml:space="preserve"> 200 (7): 895–904. </w:t>
      </w:r>
      <w:hyperlink r:id="rId119" w:history="1">
        <w:r w:rsidRPr="00F44DE2">
          <w:rPr>
            <w:rFonts w:eastAsia="Times New Roman"/>
            <w:color w:val="0000FF"/>
            <w:u w:val="single"/>
            <w:lang w:eastAsia="en-GB"/>
          </w:rPr>
          <w:t>https://doi.org/10.1084/jem.20040704</w:t>
        </w:r>
      </w:hyperlink>
      <w:r w:rsidRPr="000C4EF7">
        <w:rPr>
          <w:rFonts w:eastAsia="Times New Roman"/>
          <w:lang w:eastAsia="en-GB"/>
        </w:rPr>
        <w:t>.</w:t>
      </w:r>
    </w:p>
    <w:p w14:paraId="0126BD04" w14:textId="77777777" w:rsidR="000C4EF7" w:rsidRPr="000C4EF7" w:rsidRDefault="000C4EF7" w:rsidP="00B23FF8">
      <w:pPr>
        <w:snapToGrid w:val="0"/>
        <w:spacing w:afterLines="60" w:after="144" w:line="240" w:lineRule="auto"/>
        <w:ind w:hanging="480"/>
        <w:rPr>
          <w:rFonts w:eastAsia="Times New Roman"/>
          <w:lang w:eastAsia="en-GB"/>
        </w:rPr>
      </w:pPr>
      <w:r w:rsidRPr="00D40D5C">
        <w:rPr>
          <w:rFonts w:eastAsia="Times New Roman"/>
          <w:lang w:eastAsia="en-GB"/>
        </w:rPr>
        <w:t>Andrews, Paul, Fiona A. C. Polack, Adam T. Sampson, Susan Stepney, and Jon Timmis. 2010. ‘The CoSMoS Process, Version 0.1: A Process for the Modelling and Simulation of Complex Systems.’ Technical Report YCS-2010-453. University of York: Department of Co</w:t>
      </w:r>
      <w:r w:rsidRPr="000C4EF7">
        <w:rPr>
          <w:rFonts w:eastAsia="Times New Roman"/>
          <w:lang w:eastAsia="en-GB"/>
        </w:rPr>
        <w:t>mputer Science.</w:t>
      </w:r>
    </w:p>
    <w:p w14:paraId="462DEAFD" w14:textId="77777777" w:rsidR="000C4EF7" w:rsidRPr="00F44DE2" w:rsidRDefault="000C4EF7" w:rsidP="00B23FF8">
      <w:pPr>
        <w:snapToGrid w:val="0"/>
        <w:spacing w:afterLines="60" w:after="144" w:line="240" w:lineRule="auto"/>
        <w:ind w:hanging="480"/>
        <w:rPr>
          <w:rFonts w:eastAsia="Times New Roman"/>
          <w:lang w:eastAsia="en-GB"/>
        </w:rPr>
      </w:pPr>
      <w:r w:rsidRPr="000C4EF7">
        <w:rPr>
          <w:rFonts w:eastAsia="Times New Roman"/>
          <w:lang w:eastAsia="en-GB"/>
        </w:rPr>
        <w:t xml:space="preserve">Angra, Pawan K., Aladin Siddig, Henry Nettey, Nishil Desai, Carl Oettinger, and Martin J. D’Souza. 2009. ‘Pharmacokinetic and Biodistribution Studies of Amphotericin B Microspheres’. </w:t>
      </w:r>
      <w:r w:rsidRPr="000C4EF7">
        <w:rPr>
          <w:rFonts w:eastAsia="Times New Roman"/>
          <w:i/>
          <w:iCs/>
          <w:lang w:eastAsia="en-GB"/>
        </w:rPr>
        <w:t>Journal of Microencapsulation</w:t>
      </w:r>
      <w:r w:rsidRPr="000C4EF7">
        <w:rPr>
          <w:rFonts w:eastAsia="Times New Roman"/>
          <w:lang w:eastAsia="en-GB"/>
        </w:rPr>
        <w:t xml:space="preserve"> 26 (7): 627–34. </w:t>
      </w:r>
      <w:hyperlink r:id="rId120" w:history="1">
        <w:r w:rsidRPr="00F44DE2">
          <w:rPr>
            <w:rFonts w:eastAsia="Times New Roman"/>
            <w:color w:val="0000FF"/>
            <w:u w:val="single"/>
            <w:lang w:eastAsia="en-GB"/>
          </w:rPr>
          <w:t>https://doi.org/10.3109/0265204</w:t>
        </w:r>
        <w:r w:rsidRPr="00D40D5C">
          <w:rPr>
            <w:rFonts w:eastAsia="Times New Roman"/>
            <w:color w:val="0000FF"/>
            <w:u w:val="single"/>
            <w:lang w:eastAsia="en-GB"/>
          </w:rPr>
          <w:t>0802587173</w:t>
        </w:r>
      </w:hyperlink>
      <w:r w:rsidRPr="000C4EF7">
        <w:rPr>
          <w:rFonts w:eastAsia="Times New Roman"/>
          <w:lang w:eastAsia="en-GB"/>
        </w:rPr>
        <w:t>.</w:t>
      </w:r>
    </w:p>
    <w:p w14:paraId="6A9CD003" w14:textId="77777777" w:rsidR="000C4EF7" w:rsidRPr="00D40D5C" w:rsidRDefault="000C4EF7" w:rsidP="00B23FF8">
      <w:pPr>
        <w:snapToGrid w:val="0"/>
        <w:spacing w:afterLines="60" w:after="144" w:line="240" w:lineRule="auto"/>
        <w:ind w:hanging="480"/>
        <w:rPr>
          <w:rFonts w:eastAsia="Times New Roman"/>
          <w:lang w:eastAsia="en-GB"/>
        </w:rPr>
      </w:pPr>
      <w:r w:rsidRPr="00D40D5C">
        <w:rPr>
          <w:rFonts w:eastAsia="Times New Roman"/>
          <w:lang w:eastAsia="en-GB"/>
        </w:rPr>
        <w:lastRenderedPageBreak/>
        <w:t xml:space="preserve">Assis, Tália S. Machado de, Ana Rabello, and Guilherme L. Werneck. 2012. ‘Predictive Models for the Diagnostic of Human Visceral Leishmaniasis in Brazil’. </w:t>
      </w:r>
      <w:r w:rsidRPr="000C4EF7">
        <w:rPr>
          <w:rFonts w:eastAsia="Times New Roman"/>
          <w:i/>
          <w:iCs/>
          <w:lang w:eastAsia="en-GB"/>
        </w:rPr>
        <w:t>PLOS Neglected Tropical Diseases</w:t>
      </w:r>
      <w:r w:rsidRPr="000C4EF7">
        <w:rPr>
          <w:rFonts w:eastAsia="Times New Roman"/>
          <w:lang w:eastAsia="en-GB"/>
        </w:rPr>
        <w:t xml:space="preserve"> 6 (2): e1542. </w:t>
      </w:r>
      <w:hyperlink r:id="rId121" w:history="1">
        <w:r w:rsidRPr="00D40D5C">
          <w:rPr>
            <w:rFonts w:eastAsia="Times New Roman"/>
            <w:color w:val="0000FF"/>
            <w:u w:val="single"/>
            <w:lang w:eastAsia="en-GB"/>
          </w:rPr>
          <w:t>https://doi.org/10.1371/journal.pntd.0001542</w:t>
        </w:r>
      </w:hyperlink>
      <w:r w:rsidRPr="000C4EF7">
        <w:rPr>
          <w:rFonts w:eastAsia="Times New Roman"/>
          <w:lang w:eastAsia="en-GB"/>
        </w:rPr>
        <w:t>.</w:t>
      </w:r>
    </w:p>
    <w:p w14:paraId="1CE5022C" w14:textId="77777777" w:rsidR="000C4EF7" w:rsidRPr="000C4EF7" w:rsidRDefault="000C4EF7" w:rsidP="00B23FF8">
      <w:pPr>
        <w:snapToGrid w:val="0"/>
        <w:spacing w:afterLines="60" w:after="144" w:line="240" w:lineRule="auto"/>
        <w:ind w:hanging="480"/>
        <w:rPr>
          <w:rFonts w:eastAsia="Times New Roman"/>
          <w:lang w:eastAsia="en-GB"/>
        </w:rPr>
      </w:pPr>
      <w:r w:rsidRPr="000C4EF7">
        <w:rPr>
          <w:rFonts w:eastAsia="Times New Roman"/>
          <w:lang w:eastAsia="en-GB"/>
        </w:rPr>
        <w:t xml:space="preserve">Atkinson, Arthur J., and John E. Bennett. 1978. ‘Amphotericin B Pharmacokinetics in Humans’. </w:t>
      </w:r>
      <w:r w:rsidRPr="000C4EF7">
        <w:rPr>
          <w:rFonts w:eastAsia="Times New Roman"/>
          <w:i/>
          <w:iCs/>
          <w:lang w:eastAsia="en-GB"/>
        </w:rPr>
        <w:t>Antimicrobial Agents and Chemotherapy</w:t>
      </w:r>
      <w:r w:rsidRPr="000C4EF7">
        <w:rPr>
          <w:rFonts w:eastAsia="Times New Roman"/>
          <w:lang w:eastAsia="en-GB"/>
        </w:rPr>
        <w:t xml:space="preserve"> 13 (2): 271–76.</w:t>
      </w:r>
    </w:p>
    <w:p w14:paraId="189107DC" w14:textId="77777777" w:rsidR="000C4EF7" w:rsidRPr="000C4EF7" w:rsidRDefault="000C4EF7" w:rsidP="00B23FF8">
      <w:pPr>
        <w:snapToGrid w:val="0"/>
        <w:spacing w:afterLines="60" w:after="144" w:line="240" w:lineRule="auto"/>
        <w:ind w:hanging="480"/>
        <w:rPr>
          <w:rFonts w:eastAsia="Times New Roman"/>
          <w:lang w:eastAsia="en-GB"/>
        </w:rPr>
      </w:pPr>
      <w:r w:rsidRPr="000C4EF7">
        <w:rPr>
          <w:rFonts w:eastAsia="Times New Roman"/>
          <w:lang w:eastAsia="en-GB"/>
        </w:rPr>
        <w:t xml:space="preserve">Azanza, José Ramón, Belén Sádada, and Joana Reis. 2015. ‘Liposomal Formulations of Amphotericin B: Differences According to the Scientific Evidence’. </w:t>
      </w:r>
      <w:r w:rsidRPr="000C4EF7">
        <w:rPr>
          <w:rFonts w:eastAsia="Times New Roman"/>
          <w:i/>
          <w:iCs/>
          <w:lang w:eastAsia="en-GB"/>
        </w:rPr>
        <w:t>Revista Espanola De Quimioterapia: Publicacion Oficial De La Sociedad Espanola De Quimioterapia</w:t>
      </w:r>
      <w:r w:rsidRPr="000C4EF7">
        <w:rPr>
          <w:rFonts w:eastAsia="Times New Roman"/>
          <w:lang w:eastAsia="en-GB"/>
        </w:rPr>
        <w:t xml:space="preserve"> 28 (6): 275–81.</w:t>
      </w:r>
    </w:p>
    <w:p w14:paraId="0EE74D67" w14:textId="77777777" w:rsidR="000C4EF7" w:rsidRPr="00D40D5C" w:rsidRDefault="000C4EF7" w:rsidP="00B23FF8">
      <w:pPr>
        <w:snapToGrid w:val="0"/>
        <w:spacing w:afterLines="60" w:after="144" w:line="240" w:lineRule="auto"/>
        <w:ind w:hanging="480"/>
        <w:rPr>
          <w:rFonts w:eastAsia="Times New Roman"/>
          <w:lang w:eastAsia="en-GB"/>
        </w:rPr>
      </w:pPr>
      <w:r w:rsidRPr="000C4EF7">
        <w:rPr>
          <w:rFonts w:eastAsia="Times New Roman"/>
          <w:lang w:eastAsia="en-GB"/>
        </w:rPr>
        <w:t xml:space="preserve">Balasegaram, Manica, Koert Ritmeijer, Maria Angeles Lima, Sakib Burza, Gemma Ortiz Genovese, Barbara Milani, Sara Gaspani, Julien Potet, and François Chappuis. 2012. ‘Liposomal Amphotericin B as a Treatment for Human Leishmaniasis’. </w:t>
      </w:r>
      <w:r w:rsidRPr="000C4EF7">
        <w:rPr>
          <w:rFonts w:eastAsia="Times New Roman"/>
          <w:i/>
          <w:iCs/>
          <w:lang w:eastAsia="en-GB"/>
        </w:rPr>
        <w:t>Expert Opinion on Emerging Drugs</w:t>
      </w:r>
      <w:r w:rsidRPr="000C4EF7">
        <w:rPr>
          <w:rFonts w:eastAsia="Times New Roman"/>
          <w:lang w:eastAsia="en-GB"/>
        </w:rPr>
        <w:t xml:space="preserve"> 17 (4): 493–510. </w:t>
      </w:r>
      <w:hyperlink r:id="rId122" w:history="1">
        <w:r w:rsidRPr="00D40D5C">
          <w:rPr>
            <w:rFonts w:eastAsia="Times New Roman"/>
            <w:color w:val="0000FF"/>
            <w:u w:val="single"/>
            <w:lang w:eastAsia="en-GB"/>
          </w:rPr>
          <w:t>https://doi.org/10.1517/14728214.2012.748036</w:t>
        </w:r>
      </w:hyperlink>
      <w:r w:rsidRPr="000C4EF7">
        <w:rPr>
          <w:rFonts w:eastAsia="Times New Roman"/>
          <w:lang w:eastAsia="en-GB"/>
        </w:rPr>
        <w:t>.</w:t>
      </w:r>
    </w:p>
    <w:p w14:paraId="5A913106" w14:textId="77777777" w:rsidR="000C4EF7" w:rsidRPr="00D40D5C" w:rsidRDefault="000C4EF7" w:rsidP="00B23FF8">
      <w:pPr>
        <w:snapToGrid w:val="0"/>
        <w:spacing w:afterLines="60" w:after="144" w:line="240" w:lineRule="auto"/>
        <w:ind w:hanging="480"/>
        <w:rPr>
          <w:rFonts w:eastAsia="Times New Roman"/>
          <w:lang w:eastAsia="en-GB"/>
        </w:rPr>
      </w:pPr>
      <w:r w:rsidRPr="000C4EF7">
        <w:rPr>
          <w:rFonts w:eastAsia="Times New Roman"/>
          <w:lang w:eastAsia="en-GB"/>
        </w:rPr>
        <w:t xml:space="preserve">Baratta, Janie L., Anthony Ngo, Bryan Lopez, Natasha Kasabwalla, Kenneth J. Longmuir, and Richard T. Robertson. 2009. ‘Cellular Organization of Normal Mouse Liver: A Histological, Quantitative Immunocytochemical, and Fine Structural Analysis’. </w:t>
      </w:r>
      <w:r w:rsidRPr="000C4EF7">
        <w:rPr>
          <w:rFonts w:eastAsia="Times New Roman"/>
          <w:i/>
          <w:iCs/>
          <w:lang w:eastAsia="en-GB"/>
        </w:rPr>
        <w:t>Histochemistry and Cell Biology</w:t>
      </w:r>
      <w:r w:rsidRPr="000C4EF7">
        <w:rPr>
          <w:rFonts w:eastAsia="Times New Roman"/>
          <w:lang w:eastAsia="en-GB"/>
        </w:rPr>
        <w:t xml:space="preserve"> 131 (6): 713–26. </w:t>
      </w:r>
      <w:hyperlink r:id="rId123" w:history="1">
        <w:r w:rsidRPr="00D40D5C">
          <w:rPr>
            <w:rFonts w:eastAsia="Times New Roman"/>
            <w:color w:val="0000FF"/>
            <w:u w:val="single"/>
            <w:lang w:eastAsia="en-GB"/>
          </w:rPr>
          <w:t>https://doi.org/10.1007/s00418-009-0577-1</w:t>
        </w:r>
      </w:hyperlink>
      <w:r w:rsidRPr="000C4EF7">
        <w:rPr>
          <w:rFonts w:eastAsia="Times New Roman"/>
          <w:lang w:eastAsia="en-GB"/>
        </w:rPr>
        <w:t>.</w:t>
      </w:r>
    </w:p>
    <w:p w14:paraId="0F128D66" w14:textId="77777777" w:rsidR="000C4EF7" w:rsidRPr="00D40D5C" w:rsidRDefault="000C4EF7" w:rsidP="00B23FF8">
      <w:pPr>
        <w:snapToGrid w:val="0"/>
        <w:spacing w:afterLines="60" w:after="144" w:line="240" w:lineRule="auto"/>
        <w:ind w:hanging="480"/>
        <w:rPr>
          <w:rFonts w:eastAsia="Times New Roman"/>
          <w:lang w:eastAsia="en-GB"/>
        </w:rPr>
      </w:pPr>
      <w:r w:rsidRPr="000C4EF7">
        <w:rPr>
          <w:rFonts w:eastAsia="Times New Roman"/>
          <w:lang w:eastAsia="en-GB"/>
        </w:rPr>
        <w:t xml:space="preserve">Bates, Paul A. 2008. ‘Leishmania Sand Fly Interaction: Progress and Challenges’. </w:t>
      </w:r>
      <w:r w:rsidRPr="000C4EF7">
        <w:rPr>
          <w:rFonts w:eastAsia="Times New Roman"/>
          <w:i/>
          <w:iCs/>
          <w:lang w:eastAsia="en-GB"/>
        </w:rPr>
        <w:t>Current Opinion in Microbiology</w:t>
      </w:r>
      <w:r w:rsidRPr="000C4EF7">
        <w:rPr>
          <w:rFonts w:eastAsia="Times New Roman"/>
          <w:lang w:eastAsia="en-GB"/>
        </w:rPr>
        <w:t xml:space="preserve"> 11 (4): 340–44. </w:t>
      </w:r>
      <w:hyperlink r:id="rId124" w:history="1">
        <w:r w:rsidRPr="00D40D5C">
          <w:rPr>
            <w:rFonts w:eastAsia="Times New Roman"/>
            <w:color w:val="0000FF"/>
            <w:u w:val="single"/>
            <w:lang w:eastAsia="en-GB"/>
          </w:rPr>
          <w:t>https://doi.or</w:t>
        </w:r>
        <w:r w:rsidRPr="000C4EF7">
          <w:rPr>
            <w:rFonts w:eastAsia="Times New Roman"/>
            <w:color w:val="0000FF"/>
            <w:u w:val="single"/>
            <w:lang w:eastAsia="en-GB"/>
          </w:rPr>
          <w:t>g/10.1016/j.mib.2008.06.003</w:t>
        </w:r>
      </w:hyperlink>
      <w:r w:rsidRPr="000C4EF7">
        <w:rPr>
          <w:rFonts w:eastAsia="Times New Roman"/>
          <w:lang w:eastAsia="en-GB"/>
        </w:rPr>
        <w:t>.</w:t>
      </w:r>
    </w:p>
    <w:p w14:paraId="55C729D7" w14:textId="77777777" w:rsidR="000C4EF7" w:rsidRPr="00D40D5C" w:rsidRDefault="000C4EF7" w:rsidP="00B23FF8">
      <w:pPr>
        <w:snapToGrid w:val="0"/>
        <w:spacing w:afterLines="60" w:after="144" w:line="240" w:lineRule="auto"/>
        <w:ind w:hanging="480"/>
        <w:rPr>
          <w:rFonts w:eastAsia="Times New Roman"/>
          <w:lang w:eastAsia="en-GB"/>
        </w:rPr>
      </w:pPr>
      <w:r w:rsidRPr="000C4EF7">
        <w:rPr>
          <w:rFonts w:eastAsia="Times New Roman"/>
          <w:lang w:eastAsia="en-GB"/>
        </w:rPr>
        <w:t xml:space="preserve">Bates, Paul A. 2018. ‘Revising Leishmania ’s Life Cycle’. </w:t>
      </w:r>
      <w:r w:rsidRPr="000C4EF7">
        <w:rPr>
          <w:rFonts w:eastAsia="Times New Roman"/>
          <w:i/>
          <w:iCs/>
          <w:lang w:eastAsia="en-GB"/>
        </w:rPr>
        <w:t>Nature Microbiology</w:t>
      </w:r>
      <w:r w:rsidRPr="000C4EF7">
        <w:rPr>
          <w:rFonts w:eastAsia="Times New Roman"/>
          <w:lang w:eastAsia="en-GB"/>
        </w:rPr>
        <w:t xml:space="preserve"> 3 (5): 529–30. </w:t>
      </w:r>
      <w:hyperlink r:id="rId125" w:history="1">
        <w:r w:rsidRPr="00D40D5C">
          <w:rPr>
            <w:rFonts w:eastAsia="Times New Roman"/>
            <w:color w:val="0000FF"/>
            <w:u w:val="single"/>
            <w:lang w:eastAsia="en-GB"/>
          </w:rPr>
          <w:t>https://doi.org/10.1038/s41564-018-0154-2</w:t>
        </w:r>
      </w:hyperlink>
      <w:r w:rsidRPr="000C4EF7">
        <w:rPr>
          <w:rFonts w:eastAsia="Times New Roman"/>
          <w:lang w:eastAsia="en-GB"/>
        </w:rPr>
        <w:t>.</w:t>
      </w:r>
    </w:p>
    <w:p w14:paraId="549D0841" w14:textId="77777777" w:rsidR="000C4EF7" w:rsidRPr="00D40D5C" w:rsidRDefault="000C4EF7" w:rsidP="00B23FF8">
      <w:pPr>
        <w:snapToGrid w:val="0"/>
        <w:spacing w:afterLines="60" w:after="144" w:line="240" w:lineRule="auto"/>
        <w:ind w:hanging="480"/>
        <w:rPr>
          <w:rFonts w:eastAsia="Times New Roman"/>
          <w:lang w:eastAsia="en-GB"/>
        </w:rPr>
      </w:pPr>
      <w:r w:rsidRPr="000C4EF7">
        <w:rPr>
          <w:rFonts w:eastAsia="Times New Roman"/>
          <w:lang w:eastAsia="en-GB"/>
        </w:rPr>
        <w:t xml:space="preserve">Beattie, Lynette, Adam Peltan, Asher Maroof, Alun Kirby, Najmeeyah Brown, Mark Coles, Deborah F. Smith, and Paul M. Kaye. 2010. ‘Dynamic Imaging of Experimental Leishmania Donovani-Induced Hepatic Granulomas Detects Kupffer Cell-Restricted Antigen Presentation to Antigen-Specific CD8+ T Cells’. </w:t>
      </w:r>
      <w:r w:rsidRPr="000C4EF7">
        <w:rPr>
          <w:rFonts w:eastAsia="Times New Roman"/>
          <w:i/>
          <w:iCs/>
          <w:lang w:eastAsia="en-GB"/>
        </w:rPr>
        <w:t>PLOS Pathogens</w:t>
      </w:r>
      <w:r w:rsidRPr="000C4EF7">
        <w:rPr>
          <w:rFonts w:eastAsia="Times New Roman"/>
          <w:lang w:eastAsia="en-GB"/>
        </w:rPr>
        <w:t xml:space="preserve"> 6 (3): e1000805. </w:t>
      </w:r>
      <w:hyperlink r:id="rId126" w:history="1">
        <w:r w:rsidRPr="00D40D5C">
          <w:rPr>
            <w:rFonts w:eastAsia="Times New Roman"/>
            <w:color w:val="0000FF"/>
            <w:u w:val="single"/>
            <w:lang w:eastAsia="en-GB"/>
          </w:rPr>
          <w:t>https://doi.org/10.1371/journal.ppat.1000805</w:t>
        </w:r>
      </w:hyperlink>
      <w:r w:rsidRPr="000C4EF7">
        <w:rPr>
          <w:rFonts w:eastAsia="Times New Roman"/>
          <w:lang w:eastAsia="en-GB"/>
        </w:rPr>
        <w:t>.</w:t>
      </w:r>
    </w:p>
    <w:p w14:paraId="275275B7" w14:textId="77777777" w:rsidR="000C4EF7" w:rsidRPr="00D40D5C" w:rsidRDefault="000C4EF7" w:rsidP="00B23FF8">
      <w:pPr>
        <w:snapToGrid w:val="0"/>
        <w:spacing w:afterLines="60" w:after="144" w:line="240" w:lineRule="auto"/>
        <w:ind w:hanging="480"/>
        <w:rPr>
          <w:rFonts w:eastAsia="Times New Roman"/>
          <w:lang w:eastAsia="en-GB"/>
        </w:rPr>
      </w:pPr>
      <w:r w:rsidRPr="000C4EF7">
        <w:rPr>
          <w:rFonts w:eastAsia="Times New Roman"/>
          <w:lang w:eastAsia="en-GB"/>
        </w:rPr>
        <w:t xml:space="preserve">Beattie, Lynette, Rebecca Phillips, Najmeeyah Brown, Benjamin M. J. Owens, Neal Chauhan, Jane E. Dalton, and Paul M. Kaye. 2011. ‘Interferon Regulatory Factor 7 Contributes to the Control of Leishmania Donovani in the Mouse Liver’. </w:t>
      </w:r>
      <w:r w:rsidRPr="000C4EF7">
        <w:rPr>
          <w:rFonts w:eastAsia="Times New Roman"/>
          <w:i/>
          <w:iCs/>
          <w:lang w:eastAsia="en-GB"/>
        </w:rPr>
        <w:t>Infection and Immunity</w:t>
      </w:r>
      <w:r w:rsidRPr="000C4EF7">
        <w:rPr>
          <w:rFonts w:eastAsia="Times New Roman"/>
          <w:lang w:eastAsia="en-GB"/>
        </w:rPr>
        <w:t xml:space="preserve"> 79 (3): 1057–66. </w:t>
      </w:r>
      <w:hyperlink r:id="rId127" w:history="1">
        <w:r w:rsidRPr="00D40D5C">
          <w:rPr>
            <w:rFonts w:eastAsia="Times New Roman"/>
            <w:color w:val="0000FF"/>
            <w:u w:val="single"/>
            <w:lang w:eastAsia="en-GB"/>
          </w:rPr>
          <w:t>https://doi.org/10.1128/IAI.00633-10</w:t>
        </w:r>
      </w:hyperlink>
      <w:r w:rsidRPr="000C4EF7">
        <w:rPr>
          <w:rFonts w:eastAsia="Times New Roman"/>
          <w:lang w:eastAsia="en-GB"/>
        </w:rPr>
        <w:t>.</w:t>
      </w:r>
    </w:p>
    <w:p w14:paraId="217AA7A1" w14:textId="77777777" w:rsidR="000C4EF7" w:rsidRPr="00D40D5C" w:rsidRDefault="000C4EF7" w:rsidP="00B23FF8">
      <w:pPr>
        <w:snapToGrid w:val="0"/>
        <w:spacing w:afterLines="60" w:after="144" w:line="240" w:lineRule="auto"/>
        <w:ind w:hanging="480"/>
        <w:rPr>
          <w:rFonts w:eastAsia="Times New Roman"/>
          <w:lang w:eastAsia="en-GB"/>
        </w:rPr>
      </w:pPr>
      <w:r w:rsidRPr="000C4EF7">
        <w:rPr>
          <w:rFonts w:eastAsia="Times New Roman"/>
          <w:lang w:eastAsia="en-GB"/>
        </w:rPr>
        <w:t xml:space="preserve">Beattie, Lynette, Mattias Svensson, Alison Bune, Najmeeyah Brown, Asher Maroof, Soombul Zubairi, Katharine R Smith, and Paul M Kaye. 2010. ‘Leishmania Donovani-Induced Expression of Signal Regulatory Protein α on Kupffer Cells Enhances Hepatic Invariant NKT-Cell Activation’. </w:t>
      </w:r>
      <w:r w:rsidRPr="000C4EF7">
        <w:rPr>
          <w:rFonts w:eastAsia="Times New Roman"/>
          <w:i/>
          <w:iCs/>
          <w:lang w:eastAsia="en-GB"/>
        </w:rPr>
        <w:t>European Journal of Immunology</w:t>
      </w:r>
      <w:r w:rsidRPr="000C4EF7">
        <w:rPr>
          <w:rFonts w:eastAsia="Times New Roman"/>
          <w:lang w:eastAsia="en-GB"/>
        </w:rPr>
        <w:t xml:space="preserve"> 40 (1): 117–23. </w:t>
      </w:r>
      <w:hyperlink r:id="rId128" w:history="1">
        <w:r w:rsidRPr="00D40D5C">
          <w:rPr>
            <w:rFonts w:eastAsia="Times New Roman"/>
            <w:color w:val="0000FF"/>
            <w:u w:val="single"/>
            <w:lang w:eastAsia="en-GB"/>
          </w:rPr>
          <w:t>https://doi.org/10.1002/eji.200939863</w:t>
        </w:r>
      </w:hyperlink>
      <w:r w:rsidRPr="000C4EF7">
        <w:rPr>
          <w:rFonts w:eastAsia="Times New Roman"/>
          <w:lang w:eastAsia="en-GB"/>
        </w:rPr>
        <w:t>.</w:t>
      </w:r>
    </w:p>
    <w:p w14:paraId="797D7D2A" w14:textId="77777777" w:rsidR="000C4EF7" w:rsidRPr="000C4EF7" w:rsidRDefault="000C4EF7" w:rsidP="00B23FF8">
      <w:pPr>
        <w:snapToGrid w:val="0"/>
        <w:spacing w:afterLines="60" w:after="144" w:line="240" w:lineRule="auto"/>
        <w:ind w:hanging="480"/>
        <w:rPr>
          <w:rFonts w:eastAsia="Times New Roman"/>
          <w:lang w:eastAsia="en-GB"/>
        </w:rPr>
      </w:pPr>
      <w:r w:rsidRPr="000C4EF7">
        <w:rPr>
          <w:rFonts w:eastAsia="Times New Roman"/>
          <w:lang w:eastAsia="en-GB"/>
        </w:rPr>
        <w:t xml:space="preserve">Beaumont, Mark A, Wenyang Zhang, and David J Balding. 2002. ‘Approximate Bayesian Computation in Population Genetics.’ </w:t>
      </w:r>
      <w:r w:rsidRPr="000C4EF7">
        <w:rPr>
          <w:rFonts w:eastAsia="Times New Roman"/>
          <w:i/>
          <w:iCs/>
          <w:lang w:eastAsia="en-GB"/>
        </w:rPr>
        <w:t>Genetics</w:t>
      </w:r>
      <w:r w:rsidRPr="000C4EF7">
        <w:rPr>
          <w:rFonts w:eastAsia="Times New Roman"/>
          <w:lang w:eastAsia="en-GB"/>
        </w:rPr>
        <w:t xml:space="preserve"> 162 (4): 2025–35.</w:t>
      </w:r>
    </w:p>
    <w:p w14:paraId="5E379E81" w14:textId="77777777" w:rsidR="000C4EF7" w:rsidRPr="000C4EF7" w:rsidRDefault="000C4EF7" w:rsidP="00B23FF8">
      <w:pPr>
        <w:snapToGrid w:val="0"/>
        <w:spacing w:afterLines="60" w:after="144" w:line="240" w:lineRule="auto"/>
        <w:ind w:hanging="480"/>
        <w:rPr>
          <w:rFonts w:eastAsia="Times New Roman"/>
          <w:lang w:eastAsia="en-GB"/>
        </w:rPr>
      </w:pPr>
      <w:r w:rsidRPr="000C4EF7">
        <w:rPr>
          <w:rFonts w:eastAsia="Times New Roman"/>
          <w:lang w:eastAsia="en-GB"/>
        </w:rPr>
        <w:t xml:space="preserve">Bekersky, Ihor, Robert M. Fielding, Dawna E. Dressler, Jean W. Lee, Donald N. Buell, and Thomas J. Walsh. 2002. ‘Pharmacokinetics, Excretion, and Mass Balance of Liposomal Amphotericin B (AmBisome) and Amphotericin B Deoxycholate in Humans’. </w:t>
      </w:r>
      <w:r w:rsidRPr="000C4EF7">
        <w:rPr>
          <w:rFonts w:eastAsia="Times New Roman"/>
          <w:i/>
          <w:iCs/>
          <w:lang w:eastAsia="en-GB"/>
        </w:rPr>
        <w:t>Antimicrobial Agents and Chemotherapy</w:t>
      </w:r>
      <w:r w:rsidRPr="000C4EF7">
        <w:rPr>
          <w:rFonts w:eastAsia="Times New Roman"/>
          <w:lang w:eastAsia="en-GB"/>
        </w:rPr>
        <w:t xml:space="preserve"> 46 (3): 828–33.</w:t>
      </w:r>
    </w:p>
    <w:p w14:paraId="16C8AA96" w14:textId="77777777" w:rsidR="000C4EF7" w:rsidRPr="000C4EF7" w:rsidRDefault="000C4EF7" w:rsidP="00B23FF8">
      <w:pPr>
        <w:snapToGrid w:val="0"/>
        <w:spacing w:afterLines="60" w:after="144" w:line="240" w:lineRule="auto"/>
        <w:ind w:hanging="480"/>
        <w:rPr>
          <w:rFonts w:eastAsia="Times New Roman"/>
          <w:lang w:eastAsia="en-GB"/>
        </w:rPr>
      </w:pPr>
      <w:r w:rsidRPr="000C4EF7">
        <w:rPr>
          <w:rFonts w:eastAsia="Times New Roman"/>
          <w:lang w:eastAsia="en-GB"/>
        </w:rPr>
        <w:t xml:space="preserve">Berman, J. D., R. Badaro, C. P. Thakur, K. M. Wasunna, K. Behbehani, R. Davidson, F. Kuzoe, L. Pang, K. Weerasuriya, and A. D. Bryceson. 1998. ‘Efficacy and Safety of Liposomal Amphotericin B (AmBisome) for Visceral Leishmaniasis in Endemic Developing Countries.’ </w:t>
      </w:r>
      <w:r w:rsidRPr="000C4EF7">
        <w:rPr>
          <w:rFonts w:eastAsia="Times New Roman"/>
          <w:i/>
          <w:iCs/>
          <w:lang w:eastAsia="en-GB"/>
        </w:rPr>
        <w:t>Bulletin of the World Health Organization</w:t>
      </w:r>
      <w:r w:rsidRPr="000C4EF7">
        <w:rPr>
          <w:rFonts w:eastAsia="Times New Roman"/>
          <w:lang w:eastAsia="en-GB"/>
        </w:rPr>
        <w:t xml:space="preserve"> 76 (1): 25–32.</w:t>
      </w:r>
    </w:p>
    <w:p w14:paraId="2B44E94D" w14:textId="77777777" w:rsidR="000C4EF7" w:rsidRPr="00D40D5C" w:rsidRDefault="000C4EF7" w:rsidP="00B23FF8">
      <w:pPr>
        <w:snapToGrid w:val="0"/>
        <w:spacing w:afterLines="60" w:after="144" w:line="240" w:lineRule="auto"/>
        <w:ind w:hanging="480"/>
        <w:rPr>
          <w:rFonts w:eastAsia="Times New Roman"/>
          <w:lang w:eastAsia="en-GB"/>
        </w:rPr>
      </w:pPr>
      <w:r w:rsidRPr="000C4EF7">
        <w:rPr>
          <w:rFonts w:eastAsia="Times New Roman"/>
          <w:lang w:eastAsia="en-GB"/>
        </w:rPr>
        <w:lastRenderedPageBreak/>
        <w:t xml:space="preserve">Bernin, Hannah, Helena Fehling, Claudia Marggraff, Egbert Tannich, and Hannelore Lotter. 2016. ‘The Cytokine Profile of Human NKT Cells and PBMCs Is Dependent on Donor Sex and Stimulus’. </w:t>
      </w:r>
      <w:r w:rsidRPr="000C4EF7">
        <w:rPr>
          <w:rFonts w:eastAsia="Times New Roman"/>
          <w:i/>
          <w:iCs/>
          <w:lang w:eastAsia="en-GB"/>
        </w:rPr>
        <w:t>Medical Microbiology and Immunology</w:t>
      </w:r>
      <w:r w:rsidRPr="000C4EF7">
        <w:rPr>
          <w:rFonts w:eastAsia="Times New Roman"/>
          <w:lang w:eastAsia="en-GB"/>
        </w:rPr>
        <w:t xml:space="preserve"> 205 (4): 321–32. </w:t>
      </w:r>
      <w:hyperlink r:id="rId129" w:history="1">
        <w:r w:rsidRPr="00D40D5C">
          <w:rPr>
            <w:rFonts w:eastAsia="Times New Roman"/>
            <w:color w:val="0000FF"/>
            <w:u w:val="single"/>
            <w:lang w:eastAsia="en-GB"/>
          </w:rPr>
          <w:t>https://doi.org/10.1007/s00430-016-0449-y</w:t>
        </w:r>
      </w:hyperlink>
      <w:r w:rsidRPr="000C4EF7">
        <w:rPr>
          <w:rFonts w:eastAsia="Times New Roman"/>
          <w:lang w:eastAsia="en-GB"/>
        </w:rPr>
        <w:t>.</w:t>
      </w:r>
    </w:p>
    <w:p w14:paraId="0DB6FA47" w14:textId="77777777" w:rsidR="000C4EF7" w:rsidRPr="000C4EF7" w:rsidRDefault="000C4EF7" w:rsidP="00B23FF8">
      <w:pPr>
        <w:snapToGrid w:val="0"/>
        <w:spacing w:afterLines="60" w:after="144" w:line="240" w:lineRule="auto"/>
        <w:ind w:hanging="480"/>
        <w:rPr>
          <w:rFonts w:eastAsia="Times New Roman"/>
          <w:lang w:eastAsia="en-GB"/>
        </w:rPr>
      </w:pPr>
      <w:r w:rsidRPr="000C4EF7">
        <w:rPr>
          <w:rFonts w:eastAsia="Times New Roman"/>
          <w:lang w:eastAsia="en-GB"/>
        </w:rPr>
        <w:t xml:space="preserve">Bertholet, Sylvie, Romina Goldszmid, Alexandre Morrot, Alain Debrabant, Farhat Afrin, Carmen Collazo-Custodio, Mathieu Houde, Michel Desjardins, Alan Sher, and David Sacks. 2006. ‘Leishmania Antigens Are Presented to CD8+ T Cells by a Transporter Associated with Antigen Processing-Independent Pathway in Vitro and in Vivo’. </w:t>
      </w:r>
      <w:r w:rsidRPr="000C4EF7">
        <w:rPr>
          <w:rFonts w:eastAsia="Times New Roman"/>
          <w:i/>
          <w:iCs/>
          <w:lang w:eastAsia="en-GB"/>
        </w:rPr>
        <w:t>Journal of Immunology (Baltimore, Md.: 1950)</w:t>
      </w:r>
      <w:r w:rsidRPr="000C4EF7">
        <w:rPr>
          <w:rFonts w:eastAsia="Times New Roman"/>
          <w:lang w:eastAsia="en-GB"/>
        </w:rPr>
        <w:t xml:space="preserve"> 177 (6): 3525–33.</w:t>
      </w:r>
    </w:p>
    <w:p w14:paraId="3FAC3E53" w14:textId="77777777" w:rsidR="000C4EF7" w:rsidRPr="00D40D5C" w:rsidRDefault="000C4EF7" w:rsidP="00B23FF8">
      <w:pPr>
        <w:snapToGrid w:val="0"/>
        <w:spacing w:afterLines="60" w:after="144" w:line="240" w:lineRule="auto"/>
        <w:ind w:hanging="480"/>
        <w:rPr>
          <w:rFonts w:eastAsia="Times New Roman"/>
          <w:lang w:eastAsia="en-GB"/>
        </w:rPr>
      </w:pPr>
      <w:r w:rsidRPr="000C4EF7">
        <w:rPr>
          <w:rFonts w:eastAsia="Times New Roman"/>
          <w:lang w:eastAsia="en-GB"/>
        </w:rPr>
        <w:t xml:space="preserve">Bhattacharya, Sujit K., and Aditya Prasad Dash. 2017. ‘Elimination of Kala-Azar from the Southeast Asia Region’. </w:t>
      </w:r>
      <w:r w:rsidRPr="000C4EF7">
        <w:rPr>
          <w:rFonts w:eastAsia="Times New Roman"/>
          <w:i/>
          <w:iCs/>
          <w:lang w:eastAsia="en-GB"/>
        </w:rPr>
        <w:t>The American Journal of Tropical Medicine and Hygiene</w:t>
      </w:r>
      <w:r w:rsidRPr="000C4EF7">
        <w:rPr>
          <w:rFonts w:eastAsia="Times New Roman"/>
          <w:lang w:eastAsia="en-GB"/>
        </w:rPr>
        <w:t xml:space="preserve"> 96 (4): 802–4. </w:t>
      </w:r>
      <w:hyperlink r:id="rId130" w:history="1">
        <w:r w:rsidRPr="00D40D5C">
          <w:rPr>
            <w:rFonts w:eastAsia="Times New Roman"/>
            <w:color w:val="0000FF"/>
            <w:u w:val="single"/>
            <w:lang w:eastAsia="en-GB"/>
          </w:rPr>
          <w:t>https://doi.org/10.4269/ajtmh.16-0279</w:t>
        </w:r>
      </w:hyperlink>
      <w:r w:rsidRPr="000C4EF7">
        <w:rPr>
          <w:rFonts w:eastAsia="Times New Roman"/>
          <w:lang w:eastAsia="en-GB"/>
        </w:rPr>
        <w:t>.</w:t>
      </w:r>
    </w:p>
    <w:p w14:paraId="4DDFC966" w14:textId="77777777" w:rsidR="000C4EF7" w:rsidRPr="00D40D5C" w:rsidRDefault="000C4EF7" w:rsidP="00B23FF8">
      <w:pPr>
        <w:snapToGrid w:val="0"/>
        <w:spacing w:afterLines="60" w:after="144" w:line="240" w:lineRule="auto"/>
        <w:ind w:hanging="480"/>
        <w:rPr>
          <w:rFonts w:eastAsia="Times New Roman"/>
          <w:lang w:eastAsia="en-GB"/>
        </w:rPr>
      </w:pPr>
      <w:r w:rsidRPr="000C4EF7">
        <w:rPr>
          <w:rFonts w:eastAsia="Times New Roman"/>
          <w:lang w:eastAsia="en-GB"/>
        </w:rPr>
        <w:t xml:space="preserve">Biglino, Alberto, Cesare Bolla, Erika Concialdi, Anna Trisciuoglio, Angelo Romano, and Ezio Ferroglio. 2010. ‘Asymptomatic Leishmania Infantum Infection in an Area of Northwestern Italy (Piedmont Region) Where Such Infections Are Traditionally Nonendemic’. </w:t>
      </w:r>
      <w:r w:rsidRPr="000C4EF7">
        <w:rPr>
          <w:rFonts w:eastAsia="Times New Roman"/>
          <w:i/>
          <w:iCs/>
          <w:lang w:eastAsia="en-GB"/>
        </w:rPr>
        <w:t>Journal of Clinical Microbiology</w:t>
      </w:r>
      <w:r w:rsidRPr="000C4EF7">
        <w:rPr>
          <w:rFonts w:eastAsia="Times New Roman"/>
          <w:lang w:eastAsia="en-GB"/>
        </w:rPr>
        <w:t xml:space="preserve"> 48 (1): 131–36. </w:t>
      </w:r>
      <w:hyperlink r:id="rId131" w:history="1">
        <w:r w:rsidRPr="00D40D5C">
          <w:rPr>
            <w:rFonts w:eastAsia="Times New Roman"/>
            <w:color w:val="0000FF"/>
            <w:u w:val="single"/>
            <w:lang w:eastAsia="en-GB"/>
          </w:rPr>
          <w:t>https://doi.org/10.1128/JCM.00416-09</w:t>
        </w:r>
      </w:hyperlink>
      <w:r w:rsidRPr="000C4EF7">
        <w:rPr>
          <w:rFonts w:eastAsia="Times New Roman"/>
          <w:lang w:eastAsia="en-GB"/>
        </w:rPr>
        <w:t>.</w:t>
      </w:r>
    </w:p>
    <w:p w14:paraId="1D3E2054" w14:textId="77777777" w:rsidR="000C4EF7" w:rsidRPr="00D40D5C" w:rsidRDefault="000C4EF7" w:rsidP="00B23FF8">
      <w:pPr>
        <w:snapToGrid w:val="0"/>
        <w:spacing w:afterLines="60" w:after="144" w:line="240" w:lineRule="auto"/>
        <w:ind w:hanging="480"/>
        <w:rPr>
          <w:rFonts w:eastAsia="Times New Roman"/>
          <w:lang w:eastAsia="en-GB"/>
        </w:rPr>
      </w:pPr>
      <w:r w:rsidRPr="000C4EF7">
        <w:rPr>
          <w:rFonts w:eastAsia="Times New Roman"/>
          <w:lang w:eastAsia="en-GB"/>
        </w:rPr>
        <w:t xml:space="preserve">Bilzer, Manfred, Frigga Roggel, and Alexander L. Gerbes. 2006. ‘Role of Kupffer Cells in Host Defense and Liver Disease’. </w:t>
      </w:r>
      <w:r w:rsidRPr="000C4EF7">
        <w:rPr>
          <w:rFonts w:eastAsia="Times New Roman"/>
          <w:i/>
          <w:iCs/>
          <w:lang w:eastAsia="en-GB"/>
        </w:rPr>
        <w:t>Liver International</w:t>
      </w:r>
      <w:r w:rsidRPr="000C4EF7">
        <w:rPr>
          <w:rFonts w:eastAsia="Times New Roman"/>
          <w:lang w:eastAsia="en-GB"/>
        </w:rPr>
        <w:t xml:space="preserve"> 26 (10): 1175–86. </w:t>
      </w:r>
      <w:hyperlink r:id="rId132" w:history="1">
        <w:r w:rsidRPr="00D40D5C">
          <w:rPr>
            <w:rFonts w:eastAsia="Times New Roman"/>
            <w:color w:val="0000FF"/>
            <w:u w:val="single"/>
            <w:lang w:eastAsia="en-GB"/>
          </w:rPr>
          <w:t>https://doi.org/10.1111/j.1478-3231.2006.01342.x</w:t>
        </w:r>
      </w:hyperlink>
      <w:r w:rsidRPr="000C4EF7">
        <w:rPr>
          <w:rFonts w:eastAsia="Times New Roman"/>
          <w:lang w:eastAsia="en-GB"/>
        </w:rPr>
        <w:t>.</w:t>
      </w:r>
    </w:p>
    <w:p w14:paraId="736AFAEC" w14:textId="77777777" w:rsidR="000C4EF7" w:rsidRPr="00D40D5C" w:rsidRDefault="000C4EF7" w:rsidP="00B23FF8">
      <w:pPr>
        <w:snapToGrid w:val="0"/>
        <w:spacing w:afterLines="60" w:after="144" w:line="240" w:lineRule="auto"/>
        <w:ind w:hanging="480"/>
        <w:rPr>
          <w:rFonts w:eastAsia="Times New Roman"/>
          <w:lang w:eastAsia="en-GB"/>
        </w:rPr>
      </w:pPr>
      <w:r w:rsidRPr="000C4EF7">
        <w:rPr>
          <w:rFonts w:eastAsia="Times New Roman"/>
          <w:lang w:eastAsia="en-GB"/>
        </w:rPr>
        <w:t xml:space="preserve">Borg, Natalie A., Kwok S. Wun, Lars Kjer-Nielsen, Matthew C. J. Wilce, Daniel G. Pellicci, Ruide Koh, Gurdyal S. Besra, et al. 2007. ‘CD1d–Lipid-Antigen Recognition by the Semi-Invariant NKT T-Cell Receptor’. </w:t>
      </w:r>
      <w:r w:rsidRPr="000C4EF7">
        <w:rPr>
          <w:rFonts w:eastAsia="Times New Roman"/>
          <w:i/>
          <w:iCs/>
          <w:lang w:eastAsia="en-GB"/>
        </w:rPr>
        <w:t>Nature</w:t>
      </w:r>
      <w:r w:rsidRPr="000C4EF7">
        <w:rPr>
          <w:rFonts w:eastAsia="Times New Roman"/>
          <w:lang w:eastAsia="en-GB"/>
        </w:rPr>
        <w:t xml:space="preserve"> 448 (7149): 44–49. </w:t>
      </w:r>
      <w:hyperlink r:id="rId133" w:history="1">
        <w:r w:rsidRPr="00D40D5C">
          <w:rPr>
            <w:rFonts w:eastAsia="Times New Roman"/>
            <w:color w:val="0000FF"/>
            <w:u w:val="single"/>
            <w:lang w:eastAsia="en-GB"/>
          </w:rPr>
          <w:t>https://doi.org/10.1038/nature05907</w:t>
        </w:r>
      </w:hyperlink>
      <w:r w:rsidRPr="000C4EF7">
        <w:rPr>
          <w:rFonts w:eastAsia="Times New Roman"/>
          <w:lang w:eastAsia="en-GB"/>
        </w:rPr>
        <w:t>.</w:t>
      </w:r>
    </w:p>
    <w:p w14:paraId="6A2929B7" w14:textId="77777777" w:rsidR="000C4EF7" w:rsidRPr="00D40D5C" w:rsidRDefault="000C4EF7" w:rsidP="00B23FF8">
      <w:pPr>
        <w:snapToGrid w:val="0"/>
        <w:spacing w:afterLines="60" w:after="144" w:line="240" w:lineRule="auto"/>
        <w:ind w:hanging="480"/>
        <w:rPr>
          <w:rFonts w:eastAsia="Times New Roman"/>
          <w:lang w:eastAsia="en-GB"/>
        </w:rPr>
      </w:pPr>
      <w:r w:rsidRPr="000C4EF7">
        <w:rPr>
          <w:rFonts w:eastAsia="Times New Roman"/>
          <w:lang w:eastAsia="en-GB"/>
        </w:rPr>
        <w:t xml:space="preserve">Brinkmann, Volker, Andreas Billich, Thomas Baumruker, Peter Heining, Robert Schmouder, Gordon Francis, Shreeram Aradhye, and Pascale Burtin. 2010. ‘Fingolimod (FTY720): Discovery and Development of an Oral Drug to Treat Multiple Sclerosis’. </w:t>
      </w:r>
      <w:r w:rsidRPr="000C4EF7">
        <w:rPr>
          <w:rFonts w:eastAsia="Times New Roman"/>
          <w:i/>
          <w:iCs/>
          <w:lang w:eastAsia="en-GB"/>
        </w:rPr>
        <w:t>Nature Reviews Drug Discovery</w:t>
      </w:r>
      <w:r w:rsidRPr="000C4EF7">
        <w:rPr>
          <w:rFonts w:eastAsia="Times New Roman"/>
          <w:lang w:eastAsia="en-GB"/>
        </w:rPr>
        <w:t xml:space="preserve"> 9 (11): 883–97. </w:t>
      </w:r>
      <w:hyperlink r:id="rId134" w:history="1">
        <w:r w:rsidRPr="00D40D5C">
          <w:rPr>
            <w:rFonts w:eastAsia="Times New Roman"/>
            <w:color w:val="0000FF"/>
            <w:u w:val="single"/>
            <w:lang w:eastAsia="en-GB"/>
          </w:rPr>
          <w:t>https://doi.org/10.1038/nrd3248</w:t>
        </w:r>
      </w:hyperlink>
      <w:r w:rsidRPr="000C4EF7">
        <w:rPr>
          <w:rFonts w:eastAsia="Times New Roman"/>
          <w:lang w:eastAsia="en-GB"/>
        </w:rPr>
        <w:t>.</w:t>
      </w:r>
    </w:p>
    <w:p w14:paraId="48324698" w14:textId="77777777" w:rsidR="000C4EF7" w:rsidRPr="00D40D5C" w:rsidRDefault="000C4EF7" w:rsidP="00B23FF8">
      <w:pPr>
        <w:snapToGrid w:val="0"/>
        <w:spacing w:afterLines="60" w:after="144" w:line="240" w:lineRule="auto"/>
        <w:ind w:hanging="480"/>
        <w:rPr>
          <w:rFonts w:eastAsia="Times New Roman"/>
          <w:lang w:eastAsia="en-GB"/>
        </w:rPr>
      </w:pPr>
      <w:r w:rsidRPr="000C4EF7">
        <w:rPr>
          <w:rFonts w:eastAsia="Times New Roman"/>
          <w:lang w:eastAsia="en-GB"/>
        </w:rPr>
        <w:t xml:space="preserve">Brochot, Céline, János Tóth, and Frédéric Y. Bois. 2005. ‘Lumping in Pharmacokinetics’. </w:t>
      </w:r>
      <w:r w:rsidRPr="000C4EF7">
        <w:rPr>
          <w:rFonts w:eastAsia="Times New Roman"/>
          <w:i/>
          <w:iCs/>
          <w:lang w:eastAsia="en-GB"/>
        </w:rPr>
        <w:t>Journal of Pharmacokinetics and Pharmacodynamics</w:t>
      </w:r>
      <w:r w:rsidRPr="000C4EF7">
        <w:rPr>
          <w:rFonts w:eastAsia="Times New Roman"/>
          <w:lang w:eastAsia="en-GB"/>
        </w:rPr>
        <w:t xml:space="preserve"> 32 (5–6): 719–36. </w:t>
      </w:r>
      <w:hyperlink r:id="rId135" w:history="1">
        <w:r w:rsidRPr="00D40D5C">
          <w:rPr>
            <w:rFonts w:eastAsia="Times New Roman"/>
            <w:color w:val="0000FF"/>
            <w:u w:val="single"/>
            <w:lang w:eastAsia="en-GB"/>
          </w:rPr>
          <w:t>https://doi.org/10.1007/s10928-005-0054-y</w:t>
        </w:r>
      </w:hyperlink>
      <w:r w:rsidRPr="000C4EF7">
        <w:rPr>
          <w:rFonts w:eastAsia="Times New Roman"/>
          <w:lang w:eastAsia="en-GB"/>
        </w:rPr>
        <w:t>.</w:t>
      </w:r>
    </w:p>
    <w:p w14:paraId="4BCB0B63" w14:textId="77777777" w:rsidR="000C4EF7" w:rsidRPr="00D40D5C" w:rsidRDefault="000C4EF7" w:rsidP="00B23FF8">
      <w:pPr>
        <w:snapToGrid w:val="0"/>
        <w:spacing w:afterLines="60" w:after="144" w:line="240" w:lineRule="auto"/>
        <w:ind w:hanging="480"/>
        <w:rPr>
          <w:rFonts w:eastAsia="Times New Roman"/>
          <w:lang w:eastAsia="en-GB"/>
        </w:rPr>
      </w:pPr>
      <w:r w:rsidRPr="000C4EF7">
        <w:rPr>
          <w:rFonts w:eastAsia="Times New Roman"/>
          <w:lang w:eastAsia="en-GB"/>
        </w:rPr>
        <w:t xml:space="preserve">Broek, Theo van den, José A. M. Borghans, and Femke van Wijk. 2018. ‘The Full Spectrum of Human Naive T Cells’. </w:t>
      </w:r>
      <w:r w:rsidRPr="000C4EF7">
        <w:rPr>
          <w:rFonts w:eastAsia="Times New Roman"/>
          <w:i/>
          <w:iCs/>
          <w:lang w:eastAsia="en-GB"/>
        </w:rPr>
        <w:t>Nature Reviews Immunology</w:t>
      </w:r>
      <w:r w:rsidRPr="000C4EF7">
        <w:rPr>
          <w:rFonts w:eastAsia="Times New Roman"/>
          <w:lang w:eastAsia="en-GB"/>
        </w:rPr>
        <w:t xml:space="preserve"> 18 (6): 363–73. </w:t>
      </w:r>
      <w:hyperlink r:id="rId136" w:history="1">
        <w:r w:rsidRPr="00D40D5C">
          <w:rPr>
            <w:rFonts w:eastAsia="Times New Roman"/>
            <w:color w:val="0000FF"/>
            <w:u w:val="single"/>
            <w:lang w:eastAsia="en-GB"/>
          </w:rPr>
          <w:t>https://doi.org/10.1038/s41577-018-0001-y</w:t>
        </w:r>
      </w:hyperlink>
      <w:r w:rsidRPr="000C4EF7">
        <w:rPr>
          <w:rFonts w:eastAsia="Times New Roman"/>
          <w:lang w:eastAsia="en-GB"/>
        </w:rPr>
        <w:t>.</w:t>
      </w:r>
    </w:p>
    <w:p w14:paraId="4780AA75" w14:textId="77777777" w:rsidR="000C4EF7" w:rsidRPr="00D40D5C" w:rsidRDefault="000C4EF7" w:rsidP="00B23FF8">
      <w:pPr>
        <w:snapToGrid w:val="0"/>
        <w:spacing w:afterLines="60" w:after="144" w:line="240" w:lineRule="auto"/>
        <w:ind w:hanging="480"/>
        <w:rPr>
          <w:rFonts w:eastAsia="Times New Roman"/>
          <w:lang w:eastAsia="en-GB"/>
        </w:rPr>
      </w:pPr>
      <w:r w:rsidRPr="000C4EF7">
        <w:rPr>
          <w:rFonts w:eastAsia="Times New Roman"/>
          <w:lang w:eastAsia="en-GB"/>
        </w:rPr>
        <w:t xml:space="preserve">Brooks, R. J., and A. M. Tobias. 1996. ‘Choosing the Best Model: Level of Detail, Complexity, and Model Performance’. </w:t>
      </w:r>
      <w:r w:rsidRPr="000C4EF7">
        <w:rPr>
          <w:rFonts w:eastAsia="Times New Roman"/>
          <w:i/>
          <w:iCs/>
          <w:lang w:eastAsia="en-GB"/>
        </w:rPr>
        <w:t>Mathematical and Computer Modelling</w:t>
      </w:r>
      <w:r w:rsidRPr="000C4EF7">
        <w:rPr>
          <w:rFonts w:eastAsia="Times New Roman"/>
          <w:lang w:eastAsia="en-GB"/>
        </w:rPr>
        <w:t xml:space="preserve"> 24 (4): 1–14. </w:t>
      </w:r>
      <w:hyperlink r:id="rId137" w:history="1">
        <w:r w:rsidRPr="00D40D5C">
          <w:rPr>
            <w:rFonts w:eastAsia="Times New Roman"/>
            <w:color w:val="0000FF"/>
            <w:u w:val="single"/>
            <w:lang w:eastAsia="en-GB"/>
          </w:rPr>
          <w:t>https://doi.org/10.1016/0895-7177(96)00103-3</w:t>
        </w:r>
      </w:hyperlink>
      <w:r w:rsidRPr="000C4EF7">
        <w:rPr>
          <w:rFonts w:eastAsia="Times New Roman"/>
          <w:lang w:eastAsia="en-GB"/>
        </w:rPr>
        <w:t>.</w:t>
      </w:r>
    </w:p>
    <w:p w14:paraId="2E182E03" w14:textId="77777777" w:rsidR="000C4EF7" w:rsidRPr="00D40D5C" w:rsidRDefault="000C4EF7" w:rsidP="00B23FF8">
      <w:pPr>
        <w:snapToGrid w:val="0"/>
        <w:spacing w:afterLines="60" w:after="144" w:line="240" w:lineRule="auto"/>
        <w:ind w:hanging="480"/>
        <w:rPr>
          <w:rFonts w:eastAsia="Times New Roman"/>
          <w:lang w:eastAsia="en-GB"/>
        </w:rPr>
      </w:pPr>
      <w:r w:rsidRPr="000C4EF7">
        <w:rPr>
          <w:rFonts w:eastAsia="Times New Roman"/>
          <w:lang w:eastAsia="en-GB"/>
        </w:rPr>
        <w:t xml:space="preserve">Bunn, Patrick T., Amanda C. Stanley, Fabian de Labastida Rivera, Alexander Mulherin, Meru Sheel, Clare E. Alexander, Rebecca J. Faleiro, et al. 2014. ‘Tissue Requirements for Establishing Long-Term CD4+ T Cell-Mediated Immunity Following Leishmania Donovani Infection’. </w:t>
      </w:r>
      <w:r w:rsidRPr="000C4EF7">
        <w:rPr>
          <w:rFonts w:eastAsia="Times New Roman"/>
          <w:i/>
          <w:iCs/>
          <w:lang w:eastAsia="en-GB"/>
        </w:rPr>
        <w:t>Journal of Immunology (Baltimore, Md.: 1950)</w:t>
      </w:r>
      <w:r w:rsidRPr="000C4EF7">
        <w:rPr>
          <w:rFonts w:eastAsia="Times New Roman"/>
          <w:lang w:eastAsia="en-GB"/>
        </w:rPr>
        <w:t xml:space="preserve"> 192 (8): 3709–18. </w:t>
      </w:r>
      <w:hyperlink r:id="rId138" w:history="1">
        <w:r w:rsidRPr="00D40D5C">
          <w:rPr>
            <w:rFonts w:eastAsia="Times New Roman"/>
            <w:color w:val="0000FF"/>
            <w:u w:val="single"/>
            <w:lang w:eastAsia="en-GB"/>
          </w:rPr>
          <w:t>https://doi.org/10.4049/jimmunol.1300768</w:t>
        </w:r>
      </w:hyperlink>
      <w:r w:rsidRPr="000C4EF7">
        <w:rPr>
          <w:rFonts w:eastAsia="Times New Roman"/>
          <w:lang w:eastAsia="en-GB"/>
        </w:rPr>
        <w:t>.</w:t>
      </w:r>
    </w:p>
    <w:p w14:paraId="70A9E4F4" w14:textId="77777777" w:rsidR="000C4EF7" w:rsidRPr="00D40D5C" w:rsidRDefault="000C4EF7" w:rsidP="00B23FF8">
      <w:pPr>
        <w:snapToGrid w:val="0"/>
        <w:spacing w:afterLines="60" w:after="144" w:line="240" w:lineRule="auto"/>
        <w:ind w:hanging="480"/>
        <w:rPr>
          <w:rFonts w:eastAsia="Times New Roman"/>
          <w:lang w:eastAsia="en-GB"/>
        </w:rPr>
      </w:pPr>
      <w:r w:rsidRPr="000C4EF7">
        <w:rPr>
          <w:rFonts w:eastAsia="Times New Roman"/>
          <w:lang w:eastAsia="en-GB"/>
        </w:rPr>
        <w:t xml:space="preserve">Bunn, Patrick T., Amanda C. Stanley, Fabian de Labastida Rivera, Alexander Mulherin, Meru Sheel, Clare E. Alexander, Rebecca J. Faleiro, et al. 2014. ‘Tissue Requirements for Establishing Long-Term CD4+ T Cell–Mediated Immunity Following Leishmania Donovani Infection’. </w:t>
      </w:r>
      <w:r w:rsidRPr="000C4EF7">
        <w:rPr>
          <w:rFonts w:eastAsia="Times New Roman"/>
          <w:i/>
          <w:iCs/>
          <w:lang w:eastAsia="en-GB"/>
        </w:rPr>
        <w:t>The Journal of Immunology</w:t>
      </w:r>
      <w:r w:rsidRPr="000C4EF7">
        <w:rPr>
          <w:rFonts w:eastAsia="Times New Roman"/>
          <w:lang w:eastAsia="en-GB"/>
        </w:rPr>
        <w:t xml:space="preserve"> 192 (8): 3709–18. </w:t>
      </w:r>
      <w:hyperlink r:id="rId139" w:history="1">
        <w:r w:rsidRPr="00D40D5C">
          <w:rPr>
            <w:rFonts w:eastAsia="Times New Roman"/>
            <w:color w:val="0000FF"/>
            <w:u w:val="single"/>
            <w:lang w:eastAsia="en-GB"/>
          </w:rPr>
          <w:t>https://doi.org/10.4049/jimmunol.1300768</w:t>
        </w:r>
      </w:hyperlink>
      <w:r w:rsidRPr="000C4EF7">
        <w:rPr>
          <w:rFonts w:eastAsia="Times New Roman"/>
          <w:lang w:eastAsia="en-GB"/>
        </w:rPr>
        <w:t>.</w:t>
      </w:r>
    </w:p>
    <w:p w14:paraId="40C169DD" w14:textId="77777777" w:rsidR="000C4EF7" w:rsidRPr="00D40D5C" w:rsidRDefault="000C4EF7" w:rsidP="00B23FF8">
      <w:pPr>
        <w:snapToGrid w:val="0"/>
        <w:spacing w:afterLines="60" w:after="144" w:line="240" w:lineRule="auto"/>
        <w:ind w:hanging="480"/>
        <w:rPr>
          <w:rFonts w:eastAsia="Times New Roman"/>
          <w:lang w:eastAsia="en-GB"/>
        </w:rPr>
      </w:pPr>
      <w:r w:rsidRPr="00D40D5C">
        <w:rPr>
          <w:rFonts w:eastAsia="Times New Roman"/>
          <w:lang w:eastAsia="en-GB"/>
        </w:rPr>
        <w:lastRenderedPageBreak/>
        <w:t xml:space="preserve">Bushell, Andrew, and Kathryn J. Wood. 1999. ‘Permanent Survival of Organ Transplants without Immunosuppression: Experimental Approaches and Possibilities for Tolerance Induction in Clinical Transplantation’. </w:t>
      </w:r>
      <w:r w:rsidRPr="000C4EF7">
        <w:rPr>
          <w:rFonts w:eastAsia="Times New Roman"/>
          <w:i/>
          <w:iCs/>
          <w:lang w:eastAsia="en-GB"/>
        </w:rPr>
        <w:t>Expert Reviews in Molecular Medicine</w:t>
      </w:r>
      <w:r w:rsidRPr="000C4EF7">
        <w:rPr>
          <w:rFonts w:eastAsia="Times New Roman"/>
          <w:lang w:eastAsia="en-GB"/>
        </w:rPr>
        <w:t xml:space="preserve"> 1 (17): 1–31. </w:t>
      </w:r>
      <w:hyperlink r:id="rId140" w:history="1">
        <w:r w:rsidRPr="00D40D5C">
          <w:rPr>
            <w:rFonts w:eastAsia="Times New Roman"/>
            <w:color w:val="0000FF"/>
            <w:u w:val="single"/>
            <w:lang w:eastAsia="en-GB"/>
          </w:rPr>
          <w:t>https://doi.org/10.1017/S1462399499001179</w:t>
        </w:r>
      </w:hyperlink>
      <w:r w:rsidRPr="000C4EF7">
        <w:rPr>
          <w:rFonts w:eastAsia="Times New Roman"/>
          <w:lang w:eastAsia="en-GB"/>
        </w:rPr>
        <w:t>.</w:t>
      </w:r>
    </w:p>
    <w:p w14:paraId="57071BA0" w14:textId="77777777" w:rsidR="000C4EF7" w:rsidRPr="00D40D5C" w:rsidRDefault="000C4EF7" w:rsidP="00B23FF8">
      <w:pPr>
        <w:snapToGrid w:val="0"/>
        <w:spacing w:afterLines="60" w:after="144" w:line="240" w:lineRule="auto"/>
        <w:ind w:hanging="480"/>
        <w:rPr>
          <w:rFonts w:eastAsia="Times New Roman"/>
          <w:lang w:eastAsia="en-GB"/>
        </w:rPr>
      </w:pPr>
      <w:r w:rsidRPr="000C4EF7">
        <w:rPr>
          <w:rFonts w:eastAsia="Times New Roman"/>
          <w:lang w:eastAsia="en-GB"/>
        </w:rPr>
        <w:t xml:space="preserve">Carter, K. C., J. Alexander, A. J. Baillie, and T. F. Dolan. 1989. ‘Visceral Leishmaniasis: Resistance to Reinfection in the Liver Following Chemotherapy in the BALB/c Mouse’. </w:t>
      </w:r>
      <w:r w:rsidRPr="000C4EF7">
        <w:rPr>
          <w:rFonts w:eastAsia="Times New Roman"/>
          <w:i/>
          <w:iCs/>
          <w:lang w:eastAsia="en-GB"/>
        </w:rPr>
        <w:t>Experimental Parasitology</w:t>
      </w:r>
      <w:r w:rsidRPr="000C4EF7">
        <w:rPr>
          <w:rFonts w:eastAsia="Times New Roman"/>
          <w:lang w:eastAsia="en-GB"/>
        </w:rPr>
        <w:t xml:space="preserve"> 68 (4): 375–81. </w:t>
      </w:r>
      <w:hyperlink r:id="rId141" w:history="1">
        <w:r w:rsidRPr="00D40D5C">
          <w:rPr>
            <w:rFonts w:eastAsia="Times New Roman"/>
            <w:color w:val="0000FF"/>
            <w:u w:val="single"/>
            <w:lang w:eastAsia="en-GB"/>
          </w:rPr>
          <w:t>https://doi.org/10.1016/0014-4894(89)90122-7</w:t>
        </w:r>
      </w:hyperlink>
      <w:r w:rsidRPr="000C4EF7">
        <w:rPr>
          <w:rFonts w:eastAsia="Times New Roman"/>
          <w:lang w:eastAsia="en-GB"/>
        </w:rPr>
        <w:t>.</w:t>
      </w:r>
    </w:p>
    <w:p w14:paraId="46BBA8E2" w14:textId="77777777" w:rsidR="000C4EF7" w:rsidRPr="000C4EF7" w:rsidRDefault="000C4EF7" w:rsidP="00B23FF8">
      <w:pPr>
        <w:snapToGrid w:val="0"/>
        <w:spacing w:afterLines="60" w:after="144" w:line="240" w:lineRule="auto"/>
        <w:ind w:hanging="480"/>
        <w:rPr>
          <w:rFonts w:eastAsia="Times New Roman"/>
          <w:lang w:eastAsia="en-GB"/>
        </w:rPr>
      </w:pPr>
      <w:r w:rsidRPr="000C4EF7">
        <w:rPr>
          <w:rFonts w:eastAsia="Times New Roman"/>
          <w:lang w:eastAsia="en-GB"/>
        </w:rPr>
        <w:t xml:space="preserve">Chakraborty, Debabani, Subha Banerjee, Abhik Sen, Kalyan K. Banerjee, Pradip Das, and Syamal Roy. 2005. ‘Leishmania Donovani Affects Antigen Presentation of Macrophage by Disrupting Lipid Rafts’. </w:t>
      </w:r>
      <w:r w:rsidRPr="000C4EF7">
        <w:rPr>
          <w:rFonts w:eastAsia="Times New Roman"/>
          <w:i/>
          <w:iCs/>
          <w:lang w:eastAsia="en-GB"/>
        </w:rPr>
        <w:t>Journal of Immunology (Baltimore, Md.: 1950)</w:t>
      </w:r>
      <w:r w:rsidRPr="000C4EF7">
        <w:rPr>
          <w:rFonts w:eastAsia="Times New Roman"/>
          <w:lang w:eastAsia="en-GB"/>
        </w:rPr>
        <w:t xml:space="preserve"> 175 (5): 3214–24.</w:t>
      </w:r>
    </w:p>
    <w:p w14:paraId="284AC530" w14:textId="77777777" w:rsidR="000C4EF7" w:rsidRPr="000C4EF7" w:rsidRDefault="000C4EF7" w:rsidP="00B23FF8">
      <w:pPr>
        <w:snapToGrid w:val="0"/>
        <w:spacing w:afterLines="60" w:after="144" w:line="240" w:lineRule="auto"/>
        <w:ind w:hanging="480"/>
        <w:rPr>
          <w:rFonts w:eastAsia="Times New Roman"/>
          <w:lang w:eastAsia="en-GB"/>
        </w:rPr>
      </w:pPr>
      <w:r w:rsidRPr="000C4EF7">
        <w:rPr>
          <w:rFonts w:eastAsia="Times New Roman"/>
          <w:lang w:eastAsia="en-GB"/>
        </w:rPr>
        <w:t xml:space="preserve">Chang, K. P., and D. M. Dwyer. 1978. ‘Leishmania Donovani. Hamster Macrophage Interactions in Vitro: Cell Entry, Intracellular Survival, and Multiplication of Amastigotes’. </w:t>
      </w:r>
      <w:r w:rsidRPr="000C4EF7">
        <w:rPr>
          <w:rFonts w:eastAsia="Times New Roman"/>
          <w:i/>
          <w:iCs/>
          <w:lang w:eastAsia="en-GB"/>
        </w:rPr>
        <w:t>The Journal of Experimental Medicine</w:t>
      </w:r>
      <w:r w:rsidRPr="000C4EF7">
        <w:rPr>
          <w:rFonts w:eastAsia="Times New Roman"/>
          <w:lang w:eastAsia="en-GB"/>
        </w:rPr>
        <w:t xml:space="preserve"> 147 (2): 515–30.</w:t>
      </w:r>
    </w:p>
    <w:p w14:paraId="577B892B" w14:textId="77777777" w:rsidR="000C4EF7" w:rsidRPr="00D40D5C" w:rsidRDefault="000C4EF7" w:rsidP="00B23FF8">
      <w:pPr>
        <w:snapToGrid w:val="0"/>
        <w:spacing w:afterLines="60" w:after="144" w:line="240" w:lineRule="auto"/>
        <w:ind w:hanging="480"/>
        <w:rPr>
          <w:rFonts w:eastAsia="Times New Roman"/>
          <w:lang w:eastAsia="en-GB"/>
        </w:rPr>
      </w:pPr>
      <w:r w:rsidRPr="000C4EF7">
        <w:rPr>
          <w:rFonts w:eastAsia="Times New Roman"/>
          <w:lang w:eastAsia="en-GB"/>
        </w:rPr>
        <w:t xml:space="preserve">Chow, Conan, Serge Cloutier, Carole Dumas, Marie-Noelle Chou, and Barbara Papadopoulou. 2011. ‘Promastigote to Amastigote Differentiation of Leishmania Is Markedly Delayed in the Absence of PERK EIF2alpha Kinase-Dependent EIF2alpha Phosphorylation’. </w:t>
      </w:r>
      <w:r w:rsidRPr="000C4EF7">
        <w:rPr>
          <w:rFonts w:eastAsia="Times New Roman"/>
          <w:i/>
          <w:iCs/>
          <w:lang w:eastAsia="en-GB"/>
        </w:rPr>
        <w:t>Cellular Microbiology</w:t>
      </w:r>
      <w:r w:rsidRPr="000C4EF7">
        <w:rPr>
          <w:rFonts w:eastAsia="Times New Roman"/>
          <w:lang w:eastAsia="en-GB"/>
        </w:rPr>
        <w:t xml:space="preserve"> 13 (7): 1059–77. </w:t>
      </w:r>
      <w:hyperlink r:id="rId142" w:history="1">
        <w:r w:rsidRPr="00D40D5C">
          <w:rPr>
            <w:rFonts w:eastAsia="Times New Roman"/>
            <w:color w:val="0000FF"/>
            <w:u w:val="single"/>
            <w:lang w:eastAsia="en-GB"/>
          </w:rPr>
          <w:t>https://doi.</w:t>
        </w:r>
        <w:r w:rsidRPr="000C4EF7">
          <w:rPr>
            <w:rFonts w:eastAsia="Times New Roman"/>
            <w:color w:val="0000FF"/>
            <w:u w:val="single"/>
            <w:lang w:eastAsia="en-GB"/>
          </w:rPr>
          <w:t>org/10.1111/j.1462-5822.2011.01602.x</w:t>
        </w:r>
      </w:hyperlink>
      <w:r w:rsidRPr="000C4EF7">
        <w:rPr>
          <w:rFonts w:eastAsia="Times New Roman"/>
          <w:lang w:eastAsia="en-GB"/>
        </w:rPr>
        <w:t>.</w:t>
      </w:r>
    </w:p>
    <w:p w14:paraId="394A2272" w14:textId="77777777" w:rsidR="000C4EF7" w:rsidRPr="00D40D5C" w:rsidRDefault="000C4EF7" w:rsidP="00B23FF8">
      <w:pPr>
        <w:snapToGrid w:val="0"/>
        <w:spacing w:afterLines="60" w:after="144" w:line="240" w:lineRule="auto"/>
        <w:ind w:hanging="480"/>
        <w:rPr>
          <w:rFonts w:eastAsia="Times New Roman"/>
          <w:lang w:eastAsia="en-GB"/>
        </w:rPr>
      </w:pPr>
      <w:r w:rsidRPr="000C4EF7">
        <w:rPr>
          <w:rFonts w:eastAsia="Times New Roman"/>
          <w:lang w:eastAsia="en-GB"/>
        </w:rPr>
        <w:t xml:space="preserve">Cope, Andrew, Gaelle Le Friec, John Cardone, and Claudia Kemper. 2011. ‘The Th1 Life Cycle: Molecular Control of IFN-γ to IL-10 Switching’. </w:t>
      </w:r>
      <w:r w:rsidRPr="000C4EF7">
        <w:rPr>
          <w:rFonts w:eastAsia="Times New Roman"/>
          <w:i/>
          <w:iCs/>
          <w:lang w:eastAsia="en-GB"/>
        </w:rPr>
        <w:t>Trends in Immunology</w:t>
      </w:r>
      <w:r w:rsidRPr="000C4EF7">
        <w:rPr>
          <w:rFonts w:eastAsia="Times New Roman"/>
          <w:lang w:eastAsia="en-GB"/>
        </w:rPr>
        <w:t xml:space="preserve"> 32 (6): 278–86. </w:t>
      </w:r>
      <w:hyperlink r:id="rId143" w:history="1">
        <w:r w:rsidRPr="00D40D5C">
          <w:rPr>
            <w:rFonts w:eastAsia="Times New Roman"/>
            <w:color w:val="0000FF"/>
            <w:u w:val="single"/>
            <w:lang w:eastAsia="en-GB"/>
          </w:rPr>
          <w:t>https://doi.org/10.1016</w:t>
        </w:r>
        <w:r w:rsidRPr="000C4EF7">
          <w:rPr>
            <w:rFonts w:eastAsia="Times New Roman"/>
            <w:color w:val="0000FF"/>
            <w:u w:val="single"/>
            <w:lang w:eastAsia="en-GB"/>
          </w:rPr>
          <w:t>/j.it.2011.03.010</w:t>
        </w:r>
      </w:hyperlink>
      <w:r w:rsidRPr="000C4EF7">
        <w:rPr>
          <w:rFonts w:eastAsia="Times New Roman"/>
          <w:lang w:eastAsia="en-GB"/>
        </w:rPr>
        <w:t>.</w:t>
      </w:r>
    </w:p>
    <w:p w14:paraId="6C183180" w14:textId="77777777" w:rsidR="000C4EF7" w:rsidRPr="00D40D5C" w:rsidRDefault="000C4EF7" w:rsidP="00B23FF8">
      <w:pPr>
        <w:snapToGrid w:val="0"/>
        <w:spacing w:afterLines="60" w:after="144" w:line="240" w:lineRule="auto"/>
        <w:ind w:hanging="480"/>
        <w:rPr>
          <w:rFonts w:eastAsia="Times New Roman"/>
          <w:lang w:eastAsia="en-GB"/>
        </w:rPr>
      </w:pPr>
      <w:r w:rsidRPr="000C4EF7">
        <w:rPr>
          <w:rFonts w:eastAsia="Times New Roman"/>
          <w:lang w:eastAsia="en-GB"/>
        </w:rPr>
        <w:t xml:space="preserve">Coquet, Jonathan M., Sumone Chakravarti, Konstantinos Kyparissoudis, Finlay W. McNab, Lauren A. Pitt, Brent S. McKenzie, Stuart P. Berzins, Mark J. Smyth, and Dale I. Godfrey. 2008. ‘Diverse Cytokine Production by NKT Cell Subsets and Identification of an IL-17–Producing CD4−NK1.1− NKT Cell Population’. </w:t>
      </w:r>
      <w:r w:rsidRPr="000C4EF7">
        <w:rPr>
          <w:rFonts w:eastAsia="Times New Roman"/>
          <w:i/>
          <w:iCs/>
          <w:lang w:eastAsia="en-GB"/>
        </w:rPr>
        <w:t>Proceedings of the National Academy of Sciences</w:t>
      </w:r>
      <w:r w:rsidRPr="000C4EF7">
        <w:rPr>
          <w:rFonts w:eastAsia="Times New Roman"/>
          <w:lang w:eastAsia="en-GB"/>
        </w:rPr>
        <w:t xml:space="preserve"> 105 (32): 11287–92. </w:t>
      </w:r>
      <w:hyperlink r:id="rId144" w:history="1">
        <w:r w:rsidRPr="00D40D5C">
          <w:rPr>
            <w:rFonts w:eastAsia="Times New Roman"/>
            <w:color w:val="0000FF"/>
            <w:u w:val="single"/>
            <w:lang w:eastAsia="en-GB"/>
          </w:rPr>
          <w:t>https://doi.org/10.1073/pnas.0801631105</w:t>
        </w:r>
      </w:hyperlink>
      <w:r w:rsidRPr="000C4EF7">
        <w:rPr>
          <w:rFonts w:eastAsia="Times New Roman"/>
          <w:lang w:eastAsia="en-GB"/>
        </w:rPr>
        <w:t>.</w:t>
      </w:r>
    </w:p>
    <w:p w14:paraId="772FDD47" w14:textId="77777777" w:rsidR="000C4EF7" w:rsidRPr="00D40D5C" w:rsidRDefault="000C4EF7" w:rsidP="00B23FF8">
      <w:pPr>
        <w:snapToGrid w:val="0"/>
        <w:spacing w:afterLines="60" w:after="144" w:line="240" w:lineRule="auto"/>
        <w:ind w:hanging="480"/>
        <w:rPr>
          <w:rFonts w:eastAsia="Times New Roman"/>
          <w:lang w:eastAsia="en-GB"/>
        </w:rPr>
      </w:pPr>
      <w:r w:rsidRPr="000C4EF7">
        <w:rPr>
          <w:rFonts w:eastAsia="Times New Roman"/>
          <w:lang w:eastAsia="en-GB"/>
        </w:rPr>
        <w:t xml:space="preserve">Corral, M. Jesús, Dolores R. Serrano, Inmaculada Moreno, J. J. Torrado, Mercedes Domínguez, and José M. Alunda. 2014. ‘Efficacy of Low Doses of Amphotericin B plus Allicin against Experimental Visceral Leishmaniasis’. </w:t>
      </w:r>
      <w:r w:rsidRPr="000C4EF7">
        <w:rPr>
          <w:rFonts w:eastAsia="Times New Roman"/>
          <w:i/>
          <w:iCs/>
          <w:lang w:eastAsia="en-GB"/>
        </w:rPr>
        <w:t>The Journal of Antimicrobial Chemotherapy</w:t>
      </w:r>
      <w:r w:rsidRPr="000C4EF7">
        <w:rPr>
          <w:rFonts w:eastAsia="Times New Roman"/>
          <w:lang w:eastAsia="en-GB"/>
        </w:rPr>
        <w:t xml:space="preserve"> 69 (12): 3268–74. </w:t>
      </w:r>
      <w:hyperlink r:id="rId145" w:history="1">
        <w:r w:rsidRPr="00D40D5C">
          <w:rPr>
            <w:rFonts w:eastAsia="Times New Roman"/>
            <w:color w:val="0000FF"/>
            <w:u w:val="single"/>
            <w:lang w:eastAsia="en-GB"/>
          </w:rPr>
          <w:t>https://doi.org/10.1093/jac/dku290</w:t>
        </w:r>
      </w:hyperlink>
      <w:r w:rsidRPr="000C4EF7">
        <w:rPr>
          <w:rFonts w:eastAsia="Times New Roman"/>
          <w:lang w:eastAsia="en-GB"/>
        </w:rPr>
        <w:t>.</w:t>
      </w:r>
    </w:p>
    <w:p w14:paraId="0248EEA6" w14:textId="77777777" w:rsidR="000C4EF7" w:rsidRPr="00D40D5C" w:rsidRDefault="000C4EF7" w:rsidP="00B23FF8">
      <w:pPr>
        <w:snapToGrid w:val="0"/>
        <w:spacing w:afterLines="60" w:after="144" w:line="240" w:lineRule="auto"/>
        <w:ind w:hanging="480"/>
        <w:rPr>
          <w:rFonts w:eastAsia="Times New Roman"/>
          <w:lang w:eastAsia="en-GB"/>
        </w:rPr>
      </w:pPr>
      <w:r w:rsidRPr="000C4EF7">
        <w:rPr>
          <w:rFonts w:eastAsia="Times New Roman"/>
          <w:lang w:eastAsia="en-GB"/>
        </w:rPr>
        <w:t xml:space="preserve">Cosgrove, Jason. 2017. ‘The Spatial Distribution and Dynamics of CXCL13 in Lymphoid Tissues’. PhD, University of York. </w:t>
      </w:r>
      <w:hyperlink r:id="rId146" w:history="1">
        <w:r w:rsidRPr="00D40D5C">
          <w:rPr>
            <w:rFonts w:eastAsia="Times New Roman"/>
            <w:color w:val="0000FF"/>
            <w:u w:val="single"/>
            <w:lang w:eastAsia="en-GB"/>
          </w:rPr>
          <w:t>http://etheses.whiterose.ac.uk/19258/</w:t>
        </w:r>
      </w:hyperlink>
      <w:r w:rsidRPr="000C4EF7">
        <w:rPr>
          <w:rFonts w:eastAsia="Times New Roman"/>
          <w:lang w:eastAsia="en-GB"/>
        </w:rPr>
        <w:t>.</w:t>
      </w:r>
    </w:p>
    <w:p w14:paraId="42F8018A" w14:textId="77777777" w:rsidR="000C4EF7" w:rsidRPr="00D40D5C" w:rsidRDefault="000C4EF7" w:rsidP="00B23FF8">
      <w:pPr>
        <w:snapToGrid w:val="0"/>
        <w:spacing w:afterLines="60" w:after="144" w:line="240" w:lineRule="auto"/>
        <w:ind w:hanging="480"/>
        <w:rPr>
          <w:rFonts w:eastAsia="Times New Roman"/>
          <w:lang w:eastAsia="en-GB"/>
        </w:rPr>
      </w:pPr>
      <w:r w:rsidRPr="000C4EF7">
        <w:rPr>
          <w:rFonts w:eastAsia="Times New Roman"/>
          <w:lang w:eastAsia="en-GB"/>
        </w:rPr>
        <w:t xml:space="preserve">Cotterell, S. E., C. R. Engwerda, and P. M. Kaye. 1999. ‘Leishmania Donovani Infection Initiates T Cell-Independent Chemokine Responses, Which Are Subsequently Amplified in a T Cell-Dependent Manner’. </w:t>
      </w:r>
      <w:r w:rsidRPr="000C4EF7">
        <w:rPr>
          <w:rFonts w:eastAsia="Times New Roman"/>
          <w:i/>
          <w:iCs/>
          <w:lang w:eastAsia="en-GB"/>
        </w:rPr>
        <w:t>European Journal of Immunology</w:t>
      </w:r>
      <w:r w:rsidRPr="000C4EF7">
        <w:rPr>
          <w:rFonts w:eastAsia="Times New Roman"/>
          <w:lang w:eastAsia="en-GB"/>
        </w:rPr>
        <w:t xml:space="preserve"> 29 (1): 203–14. </w:t>
      </w:r>
      <w:hyperlink r:id="rId147" w:history="1">
        <w:r w:rsidRPr="00D40D5C">
          <w:rPr>
            <w:rFonts w:eastAsia="Times New Roman"/>
            <w:color w:val="0000FF"/>
            <w:u w:val="single"/>
            <w:lang w:eastAsia="en-GB"/>
          </w:rPr>
          <w:t>https://doi.org/10.1002/(SICI)1521-4141(199901)29:01&lt;203::AID-IMMU203&gt;3.0.CO;2-B</w:t>
        </w:r>
      </w:hyperlink>
      <w:r w:rsidRPr="000C4EF7">
        <w:rPr>
          <w:rFonts w:eastAsia="Times New Roman"/>
          <w:lang w:eastAsia="en-GB"/>
        </w:rPr>
        <w:t>.</w:t>
      </w:r>
    </w:p>
    <w:p w14:paraId="3F5FDD8F" w14:textId="77777777" w:rsidR="000C4EF7" w:rsidRPr="00D40D5C" w:rsidRDefault="000C4EF7" w:rsidP="00B23FF8">
      <w:pPr>
        <w:snapToGrid w:val="0"/>
        <w:spacing w:afterLines="60" w:after="144" w:line="240" w:lineRule="auto"/>
        <w:ind w:hanging="480"/>
        <w:rPr>
          <w:rFonts w:eastAsia="Times New Roman"/>
          <w:lang w:eastAsia="en-GB"/>
        </w:rPr>
      </w:pPr>
      <w:r w:rsidRPr="000C4EF7">
        <w:rPr>
          <w:rFonts w:eastAsia="Times New Roman"/>
          <w:lang w:eastAsia="en-GB"/>
        </w:rPr>
        <w:t xml:space="preserve">Cotterell, Sara E. J., Christian R. Engwerda, and Paul M. Kaye. 2006. ‘Leishmania Donovani Infection Initiates T Cell-Independent Chemokine Responses, Which Are Subsequently Amplified in a T Cell-Dependent Manner’. </w:t>
      </w:r>
      <w:r w:rsidRPr="000C4EF7">
        <w:rPr>
          <w:rFonts w:eastAsia="Times New Roman"/>
          <w:i/>
          <w:iCs/>
          <w:lang w:eastAsia="en-GB"/>
        </w:rPr>
        <w:t>European Journal of Immunology</w:t>
      </w:r>
      <w:r w:rsidRPr="000C4EF7">
        <w:rPr>
          <w:rFonts w:eastAsia="Times New Roman"/>
          <w:lang w:eastAsia="en-GB"/>
        </w:rPr>
        <w:t xml:space="preserve"> 29 (1): 203–14. </w:t>
      </w:r>
      <w:hyperlink r:id="rId148" w:history="1">
        <w:r w:rsidRPr="00D40D5C">
          <w:rPr>
            <w:rFonts w:eastAsia="Times New Roman"/>
            <w:color w:val="0000FF"/>
            <w:u w:val="single"/>
            <w:lang w:eastAsia="en-GB"/>
          </w:rPr>
          <w:t>https://doi.org/10.1002/(SICI)1521-4141(199901)29:01&lt;203::AID-IMMU203&gt;3.0.CO;2-B</w:t>
        </w:r>
      </w:hyperlink>
      <w:r w:rsidRPr="000C4EF7">
        <w:rPr>
          <w:rFonts w:eastAsia="Times New Roman"/>
          <w:lang w:eastAsia="en-GB"/>
        </w:rPr>
        <w:t>.</w:t>
      </w:r>
    </w:p>
    <w:p w14:paraId="5BC379EF" w14:textId="77777777" w:rsidR="000C4EF7" w:rsidRPr="00D40D5C" w:rsidRDefault="000C4EF7" w:rsidP="00B23FF8">
      <w:pPr>
        <w:snapToGrid w:val="0"/>
        <w:spacing w:afterLines="60" w:after="144" w:line="240" w:lineRule="auto"/>
        <w:ind w:hanging="480"/>
        <w:rPr>
          <w:rFonts w:eastAsia="Times New Roman"/>
          <w:lang w:eastAsia="en-GB"/>
        </w:rPr>
      </w:pPr>
      <w:r w:rsidRPr="000C4EF7">
        <w:rPr>
          <w:rFonts w:eastAsia="Times New Roman"/>
          <w:lang w:eastAsia="en-GB"/>
        </w:rPr>
        <w:t xml:space="preserve">Coutinho, João Victor Soares Coriolano, Fabiana Silva dos Santos, Rosângela do Socorro Pereira Ribeiro, Iara Brito Bucar Oliveira, Victória Bezerra Dantas, Ana Barbara Feliciano Souza Santos, and Jéssyca Rodrigues Tauhata. 2017. ‘Visceral Leishmaniasis and Leishmaniasis-HIV Coinfection: Comparative Study’. </w:t>
      </w:r>
      <w:r w:rsidRPr="000C4EF7">
        <w:rPr>
          <w:rFonts w:eastAsia="Times New Roman"/>
          <w:i/>
          <w:iCs/>
          <w:lang w:eastAsia="en-GB"/>
        </w:rPr>
        <w:t>Revista Da Sociedade Brasileira de Medicina Tropical</w:t>
      </w:r>
      <w:r w:rsidRPr="000C4EF7">
        <w:rPr>
          <w:rFonts w:eastAsia="Times New Roman"/>
          <w:lang w:eastAsia="en-GB"/>
        </w:rPr>
        <w:t xml:space="preserve"> 50 (5): 670–74. </w:t>
      </w:r>
      <w:hyperlink r:id="rId149" w:history="1">
        <w:r w:rsidRPr="00D40D5C">
          <w:rPr>
            <w:rFonts w:eastAsia="Times New Roman"/>
            <w:color w:val="0000FF"/>
            <w:u w:val="single"/>
            <w:lang w:eastAsia="en-GB"/>
          </w:rPr>
          <w:t>https://doi.org/10.1590/0037-8682-0193-2017</w:t>
        </w:r>
      </w:hyperlink>
      <w:r w:rsidRPr="000C4EF7">
        <w:rPr>
          <w:rFonts w:eastAsia="Times New Roman"/>
          <w:lang w:eastAsia="en-GB"/>
        </w:rPr>
        <w:t>.</w:t>
      </w:r>
    </w:p>
    <w:p w14:paraId="7529AE7F" w14:textId="77777777" w:rsidR="000C4EF7" w:rsidRPr="000C4EF7" w:rsidRDefault="000C4EF7" w:rsidP="00B23FF8">
      <w:pPr>
        <w:snapToGrid w:val="0"/>
        <w:spacing w:afterLines="60" w:after="144" w:line="240" w:lineRule="auto"/>
        <w:ind w:hanging="480"/>
        <w:rPr>
          <w:rFonts w:eastAsia="Times New Roman"/>
          <w:lang w:eastAsia="en-GB"/>
        </w:rPr>
      </w:pPr>
      <w:r w:rsidRPr="00D40D5C">
        <w:rPr>
          <w:rFonts w:eastAsia="Times New Roman"/>
          <w:lang w:eastAsia="en-GB"/>
        </w:rPr>
        <w:lastRenderedPageBreak/>
        <w:t>Cunningham, Brian, Alex C. McLaren, Christine Pauken, and Ryan McLemore. 2012. ‘Liposomal Formulation Increases Local Delivery of Ampho</w:t>
      </w:r>
      <w:r w:rsidRPr="000C4EF7">
        <w:rPr>
          <w:rFonts w:eastAsia="Times New Roman"/>
          <w:lang w:eastAsia="en-GB"/>
        </w:rPr>
        <w:t xml:space="preserve">tericin from Bone Cement: A Pilot Study’. </w:t>
      </w:r>
      <w:r w:rsidRPr="000C4EF7">
        <w:rPr>
          <w:rFonts w:eastAsia="Times New Roman"/>
          <w:i/>
          <w:iCs/>
          <w:lang w:eastAsia="en-GB"/>
        </w:rPr>
        <w:t>Clinical Orthopaedics and Related Research</w:t>
      </w:r>
      <w:r w:rsidRPr="000C4EF7">
        <w:rPr>
          <w:rFonts w:eastAsia="Times New Roman"/>
          <w:lang w:eastAsia="en-GB"/>
        </w:rPr>
        <w:t xml:space="preserve"> 470 (10): 2671–76. </w:t>
      </w:r>
      <w:hyperlink r:id="rId150" w:history="1">
        <w:r w:rsidRPr="000C4EF7">
          <w:rPr>
            <w:rFonts w:eastAsia="Times New Roman"/>
            <w:color w:val="0000FF"/>
            <w:u w:val="single"/>
            <w:lang w:eastAsia="en-GB"/>
          </w:rPr>
          <w:t>https://doi.org/10.1007/s11999-012-2317-4</w:t>
        </w:r>
      </w:hyperlink>
      <w:r w:rsidRPr="000C4EF7">
        <w:rPr>
          <w:rFonts w:eastAsia="Times New Roman"/>
          <w:lang w:eastAsia="en-GB"/>
        </w:rPr>
        <w:t>.</w:t>
      </w:r>
    </w:p>
    <w:p w14:paraId="5B1834D2" w14:textId="77777777" w:rsidR="000C4EF7" w:rsidRPr="000C4EF7" w:rsidRDefault="000C4EF7" w:rsidP="00B23FF8">
      <w:pPr>
        <w:snapToGrid w:val="0"/>
        <w:spacing w:afterLines="60" w:after="144" w:line="240" w:lineRule="auto"/>
        <w:ind w:hanging="480"/>
        <w:rPr>
          <w:rFonts w:eastAsia="Times New Roman"/>
          <w:lang w:eastAsia="en-GB"/>
        </w:rPr>
      </w:pPr>
      <w:r w:rsidRPr="00D40D5C">
        <w:rPr>
          <w:rFonts w:eastAsia="Times New Roman"/>
          <w:lang w:eastAsia="en-GB"/>
        </w:rPr>
        <w:t xml:space="preserve">Daemen, T., M. Velinova, J. Regts, M. de Jager, R. </w:t>
      </w:r>
      <w:r w:rsidRPr="000C4EF7">
        <w:rPr>
          <w:rFonts w:eastAsia="Times New Roman"/>
          <w:lang w:eastAsia="en-GB"/>
        </w:rPr>
        <w:t xml:space="preserve">Kalicharan, J. Donga, J. J. van der Want, and G. L. Scherphof. 1997. ‘Different Intrahepatic Distribution of Phosphatidylglycerol and Phosphatidylserine Liposomes in the Rat’. </w:t>
      </w:r>
      <w:r w:rsidRPr="000C4EF7">
        <w:rPr>
          <w:rFonts w:eastAsia="Times New Roman"/>
          <w:i/>
          <w:iCs/>
          <w:lang w:eastAsia="en-GB"/>
        </w:rPr>
        <w:t>Hepatology (Baltimore, Md.)</w:t>
      </w:r>
      <w:r w:rsidRPr="000C4EF7">
        <w:rPr>
          <w:rFonts w:eastAsia="Times New Roman"/>
          <w:lang w:eastAsia="en-GB"/>
        </w:rPr>
        <w:t xml:space="preserve"> 26 (2): 416–23. </w:t>
      </w:r>
      <w:hyperlink r:id="rId151" w:history="1">
        <w:r w:rsidRPr="000C4EF7">
          <w:rPr>
            <w:rFonts w:eastAsia="Times New Roman"/>
            <w:color w:val="0000FF"/>
            <w:u w:val="single"/>
            <w:lang w:eastAsia="en-GB"/>
          </w:rPr>
          <w:t>https://doi.org/10.1002/hep.510260223</w:t>
        </w:r>
      </w:hyperlink>
      <w:r w:rsidRPr="000C4EF7">
        <w:rPr>
          <w:rFonts w:eastAsia="Times New Roman"/>
          <w:lang w:eastAsia="en-GB"/>
        </w:rPr>
        <w:t>.</w:t>
      </w:r>
    </w:p>
    <w:p w14:paraId="4AAF51B4" w14:textId="77777777" w:rsidR="000C4EF7" w:rsidRPr="000C4EF7" w:rsidRDefault="000C4EF7" w:rsidP="00B23FF8">
      <w:pPr>
        <w:snapToGrid w:val="0"/>
        <w:spacing w:afterLines="60" w:after="144" w:line="240" w:lineRule="auto"/>
        <w:ind w:hanging="480"/>
        <w:rPr>
          <w:rFonts w:eastAsia="Times New Roman"/>
          <w:lang w:eastAsia="en-GB"/>
        </w:rPr>
      </w:pPr>
      <w:r w:rsidRPr="00D40D5C">
        <w:rPr>
          <w:rFonts w:eastAsia="Times New Roman"/>
          <w:lang w:eastAsia="en-GB"/>
        </w:rPr>
        <w:t xml:space="preserve">D’agostino, Ralph, and E. S. Pearson. 1973. ‘Tests for Departure from Normality. Empirical Results for the Distributions of B2 and √b1’. </w:t>
      </w:r>
      <w:r w:rsidRPr="000C4EF7">
        <w:rPr>
          <w:rFonts w:eastAsia="Times New Roman"/>
          <w:i/>
          <w:iCs/>
          <w:lang w:eastAsia="en-GB"/>
        </w:rPr>
        <w:t>Biometrika</w:t>
      </w:r>
      <w:r w:rsidRPr="000C4EF7">
        <w:rPr>
          <w:rFonts w:eastAsia="Times New Roman"/>
          <w:lang w:eastAsia="en-GB"/>
        </w:rPr>
        <w:t xml:space="preserve"> 60 (3): 613–22. </w:t>
      </w:r>
      <w:hyperlink r:id="rId152" w:history="1">
        <w:r w:rsidRPr="000C4EF7">
          <w:rPr>
            <w:rFonts w:eastAsia="Times New Roman"/>
            <w:color w:val="0000FF"/>
            <w:u w:val="single"/>
            <w:lang w:eastAsia="en-GB"/>
          </w:rPr>
          <w:t>https://doi.org/10.1093/biomet/60.3.613</w:t>
        </w:r>
      </w:hyperlink>
      <w:r w:rsidRPr="000C4EF7">
        <w:rPr>
          <w:rFonts w:eastAsia="Times New Roman"/>
          <w:lang w:eastAsia="en-GB"/>
        </w:rPr>
        <w:t>.</w:t>
      </w:r>
    </w:p>
    <w:p w14:paraId="42DE3211" w14:textId="77777777" w:rsidR="000C4EF7" w:rsidRPr="000C4EF7" w:rsidRDefault="000C4EF7" w:rsidP="00B23FF8">
      <w:pPr>
        <w:snapToGrid w:val="0"/>
        <w:spacing w:afterLines="60" w:after="144" w:line="240" w:lineRule="auto"/>
        <w:ind w:hanging="480"/>
        <w:rPr>
          <w:rFonts w:eastAsia="Times New Roman"/>
          <w:lang w:eastAsia="en-GB"/>
        </w:rPr>
      </w:pPr>
      <w:r w:rsidRPr="00D40D5C">
        <w:rPr>
          <w:rFonts w:eastAsia="Times New Roman"/>
          <w:lang w:eastAsia="en-GB"/>
        </w:rPr>
        <w:t xml:space="preserve">De Boer, Rob J., and A. S. Perelson. 1995. ‘Towards a General Function Describing t Cell Proliferation’. </w:t>
      </w:r>
      <w:r w:rsidRPr="000C4EF7">
        <w:rPr>
          <w:rFonts w:eastAsia="Times New Roman"/>
          <w:i/>
          <w:iCs/>
          <w:lang w:eastAsia="en-GB"/>
        </w:rPr>
        <w:t>Journal of Theoretical Biology</w:t>
      </w:r>
      <w:r w:rsidRPr="000C4EF7">
        <w:rPr>
          <w:rFonts w:eastAsia="Times New Roman"/>
          <w:lang w:eastAsia="en-GB"/>
        </w:rPr>
        <w:t xml:space="preserve"> 175 (4): 567–76. </w:t>
      </w:r>
      <w:hyperlink r:id="rId153" w:history="1">
        <w:r w:rsidRPr="000C4EF7">
          <w:rPr>
            <w:rFonts w:eastAsia="Times New Roman"/>
            <w:color w:val="0000FF"/>
            <w:u w:val="single"/>
            <w:lang w:eastAsia="en-GB"/>
          </w:rPr>
          <w:t>https://doi.org/10.1006/jtbi.1995.0165</w:t>
        </w:r>
      </w:hyperlink>
      <w:r w:rsidRPr="000C4EF7">
        <w:rPr>
          <w:rFonts w:eastAsia="Times New Roman"/>
          <w:lang w:eastAsia="en-GB"/>
        </w:rPr>
        <w:t>.</w:t>
      </w:r>
    </w:p>
    <w:p w14:paraId="6133A18C" w14:textId="77777777" w:rsidR="000C4EF7" w:rsidRPr="000C4EF7" w:rsidRDefault="000C4EF7" w:rsidP="00B23FF8">
      <w:pPr>
        <w:snapToGrid w:val="0"/>
        <w:spacing w:afterLines="60" w:after="144" w:line="240" w:lineRule="auto"/>
        <w:ind w:hanging="480"/>
        <w:rPr>
          <w:rFonts w:eastAsia="Times New Roman"/>
          <w:lang w:eastAsia="en-GB"/>
        </w:rPr>
      </w:pPr>
      <w:r w:rsidRPr="00D40D5C">
        <w:rPr>
          <w:rFonts w:eastAsia="Times New Roman"/>
          <w:lang w:eastAsia="en-GB"/>
        </w:rPr>
        <w:t xml:space="preserve">De Leeuw, A. M., A. Brouwer, and D. L. Knook. 1990. ‘Sinusoidal Endothelial Cells of the Liver: Fine Structure and Function in Relation to Age’. </w:t>
      </w:r>
      <w:r w:rsidRPr="000C4EF7">
        <w:rPr>
          <w:rFonts w:eastAsia="Times New Roman"/>
          <w:i/>
          <w:iCs/>
          <w:lang w:eastAsia="en-GB"/>
        </w:rPr>
        <w:t>Journal of Electron Microscopy Technique</w:t>
      </w:r>
      <w:r w:rsidRPr="000C4EF7">
        <w:rPr>
          <w:rFonts w:eastAsia="Times New Roman"/>
          <w:lang w:eastAsia="en-GB"/>
        </w:rPr>
        <w:t xml:space="preserve"> 14 (3): 218–36. </w:t>
      </w:r>
      <w:hyperlink r:id="rId154" w:history="1">
        <w:r w:rsidRPr="000C4EF7">
          <w:rPr>
            <w:rFonts w:eastAsia="Times New Roman"/>
            <w:color w:val="0000FF"/>
            <w:u w:val="single"/>
            <w:lang w:eastAsia="en-GB"/>
          </w:rPr>
          <w:t>https://doi.org/10.1002/jemt.1060140304</w:t>
        </w:r>
      </w:hyperlink>
      <w:r w:rsidRPr="000C4EF7">
        <w:rPr>
          <w:rFonts w:eastAsia="Times New Roman"/>
          <w:lang w:eastAsia="en-GB"/>
        </w:rPr>
        <w:t>.</w:t>
      </w:r>
    </w:p>
    <w:p w14:paraId="14C95CDE" w14:textId="77777777" w:rsidR="000C4EF7" w:rsidRPr="000C4EF7" w:rsidRDefault="000C4EF7" w:rsidP="00B23FF8">
      <w:pPr>
        <w:snapToGrid w:val="0"/>
        <w:spacing w:afterLines="60" w:after="144" w:line="240" w:lineRule="auto"/>
        <w:ind w:hanging="480"/>
        <w:rPr>
          <w:rFonts w:eastAsia="Times New Roman"/>
          <w:lang w:eastAsia="en-GB"/>
        </w:rPr>
      </w:pPr>
      <w:r w:rsidRPr="00D40D5C">
        <w:rPr>
          <w:rFonts w:eastAsia="Times New Roman"/>
          <w:lang w:eastAsia="en-GB"/>
        </w:rPr>
        <w:t xml:space="preserve">Deb, K., A. Pratap, S. Agarwal, and T. Meyarivan. 2002. ‘A Fast and Elitist Multiobjective Genetic Algorithm: NSGA-II’. </w:t>
      </w:r>
      <w:r w:rsidRPr="000C4EF7">
        <w:rPr>
          <w:rFonts w:eastAsia="Times New Roman"/>
          <w:i/>
          <w:iCs/>
          <w:lang w:eastAsia="en-GB"/>
        </w:rPr>
        <w:t>IEEE Transactions on Evolutionary Computation</w:t>
      </w:r>
      <w:r w:rsidRPr="000C4EF7">
        <w:rPr>
          <w:rFonts w:eastAsia="Times New Roman"/>
          <w:lang w:eastAsia="en-GB"/>
        </w:rPr>
        <w:t xml:space="preserve"> 6 (2): 182–97. </w:t>
      </w:r>
      <w:hyperlink r:id="rId155" w:history="1">
        <w:r w:rsidRPr="000C4EF7">
          <w:rPr>
            <w:rFonts w:eastAsia="Times New Roman"/>
            <w:color w:val="0000FF"/>
            <w:u w:val="single"/>
            <w:lang w:eastAsia="en-GB"/>
          </w:rPr>
          <w:t>https://doi.org/10.1109/4235.996017</w:t>
        </w:r>
      </w:hyperlink>
      <w:r w:rsidRPr="000C4EF7">
        <w:rPr>
          <w:rFonts w:eastAsia="Times New Roman"/>
          <w:lang w:eastAsia="en-GB"/>
        </w:rPr>
        <w:t>.</w:t>
      </w:r>
    </w:p>
    <w:p w14:paraId="0BFC5E6F" w14:textId="77777777" w:rsidR="000C4EF7" w:rsidRPr="000C4EF7" w:rsidRDefault="000C4EF7" w:rsidP="00B23FF8">
      <w:pPr>
        <w:snapToGrid w:val="0"/>
        <w:spacing w:afterLines="60" w:after="144" w:line="240" w:lineRule="auto"/>
        <w:ind w:hanging="480"/>
        <w:rPr>
          <w:rFonts w:eastAsia="Times New Roman"/>
          <w:lang w:eastAsia="en-GB"/>
        </w:rPr>
      </w:pPr>
      <w:r w:rsidRPr="00D40D5C">
        <w:rPr>
          <w:rFonts w:eastAsia="Times New Roman"/>
          <w:lang w:eastAsia="en-GB"/>
        </w:rPr>
        <w:t>Desjeux, Philippe. n.d. ‘Information on the Epidemiology and Control of the Leishmaniases by Country or Territory’. WHO/LEISH/91.30. Accessed 2 A</w:t>
      </w:r>
      <w:r w:rsidRPr="000C4EF7">
        <w:rPr>
          <w:rFonts w:eastAsia="Times New Roman"/>
          <w:lang w:eastAsia="en-GB"/>
        </w:rPr>
        <w:t xml:space="preserve">ugust 2018. </w:t>
      </w:r>
      <w:hyperlink r:id="rId156" w:history="1">
        <w:r w:rsidRPr="000C4EF7">
          <w:rPr>
            <w:rFonts w:eastAsia="Times New Roman"/>
            <w:color w:val="0000FF"/>
            <w:u w:val="single"/>
            <w:lang w:eastAsia="en-GB"/>
          </w:rPr>
          <w:t>http://www.who.int/leishmaniasis/resources/who_leish_91.30/en/</w:t>
        </w:r>
      </w:hyperlink>
      <w:r w:rsidRPr="000C4EF7">
        <w:rPr>
          <w:rFonts w:eastAsia="Times New Roman"/>
          <w:lang w:eastAsia="en-GB"/>
        </w:rPr>
        <w:t>.</w:t>
      </w:r>
    </w:p>
    <w:p w14:paraId="6BBF7B20" w14:textId="77777777" w:rsidR="000C4EF7" w:rsidRPr="000C4EF7" w:rsidRDefault="000C4EF7" w:rsidP="00B23FF8">
      <w:pPr>
        <w:snapToGrid w:val="0"/>
        <w:spacing w:afterLines="60" w:after="144" w:line="240" w:lineRule="auto"/>
        <w:ind w:hanging="480"/>
        <w:rPr>
          <w:rFonts w:eastAsia="Times New Roman"/>
          <w:lang w:eastAsia="en-GB"/>
        </w:rPr>
      </w:pPr>
      <w:r w:rsidRPr="00D40D5C">
        <w:rPr>
          <w:rFonts w:eastAsia="Times New Roman"/>
          <w:lang w:eastAsia="en-GB"/>
        </w:rPr>
        <w:t>Diro, Ermias, Lutgarde Lynen, Koert Ritmeijer, Marleen Boelaert, Asrat Hailu, and Johan van Griensven</w:t>
      </w:r>
      <w:r w:rsidRPr="000C4EF7">
        <w:rPr>
          <w:rFonts w:eastAsia="Times New Roman"/>
          <w:lang w:eastAsia="en-GB"/>
        </w:rPr>
        <w:t xml:space="preserve">. 2014. ‘Visceral Leishmaniasis and HIV Coinfection in East Africa’. </w:t>
      </w:r>
      <w:r w:rsidRPr="000C4EF7">
        <w:rPr>
          <w:rFonts w:eastAsia="Times New Roman"/>
          <w:i/>
          <w:iCs/>
          <w:lang w:eastAsia="en-GB"/>
        </w:rPr>
        <w:t>PLOS Neglected Tropical Diseases</w:t>
      </w:r>
      <w:r w:rsidRPr="000C4EF7">
        <w:rPr>
          <w:rFonts w:eastAsia="Times New Roman"/>
          <w:lang w:eastAsia="en-GB"/>
        </w:rPr>
        <w:t xml:space="preserve"> 8 (6): e2869. </w:t>
      </w:r>
      <w:hyperlink r:id="rId157" w:history="1">
        <w:r w:rsidRPr="000C4EF7">
          <w:rPr>
            <w:rFonts w:eastAsia="Times New Roman"/>
            <w:color w:val="0000FF"/>
            <w:u w:val="single"/>
            <w:lang w:eastAsia="en-GB"/>
          </w:rPr>
          <w:t>https://doi.org/10.1371/journal.pntd.0002869</w:t>
        </w:r>
      </w:hyperlink>
      <w:r w:rsidRPr="000C4EF7">
        <w:rPr>
          <w:rFonts w:eastAsia="Times New Roman"/>
          <w:lang w:eastAsia="en-GB"/>
        </w:rPr>
        <w:t>.</w:t>
      </w:r>
    </w:p>
    <w:p w14:paraId="2BE35A4F" w14:textId="77777777" w:rsidR="000C4EF7" w:rsidRPr="000C4EF7" w:rsidRDefault="000C4EF7" w:rsidP="00B23FF8">
      <w:pPr>
        <w:snapToGrid w:val="0"/>
        <w:spacing w:afterLines="60" w:after="144" w:line="240" w:lineRule="auto"/>
        <w:ind w:hanging="480"/>
        <w:rPr>
          <w:rFonts w:eastAsia="Times New Roman"/>
          <w:lang w:eastAsia="en-GB"/>
        </w:rPr>
      </w:pPr>
      <w:r w:rsidRPr="00D40D5C">
        <w:rPr>
          <w:rFonts w:eastAsia="Times New Roman"/>
          <w:lang w:eastAsia="en-GB"/>
        </w:rPr>
        <w:t>Dixon, Laura J., Mark Barnes, Hui</w:t>
      </w:r>
      <w:r w:rsidRPr="000C4EF7">
        <w:rPr>
          <w:rFonts w:eastAsia="Times New Roman"/>
          <w:lang w:eastAsia="en-GB"/>
        </w:rPr>
        <w:t xml:space="preserve"> Tang, Michele T. Pritchard, and Laura E. Nagy. 2013. ‘Kupffer Cells in the Liver’. </w:t>
      </w:r>
      <w:r w:rsidRPr="000C4EF7">
        <w:rPr>
          <w:rFonts w:eastAsia="Times New Roman"/>
          <w:i/>
          <w:iCs/>
          <w:lang w:eastAsia="en-GB"/>
        </w:rPr>
        <w:t>Comprehensive Physiology</w:t>
      </w:r>
      <w:r w:rsidRPr="000C4EF7">
        <w:rPr>
          <w:rFonts w:eastAsia="Times New Roman"/>
          <w:lang w:eastAsia="en-GB"/>
        </w:rPr>
        <w:t xml:space="preserve"> 3 (2): 785–97. </w:t>
      </w:r>
      <w:hyperlink r:id="rId158" w:history="1">
        <w:r w:rsidRPr="000C4EF7">
          <w:rPr>
            <w:rFonts w:eastAsia="Times New Roman"/>
            <w:color w:val="0000FF"/>
            <w:u w:val="single"/>
            <w:lang w:eastAsia="en-GB"/>
          </w:rPr>
          <w:t>https://doi.org/10.1002/cphy.c120026</w:t>
        </w:r>
      </w:hyperlink>
      <w:r w:rsidRPr="000C4EF7">
        <w:rPr>
          <w:rFonts w:eastAsia="Times New Roman"/>
          <w:lang w:eastAsia="en-GB"/>
        </w:rPr>
        <w:t>.</w:t>
      </w:r>
    </w:p>
    <w:p w14:paraId="4C0C60E4" w14:textId="77777777" w:rsidR="000C4EF7" w:rsidRPr="000C4EF7" w:rsidRDefault="000C4EF7" w:rsidP="00B23FF8">
      <w:pPr>
        <w:snapToGrid w:val="0"/>
        <w:spacing w:afterLines="60" w:after="144" w:line="240" w:lineRule="auto"/>
        <w:ind w:hanging="480"/>
        <w:rPr>
          <w:rFonts w:eastAsia="Times New Roman"/>
          <w:lang w:eastAsia="en-GB"/>
        </w:rPr>
      </w:pPr>
      <w:r w:rsidRPr="00D40D5C">
        <w:rPr>
          <w:rFonts w:eastAsia="Times New Roman"/>
          <w:lang w:eastAsia="en-GB"/>
        </w:rPr>
        <w:t>Doehl, Johannes S. P., Zoe Bright, Shoumi</w:t>
      </w:r>
      <w:r w:rsidRPr="000C4EF7">
        <w:rPr>
          <w:rFonts w:eastAsia="Times New Roman"/>
          <w:lang w:eastAsia="en-GB"/>
        </w:rPr>
        <w:t xml:space="preserve">t Dey, Helen Davies, John Magson, Najmeeyah Brown, Audrey Romano, et al. 2017. ‘Skin Parasite Landscape Determines Host Infectiousness in Visceral Leishmaniasis’. </w:t>
      </w:r>
      <w:r w:rsidRPr="000C4EF7">
        <w:rPr>
          <w:rFonts w:eastAsia="Times New Roman"/>
          <w:i/>
          <w:iCs/>
          <w:lang w:eastAsia="en-GB"/>
        </w:rPr>
        <w:t>Nature Communications</w:t>
      </w:r>
      <w:r w:rsidRPr="000C4EF7">
        <w:rPr>
          <w:rFonts w:eastAsia="Times New Roman"/>
          <w:lang w:eastAsia="en-GB"/>
        </w:rPr>
        <w:t xml:space="preserve"> 8 (July). </w:t>
      </w:r>
      <w:hyperlink r:id="rId159" w:history="1">
        <w:r w:rsidRPr="000C4EF7">
          <w:rPr>
            <w:rFonts w:eastAsia="Times New Roman"/>
            <w:color w:val="0000FF"/>
            <w:u w:val="single"/>
            <w:lang w:eastAsia="en-GB"/>
          </w:rPr>
          <w:t>https://doi.org/10.1038/s41467-017-00103-8</w:t>
        </w:r>
      </w:hyperlink>
      <w:r w:rsidRPr="000C4EF7">
        <w:rPr>
          <w:rFonts w:eastAsia="Times New Roman"/>
          <w:lang w:eastAsia="en-GB"/>
        </w:rPr>
        <w:t>.</w:t>
      </w:r>
    </w:p>
    <w:p w14:paraId="11EDDCA7" w14:textId="77777777" w:rsidR="000C4EF7" w:rsidRPr="000C4EF7" w:rsidRDefault="000C4EF7" w:rsidP="00B23FF8">
      <w:pPr>
        <w:snapToGrid w:val="0"/>
        <w:spacing w:afterLines="60" w:after="144" w:line="240" w:lineRule="auto"/>
        <w:ind w:hanging="480"/>
        <w:rPr>
          <w:rFonts w:eastAsia="Times New Roman"/>
          <w:lang w:eastAsia="en-GB"/>
        </w:rPr>
      </w:pPr>
      <w:r w:rsidRPr="00D40D5C">
        <w:rPr>
          <w:rFonts w:eastAsia="Times New Roman"/>
          <w:lang w:eastAsia="en-GB"/>
        </w:rPr>
        <w:t>Donaghy, Ludovic, Florian Cabillic, Anne Corlu, Octavie Rostan, Olivier Toutirais, Christiane Guguen-Guillouzo, Claude Guiguen, and Jean-Pierre Gangneux. 2010. ‘Immunostimulatory Properties of Dendritic Cells after</w:t>
      </w:r>
      <w:r w:rsidRPr="000C4EF7">
        <w:rPr>
          <w:rFonts w:eastAsia="Times New Roman"/>
          <w:lang w:eastAsia="en-GB"/>
        </w:rPr>
        <w:t xml:space="preserve"> Leishmania Donovani Infection Using an In Vitro Model of Liver Microenvironment’. </w:t>
      </w:r>
      <w:r w:rsidRPr="000C4EF7">
        <w:rPr>
          <w:rFonts w:eastAsia="Times New Roman"/>
          <w:i/>
          <w:iCs/>
          <w:lang w:eastAsia="en-GB"/>
        </w:rPr>
        <w:t>PLOS Neglected Tropical Diseases</w:t>
      </w:r>
      <w:r w:rsidRPr="000C4EF7">
        <w:rPr>
          <w:rFonts w:eastAsia="Times New Roman"/>
          <w:lang w:eastAsia="en-GB"/>
        </w:rPr>
        <w:t xml:space="preserve"> 4 (6): e703. </w:t>
      </w:r>
      <w:hyperlink r:id="rId160" w:history="1">
        <w:r w:rsidRPr="000C4EF7">
          <w:rPr>
            <w:rFonts w:eastAsia="Times New Roman"/>
            <w:color w:val="0000FF"/>
            <w:u w:val="single"/>
            <w:lang w:eastAsia="en-GB"/>
          </w:rPr>
          <w:t>https://doi.org/10.1371/journal.pntd.0000703</w:t>
        </w:r>
      </w:hyperlink>
      <w:r w:rsidRPr="000C4EF7">
        <w:rPr>
          <w:rFonts w:eastAsia="Times New Roman"/>
          <w:lang w:eastAsia="en-GB"/>
        </w:rPr>
        <w:t>.</w:t>
      </w:r>
    </w:p>
    <w:p w14:paraId="6D36B3A1" w14:textId="77777777" w:rsidR="000C4EF7" w:rsidRPr="000C4EF7" w:rsidRDefault="000C4EF7" w:rsidP="00B23FF8">
      <w:pPr>
        <w:snapToGrid w:val="0"/>
        <w:spacing w:afterLines="60" w:after="144" w:line="240" w:lineRule="auto"/>
        <w:ind w:hanging="480"/>
        <w:rPr>
          <w:rFonts w:eastAsia="Times New Roman"/>
          <w:lang w:eastAsia="en-GB"/>
        </w:rPr>
      </w:pPr>
      <w:r w:rsidRPr="00D40D5C">
        <w:rPr>
          <w:rFonts w:eastAsia="Times New Roman"/>
          <w:lang w:eastAsia="en-GB"/>
        </w:rPr>
        <w:t>Dorratoltaj, Nargesa</w:t>
      </w:r>
      <w:r w:rsidRPr="000C4EF7">
        <w:rPr>
          <w:rFonts w:eastAsia="Times New Roman"/>
          <w:lang w:eastAsia="en-GB"/>
        </w:rPr>
        <w:t xml:space="preserve">lsadat, Ryan Nikin-Beers, Stanca M. Ciupe, Stephen G. Eubank, and Kaja M. Abbas. 2017. ‘Multi-Scale Immunoepidemiological Modeling of within-Host and between-Host HIV Dynamics: Systematic Review of Mathematical Models’. </w:t>
      </w:r>
      <w:r w:rsidRPr="000C4EF7">
        <w:rPr>
          <w:rFonts w:eastAsia="Times New Roman"/>
          <w:i/>
          <w:iCs/>
          <w:lang w:eastAsia="en-GB"/>
        </w:rPr>
        <w:t>PeerJ</w:t>
      </w:r>
      <w:r w:rsidRPr="000C4EF7">
        <w:rPr>
          <w:rFonts w:eastAsia="Times New Roman"/>
          <w:lang w:eastAsia="en-GB"/>
        </w:rPr>
        <w:t xml:space="preserve"> 5: e3877. </w:t>
      </w:r>
      <w:hyperlink r:id="rId161" w:history="1">
        <w:r w:rsidRPr="000C4EF7">
          <w:rPr>
            <w:rFonts w:eastAsia="Times New Roman"/>
            <w:color w:val="0000FF"/>
            <w:u w:val="single"/>
            <w:lang w:eastAsia="en-GB"/>
          </w:rPr>
          <w:t>https://doi.org/10.7717/peerj.3877</w:t>
        </w:r>
      </w:hyperlink>
      <w:r w:rsidRPr="000C4EF7">
        <w:rPr>
          <w:rFonts w:eastAsia="Times New Roman"/>
          <w:lang w:eastAsia="en-GB"/>
        </w:rPr>
        <w:t>.</w:t>
      </w:r>
    </w:p>
    <w:p w14:paraId="669613D5" w14:textId="77777777" w:rsidR="000C4EF7" w:rsidRPr="000C4EF7" w:rsidRDefault="000C4EF7" w:rsidP="00B23FF8">
      <w:pPr>
        <w:snapToGrid w:val="0"/>
        <w:spacing w:afterLines="60" w:after="144" w:line="240" w:lineRule="auto"/>
        <w:ind w:hanging="480"/>
        <w:rPr>
          <w:rFonts w:eastAsia="Times New Roman"/>
          <w:lang w:eastAsia="en-GB"/>
        </w:rPr>
      </w:pPr>
      <w:r w:rsidRPr="00D40D5C">
        <w:rPr>
          <w:rFonts w:eastAsia="Times New Roman"/>
          <w:lang w:eastAsia="en-GB"/>
        </w:rPr>
        <w:t>Du, Yu, Ning Li, Hao Yang, Chunhua Luo, Yixin Gong, Chunfang Tong, Yuxin Gao, Shouqin Lü, and Mian Long. 2017. ‘Mimicking Liver Sinusoidal Structures and Functions Using a 3D-Configured Mic</w:t>
      </w:r>
      <w:r w:rsidRPr="000C4EF7">
        <w:rPr>
          <w:rFonts w:eastAsia="Times New Roman"/>
          <w:lang w:eastAsia="en-GB"/>
        </w:rPr>
        <w:t xml:space="preserve">rofluidic Chip’. </w:t>
      </w:r>
      <w:r w:rsidRPr="000C4EF7">
        <w:rPr>
          <w:rFonts w:eastAsia="Times New Roman"/>
          <w:i/>
          <w:iCs/>
          <w:lang w:eastAsia="en-GB"/>
        </w:rPr>
        <w:t>Lab on a Chip</w:t>
      </w:r>
      <w:r w:rsidRPr="000C4EF7">
        <w:rPr>
          <w:rFonts w:eastAsia="Times New Roman"/>
          <w:lang w:eastAsia="en-GB"/>
        </w:rPr>
        <w:t xml:space="preserve"> 17 (5): 782–94. </w:t>
      </w:r>
      <w:hyperlink r:id="rId162" w:history="1">
        <w:r w:rsidRPr="000C4EF7">
          <w:rPr>
            <w:rFonts w:eastAsia="Times New Roman"/>
            <w:color w:val="0000FF"/>
            <w:u w:val="single"/>
            <w:lang w:eastAsia="en-GB"/>
          </w:rPr>
          <w:t>https://doi.org/10.1039/C6LC</w:t>
        </w:r>
        <w:r w:rsidRPr="00D40D5C">
          <w:rPr>
            <w:rFonts w:eastAsia="Times New Roman"/>
            <w:color w:val="0000FF"/>
            <w:u w:val="single"/>
            <w:lang w:eastAsia="en-GB"/>
          </w:rPr>
          <w:t>01374K</w:t>
        </w:r>
      </w:hyperlink>
      <w:r w:rsidRPr="000C4EF7">
        <w:rPr>
          <w:rFonts w:eastAsia="Times New Roman"/>
          <w:lang w:eastAsia="en-GB"/>
        </w:rPr>
        <w:t>.</w:t>
      </w:r>
    </w:p>
    <w:p w14:paraId="2683C565" w14:textId="77777777" w:rsidR="000C4EF7" w:rsidRPr="000C4EF7" w:rsidRDefault="000C4EF7" w:rsidP="00B23FF8">
      <w:pPr>
        <w:snapToGrid w:val="0"/>
        <w:spacing w:afterLines="60" w:after="144" w:line="240" w:lineRule="auto"/>
        <w:ind w:hanging="480"/>
        <w:rPr>
          <w:rFonts w:eastAsia="Times New Roman"/>
          <w:lang w:eastAsia="en-GB"/>
        </w:rPr>
      </w:pPr>
      <w:r w:rsidRPr="00D40D5C">
        <w:rPr>
          <w:rFonts w:eastAsia="Times New Roman"/>
          <w:lang w:eastAsia="en-GB"/>
        </w:rPr>
        <w:lastRenderedPageBreak/>
        <w:t>Elnaiem, Dia-Eldin A. 2011. ‘Ecology and Control of the Sand Fly Vectors of Leishmania Donovani in East Africa, with Speci</w:t>
      </w:r>
      <w:r w:rsidRPr="000C4EF7">
        <w:rPr>
          <w:rFonts w:eastAsia="Times New Roman"/>
          <w:lang w:eastAsia="en-GB"/>
        </w:rPr>
        <w:t xml:space="preserve">al Emphasis on Phlebotomus Orientalis’. </w:t>
      </w:r>
      <w:r w:rsidRPr="000C4EF7">
        <w:rPr>
          <w:rFonts w:eastAsia="Times New Roman"/>
          <w:i/>
          <w:iCs/>
          <w:lang w:eastAsia="en-GB"/>
        </w:rPr>
        <w:t>Journal of Vector Ecology: Journal of the Society for Vector Ecology</w:t>
      </w:r>
      <w:r w:rsidRPr="000C4EF7">
        <w:rPr>
          <w:rFonts w:eastAsia="Times New Roman"/>
          <w:lang w:eastAsia="en-GB"/>
        </w:rPr>
        <w:t xml:space="preserve"> 36 Suppl 1 (March): S23-31. </w:t>
      </w:r>
      <w:hyperlink r:id="rId163" w:history="1">
        <w:r w:rsidRPr="000C4EF7">
          <w:rPr>
            <w:rFonts w:eastAsia="Times New Roman"/>
            <w:color w:val="0000FF"/>
            <w:u w:val="single"/>
            <w:lang w:eastAsia="en-GB"/>
          </w:rPr>
          <w:t>https://doi.org/10.1111/j.1948-7134.2011.00109.x</w:t>
        </w:r>
      </w:hyperlink>
      <w:r w:rsidRPr="000C4EF7">
        <w:rPr>
          <w:rFonts w:eastAsia="Times New Roman"/>
          <w:lang w:eastAsia="en-GB"/>
        </w:rPr>
        <w:t>.</w:t>
      </w:r>
    </w:p>
    <w:p w14:paraId="28388690" w14:textId="77777777" w:rsidR="000C4EF7" w:rsidRPr="000C4EF7" w:rsidRDefault="000C4EF7" w:rsidP="00B23FF8">
      <w:pPr>
        <w:snapToGrid w:val="0"/>
        <w:spacing w:afterLines="60" w:after="144" w:line="240" w:lineRule="auto"/>
        <w:ind w:hanging="480"/>
        <w:rPr>
          <w:rFonts w:eastAsia="Times New Roman"/>
          <w:lang w:eastAsia="en-GB"/>
        </w:rPr>
      </w:pPr>
      <w:r w:rsidRPr="00D40D5C">
        <w:rPr>
          <w:rFonts w:eastAsia="Times New Roman"/>
          <w:lang w:eastAsia="en-GB"/>
        </w:rPr>
        <w:t>Enge</w:t>
      </w:r>
      <w:r w:rsidRPr="000C4EF7">
        <w:rPr>
          <w:rFonts w:eastAsia="Times New Roman"/>
          <w:lang w:eastAsia="en-GB"/>
        </w:rPr>
        <w:t xml:space="preserve">lhardt, Benjamin, Holger Frőhlich, and Maik Kschischo. 2016. ‘Learning (from) the Errors of a Systems Biology Model’. </w:t>
      </w:r>
      <w:r w:rsidRPr="000C4EF7">
        <w:rPr>
          <w:rFonts w:eastAsia="Times New Roman"/>
          <w:i/>
          <w:iCs/>
          <w:lang w:eastAsia="en-GB"/>
        </w:rPr>
        <w:t>Scientific Reports</w:t>
      </w:r>
      <w:r w:rsidRPr="000C4EF7">
        <w:rPr>
          <w:rFonts w:eastAsia="Times New Roman"/>
          <w:lang w:eastAsia="en-GB"/>
        </w:rPr>
        <w:t xml:space="preserve"> 6 (February): 20772. </w:t>
      </w:r>
      <w:hyperlink r:id="rId164" w:history="1">
        <w:r w:rsidRPr="000C4EF7">
          <w:rPr>
            <w:rFonts w:eastAsia="Times New Roman"/>
            <w:color w:val="0000FF"/>
            <w:u w:val="single"/>
            <w:lang w:eastAsia="en-GB"/>
          </w:rPr>
          <w:t>https://doi.org/10.1038/srep20772</w:t>
        </w:r>
      </w:hyperlink>
      <w:r w:rsidRPr="000C4EF7">
        <w:rPr>
          <w:rFonts w:eastAsia="Times New Roman"/>
          <w:lang w:eastAsia="en-GB"/>
        </w:rPr>
        <w:t>.</w:t>
      </w:r>
    </w:p>
    <w:p w14:paraId="1B8F181C" w14:textId="77777777" w:rsidR="000C4EF7" w:rsidRPr="000C4EF7" w:rsidRDefault="000C4EF7" w:rsidP="00B23FF8">
      <w:pPr>
        <w:snapToGrid w:val="0"/>
        <w:spacing w:afterLines="60" w:after="144" w:line="240" w:lineRule="auto"/>
        <w:ind w:hanging="480"/>
        <w:rPr>
          <w:rFonts w:eastAsia="Times New Roman"/>
          <w:lang w:eastAsia="en-GB"/>
        </w:rPr>
      </w:pPr>
      <w:r w:rsidRPr="00D40D5C">
        <w:rPr>
          <w:rFonts w:eastAsia="Times New Roman"/>
          <w:lang w:eastAsia="en-GB"/>
        </w:rPr>
        <w:t xml:space="preserve">Engwerda, C. </w:t>
      </w:r>
      <w:r w:rsidRPr="000C4EF7">
        <w:rPr>
          <w:rFonts w:eastAsia="Times New Roman"/>
          <w:lang w:eastAsia="en-GB"/>
        </w:rPr>
        <w:t xml:space="preserve">R., and P. M. Kaye. 2000. ‘Organ-Specific Immune Responses Associated with Infectious Disease’. </w:t>
      </w:r>
      <w:r w:rsidRPr="000C4EF7">
        <w:rPr>
          <w:rFonts w:eastAsia="Times New Roman"/>
          <w:i/>
          <w:iCs/>
          <w:lang w:eastAsia="en-GB"/>
        </w:rPr>
        <w:t>Immunology Today</w:t>
      </w:r>
      <w:r w:rsidRPr="000C4EF7">
        <w:rPr>
          <w:rFonts w:eastAsia="Times New Roman"/>
          <w:lang w:eastAsia="en-GB"/>
        </w:rPr>
        <w:t xml:space="preserve"> 21 (2): 73–78.</w:t>
      </w:r>
    </w:p>
    <w:p w14:paraId="5B9C9CD2" w14:textId="77777777" w:rsidR="000C4EF7" w:rsidRPr="000C4EF7" w:rsidRDefault="000C4EF7" w:rsidP="00B23FF8">
      <w:pPr>
        <w:snapToGrid w:val="0"/>
        <w:spacing w:afterLines="60" w:after="144" w:line="240" w:lineRule="auto"/>
        <w:ind w:hanging="480"/>
        <w:rPr>
          <w:rFonts w:eastAsia="Times New Roman"/>
          <w:lang w:eastAsia="en-GB"/>
        </w:rPr>
      </w:pPr>
      <w:r w:rsidRPr="000C4EF7">
        <w:rPr>
          <w:rFonts w:eastAsia="Times New Roman"/>
          <w:lang w:eastAsia="en-GB"/>
        </w:rPr>
        <w:t xml:space="preserve">Etten, E. W. van, M. Otte-Lambillion, W. van Vianen, M. T. ten Kate, and A. J. Bakker-Woudenberg. 1995. ‘Biodistribution of Liposomal Amphotericin B (AmBisome) and Amphotericin B-Desoxycholate (Fungizone) in Uninfected Immunocompetent Mice and Leucopenic Mice Infected with Candida Albicans’. </w:t>
      </w:r>
      <w:r w:rsidRPr="000C4EF7">
        <w:rPr>
          <w:rFonts w:eastAsia="Times New Roman"/>
          <w:i/>
          <w:iCs/>
          <w:lang w:eastAsia="en-GB"/>
        </w:rPr>
        <w:t>The Journal of Antimicrobial Chemotherapy</w:t>
      </w:r>
      <w:r w:rsidRPr="000C4EF7">
        <w:rPr>
          <w:rFonts w:eastAsia="Times New Roman"/>
          <w:lang w:eastAsia="en-GB"/>
        </w:rPr>
        <w:t xml:space="preserve"> 35 (4): 509–19.</w:t>
      </w:r>
    </w:p>
    <w:p w14:paraId="22391C67" w14:textId="77777777" w:rsidR="000C4EF7" w:rsidRPr="000C4EF7" w:rsidRDefault="000C4EF7" w:rsidP="00B23FF8">
      <w:pPr>
        <w:snapToGrid w:val="0"/>
        <w:spacing w:afterLines="60" w:after="144" w:line="240" w:lineRule="auto"/>
        <w:ind w:hanging="480"/>
        <w:rPr>
          <w:rFonts w:eastAsia="Times New Roman"/>
          <w:lang w:eastAsia="en-GB"/>
        </w:rPr>
      </w:pPr>
      <w:r w:rsidRPr="000C4EF7">
        <w:rPr>
          <w:rFonts w:eastAsia="Times New Roman"/>
          <w:lang w:eastAsia="en-GB"/>
        </w:rPr>
        <w:t xml:space="preserve">Etten, Els W. M. van, Marian T. ten Kate, Susan V. Snijders, and Irma A. J. M. Bakker-Woudenberg. 1998. ‘Administration of Liposomal Agents and Blood Clearance Capacity of the Mononuclear Phagocyte System’. </w:t>
      </w:r>
      <w:r w:rsidRPr="000C4EF7">
        <w:rPr>
          <w:rFonts w:eastAsia="Times New Roman"/>
          <w:i/>
          <w:iCs/>
          <w:lang w:eastAsia="en-GB"/>
        </w:rPr>
        <w:t>Antimicrobial Agents and Chemotherapy</w:t>
      </w:r>
      <w:r w:rsidRPr="000C4EF7">
        <w:rPr>
          <w:rFonts w:eastAsia="Times New Roman"/>
          <w:lang w:eastAsia="en-GB"/>
        </w:rPr>
        <w:t xml:space="preserve"> 42 (7): 1677–81.</w:t>
      </w:r>
    </w:p>
    <w:p w14:paraId="0403556B" w14:textId="77777777" w:rsidR="000C4EF7" w:rsidRPr="000C4EF7" w:rsidRDefault="000C4EF7" w:rsidP="00B23FF8">
      <w:pPr>
        <w:snapToGrid w:val="0"/>
        <w:spacing w:afterLines="60" w:after="144" w:line="240" w:lineRule="auto"/>
        <w:ind w:hanging="480"/>
        <w:rPr>
          <w:rFonts w:eastAsia="Times New Roman"/>
          <w:lang w:eastAsia="en-GB"/>
        </w:rPr>
      </w:pPr>
      <w:r w:rsidRPr="000C4EF7">
        <w:rPr>
          <w:rFonts w:eastAsia="Times New Roman"/>
          <w:lang w:eastAsia="en-GB"/>
        </w:rPr>
        <w:t xml:space="preserve">Evans, Stephanie. 2016. ‘A Computational Approach to Studying the Processes Active During Helicobacter Hepaticus-Induced Intestinal Inflammation’. Phd, University of York. </w:t>
      </w:r>
      <w:hyperlink r:id="rId165" w:history="1">
        <w:r w:rsidRPr="000C4EF7">
          <w:rPr>
            <w:rFonts w:eastAsia="Times New Roman"/>
            <w:color w:val="0000FF"/>
            <w:u w:val="single"/>
            <w:lang w:eastAsia="en-GB"/>
          </w:rPr>
          <w:t>http://etheses.whiterose.ac.uk/16125/</w:t>
        </w:r>
      </w:hyperlink>
      <w:r w:rsidRPr="000C4EF7">
        <w:rPr>
          <w:rFonts w:eastAsia="Times New Roman"/>
          <w:lang w:eastAsia="en-GB"/>
        </w:rPr>
        <w:t>.</w:t>
      </w:r>
    </w:p>
    <w:p w14:paraId="0EF08D9D" w14:textId="77777777" w:rsidR="000C4EF7" w:rsidRPr="000C4EF7" w:rsidRDefault="000C4EF7" w:rsidP="00B23FF8">
      <w:pPr>
        <w:snapToGrid w:val="0"/>
        <w:spacing w:afterLines="60" w:after="144" w:line="240" w:lineRule="auto"/>
        <w:ind w:hanging="480"/>
        <w:rPr>
          <w:rFonts w:eastAsia="Times New Roman"/>
          <w:lang w:eastAsia="en-GB"/>
        </w:rPr>
      </w:pPr>
      <w:r w:rsidRPr="00D40D5C">
        <w:rPr>
          <w:rFonts w:eastAsia="Times New Roman"/>
          <w:lang w:eastAsia="en-GB"/>
        </w:rPr>
        <w:t>Fielding, R. M., P</w:t>
      </w:r>
      <w:r w:rsidRPr="000C4EF7">
        <w:rPr>
          <w:rFonts w:eastAsia="Times New Roman"/>
          <w:lang w:eastAsia="en-GB"/>
        </w:rPr>
        <w:t xml:space="preserve">. C. Smith, L. H. Wang, J. Porter, and L. S. Guo. 1991. ‘Comparative Pharmacokinetics of Amphotericin B after Administration of a Novel Colloidal Delivery System, ABCD, and a Conventional Formulation to Rats’. </w:t>
      </w:r>
      <w:r w:rsidRPr="000C4EF7">
        <w:rPr>
          <w:rFonts w:eastAsia="Times New Roman"/>
          <w:i/>
          <w:iCs/>
          <w:lang w:eastAsia="en-GB"/>
        </w:rPr>
        <w:t>Antimicrobial Agents and Chemotherapy</w:t>
      </w:r>
      <w:r w:rsidRPr="000C4EF7">
        <w:rPr>
          <w:rFonts w:eastAsia="Times New Roman"/>
          <w:lang w:eastAsia="en-GB"/>
        </w:rPr>
        <w:t xml:space="preserve"> 35 (6): 1208–13.</w:t>
      </w:r>
    </w:p>
    <w:p w14:paraId="3D758C2A" w14:textId="77777777" w:rsidR="000C4EF7" w:rsidRPr="000C4EF7" w:rsidRDefault="000C4EF7" w:rsidP="00B23FF8">
      <w:pPr>
        <w:snapToGrid w:val="0"/>
        <w:spacing w:afterLines="60" w:after="144" w:line="240" w:lineRule="auto"/>
        <w:ind w:hanging="480"/>
        <w:rPr>
          <w:rFonts w:eastAsia="Times New Roman"/>
          <w:lang w:eastAsia="en-GB"/>
        </w:rPr>
      </w:pPr>
      <w:r w:rsidRPr="000C4EF7">
        <w:rPr>
          <w:rFonts w:eastAsia="Times New Roman"/>
          <w:lang w:eastAsia="en-GB"/>
        </w:rPr>
        <w:t xml:space="preserve">Forestier, Claire-Lise, Christophe Machu, Celine Loussert, Pascale Pescher, and Gerald F. Späth. 2011. ‘Imaging Host Cell-Leishmania Interaction Dynamics Implicates Parasite Motility, Lysosome Recruitment, and Host Cell Wounding in the Infection Process’. </w:t>
      </w:r>
      <w:r w:rsidRPr="000C4EF7">
        <w:rPr>
          <w:rFonts w:eastAsia="Times New Roman"/>
          <w:i/>
          <w:iCs/>
          <w:lang w:eastAsia="en-GB"/>
        </w:rPr>
        <w:t>Cell Host &amp; Microbe</w:t>
      </w:r>
      <w:r w:rsidRPr="000C4EF7">
        <w:rPr>
          <w:rFonts w:eastAsia="Times New Roman"/>
          <w:lang w:eastAsia="en-GB"/>
        </w:rPr>
        <w:t xml:space="preserve"> 9 (4): 319–30. </w:t>
      </w:r>
      <w:hyperlink r:id="rId166" w:history="1">
        <w:r w:rsidRPr="000C4EF7">
          <w:rPr>
            <w:rFonts w:eastAsia="Times New Roman"/>
            <w:color w:val="0000FF"/>
            <w:u w:val="single"/>
            <w:lang w:eastAsia="en-GB"/>
          </w:rPr>
          <w:t>https://doi.org/10.1016/j</w:t>
        </w:r>
        <w:r w:rsidRPr="00D40D5C">
          <w:rPr>
            <w:rFonts w:eastAsia="Times New Roman"/>
            <w:color w:val="0000FF"/>
            <w:u w:val="single"/>
            <w:lang w:eastAsia="en-GB"/>
          </w:rPr>
          <w:t>.chom.2011.03.011</w:t>
        </w:r>
      </w:hyperlink>
      <w:r w:rsidRPr="000C4EF7">
        <w:rPr>
          <w:rFonts w:eastAsia="Times New Roman"/>
          <w:lang w:eastAsia="en-GB"/>
        </w:rPr>
        <w:t>.</w:t>
      </w:r>
    </w:p>
    <w:p w14:paraId="618EEFB6" w14:textId="77777777" w:rsidR="000C4EF7" w:rsidRPr="000C4EF7" w:rsidRDefault="000C4EF7" w:rsidP="00B23FF8">
      <w:pPr>
        <w:snapToGrid w:val="0"/>
        <w:spacing w:afterLines="60" w:after="144" w:line="240" w:lineRule="auto"/>
        <w:ind w:hanging="480"/>
        <w:rPr>
          <w:rFonts w:eastAsia="Times New Roman"/>
          <w:lang w:eastAsia="en-GB"/>
        </w:rPr>
      </w:pPr>
      <w:r w:rsidRPr="00D40D5C">
        <w:rPr>
          <w:rFonts w:eastAsia="Times New Roman"/>
          <w:lang w:eastAsia="en-GB"/>
        </w:rPr>
        <w:t>Ganguly, Sudipto, Nilay Kanti Das, Joyashree Nath Barbhuiya, and Mitali Chatterjee. 2010. ‘Post-Kala-Azar Der</w:t>
      </w:r>
      <w:r w:rsidRPr="000C4EF7">
        <w:rPr>
          <w:rFonts w:eastAsia="Times New Roman"/>
          <w:lang w:eastAsia="en-GB"/>
        </w:rPr>
        <w:t xml:space="preserve">mal Leishmaniasis – an Overview’. </w:t>
      </w:r>
      <w:r w:rsidRPr="000C4EF7">
        <w:rPr>
          <w:rFonts w:eastAsia="Times New Roman"/>
          <w:i/>
          <w:iCs/>
          <w:lang w:eastAsia="en-GB"/>
        </w:rPr>
        <w:t>International Journal of Dermatology</w:t>
      </w:r>
      <w:r w:rsidRPr="000C4EF7">
        <w:rPr>
          <w:rFonts w:eastAsia="Times New Roman"/>
          <w:lang w:eastAsia="en-GB"/>
        </w:rPr>
        <w:t xml:space="preserve"> 49 (8): 921–31. </w:t>
      </w:r>
      <w:hyperlink r:id="rId167" w:history="1">
        <w:r w:rsidRPr="000C4EF7">
          <w:rPr>
            <w:rFonts w:eastAsia="Times New Roman"/>
            <w:color w:val="0000FF"/>
            <w:u w:val="single"/>
            <w:lang w:eastAsia="en-GB"/>
          </w:rPr>
          <w:t>https://doi.org/10.1111/j.1365-4632.2010.04558.x</w:t>
        </w:r>
      </w:hyperlink>
      <w:r w:rsidRPr="000C4EF7">
        <w:rPr>
          <w:rFonts w:eastAsia="Times New Roman"/>
          <w:lang w:eastAsia="en-GB"/>
        </w:rPr>
        <w:t>.</w:t>
      </w:r>
    </w:p>
    <w:p w14:paraId="438F0BC2" w14:textId="77777777" w:rsidR="000C4EF7" w:rsidRPr="000C4EF7" w:rsidRDefault="000C4EF7" w:rsidP="00B23FF8">
      <w:pPr>
        <w:snapToGrid w:val="0"/>
        <w:spacing w:afterLines="60" w:after="144" w:line="240" w:lineRule="auto"/>
        <w:ind w:hanging="480"/>
        <w:rPr>
          <w:rFonts w:eastAsia="Times New Roman"/>
          <w:lang w:eastAsia="en-GB"/>
        </w:rPr>
      </w:pPr>
      <w:r w:rsidRPr="00D40D5C">
        <w:rPr>
          <w:rFonts w:eastAsia="Times New Roman"/>
          <w:lang w:eastAsia="en-GB"/>
        </w:rPr>
        <w:t xml:space="preserve">Garnham, P. C. C. 1971. ‘The Genus Leishmania’. </w:t>
      </w:r>
      <w:r w:rsidRPr="000C4EF7">
        <w:rPr>
          <w:rFonts w:eastAsia="Times New Roman"/>
          <w:i/>
          <w:iCs/>
          <w:lang w:eastAsia="en-GB"/>
        </w:rPr>
        <w:t>Bulletin of the World Health Organization</w:t>
      </w:r>
      <w:r w:rsidRPr="000C4EF7">
        <w:rPr>
          <w:rFonts w:eastAsia="Times New Roman"/>
          <w:lang w:eastAsia="en-GB"/>
        </w:rPr>
        <w:t xml:space="preserve"> 44 (4): 477–89.</w:t>
      </w:r>
    </w:p>
    <w:p w14:paraId="61C2E7DE" w14:textId="77777777" w:rsidR="000C4EF7" w:rsidRPr="000C4EF7" w:rsidRDefault="000C4EF7" w:rsidP="00B23FF8">
      <w:pPr>
        <w:snapToGrid w:val="0"/>
        <w:spacing w:afterLines="60" w:after="144" w:line="240" w:lineRule="auto"/>
        <w:ind w:hanging="480"/>
        <w:rPr>
          <w:rFonts w:eastAsia="Times New Roman"/>
          <w:lang w:eastAsia="en-GB"/>
        </w:rPr>
      </w:pPr>
      <w:r w:rsidRPr="000C4EF7">
        <w:rPr>
          <w:rFonts w:eastAsia="Times New Roman"/>
          <w:lang w:eastAsia="en-GB"/>
        </w:rPr>
        <w:t xml:space="preserve">Georgiadou, Sarah P., Konstantinos P. Makaritsis, and George N. Dalekos. 2015. ‘Leishmaniasis Revisited: Current Aspects on Epidemiology, Diagnosis and Treatment’. </w:t>
      </w:r>
      <w:r w:rsidRPr="000C4EF7">
        <w:rPr>
          <w:rFonts w:eastAsia="Times New Roman"/>
          <w:i/>
          <w:iCs/>
          <w:lang w:eastAsia="en-GB"/>
        </w:rPr>
        <w:t>Journal of Translational Internal Medicine</w:t>
      </w:r>
      <w:r w:rsidRPr="000C4EF7">
        <w:rPr>
          <w:rFonts w:eastAsia="Times New Roman"/>
          <w:lang w:eastAsia="en-GB"/>
        </w:rPr>
        <w:t xml:space="preserve"> 3 (2): 43–50. </w:t>
      </w:r>
      <w:hyperlink r:id="rId168" w:history="1">
        <w:r w:rsidRPr="000C4EF7">
          <w:rPr>
            <w:rFonts w:eastAsia="Times New Roman"/>
            <w:color w:val="0000FF"/>
            <w:u w:val="single"/>
            <w:lang w:eastAsia="en-GB"/>
          </w:rPr>
          <w:t>https://doi.org/10.1515/jtim-2015-0002</w:t>
        </w:r>
      </w:hyperlink>
      <w:r w:rsidRPr="000C4EF7">
        <w:rPr>
          <w:rFonts w:eastAsia="Times New Roman"/>
          <w:lang w:eastAsia="en-GB"/>
        </w:rPr>
        <w:t>.</w:t>
      </w:r>
    </w:p>
    <w:p w14:paraId="0D461A0D" w14:textId="77777777" w:rsidR="000C4EF7" w:rsidRPr="000C4EF7" w:rsidRDefault="000C4EF7" w:rsidP="00B23FF8">
      <w:pPr>
        <w:snapToGrid w:val="0"/>
        <w:spacing w:afterLines="60" w:after="144" w:line="240" w:lineRule="auto"/>
        <w:ind w:hanging="480"/>
        <w:rPr>
          <w:rFonts w:eastAsia="Times New Roman"/>
          <w:lang w:eastAsia="en-GB"/>
        </w:rPr>
      </w:pPr>
      <w:r w:rsidRPr="00D40D5C">
        <w:rPr>
          <w:rFonts w:eastAsia="Times New Roman"/>
          <w:lang w:eastAsia="en-GB"/>
        </w:rPr>
        <w:t>Gershkovich, Pavel, Ellen K. Wasan, Molly Lin, Olena Sivak, Carlos G. Leon, John G. Clement, and Kishor M. Wasan. 2009. ‘Pharmacokinetics and Bi</w:t>
      </w:r>
      <w:r w:rsidRPr="000C4EF7">
        <w:rPr>
          <w:rFonts w:eastAsia="Times New Roman"/>
          <w:lang w:eastAsia="en-GB"/>
        </w:rPr>
        <w:t xml:space="preserve">odistribution of Amphotericin B in Rats Following Oral Administration in a Novel Lipid-Based Formulation’. </w:t>
      </w:r>
      <w:r w:rsidRPr="000C4EF7">
        <w:rPr>
          <w:rFonts w:eastAsia="Times New Roman"/>
          <w:i/>
          <w:iCs/>
          <w:lang w:eastAsia="en-GB"/>
        </w:rPr>
        <w:t>The Journal of Antimicrobial Chemotherapy</w:t>
      </w:r>
      <w:r w:rsidRPr="000C4EF7">
        <w:rPr>
          <w:rFonts w:eastAsia="Times New Roman"/>
          <w:lang w:eastAsia="en-GB"/>
        </w:rPr>
        <w:t xml:space="preserve"> 64 (1): 101–8. </w:t>
      </w:r>
      <w:hyperlink r:id="rId169" w:history="1">
        <w:r w:rsidRPr="000C4EF7">
          <w:rPr>
            <w:rFonts w:eastAsia="Times New Roman"/>
            <w:color w:val="0000FF"/>
            <w:u w:val="single"/>
            <w:lang w:eastAsia="en-GB"/>
          </w:rPr>
          <w:t>https://doi.org/10.1093/jac/dkp140</w:t>
        </w:r>
      </w:hyperlink>
      <w:r w:rsidRPr="000C4EF7">
        <w:rPr>
          <w:rFonts w:eastAsia="Times New Roman"/>
          <w:lang w:eastAsia="en-GB"/>
        </w:rPr>
        <w:t>.</w:t>
      </w:r>
    </w:p>
    <w:p w14:paraId="55621580" w14:textId="77777777" w:rsidR="000C4EF7" w:rsidRPr="000C4EF7" w:rsidRDefault="000C4EF7" w:rsidP="00B23FF8">
      <w:pPr>
        <w:snapToGrid w:val="0"/>
        <w:spacing w:afterLines="60" w:after="144" w:line="240" w:lineRule="auto"/>
        <w:ind w:hanging="480"/>
        <w:rPr>
          <w:rFonts w:eastAsia="Times New Roman"/>
          <w:lang w:eastAsia="en-GB"/>
        </w:rPr>
      </w:pPr>
      <w:r w:rsidRPr="00D40D5C">
        <w:rPr>
          <w:rFonts w:eastAsia="Times New Roman"/>
          <w:lang w:eastAsia="en-GB"/>
        </w:rPr>
        <w:t>Gille</w:t>
      </w:r>
      <w:r w:rsidRPr="000C4EF7">
        <w:rPr>
          <w:rFonts w:eastAsia="Times New Roman"/>
          <w:lang w:eastAsia="en-GB"/>
        </w:rPr>
        <w:t xml:space="preserve">spie, Daniel T. 1977. ‘Exact Stochastic Simulation of Coupled Chemical Reactions’. </w:t>
      </w:r>
      <w:r w:rsidRPr="000C4EF7">
        <w:rPr>
          <w:rFonts w:eastAsia="Times New Roman"/>
          <w:i/>
          <w:iCs/>
          <w:lang w:eastAsia="en-GB"/>
        </w:rPr>
        <w:t>The Journal of Physical Chemistry</w:t>
      </w:r>
      <w:r w:rsidRPr="000C4EF7">
        <w:rPr>
          <w:rFonts w:eastAsia="Times New Roman"/>
          <w:lang w:eastAsia="en-GB"/>
        </w:rPr>
        <w:t xml:space="preserve"> 81 (25): 2340–61. </w:t>
      </w:r>
      <w:hyperlink r:id="rId170" w:history="1">
        <w:r w:rsidRPr="000C4EF7">
          <w:rPr>
            <w:rFonts w:eastAsia="Times New Roman"/>
            <w:color w:val="0000FF"/>
            <w:u w:val="single"/>
            <w:lang w:eastAsia="en-GB"/>
          </w:rPr>
          <w:t>https://doi.org/10.1021/j100540a008</w:t>
        </w:r>
      </w:hyperlink>
      <w:r w:rsidRPr="000C4EF7">
        <w:rPr>
          <w:rFonts w:eastAsia="Times New Roman"/>
          <w:lang w:eastAsia="en-GB"/>
        </w:rPr>
        <w:t>.</w:t>
      </w:r>
    </w:p>
    <w:p w14:paraId="2EDFB2DB" w14:textId="77777777" w:rsidR="000C4EF7" w:rsidRPr="000C4EF7" w:rsidRDefault="000C4EF7" w:rsidP="00B23FF8">
      <w:pPr>
        <w:snapToGrid w:val="0"/>
        <w:spacing w:afterLines="60" w:after="144" w:line="240" w:lineRule="auto"/>
        <w:ind w:hanging="480"/>
        <w:rPr>
          <w:rFonts w:eastAsia="Times New Roman"/>
          <w:lang w:eastAsia="en-GB"/>
        </w:rPr>
      </w:pPr>
      <w:r w:rsidRPr="00D40D5C">
        <w:rPr>
          <w:rFonts w:eastAsia="Times New Roman"/>
          <w:lang w:eastAsia="en-GB"/>
        </w:rPr>
        <w:lastRenderedPageBreak/>
        <w:t>Ginhoux, Florent, and Martin Gui</w:t>
      </w:r>
      <w:r w:rsidRPr="000C4EF7">
        <w:rPr>
          <w:rFonts w:eastAsia="Times New Roman"/>
          <w:lang w:eastAsia="en-GB"/>
        </w:rPr>
        <w:t xml:space="preserve">lliams. 2016. ‘Tissue-Resident Macrophage Ontogeny and Homeostasis’. </w:t>
      </w:r>
      <w:r w:rsidRPr="000C4EF7">
        <w:rPr>
          <w:rFonts w:eastAsia="Times New Roman"/>
          <w:i/>
          <w:iCs/>
          <w:lang w:eastAsia="en-GB"/>
        </w:rPr>
        <w:t>Immunity</w:t>
      </w:r>
      <w:r w:rsidRPr="000C4EF7">
        <w:rPr>
          <w:rFonts w:eastAsia="Times New Roman"/>
          <w:lang w:eastAsia="en-GB"/>
        </w:rPr>
        <w:t xml:space="preserve"> 44 (3): 439–49. </w:t>
      </w:r>
      <w:hyperlink r:id="rId171" w:history="1">
        <w:r w:rsidRPr="000C4EF7">
          <w:rPr>
            <w:rFonts w:eastAsia="Times New Roman"/>
            <w:color w:val="0000FF"/>
            <w:u w:val="single"/>
            <w:lang w:eastAsia="en-GB"/>
          </w:rPr>
          <w:t>https://doi.org/10.1016/j.immuni.2016.02.024</w:t>
        </w:r>
      </w:hyperlink>
      <w:r w:rsidRPr="000C4EF7">
        <w:rPr>
          <w:rFonts w:eastAsia="Times New Roman"/>
          <w:lang w:eastAsia="en-GB"/>
        </w:rPr>
        <w:t>.</w:t>
      </w:r>
    </w:p>
    <w:p w14:paraId="56DD4FDA" w14:textId="77777777" w:rsidR="000C4EF7" w:rsidRPr="000C4EF7" w:rsidRDefault="000C4EF7" w:rsidP="00B23FF8">
      <w:pPr>
        <w:snapToGrid w:val="0"/>
        <w:spacing w:afterLines="60" w:after="144" w:line="240" w:lineRule="auto"/>
        <w:ind w:hanging="480"/>
        <w:rPr>
          <w:rFonts w:eastAsia="Times New Roman"/>
          <w:lang w:eastAsia="en-GB"/>
        </w:rPr>
      </w:pPr>
      <w:r w:rsidRPr="00D40D5C">
        <w:rPr>
          <w:rFonts w:eastAsia="Times New Roman"/>
          <w:lang w:eastAsia="en-GB"/>
        </w:rPr>
        <w:t>Godfrey, D. I., K. J. Hammond, L. D. Poulton, M. J. Smy</w:t>
      </w:r>
      <w:r w:rsidRPr="000C4EF7">
        <w:rPr>
          <w:rFonts w:eastAsia="Times New Roman"/>
          <w:lang w:eastAsia="en-GB"/>
        </w:rPr>
        <w:t xml:space="preserve">th, and A. G. Baxter. 2000. ‘NKT Cells: Facts, Functions and Fallacies’. </w:t>
      </w:r>
      <w:r w:rsidRPr="000C4EF7">
        <w:rPr>
          <w:rFonts w:eastAsia="Times New Roman"/>
          <w:i/>
          <w:iCs/>
          <w:lang w:eastAsia="en-GB"/>
        </w:rPr>
        <w:t>Immunology Today</w:t>
      </w:r>
      <w:r w:rsidRPr="000C4EF7">
        <w:rPr>
          <w:rFonts w:eastAsia="Times New Roman"/>
          <w:lang w:eastAsia="en-GB"/>
        </w:rPr>
        <w:t xml:space="preserve"> 21 (11): 573–83.</w:t>
      </w:r>
    </w:p>
    <w:p w14:paraId="034D454D" w14:textId="77777777" w:rsidR="000C4EF7" w:rsidRPr="000C4EF7" w:rsidRDefault="000C4EF7" w:rsidP="00B23FF8">
      <w:pPr>
        <w:snapToGrid w:val="0"/>
        <w:spacing w:afterLines="60" w:after="144" w:line="240" w:lineRule="auto"/>
        <w:ind w:hanging="480"/>
        <w:rPr>
          <w:rFonts w:eastAsia="Times New Roman"/>
          <w:lang w:eastAsia="en-GB"/>
        </w:rPr>
      </w:pPr>
      <w:r w:rsidRPr="000C4EF7">
        <w:rPr>
          <w:rFonts w:eastAsia="Times New Roman"/>
          <w:lang w:eastAsia="en-GB"/>
        </w:rPr>
        <w:t xml:space="preserve">Godfrey, Dale I., H. Robson MacDonald, Mitchell Kronenberg, Mark J. Smyth, and Luc Van Kaer. 2004. ‘NKT Cells: What’s in a Name?’ </w:t>
      </w:r>
      <w:r w:rsidRPr="000C4EF7">
        <w:rPr>
          <w:rFonts w:eastAsia="Times New Roman"/>
          <w:i/>
          <w:iCs/>
          <w:lang w:eastAsia="en-GB"/>
        </w:rPr>
        <w:t>Nature Reviews Immunology</w:t>
      </w:r>
      <w:r w:rsidRPr="000C4EF7">
        <w:rPr>
          <w:rFonts w:eastAsia="Times New Roman"/>
          <w:lang w:eastAsia="en-GB"/>
        </w:rPr>
        <w:t xml:space="preserve"> 4 (3): 231–37. </w:t>
      </w:r>
      <w:hyperlink r:id="rId172" w:history="1">
        <w:r w:rsidRPr="000C4EF7">
          <w:rPr>
            <w:rFonts w:eastAsia="Times New Roman"/>
            <w:color w:val="0000FF"/>
            <w:u w:val="single"/>
            <w:lang w:eastAsia="en-GB"/>
          </w:rPr>
          <w:t>https://doi.org/10.1038/nr</w:t>
        </w:r>
        <w:r w:rsidRPr="00D40D5C">
          <w:rPr>
            <w:rFonts w:eastAsia="Times New Roman"/>
            <w:color w:val="0000FF"/>
            <w:u w:val="single"/>
            <w:lang w:eastAsia="en-GB"/>
          </w:rPr>
          <w:t>i1309</w:t>
        </w:r>
      </w:hyperlink>
      <w:r w:rsidRPr="000C4EF7">
        <w:rPr>
          <w:rFonts w:eastAsia="Times New Roman"/>
          <w:lang w:eastAsia="en-GB"/>
        </w:rPr>
        <w:t>.</w:t>
      </w:r>
    </w:p>
    <w:p w14:paraId="46684C0D" w14:textId="77777777" w:rsidR="000C4EF7" w:rsidRPr="000C4EF7" w:rsidRDefault="000C4EF7" w:rsidP="00B23FF8">
      <w:pPr>
        <w:snapToGrid w:val="0"/>
        <w:spacing w:afterLines="60" w:after="144" w:line="240" w:lineRule="auto"/>
        <w:ind w:hanging="480"/>
        <w:rPr>
          <w:rFonts w:eastAsia="Times New Roman"/>
          <w:lang w:eastAsia="en-GB"/>
        </w:rPr>
      </w:pPr>
      <w:r w:rsidRPr="00D40D5C">
        <w:rPr>
          <w:rFonts w:eastAsia="Times New Roman"/>
          <w:lang w:eastAsia="en-GB"/>
        </w:rPr>
        <w:t>Gonçalves, Lígia A., Ana M. Vigário, and Carlos Penha-Gonçalves. 2007. ‘Improved Isolation of Murine Hepatocytes for in Vitro Malaria Liver Stage Studies</w:t>
      </w:r>
      <w:r w:rsidRPr="000C4EF7">
        <w:rPr>
          <w:rFonts w:eastAsia="Times New Roman"/>
          <w:lang w:eastAsia="en-GB"/>
        </w:rPr>
        <w:t xml:space="preserve">’. </w:t>
      </w:r>
      <w:r w:rsidRPr="000C4EF7">
        <w:rPr>
          <w:rFonts w:eastAsia="Times New Roman"/>
          <w:i/>
          <w:iCs/>
          <w:lang w:eastAsia="en-GB"/>
        </w:rPr>
        <w:t>Malaria Journal</w:t>
      </w:r>
      <w:r w:rsidRPr="000C4EF7">
        <w:rPr>
          <w:rFonts w:eastAsia="Times New Roman"/>
          <w:lang w:eastAsia="en-GB"/>
        </w:rPr>
        <w:t xml:space="preserve"> 6 (December): 169. </w:t>
      </w:r>
      <w:hyperlink r:id="rId173" w:history="1">
        <w:r w:rsidRPr="000C4EF7">
          <w:rPr>
            <w:rFonts w:eastAsia="Times New Roman"/>
            <w:color w:val="0000FF"/>
            <w:u w:val="single"/>
            <w:lang w:eastAsia="en-GB"/>
          </w:rPr>
          <w:t>ht</w:t>
        </w:r>
        <w:r w:rsidRPr="00D40D5C">
          <w:rPr>
            <w:rFonts w:eastAsia="Times New Roman"/>
            <w:color w:val="0000FF"/>
            <w:u w:val="single"/>
            <w:lang w:eastAsia="en-GB"/>
          </w:rPr>
          <w:t>tps://doi.org/10.1186/1475-2875-6-169</w:t>
        </w:r>
      </w:hyperlink>
      <w:r w:rsidRPr="000C4EF7">
        <w:rPr>
          <w:rFonts w:eastAsia="Times New Roman"/>
          <w:lang w:eastAsia="en-GB"/>
        </w:rPr>
        <w:t>.</w:t>
      </w:r>
    </w:p>
    <w:p w14:paraId="2A3A6797" w14:textId="77777777" w:rsidR="000C4EF7" w:rsidRPr="000C4EF7" w:rsidRDefault="000C4EF7" w:rsidP="00B23FF8">
      <w:pPr>
        <w:snapToGrid w:val="0"/>
        <w:spacing w:afterLines="60" w:after="144" w:line="240" w:lineRule="auto"/>
        <w:ind w:hanging="480"/>
        <w:rPr>
          <w:rFonts w:eastAsia="Times New Roman"/>
          <w:lang w:eastAsia="en-GB"/>
        </w:rPr>
      </w:pPr>
      <w:r w:rsidRPr="00D40D5C">
        <w:rPr>
          <w:rFonts w:eastAsia="Times New Roman"/>
          <w:lang w:eastAsia="en-GB"/>
        </w:rPr>
        <w:t xml:space="preserve">Goodman, Leo A. 1960. ‘On the Exact Variance of Products’. </w:t>
      </w:r>
      <w:r w:rsidRPr="000C4EF7">
        <w:rPr>
          <w:rFonts w:eastAsia="Times New Roman"/>
          <w:i/>
          <w:iCs/>
          <w:lang w:eastAsia="en-GB"/>
        </w:rPr>
        <w:t>Journal of the American Statistical Association</w:t>
      </w:r>
      <w:r w:rsidRPr="000C4EF7">
        <w:rPr>
          <w:rFonts w:eastAsia="Times New Roman"/>
          <w:lang w:eastAsia="en-GB"/>
        </w:rPr>
        <w:t xml:space="preserve"> 55 (292): 708–13. </w:t>
      </w:r>
      <w:hyperlink r:id="rId174" w:history="1">
        <w:r w:rsidRPr="000C4EF7">
          <w:rPr>
            <w:rFonts w:eastAsia="Times New Roman"/>
            <w:color w:val="0000FF"/>
            <w:u w:val="single"/>
            <w:lang w:eastAsia="en-GB"/>
          </w:rPr>
          <w:t>https://doi.org/10.1080/01621</w:t>
        </w:r>
        <w:r w:rsidRPr="00D40D5C">
          <w:rPr>
            <w:rFonts w:eastAsia="Times New Roman"/>
            <w:color w:val="0000FF"/>
            <w:u w:val="single"/>
            <w:lang w:eastAsia="en-GB"/>
          </w:rPr>
          <w:t>459.1960.10483369</w:t>
        </w:r>
      </w:hyperlink>
      <w:r w:rsidRPr="000C4EF7">
        <w:rPr>
          <w:rFonts w:eastAsia="Times New Roman"/>
          <w:lang w:eastAsia="en-GB"/>
        </w:rPr>
        <w:t>.</w:t>
      </w:r>
    </w:p>
    <w:p w14:paraId="1DA4E6AC" w14:textId="77777777" w:rsidR="000C4EF7" w:rsidRPr="000C4EF7" w:rsidRDefault="000C4EF7" w:rsidP="00B23FF8">
      <w:pPr>
        <w:snapToGrid w:val="0"/>
        <w:spacing w:afterLines="60" w:after="144" w:line="240" w:lineRule="auto"/>
        <w:ind w:hanging="480"/>
        <w:rPr>
          <w:rFonts w:eastAsia="Times New Roman"/>
          <w:lang w:eastAsia="en-GB"/>
        </w:rPr>
      </w:pPr>
      <w:r w:rsidRPr="00D40D5C">
        <w:rPr>
          <w:rFonts w:eastAsia="Times New Roman"/>
          <w:lang w:eastAsia="en-GB"/>
        </w:rPr>
        <w:t xml:space="preserve">Goto, H., and J. a. L. Lindoso. 2004. ‘Immunity and Immunosuppression in Experimental Visceral Leishmaniasis’. </w:t>
      </w:r>
      <w:r w:rsidRPr="000C4EF7">
        <w:rPr>
          <w:rFonts w:eastAsia="Times New Roman"/>
          <w:i/>
          <w:iCs/>
          <w:lang w:eastAsia="en-GB"/>
        </w:rPr>
        <w:t>Brazilian Journal of Medical and Biological Research = Revista Brasileira De Pesquisas Medicas E Biologicas</w:t>
      </w:r>
      <w:r w:rsidRPr="000C4EF7">
        <w:rPr>
          <w:rFonts w:eastAsia="Times New Roman"/>
          <w:lang w:eastAsia="en-GB"/>
        </w:rPr>
        <w:t xml:space="preserve"> 37 (4): 615–23.</w:t>
      </w:r>
    </w:p>
    <w:p w14:paraId="5A320DA7" w14:textId="77777777" w:rsidR="000C4EF7" w:rsidRPr="000C4EF7" w:rsidRDefault="000C4EF7" w:rsidP="00B23FF8">
      <w:pPr>
        <w:snapToGrid w:val="0"/>
        <w:spacing w:afterLines="60" w:after="144" w:line="240" w:lineRule="auto"/>
        <w:ind w:hanging="480"/>
        <w:rPr>
          <w:rFonts w:eastAsia="Times New Roman"/>
          <w:lang w:eastAsia="en-GB"/>
        </w:rPr>
      </w:pPr>
      <w:r w:rsidRPr="000C4EF7">
        <w:rPr>
          <w:rFonts w:eastAsia="Times New Roman"/>
          <w:lang w:eastAsia="en-GB"/>
        </w:rPr>
        <w:t xml:space="preserve">Griensven, Johan van, Ed E. Zijlstra, and Asrat Hailu. 2014. ‘Visceral Leishmaniasis and HIV Coinfection: Time for Concerted Action’. </w:t>
      </w:r>
      <w:r w:rsidRPr="000C4EF7">
        <w:rPr>
          <w:rFonts w:eastAsia="Times New Roman"/>
          <w:i/>
          <w:iCs/>
          <w:lang w:eastAsia="en-GB"/>
        </w:rPr>
        <w:t>PLOS Neglected Tropical Diseases</w:t>
      </w:r>
      <w:r w:rsidRPr="000C4EF7">
        <w:rPr>
          <w:rFonts w:eastAsia="Times New Roman"/>
          <w:lang w:eastAsia="en-GB"/>
        </w:rPr>
        <w:t xml:space="preserve"> 8 (8): e3023. </w:t>
      </w:r>
      <w:hyperlink r:id="rId175" w:history="1">
        <w:r w:rsidRPr="000C4EF7">
          <w:rPr>
            <w:rFonts w:eastAsia="Times New Roman"/>
            <w:color w:val="0000FF"/>
            <w:u w:val="single"/>
            <w:lang w:eastAsia="en-GB"/>
          </w:rPr>
          <w:t>https://doi.org/</w:t>
        </w:r>
        <w:r w:rsidRPr="00D40D5C">
          <w:rPr>
            <w:rFonts w:eastAsia="Times New Roman"/>
            <w:color w:val="0000FF"/>
            <w:u w:val="single"/>
            <w:lang w:eastAsia="en-GB"/>
          </w:rPr>
          <w:t>10.1371/journal.pntd.0003023</w:t>
        </w:r>
      </w:hyperlink>
      <w:r w:rsidRPr="000C4EF7">
        <w:rPr>
          <w:rFonts w:eastAsia="Times New Roman"/>
          <w:lang w:eastAsia="en-GB"/>
        </w:rPr>
        <w:t>.</w:t>
      </w:r>
    </w:p>
    <w:p w14:paraId="4D42B036" w14:textId="77777777" w:rsidR="000C4EF7" w:rsidRPr="000C4EF7" w:rsidRDefault="000C4EF7" w:rsidP="00B23FF8">
      <w:pPr>
        <w:snapToGrid w:val="0"/>
        <w:spacing w:afterLines="60" w:after="144" w:line="240" w:lineRule="auto"/>
        <w:ind w:hanging="480"/>
        <w:rPr>
          <w:rFonts w:eastAsia="Times New Roman"/>
          <w:lang w:eastAsia="en-GB"/>
        </w:rPr>
      </w:pPr>
      <w:r w:rsidRPr="00D40D5C">
        <w:rPr>
          <w:rFonts w:eastAsia="Times New Roman"/>
          <w:lang w:eastAsia="en-GB"/>
        </w:rPr>
        <w:t>Grimm, Volker, Eloy Revilla, Uta Berger, Florian Jeltsch, Wolf M. Mooij, Steven F. Railsback, Hans-Hermann Thulke, Jacob Weiner, T</w:t>
      </w:r>
      <w:r w:rsidRPr="000C4EF7">
        <w:rPr>
          <w:rFonts w:eastAsia="Times New Roman"/>
          <w:lang w:eastAsia="en-GB"/>
        </w:rPr>
        <w:t xml:space="preserve">horsten Wiegand, and Donald L. DeAngelis. 2005. ‘Pattern-Oriented Modeling of Agent-Based Complex Systems: Lessons from Ecology’. </w:t>
      </w:r>
      <w:r w:rsidRPr="000C4EF7">
        <w:rPr>
          <w:rFonts w:eastAsia="Times New Roman"/>
          <w:i/>
          <w:iCs/>
          <w:lang w:eastAsia="en-GB"/>
        </w:rPr>
        <w:t>Science</w:t>
      </w:r>
      <w:r w:rsidRPr="000C4EF7">
        <w:rPr>
          <w:rFonts w:eastAsia="Times New Roman"/>
          <w:lang w:eastAsia="en-GB"/>
        </w:rPr>
        <w:t xml:space="preserve"> 310 (5750): 987–91. </w:t>
      </w:r>
      <w:hyperlink r:id="rId176" w:history="1">
        <w:r w:rsidRPr="000C4EF7">
          <w:rPr>
            <w:rFonts w:eastAsia="Times New Roman"/>
            <w:color w:val="0000FF"/>
            <w:u w:val="single"/>
            <w:lang w:eastAsia="en-GB"/>
          </w:rPr>
          <w:t>https://doi.org/10.1126/science.1116681</w:t>
        </w:r>
      </w:hyperlink>
      <w:r w:rsidRPr="000C4EF7">
        <w:rPr>
          <w:rFonts w:eastAsia="Times New Roman"/>
          <w:lang w:eastAsia="en-GB"/>
        </w:rPr>
        <w:t>.</w:t>
      </w:r>
    </w:p>
    <w:p w14:paraId="126EDAB7" w14:textId="77777777" w:rsidR="000C4EF7" w:rsidRPr="000C4EF7" w:rsidRDefault="000C4EF7" w:rsidP="00B23FF8">
      <w:pPr>
        <w:snapToGrid w:val="0"/>
        <w:spacing w:afterLines="60" w:after="144" w:line="240" w:lineRule="auto"/>
        <w:ind w:hanging="480"/>
        <w:rPr>
          <w:rFonts w:eastAsia="Times New Roman"/>
          <w:lang w:eastAsia="en-GB"/>
        </w:rPr>
      </w:pPr>
      <w:r w:rsidRPr="00D40D5C">
        <w:rPr>
          <w:rFonts w:eastAsia="Times New Roman"/>
          <w:lang w:eastAsia="en-GB"/>
        </w:rPr>
        <w:t>G</w:t>
      </w:r>
      <w:r w:rsidRPr="000C4EF7">
        <w:rPr>
          <w:rFonts w:eastAsia="Times New Roman"/>
          <w:lang w:eastAsia="en-GB"/>
        </w:rPr>
        <w:t xml:space="preserve">ueirard, Pascale, Annie Laplante, Christiane Rondeau, Geneviève Milon, and Michel Desjardins. 2008. ‘Trafficking of Leishmania Donovani Promastigotes in Non-Lytic Compartments in Neutrophils Enables the Subsequent Transfer of Parasites to Macrophages’. </w:t>
      </w:r>
      <w:r w:rsidRPr="000C4EF7">
        <w:rPr>
          <w:rFonts w:eastAsia="Times New Roman"/>
          <w:i/>
          <w:iCs/>
          <w:lang w:eastAsia="en-GB"/>
        </w:rPr>
        <w:t>Cellular Microbiology</w:t>
      </w:r>
      <w:r w:rsidRPr="000C4EF7">
        <w:rPr>
          <w:rFonts w:eastAsia="Times New Roman"/>
          <w:lang w:eastAsia="en-GB"/>
        </w:rPr>
        <w:t xml:space="preserve"> 10 (1): 100–111. </w:t>
      </w:r>
      <w:hyperlink r:id="rId177" w:history="1">
        <w:r w:rsidRPr="000C4EF7">
          <w:rPr>
            <w:rFonts w:eastAsia="Times New Roman"/>
            <w:color w:val="0000FF"/>
            <w:u w:val="single"/>
            <w:lang w:eastAsia="en-GB"/>
          </w:rPr>
          <w:t>https://doi.org/10.1111/j.1462-5822.2007.01018.x</w:t>
        </w:r>
      </w:hyperlink>
      <w:r w:rsidRPr="000C4EF7">
        <w:rPr>
          <w:rFonts w:eastAsia="Times New Roman"/>
          <w:lang w:eastAsia="en-GB"/>
        </w:rPr>
        <w:t>.</w:t>
      </w:r>
    </w:p>
    <w:p w14:paraId="41C962D1" w14:textId="77777777" w:rsidR="000C4EF7" w:rsidRPr="000C4EF7" w:rsidRDefault="000C4EF7" w:rsidP="00B23FF8">
      <w:pPr>
        <w:snapToGrid w:val="0"/>
        <w:spacing w:afterLines="60" w:after="144" w:line="240" w:lineRule="auto"/>
        <w:ind w:hanging="480"/>
        <w:rPr>
          <w:rFonts w:eastAsia="Times New Roman"/>
          <w:lang w:eastAsia="en-GB"/>
        </w:rPr>
      </w:pPr>
      <w:r w:rsidRPr="00D40D5C">
        <w:rPr>
          <w:rFonts w:eastAsia="Times New Roman"/>
          <w:lang w:eastAsia="en-GB"/>
        </w:rPr>
        <w:t>Guerin, Philippe J, Piero Olliaro, Shyam Sundar, Marleen Boelaert, Simon L Croft, Philippe Desjeux, Moniq</w:t>
      </w:r>
      <w:r w:rsidRPr="000C4EF7">
        <w:rPr>
          <w:rFonts w:eastAsia="Times New Roman"/>
          <w:lang w:eastAsia="en-GB"/>
        </w:rPr>
        <w:t xml:space="preserve">ue K Wasunna, and Anthony DM Bryceson. 2002. ‘Visceral Leishmaniasis: Current Status of Control, Diagnosis, and Treatment, and a Proposed Research and Development Agenda’. </w:t>
      </w:r>
      <w:r w:rsidRPr="000C4EF7">
        <w:rPr>
          <w:rFonts w:eastAsia="Times New Roman"/>
          <w:i/>
          <w:iCs/>
          <w:lang w:eastAsia="en-GB"/>
        </w:rPr>
        <w:t>The Lancet Infectious Diseases</w:t>
      </w:r>
      <w:r w:rsidRPr="000C4EF7">
        <w:rPr>
          <w:rFonts w:eastAsia="Times New Roman"/>
          <w:lang w:eastAsia="en-GB"/>
        </w:rPr>
        <w:t xml:space="preserve"> 2 (8): 494–501. </w:t>
      </w:r>
      <w:hyperlink r:id="rId178" w:history="1">
        <w:r w:rsidRPr="000C4EF7">
          <w:rPr>
            <w:rFonts w:eastAsia="Times New Roman"/>
            <w:color w:val="0000FF"/>
            <w:u w:val="single"/>
            <w:lang w:eastAsia="en-GB"/>
          </w:rPr>
          <w:t>https://doi.org/10.1016/S1473-3099(02)00347-X</w:t>
        </w:r>
      </w:hyperlink>
      <w:r w:rsidRPr="000C4EF7">
        <w:rPr>
          <w:rFonts w:eastAsia="Times New Roman"/>
          <w:lang w:eastAsia="en-GB"/>
        </w:rPr>
        <w:t>.</w:t>
      </w:r>
    </w:p>
    <w:p w14:paraId="65E0B893" w14:textId="77777777" w:rsidR="000C4EF7" w:rsidRPr="000C4EF7" w:rsidRDefault="000C4EF7" w:rsidP="00B23FF8">
      <w:pPr>
        <w:snapToGrid w:val="0"/>
        <w:spacing w:afterLines="60" w:after="144" w:line="240" w:lineRule="auto"/>
        <w:ind w:hanging="480"/>
        <w:rPr>
          <w:rFonts w:eastAsia="Times New Roman"/>
          <w:lang w:eastAsia="en-GB"/>
        </w:rPr>
      </w:pPr>
      <w:r w:rsidRPr="00D40D5C">
        <w:rPr>
          <w:rFonts w:eastAsia="Times New Roman"/>
          <w:lang w:eastAsia="en-GB"/>
        </w:rPr>
        <w:t xml:space="preserve">Hamill, Richard J. 2013. ‘Amphotericin B Formulations: A Comparative Review of Efficacy and Toxicity’. </w:t>
      </w:r>
      <w:r w:rsidRPr="000C4EF7">
        <w:rPr>
          <w:rFonts w:eastAsia="Times New Roman"/>
          <w:i/>
          <w:iCs/>
          <w:lang w:eastAsia="en-GB"/>
        </w:rPr>
        <w:t>Drugs</w:t>
      </w:r>
      <w:r w:rsidRPr="000C4EF7">
        <w:rPr>
          <w:rFonts w:eastAsia="Times New Roman"/>
          <w:lang w:eastAsia="en-GB"/>
        </w:rPr>
        <w:t xml:space="preserve"> 73 (9): 919–34. </w:t>
      </w:r>
      <w:hyperlink r:id="rId179" w:history="1">
        <w:r w:rsidRPr="000C4EF7">
          <w:rPr>
            <w:rFonts w:eastAsia="Times New Roman"/>
            <w:color w:val="0000FF"/>
            <w:u w:val="single"/>
            <w:lang w:eastAsia="en-GB"/>
          </w:rPr>
          <w:t>https://doi.org/10.1007/s40265-013-0069-4</w:t>
        </w:r>
      </w:hyperlink>
      <w:r w:rsidRPr="000C4EF7">
        <w:rPr>
          <w:rFonts w:eastAsia="Times New Roman"/>
          <w:lang w:eastAsia="en-GB"/>
        </w:rPr>
        <w:t>.</w:t>
      </w:r>
    </w:p>
    <w:p w14:paraId="7915D8A2" w14:textId="77777777" w:rsidR="000C4EF7" w:rsidRPr="000C4EF7" w:rsidRDefault="000C4EF7" w:rsidP="00B23FF8">
      <w:pPr>
        <w:snapToGrid w:val="0"/>
        <w:spacing w:afterLines="60" w:after="144" w:line="240" w:lineRule="auto"/>
        <w:ind w:hanging="480"/>
        <w:rPr>
          <w:rFonts w:eastAsia="Times New Roman"/>
          <w:lang w:eastAsia="en-GB"/>
        </w:rPr>
      </w:pPr>
      <w:r w:rsidRPr="00D40D5C">
        <w:rPr>
          <w:rFonts w:eastAsia="Times New Roman"/>
          <w:lang w:eastAsia="en-GB"/>
        </w:rPr>
        <w:t xml:space="preserve">Hogan, Thea, Ulrich Kadolsky, Sim Tung, Benedict Seddon, and Andrew Yates. 2014. ‘Spatial Heterogeneity and Peptide Availability Determine CTL Killing Efficiency in Vivo’. </w:t>
      </w:r>
      <w:r w:rsidRPr="000C4EF7">
        <w:rPr>
          <w:rFonts w:eastAsia="Times New Roman"/>
          <w:i/>
          <w:iCs/>
          <w:lang w:eastAsia="en-GB"/>
        </w:rPr>
        <w:t>PLoS Computational Biology</w:t>
      </w:r>
      <w:r w:rsidRPr="000C4EF7">
        <w:rPr>
          <w:rFonts w:eastAsia="Times New Roman"/>
          <w:lang w:eastAsia="en-GB"/>
        </w:rPr>
        <w:t xml:space="preserve"> 10 (9): e1003805. </w:t>
      </w:r>
      <w:hyperlink r:id="rId180" w:history="1">
        <w:r w:rsidRPr="000C4EF7">
          <w:rPr>
            <w:rFonts w:eastAsia="Times New Roman"/>
            <w:color w:val="0000FF"/>
            <w:u w:val="single"/>
            <w:lang w:eastAsia="en-GB"/>
          </w:rPr>
          <w:t>https://doi.org/10.1371/journal.pcbi.1003805</w:t>
        </w:r>
      </w:hyperlink>
      <w:r w:rsidRPr="000C4EF7">
        <w:rPr>
          <w:rFonts w:eastAsia="Times New Roman"/>
          <w:lang w:eastAsia="en-GB"/>
        </w:rPr>
        <w:t>.</w:t>
      </w:r>
    </w:p>
    <w:p w14:paraId="5624BB02" w14:textId="77777777" w:rsidR="000C4EF7" w:rsidRPr="000C4EF7" w:rsidRDefault="000C4EF7" w:rsidP="00B23FF8">
      <w:pPr>
        <w:snapToGrid w:val="0"/>
        <w:spacing w:afterLines="60" w:after="144" w:line="240" w:lineRule="auto"/>
        <w:ind w:hanging="480"/>
        <w:rPr>
          <w:rFonts w:eastAsia="Times New Roman"/>
          <w:lang w:eastAsia="en-GB"/>
        </w:rPr>
      </w:pPr>
      <w:r w:rsidRPr="00D40D5C">
        <w:rPr>
          <w:rFonts w:eastAsia="Times New Roman"/>
          <w:lang w:eastAsia="en-GB"/>
        </w:rPr>
        <w:t>Honoré, S., Y. J. Garin, A. Sulahian, J. P. Gangneux, and F. Derouin. 1998. ‘Influence of the Host and Parasite Strain in a Mouse Model of Viscera</w:t>
      </w:r>
      <w:r w:rsidRPr="000C4EF7">
        <w:rPr>
          <w:rFonts w:eastAsia="Times New Roman"/>
          <w:lang w:eastAsia="en-GB"/>
        </w:rPr>
        <w:t xml:space="preserve">l Leishmania Infantum Infection’. </w:t>
      </w:r>
      <w:r w:rsidRPr="000C4EF7">
        <w:rPr>
          <w:rFonts w:eastAsia="Times New Roman"/>
          <w:i/>
          <w:iCs/>
          <w:lang w:eastAsia="en-GB"/>
        </w:rPr>
        <w:t>FEMS Immunology and Medical Microbiology</w:t>
      </w:r>
      <w:r w:rsidRPr="000C4EF7">
        <w:rPr>
          <w:rFonts w:eastAsia="Times New Roman"/>
          <w:lang w:eastAsia="en-GB"/>
        </w:rPr>
        <w:t xml:space="preserve"> 21 (3): 231–39.</w:t>
      </w:r>
    </w:p>
    <w:p w14:paraId="5A2714D1" w14:textId="77777777" w:rsidR="000C4EF7" w:rsidRPr="000C4EF7" w:rsidRDefault="000C4EF7" w:rsidP="00B23FF8">
      <w:pPr>
        <w:snapToGrid w:val="0"/>
        <w:spacing w:afterLines="60" w:after="144" w:line="240" w:lineRule="auto"/>
        <w:ind w:hanging="480"/>
        <w:rPr>
          <w:rFonts w:eastAsia="Times New Roman"/>
          <w:lang w:eastAsia="en-GB"/>
        </w:rPr>
      </w:pPr>
      <w:r w:rsidRPr="000C4EF7">
        <w:rPr>
          <w:rFonts w:eastAsia="Times New Roman"/>
          <w:lang w:eastAsia="en-GB"/>
        </w:rPr>
        <w:t xml:space="preserve">Ishida, Osamu, Kazuo Maruyama, Katsunori Sasaki, and Motoharu Iwatsuru. 1999. ‘Size-Dependent Extravasation and Interstitial Localization of Polyethyleneglycol Liposomes in Solid Tumor-Bearing Mice’. </w:t>
      </w:r>
      <w:r w:rsidRPr="000C4EF7">
        <w:rPr>
          <w:rFonts w:eastAsia="Times New Roman"/>
          <w:i/>
          <w:iCs/>
          <w:lang w:eastAsia="en-GB"/>
        </w:rPr>
        <w:t>International Journal of Pharmaceutics</w:t>
      </w:r>
      <w:r w:rsidRPr="000C4EF7">
        <w:rPr>
          <w:rFonts w:eastAsia="Times New Roman"/>
          <w:lang w:eastAsia="en-GB"/>
        </w:rPr>
        <w:t xml:space="preserve"> 190 (1): 49–56. </w:t>
      </w:r>
      <w:hyperlink r:id="rId181" w:history="1">
        <w:r w:rsidRPr="000C4EF7">
          <w:rPr>
            <w:rFonts w:eastAsia="Times New Roman"/>
            <w:color w:val="0000FF"/>
            <w:u w:val="single"/>
            <w:lang w:eastAsia="en-GB"/>
          </w:rPr>
          <w:t>https://doi.org/10.1016/S0378-5173(99)00256-2</w:t>
        </w:r>
      </w:hyperlink>
      <w:r w:rsidRPr="000C4EF7">
        <w:rPr>
          <w:rFonts w:eastAsia="Times New Roman"/>
          <w:lang w:eastAsia="en-GB"/>
        </w:rPr>
        <w:t>.</w:t>
      </w:r>
    </w:p>
    <w:p w14:paraId="28566EA5" w14:textId="77777777" w:rsidR="000C4EF7" w:rsidRPr="000C4EF7" w:rsidRDefault="000C4EF7" w:rsidP="00B23FF8">
      <w:pPr>
        <w:snapToGrid w:val="0"/>
        <w:spacing w:afterLines="60" w:after="144" w:line="240" w:lineRule="auto"/>
        <w:ind w:hanging="480"/>
        <w:rPr>
          <w:rFonts w:eastAsia="Times New Roman"/>
          <w:lang w:eastAsia="en-GB"/>
        </w:rPr>
      </w:pPr>
      <w:r w:rsidRPr="00D40D5C">
        <w:rPr>
          <w:rFonts w:eastAsia="Times New Roman"/>
          <w:lang w:eastAsia="en-GB"/>
        </w:rPr>
        <w:lastRenderedPageBreak/>
        <w:t>Ivanova, Ekaterina A., and Alexander N. Orekhov. 2016. ‘M</w:t>
      </w:r>
      <w:r w:rsidRPr="000C4EF7">
        <w:rPr>
          <w:rFonts w:eastAsia="Times New Roman"/>
          <w:lang w:eastAsia="en-GB"/>
        </w:rPr>
        <w:t xml:space="preserve">onocyte Activation in Immunopathology: Cellular Test for Development of Diagnostics and Therapy’. </w:t>
      </w:r>
      <w:r w:rsidRPr="000C4EF7">
        <w:rPr>
          <w:rFonts w:eastAsia="Times New Roman"/>
          <w:i/>
          <w:iCs/>
          <w:lang w:eastAsia="en-GB"/>
        </w:rPr>
        <w:t>Journal of Immunology Research</w:t>
      </w:r>
      <w:r w:rsidRPr="000C4EF7">
        <w:rPr>
          <w:rFonts w:eastAsia="Times New Roman"/>
          <w:lang w:eastAsia="en-GB"/>
        </w:rPr>
        <w:t xml:space="preserve"> 2016: 4789279. </w:t>
      </w:r>
      <w:hyperlink r:id="rId182" w:history="1">
        <w:r w:rsidRPr="000C4EF7">
          <w:rPr>
            <w:rFonts w:eastAsia="Times New Roman"/>
            <w:color w:val="0000FF"/>
            <w:u w:val="single"/>
            <w:lang w:eastAsia="en-GB"/>
          </w:rPr>
          <w:t>https://doi.org/10.1155/2016/4789279</w:t>
        </w:r>
      </w:hyperlink>
      <w:r w:rsidRPr="000C4EF7">
        <w:rPr>
          <w:rFonts w:eastAsia="Times New Roman"/>
          <w:lang w:eastAsia="en-GB"/>
        </w:rPr>
        <w:t>.</w:t>
      </w:r>
    </w:p>
    <w:p w14:paraId="16DF65D1" w14:textId="77777777" w:rsidR="000C4EF7" w:rsidRPr="000C4EF7" w:rsidRDefault="000C4EF7" w:rsidP="00B23FF8">
      <w:pPr>
        <w:snapToGrid w:val="0"/>
        <w:spacing w:afterLines="60" w:after="144" w:line="240" w:lineRule="auto"/>
        <w:ind w:hanging="480"/>
        <w:rPr>
          <w:rFonts w:eastAsia="Times New Roman"/>
          <w:lang w:eastAsia="en-GB"/>
        </w:rPr>
      </w:pPr>
      <w:r w:rsidRPr="00D40D5C">
        <w:rPr>
          <w:rFonts w:eastAsia="Times New Roman"/>
          <w:lang w:eastAsia="en-GB"/>
        </w:rPr>
        <w:t>Jabot, Franck, Thierr</w:t>
      </w:r>
      <w:r w:rsidRPr="000C4EF7">
        <w:rPr>
          <w:rFonts w:eastAsia="Times New Roman"/>
          <w:lang w:eastAsia="en-GB"/>
        </w:rPr>
        <w:t xml:space="preserve">y Faure, and Nicolas Dumoulin. 2013. ‘EasyABC: Performing Efficient Approximate Bayesian Computation Sampling Schemes Using R’. Edited by Robert B. O’Hara. </w:t>
      </w:r>
      <w:r w:rsidRPr="000C4EF7">
        <w:rPr>
          <w:rFonts w:eastAsia="Times New Roman"/>
          <w:i/>
          <w:iCs/>
          <w:lang w:eastAsia="en-GB"/>
        </w:rPr>
        <w:t>Methods in Ecology and Evolution</w:t>
      </w:r>
      <w:r w:rsidRPr="000C4EF7">
        <w:rPr>
          <w:rFonts w:eastAsia="Times New Roman"/>
          <w:lang w:eastAsia="en-GB"/>
        </w:rPr>
        <w:t xml:space="preserve"> 4 (7): 684–87. </w:t>
      </w:r>
      <w:hyperlink r:id="rId183" w:history="1">
        <w:r w:rsidRPr="000C4EF7">
          <w:rPr>
            <w:rFonts w:eastAsia="Times New Roman"/>
            <w:color w:val="0000FF"/>
            <w:u w:val="single"/>
            <w:lang w:eastAsia="en-GB"/>
          </w:rPr>
          <w:t>https://doi.org/10.1111/2041-210X.12050</w:t>
        </w:r>
      </w:hyperlink>
      <w:r w:rsidRPr="000C4EF7">
        <w:rPr>
          <w:rFonts w:eastAsia="Times New Roman"/>
          <w:lang w:eastAsia="en-GB"/>
        </w:rPr>
        <w:t>.</w:t>
      </w:r>
    </w:p>
    <w:p w14:paraId="1351CD68" w14:textId="77777777" w:rsidR="000C4EF7" w:rsidRPr="000C4EF7" w:rsidRDefault="000C4EF7" w:rsidP="00B23FF8">
      <w:pPr>
        <w:snapToGrid w:val="0"/>
        <w:spacing w:afterLines="60" w:after="144" w:line="240" w:lineRule="auto"/>
        <w:ind w:hanging="480"/>
        <w:rPr>
          <w:rFonts w:eastAsia="Times New Roman"/>
          <w:lang w:eastAsia="en-GB"/>
        </w:rPr>
      </w:pPr>
      <w:r w:rsidRPr="00D40D5C">
        <w:rPr>
          <w:rFonts w:eastAsia="Times New Roman"/>
          <w:lang w:eastAsia="en-GB"/>
        </w:rPr>
        <w:t xml:space="preserve">Janout, Vaclav, Wiley A. Schell, Damien Thévenin, Yuming Yu, John R. Perfect, and Steven L. Regen. 2015. ‘Taming Amphotericin B’. </w:t>
      </w:r>
      <w:r w:rsidRPr="000C4EF7">
        <w:rPr>
          <w:rFonts w:eastAsia="Times New Roman"/>
          <w:i/>
          <w:iCs/>
          <w:lang w:eastAsia="en-GB"/>
        </w:rPr>
        <w:t>Bioconjugate Chemistry</w:t>
      </w:r>
      <w:r w:rsidRPr="000C4EF7">
        <w:rPr>
          <w:rFonts w:eastAsia="Times New Roman"/>
          <w:lang w:eastAsia="en-GB"/>
        </w:rPr>
        <w:t xml:space="preserve"> 26 (10): 2021–24. </w:t>
      </w:r>
      <w:hyperlink r:id="rId184" w:history="1">
        <w:r w:rsidRPr="000C4EF7">
          <w:rPr>
            <w:rFonts w:eastAsia="Times New Roman"/>
            <w:color w:val="0000FF"/>
            <w:u w:val="single"/>
            <w:lang w:eastAsia="en-GB"/>
          </w:rPr>
          <w:t>https://doi.org/10.10</w:t>
        </w:r>
        <w:r w:rsidRPr="00D40D5C">
          <w:rPr>
            <w:rFonts w:eastAsia="Times New Roman"/>
            <w:color w:val="0000FF"/>
            <w:u w:val="single"/>
            <w:lang w:eastAsia="en-GB"/>
          </w:rPr>
          <w:t>21/acs.bioconjchem.5b00463</w:t>
        </w:r>
      </w:hyperlink>
      <w:r w:rsidRPr="000C4EF7">
        <w:rPr>
          <w:rFonts w:eastAsia="Times New Roman"/>
          <w:lang w:eastAsia="en-GB"/>
        </w:rPr>
        <w:t>.</w:t>
      </w:r>
    </w:p>
    <w:p w14:paraId="4441D763" w14:textId="77777777" w:rsidR="000C4EF7" w:rsidRPr="000C4EF7" w:rsidRDefault="000C4EF7" w:rsidP="00B23FF8">
      <w:pPr>
        <w:snapToGrid w:val="0"/>
        <w:spacing w:afterLines="60" w:after="144" w:line="240" w:lineRule="auto"/>
        <w:ind w:hanging="480"/>
        <w:rPr>
          <w:rFonts w:eastAsia="Times New Roman"/>
          <w:lang w:eastAsia="en-GB"/>
        </w:rPr>
      </w:pPr>
      <w:r w:rsidRPr="00D40D5C">
        <w:rPr>
          <w:rFonts w:eastAsia="Times New Roman"/>
          <w:lang w:eastAsia="en-GB"/>
        </w:rPr>
        <w:t>Jelley-Gibbs, D. M., N. M. Lepak, M. Yen, and S. L. Swain. 2000. ‘Two Distinct Stages in the Transition from Naive CD4 T Cells to Effectors, Early Antigen-Dependent and Late Cytokine-</w:t>
      </w:r>
      <w:r w:rsidRPr="000C4EF7">
        <w:rPr>
          <w:rFonts w:eastAsia="Times New Roman"/>
          <w:lang w:eastAsia="en-GB"/>
        </w:rPr>
        <w:t xml:space="preserve">Driven Expansion and Differentiation’. </w:t>
      </w:r>
      <w:r w:rsidRPr="000C4EF7">
        <w:rPr>
          <w:rFonts w:eastAsia="Times New Roman"/>
          <w:i/>
          <w:iCs/>
          <w:lang w:eastAsia="en-GB"/>
        </w:rPr>
        <w:t>Journal of Immunology (Baltimore, Md.: 1950)</w:t>
      </w:r>
      <w:r w:rsidRPr="000C4EF7">
        <w:rPr>
          <w:rFonts w:eastAsia="Times New Roman"/>
          <w:lang w:eastAsia="en-GB"/>
        </w:rPr>
        <w:t xml:space="preserve"> 165 (9): 5017–26.</w:t>
      </w:r>
    </w:p>
    <w:p w14:paraId="2CF0CB2E" w14:textId="77777777" w:rsidR="000C4EF7" w:rsidRPr="000C4EF7" w:rsidRDefault="000C4EF7" w:rsidP="00B23FF8">
      <w:pPr>
        <w:snapToGrid w:val="0"/>
        <w:spacing w:afterLines="60" w:after="144" w:line="240" w:lineRule="auto"/>
        <w:ind w:hanging="480"/>
        <w:rPr>
          <w:rFonts w:eastAsia="Times New Roman"/>
          <w:lang w:eastAsia="en-GB"/>
        </w:rPr>
      </w:pPr>
      <w:r w:rsidRPr="000C4EF7">
        <w:rPr>
          <w:rFonts w:eastAsia="Times New Roman"/>
          <w:lang w:eastAsia="en-GB"/>
        </w:rPr>
        <w:t xml:space="preserve">José, Ricardo J., Andrew E. Williams, Paul F. Mercer, Michal G. Sulikowski, Jeremy S. Brown, and Rachel C. Chambers. 2015. ‘Regulation of Neutrophilic Inflammation by Proteinase-Activated Receptor 1 during Bacterial Pulmonary Infection’. </w:t>
      </w:r>
      <w:r w:rsidRPr="000C4EF7">
        <w:rPr>
          <w:rFonts w:eastAsia="Times New Roman"/>
          <w:i/>
          <w:iCs/>
          <w:lang w:eastAsia="en-GB"/>
        </w:rPr>
        <w:t>The Journal of Immunology Author Choice</w:t>
      </w:r>
      <w:r w:rsidRPr="000C4EF7">
        <w:rPr>
          <w:rFonts w:eastAsia="Times New Roman"/>
          <w:lang w:eastAsia="en-GB"/>
        </w:rPr>
        <w:t xml:space="preserve"> 194 (12): 6024–34. </w:t>
      </w:r>
      <w:hyperlink r:id="rId185" w:history="1">
        <w:r w:rsidRPr="000C4EF7">
          <w:rPr>
            <w:rFonts w:eastAsia="Times New Roman"/>
            <w:color w:val="0000FF"/>
            <w:u w:val="single"/>
            <w:lang w:eastAsia="en-GB"/>
          </w:rPr>
          <w:t>https://doi.org/10.4049/jimmunol.1500124</w:t>
        </w:r>
      </w:hyperlink>
      <w:r w:rsidRPr="000C4EF7">
        <w:rPr>
          <w:rFonts w:eastAsia="Times New Roman"/>
          <w:lang w:eastAsia="en-GB"/>
        </w:rPr>
        <w:t>.</w:t>
      </w:r>
    </w:p>
    <w:p w14:paraId="2CAF71DD" w14:textId="77777777" w:rsidR="000C4EF7" w:rsidRPr="000C4EF7" w:rsidRDefault="000C4EF7" w:rsidP="00B23FF8">
      <w:pPr>
        <w:snapToGrid w:val="0"/>
        <w:spacing w:afterLines="60" w:after="144" w:line="240" w:lineRule="auto"/>
        <w:ind w:hanging="480"/>
        <w:rPr>
          <w:rFonts w:eastAsia="Times New Roman"/>
          <w:lang w:eastAsia="en-GB"/>
        </w:rPr>
      </w:pPr>
      <w:r w:rsidRPr="00D40D5C">
        <w:rPr>
          <w:rFonts w:eastAsia="Times New Roman"/>
          <w:lang w:eastAsia="en-GB"/>
        </w:rPr>
        <w:t>Joshi, Trupti,</w:t>
      </w:r>
      <w:r w:rsidRPr="000C4EF7">
        <w:rPr>
          <w:rFonts w:eastAsia="Times New Roman"/>
          <w:lang w:eastAsia="en-GB"/>
        </w:rPr>
        <w:t xml:space="preserve"> Susana Rodriguez, Vladimir Perovic, Ian A. Cockburn, and Simona Stäger. 2009. ‘B7-H1 Blockade Increases Survival of Dysfunctional CD8+ T Cells and Confers Protection against Leishmania Donovani Infections’. </w:t>
      </w:r>
      <w:r w:rsidRPr="000C4EF7">
        <w:rPr>
          <w:rFonts w:eastAsia="Times New Roman"/>
          <w:i/>
          <w:iCs/>
          <w:lang w:eastAsia="en-GB"/>
        </w:rPr>
        <w:t>PLOS Pathogens</w:t>
      </w:r>
      <w:r w:rsidRPr="000C4EF7">
        <w:rPr>
          <w:rFonts w:eastAsia="Times New Roman"/>
          <w:lang w:eastAsia="en-GB"/>
        </w:rPr>
        <w:t xml:space="preserve"> 5 (5). </w:t>
      </w:r>
      <w:hyperlink r:id="rId186" w:history="1">
        <w:r w:rsidRPr="000C4EF7">
          <w:rPr>
            <w:rFonts w:eastAsia="Times New Roman"/>
            <w:color w:val="0000FF"/>
            <w:u w:val="single"/>
            <w:lang w:eastAsia="en-GB"/>
          </w:rPr>
          <w:t>https://do</w:t>
        </w:r>
        <w:r w:rsidRPr="00D40D5C">
          <w:rPr>
            <w:rFonts w:eastAsia="Times New Roman"/>
            <w:color w:val="0000FF"/>
            <w:u w:val="single"/>
            <w:lang w:eastAsia="en-GB"/>
          </w:rPr>
          <w:t>i.org/10.1371/journal.ppat.1000431</w:t>
        </w:r>
      </w:hyperlink>
      <w:r w:rsidRPr="000C4EF7">
        <w:rPr>
          <w:rFonts w:eastAsia="Times New Roman"/>
          <w:lang w:eastAsia="en-GB"/>
        </w:rPr>
        <w:t>.</w:t>
      </w:r>
    </w:p>
    <w:p w14:paraId="61AFF011" w14:textId="77777777" w:rsidR="000C4EF7" w:rsidRPr="000C4EF7" w:rsidRDefault="000C4EF7" w:rsidP="00B23FF8">
      <w:pPr>
        <w:snapToGrid w:val="0"/>
        <w:spacing w:afterLines="60" w:after="144" w:line="240" w:lineRule="auto"/>
        <w:ind w:hanging="480"/>
        <w:rPr>
          <w:rFonts w:eastAsia="Times New Roman"/>
          <w:lang w:eastAsia="en-GB"/>
        </w:rPr>
      </w:pPr>
      <w:r w:rsidRPr="00D40D5C">
        <w:rPr>
          <w:rFonts w:eastAsia="Times New Roman"/>
          <w:lang w:eastAsia="en-GB"/>
        </w:rPr>
        <w:t>Kagan, Leonid, Pavel Gershkovich, Kishor M. Wasan, and Donald E. Mager. 2011. ‘Physiologically Based Pharmacokinetic Model of Amphotericin B Disposition in Rats Following Admi</w:t>
      </w:r>
      <w:r w:rsidRPr="000C4EF7">
        <w:rPr>
          <w:rFonts w:eastAsia="Times New Roman"/>
          <w:lang w:eastAsia="en-GB"/>
        </w:rPr>
        <w:t xml:space="preserve">nistration of Deoxycholate Formulation (Fungizone®): Pooled Analysis of Published Data’. </w:t>
      </w:r>
      <w:r w:rsidRPr="000C4EF7">
        <w:rPr>
          <w:rFonts w:eastAsia="Times New Roman"/>
          <w:i/>
          <w:iCs/>
          <w:lang w:eastAsia="en-GB"/>
        </w:rPr>
        <w:t>The AAPS Journal</w:t>
      </w:r>
      <w:r w:rsidRPr="000C4EF7">
        <w:rPr>
          <w:rFonts w:eastAsia="Times New Roman"/>
          <w:lang w:eastAsia="en-GB"/>
        </w:rPr>
        <w:t xml:space="preserve"> 13 (2). </w:t>
      </w:r>
      <w:hyperlink r:id="rId187" w:history="1">
        <w:r w:rsidRPr="000C4EF7">
          <w:rPr>
            <w:rFonts w:eastAsia="Times New Roman"/>
            <w:color w:val="0000FF"/>
            <w:u w:val="single"/>
            <w:lang w:eastAsia="en-GB"/>
          </w:rPr>
          <w:t>https://doi.org/10.1208/s12248-011-9267-8</w:t>
        </w:r>
      </w:hyperlink>
      <w:r w:rsidRPr="000C4EF7">
        <w:rPr>
          <w:rFonts w:eastAsia="Times New Roman"/>
          <w:lang w:eastAsia="en-GB"/>
        </w:rPr>
        <w:t>.</w:t>
      </w:r>
    </w:p>
    <w:p w14:paraId="3599B2A3" w14:textId="77777777" w:rsidR="000C4EF7" w:rsidRPr="000C4EF7" w:rsidRDefault="000C4EF7" w:rsidP="00B23FF8">
      <w:pPr>
        <w:snapToGrid w:val="0"/>
        <w:spacing w:afterLines="60" w:after="144" w:line="240" w:lineRule="auto"/>
        <w:ind w:hanging="480"/>
        <w:rPr>
          <w:rFonts w:eastAsia="Times New Roman"/>
          <w:lang w:eastAsia="en-GB"/>
        </w:rPr>
      </w:pPr>
      <w:r w:rsidRPr="00D40D5C">
        <w:rPr>
          <w:rFonts w:eastAsia="Times New Roman"/>
          <w:lang w:eastAsia="en-GB"/>
        </w:rPr>
        <w:t xml:space="preserve">Kagan, Leonid, Pavel Gershkovich, Kishor </w:t>
      </w:r>
      <w:r w:rsidRPr="000C4EF7">
        <w:rPr>
          <w:rFonts w:eastAsia="Times New Roman"/>
          <w:lang w:eastAsia="en-GB"/>
        </w:rPr>
        <w:t xml:space="preserve">M. Wasan, and Donald E. Mager. 2014. ‘Dual Physiologically Based Pharmacokinetic Model of Liposomal and Nonliposomal Amphotericin B Disposition’. </w:t>
      </w:r>
      <w:r w:rsidRPr="000C4EF7">
        <w:rPr>
          <w:rFonts w:eastAsia="Times New Roman"/>
          <w:i/>
          <w:iCs/>
          <w:lang w:eastAsia="en-GB"/>
        </w:rPr>
        <w:t>Pharmaceutical Research</w:t>
      </w:r>
      <w:r w:rsidRPr="000C4EF7">
        <w:rPr>
          <w:rFonts w:eastAsia="Times New Roman"/>
          <w:lang w:eastAsia="en-GB"/>
        </w:rPr>
        <w:t xml:space="preserve"> 31 (1): 35–45. </w:t>
      </w:r>
      <w:hyperlink r:id="rId188" w:history="1">
        <w:r w:rsidRPr="000C4EF7">
          <w:rPr>
            <w:rFonts w:eastAsia="Times New Roman"/>
            <w:color w:val="0000FF"/>
            <w:u w:val="single"/>
            <w:lang w:eastAsia="en-GB"/>
          </w:rPr>
          <w:t>https://doi.org/10.1007/s11095-013-1127-z</w:t>
        </w:r>
      </w:hyperlink>
      <w:r w:rsidRPr="000C4EF7">
        <w:rPr>
          <w:rFonts w:eastAsia="Times New Roman"/>
          <w:lang w:eastAsia="en-GB"/>
        </w:rPr>
        <w:t>.</w:t>
      </w:r>
    </w:p>
    <w:p w14:paraId="6466F7B8" w14:textId="77777777" w:rsidR="000C4EF7" w:rsidRPr="000C4EF7" w:rsidRDefault="000C4EF7" w:rsidP="00B23FF8">
      <w:pPr>
        <w:snapToGrid w:val="0"/>
        <w:spacing w:afterLines="60" w:after="144" w:line="240" w:lineRule="auto"/>
        <w:ind w:hanging="480"/>
        <w:rPr>
          <w:rFonts w:eastAsia="Times New Roman"/>
          <w:lang w:eastAsia="en-GB"/>
        </w:rPr>
      </w:pPr>
      <w:r w:rsidRPr="00D40D5C">
        <w:rPr>
          <w:rFonts w:eastAsia="Times New Roman"/>
          <w:lang w:eastAsia="en-GB"/>
        </w:rPr>
        <w:t xml:space="preserve">Kamps, Jan A. A. M., and Gerrit L. Scherphof. 2004. ‘16 - Biodistribution and Uptake of Liposomes In Vivo’. In </w:t>
      </w:r>
      <w:r w:rsidRPr="000C4EF7">
        <w:rPr>
          <w:rFonts w:eastAsia="Times New Roman"/>
          <w:i/>
          <w:iCs/>
          <w:lang w:eastAsia="en-GB"/>
        </w:rPr>
        <w:t>Methods in Enzymology</w:t>
      </w:r>
      <w:r w:rsidRPr="000C4EF7">
        <w:rPr>
          <w:rFonts w:eastAsia="Times New Roman"/>
          <w:lang w:eastAsia="en-GB"/>
        </w:rPr>
        <w:t xml:space="preserve">, edited by Nejat Düzgüneş, 387:257–66. Liposomes, Part D. Academic Press. </w:t>
      </w:r>
      <w:hyperlink r:id="rId189" w:history="1">
        <w:r w:rsidRPr="000C4EF7">
          <w:rPr>
            <w:rFonts w:eastAsia="Times New Roman"/>
            <w:color w:val="0000FF"/>
            <w:u w:val="single"/>
            <w:lang w:eastAsia="en-GB"/>
          </w:rPr>
          <w:t>ht</w:t>
        </w:r>
        <w:r w:rsidRPr="00D40D5C">
          <w:rPr>
            <w:rFonts w:eastAsia="Times New Roman"/>
            <w:color w:val="0000FF"/>
            <w:u w:val="single"/>
            <w:lang w:eastAsia="en-GB"/>
          </w:rPr>
          <w:t>tps://doi.org/10.1016/S0076-6879(04)87016-2</w:t>
        </w:r>
      </w:hyperlink>
      <w:r w:rsidRPr="000C4EF7">
        <w:rPr>
          <w:rFonts w:eastAsia="Times New Roman"/>
          <w:lang w:eastAsia="en-GB"/>
        </w:rPr>
        <w:t>.</w:t>
      </w:r>
    </w:p>
    <w:p w14:paraId="5D3A4C3F" w14:textId="77777777" w:rsidR="000C4EF7" w:rsidRPr="000C4EF7" w:rsidRDefault="000C4EF7" w:rsidP="00B23FF8">
      <w:pPr>
        <w:snapToGrid w:val="0"/>
        <w:spacing w:afterLines="60" w:after="144" w:line="240" w:lineRule="auto"/>
        <w:ind w:hanging="480"/>
        <w:rPr>
          <w:rFonts w:eastAsia="Times New Roman"/>
          <w:lang w:eastAsia="en-GB"/>
        </w:rPr>
      </w:pPr>
      <w:r w:rsidRPr="00D40D5C">
        <w:rPr>
          <w:rFonts w:eastAsia="Times New Roman"/>
          <w:lang w:eastAsia="en-GB"/>
        </w:rPr>
        <w:t xml:space="preserve">Karmakar, Subir, Siddhartha Kumar Bhaumik, Joydeep Paul, and Tripti De. 2012. ‘TLR4 and NKT Cell Synergy in Immunotherapy against Visceral Leishmaniasis’. </w:t>
      </w:r>
      <w:r w:rsidRPr="000C4EF7">
        <w:rPr>
          <w:rFonts w:eastAsia="Times New Roman"/>
          <w:i/>
          <w:iCs/>
          <w:lang w:eastAsia="en-GB"/>
        </w:rPr>
        <w:t>PLOS Pathogens</w:t>
      </w:r>
      <w:r w:rsidRPr="000C4EF7">
        <w:rPr>
          <w:rFonts w:eastAsia="Times New Roman"/>
          <w:lang w:eastAsia="en-GB"/>
        </w:rPr>
        <w:t xml:space="preserve"> 8 (4). </w:t>
      </w:r>
      <w:hyperlink r:id="rId190" w:history="1">
        <w:r w:rsidRPr="000C4EF7">
          <w:rPr>
            <w:rFonts w:eastAsia="Times New Roman"/>
            <w:color w:val="0000FF"/>
            <w:u w:val="single"/>
            <w:lang w:eastAsia="en-GB"/>
          </w:rPr>
          <w:t>https://doi.org/10.1371/journal.ppat.1002646</w:t>
        </w:r>
      </w:hyperlink>
      <w:r w:rsidRPr="000C4EF7">
        <w:rPr>
          <w:rFonts w:eastAsia="Times New Roman"/>
          <w:lang w:eastAsia="en-GB"/>
        </w:rPr>
        <w:t>.</w:t>
      </w:r>
    </w:p>
    <w:p w14:paraId="208BF723" w14:textId="77777777" w:rsidR="000C4EF7" w:rsidRPr="000C4EF7" w:rsidRDefault="000C4EF7" w:rsidP="00B23FF8">
      <w:pPr>
        <w:snapToGrid w:val="0"/>
        <w:spacing w:afterLines="60" w:after="144" w:line="240" w:lineRule="auto"/>
        <w:ind w:hanging="480"/>
        <w:rPr>
          <w:rFonts w:eastAsia="Times New Roman"/>
          <w:lang w:eastAsia="en-GB"/>
        </w:rPr>
      </w:pPr>
      <w:r w:rsidRPr="00D40D5C">
        <w:rPr>
          <w:rFonts w:eastAsia="Times New Roman"/>
          <w:lang w:eastAsia="en-GB"/>
        </w:rPr>
        <w:t>Kaushal, Himanshu, Rachel Bras-Gonçalves, Narender Singh Negi, Jean-Loup Lemesre, Gérard Papierok, and Poonam Salotra. 2014. ‘Role of CD8+</w:t>
      </w:r>
      <w:r w:rsidRPr="000C4EF7">
        <w:rPr>
          <w:rFonts w:eastAsia="Times New Roman"/>
          <w:lang w:eastAsia="en-GB"/>
        </w:rPr>
        <w:t xml:space="preserve"> T Cells in Protection against Leishmania Donovani Infection in Healed Visceral Leishmaniasis Individuals’. </w:t>
      </w:r>
      <w:r w:rsidRPr="000C4EF7">
        <w:rPr>
          <w:rFonts w:eastAsia="Times New Roman"/>
          <w:i/>
          <w:iCs/>
          <w:lang w:eastAsia="en-GB"/>
        </w:rPr>
        <w:t>BMC Infectious Diseases</w:t>
      </w:r>
      <w:r w:rsidRPr="000C4EF7">
        <w:rPr>
          <w:rFonts w:eastAsia="Times New Roman"/>
          <w:lang w:eastAsia="en-GB"/>
        </w:rPr>
        <w:t xml:space="preserve"> 14 (December). </w:t>
      </w:r>
      <w:hyperlink r:id="rId191" w:history="1">
        <w:r w:rsidRPr="000C4EF7">
          <w:rPr>
            <w:rFonts w:eastAsia="Times New Roman"/>
            <w:color w:val="0000FF"/>
            <w:u w:val="single"/>
            <w:lang w:eastAsia="en-GB"/>
          </w:rPr>
          <w:t>https://doi.org/10.1186/s12879-014-0653-6</w:t>
        </w:r>
      </w:hyperlink>
      <w:r w:rsidRPr="000C4EF7">
        <w:rPr>
          <w:rFonts w:eastAsia="Times New Roman"/>
          <w:lang w:eastAsia="en-GB"/>
        </w:rPr>
        <w:t>.</w:t>
      </w:r>
    </w:p>
    <w:p w14:paraId="3494C2EC" w14:textId="77777777" w:rsidR="000C4EF7" w:rsidRPr="000C4EF7" w:rsidRDefault="000C4EF7" w:rsidP="00B23FF8">
      <w:pPr>
        <w:snapToGrid w:val="0"/>
        <w:spacing w:afterLines="60" w:after="144" w:line="240" w:lineRule="auto"/>
        <w:ind w:hanging="480"/>
        <w:rPr>
          <w:rFonts w:eastAsia="Times New Roman"/>
          <w:lang w:eastAsia="en-GB"/>
        </w:rPr>
      </w:pPr>
      <w:r w:rsidRPr="00D40D5C">
        <w:rPr>
          <w:rFonts w:eastAsia="Times New Roman"/>
          <w:lang w:eastAsia="en-GB"/>
        </w:rPr>
        <w:t>Kaye, P.</w:t>
      </w:r>
      <w:r w:rsidRPr="000C4EF7">
        <w:rPr>
          <w:rFonts w:eastAsia="Times New Roman"/>
          <w:lang w:eastAsia="en-GB"/>
        </w:rPr>
        <w:t xml:space="preserve"> M., A. Cooke, T. Lund, M. Wattie, and J. M. Blackwell. 1992. ‘Altered Course of Visceral Leishmaniasis in Mice Expressing Transgenic I-E Molecules’. </w:t>
      </w:r>
      <w:r w:rsidRPr="000C4EF7">
        <w:rPr>
          <w:rFonts w:eastAsia="Times New Roman"/>
          <w:i/>
          <w:iCs/>
          <w:lang w:eastAsia="en-GB"/>
        </w:rPr>
        <w:t>European Journal of Immunology</w:t>
      </w:r>
      <w:r w:rsidRPr="000C4EF7">
        <w:rPr>
          <w:rFonts w:eastAsia="Times New Roman"/>
          <w:lang w:eastAsia="en-GB"/>
        </w:rPr>
        <w:t xml:space="preserve"> 22 (2): 357–64. </w:t>
      </w:r>
      <w:hyperlink r:id="rId192" w:history="1">
        <w:r w:rsidRPr="000C4EF7">
          <w:rPr>
            <w:rFonts w:eastAsia="Times New Roman"/>
            <w:color w:val="0000FF"/>
            <w:u w:val="single"/>
            <w:lang w:eastAsia="en-GB"/>
          </w:rPr>
          <w:t>https://doi.org/1</w:t>
        </w:r>
        <w:r w:rsidRPr="00D40D5C">
          <w:rPr>
            <w:rFonts w:eastAsia="Times New Roman"/>
            <w:color w:val="0000FF"/>
            <w:u w:val="single"/>
            <w:lang w:eastAsia="en-GB"/>
          </w:rPr>
          <w:t>0.1002/eji.1830220211</w:t>
        </w:r>
      </w:hyperlink>
      <w:r w:rsidRPr="000C4EF7">
        <w:rPr>
          <w:rFonts w:eastAsia="Times New Roman"/>
          <w:lang w:eastAsia="en-GB"/>
        </w:rPr>
        <w:t>.</w:t>
      </w:r>
    </w:p>
    <w:p w14:paraId="4A069CF8" w14:textId="77777777" w:rsidR="000C4EF7" w:rsidRPr="000C4EF7" w:rsidRDefault="000C4EF7" w:rsidP="00B23FF8">
      <w:pPr>
        <w:snapToGrid w:val="0"/>
        <w:spacing w:afterLines="60" w:after="144" w:line="240" w:lineRule="auto"/>
        <w:ind w:hanging="480"/>
        <w:rPr>
          <w:rFonts w:eastAsia="Times New Roman"/>
          <w:lang w:eastAsia="en-GB"/>
        </w:rPr>
      </w:pPr>
      <w:r w:rsidRPr="00D40D5C">
        <w:rPr>
          <w:rFonts w:eastAsia="Times New Roman"/>
          <w:lang w:eastAsia="en-GB"/>
        </w:rPr>
        <w:t xml:space="preserve">Kaye, Paul M., and Lynette Beattie. 2016. ‘Lessons from Other Diseases: Granulomatous Inflammation in Leishmaniasis’. </w:t>
      </w:r>
      <w:r w:rsidRPr="000C4EF7">
        <w:rPr>
          <w:rFonts w:eastAsia="Times New Roman"/>
          <w:i/>
          <w:iCs/>
          <w:lang w:eastAsia="en-GB"/>
        </w:rPr>
        <w:t>Seminars in Immunopathology</w:t>
      </w:r>
      <w:r w:rsidRPr="000C4EF7">
        <w:rPr>
          <w:rFonts w:eastAsia="Times New Roman"/>
          <w:lang w:eastAsia="en-GB"/>
        </w:rPr>
        <w:t xml:space="preserve"> 38: 249–60. </w:t>
      </w:r>
      <w:hyperlink r:id="rId193" w:history="1">
        <w:r w:rsidRPr="000C4EF7">
          <w:rPr>
            <w:rFonts w:eastAsia="Times New Roman"/>
            <w:color w:val="0000FF"/>
            <w:u w:val="single"/>
            <w:lang w:eastAsia="en-GB"/>
          </w:rPr>
          <w:t>https://doi.org/1</w:t>
        </w:r>
        <w:r w:rsidRPr="00D40D5C">
          <w:rPr>
            <w:rFonts w:eastAsia="Times New Roman"/>
            <w:color w:val="0000FF"/>
            <w:u w:val="single"/>
            <w:lang w:eastAsia="en-GB"/>
          </w:rPr>
          <w:t>0.1007/s00281-015-0548-7</w:t>
        </w:r>
      </w:hyperlink>
      <w:r w:rsidRPr="000C4EF7">
        <w:rPr>
          <w:rFonts w:eastAsia="Times New Roman"/>
          <w:lang w:eastAsia="en-GB"/>
        </w:rPr>
        <w:t>.</w:t>
      </w:r>
    </w:p>
    <w:p w14:paraId="7AC0A9A3" w14:textId="77777777" w:rsidR="000C4EF7" w:rsidRPr="000C4EF7" w:rsidRDefault="000C4EF7" w:rsidP="00B23FF8">
      <w:pPr>
        <w:snapToGrid w:val="0"/>
        <w:spacing w:afterLines="60" w:after="144" w:line="240" w:lineRule="auto"/>
        <w:ind w:hanging="480"/>
        <w:rPr>
          <w:rFonts w:eastAsia="Times New Roman"/>
          <w:lang w:eastAsia="en-GB"/>
        </w:rPr>
      </w:pPr>
      <w:r w:rsidRPr="00D40D5C">
        <w:rPr>
          <w:rFonts w:eastAsia="Times New Roman"/>
          <w:lang w:eastAsia="en-GB"/>
        </w:rPr>
        <w:lastRenderedPageBreak/>
        <w:t xml:space="preserve">Kaye, Paul M., Mattias Svensson, Manabu Ato, Asher Maroof, Rosalind Polley, Simona Stager, Soombul Zubairi, and Christian R. Engwerda. 2004. ‘The Immunopathology of Experimental Visceral Leishmaniasis’. </w:t>
      </w:r>
      <w:r w:rsidRPr="000C4EF7">
        <w:rPr>
          <w:rFonts w:eastAsia="Times New Roman"/>
          <w:i/>
          <w:iCs/>
          <w:lang w:eastAsia="en-GB"/>
        </w:rPr>
        <w:t>Immunological Reviews</w:t>
      </w:r>
      <w:r w:rsidRPr="000C4EF7">
        <w:rPr>
          <w:rFonts w:eastAsia="Times New Roman"/>
          <w:lang w:eastAsia="en-GB"/>
        </w:rPr>
        <w:t xml:space="preserve"> 201 (October): 239–53. </w:t>
      </w:r>
      <w:hyperlink r:id="rId194" w:history="1">
        <w:r w:rsidRPr="000C4EF7">
          <w:rPr>
            <w:rFonts w:eastAsia="Times New Roman"/>
            <w:color w:val="0000FF"/>
            <w:u w:val="single"/>
            <w:lang w:eastAsia="en-GB"/>
          </w:rPr>
          <w:t>https://doi.org/10.1111/j.0105-2896.2004.00188.x</w:t>
        </w:r>
      </w:hyperlink>
      <w:r w:rsidRPr="000C4EF7">
        <w:rPr>
          <w:rFonts w:eastAsia="Times New Roman"/>
          <w:lang w:eastAsia="en-GB"/>
        </w:rPr>
        <w:t>.</w:t>
      </w:r>
    </w:p>
    <w:p w14:paraId="4C38C05C" w14:textId="77777777" w:rsidR="000C4EF7" w:rsidRPr="000C4EF7" w:rsidRDefault="000C4EF7" w:rsidP="00B23FF8">
      <w:pPr>
        <w:snapToGrid w:val="0"/>
        <w:spacing w:afterLines="60" w:after="144" w:line="240" w:lineRule="auto"/>
        <w:ind w:hanging="480"/>
        <w:rPr>
          <w:rFonts w:eastAsia="Times New Roman"/>
          <w:lang w:eastAsia="en-GB"/>
        </w:rPr>
      </w:pPr>
      <w:r w:rsidRPr="00D40D5C">
        <w:rPr>
          <w:rFonts w:eastAsia="Times New Roman"/>
          <w:lang w:eastAsia="en-GB"/>
        </w:rPr>
        <w:t xml:space="preserve">Kaye, Paul, and Phillip Scott. 2011. ‘Leishmaniasis: Complexity at the Host-Pathogen Interface’. </w:t>
      </w:r>
      <w:r w:rsidRPr="000C4EF7">
        <w:rPr>
          <w:rFonts w:eastAsia="Times New Roman"/>
          <w:i/>
          <w:iCs/>
          <w:lang w:eastAsia="en-GB"/>
        </w:rPr>
        <w:t>Nature Reviews. Microbiology</w:t>
      </w:r>
      <w:r w:rsidRPr="000C4EF7">
        <w:rPr>
          <w:rFonts w:eastAsia="Times New Roman"/>
          <w:lang w:eastAsia="en-GB"/>
        </w:rPr>
        <w:t xml:space="preserve"> 9 (8): 604–15. </w:t>
      </w:r>
      <w:hyperlink r:id="rId195" w:history="1">
        <w:r w:rsidRPr="000C4EF7">
          <w:rPr>
            <w:rFonts w:eastAsia="Times New Roman"/>
            <w:color w:val="0000FF"/>
            <w:u w:val="single"/>
            <w:lang w:eastAsia="en-GB"/>
          </w:rPr>
          <w:t>https://doi.org/10.1038/nrmicro2608</w:t>
        </w:r>
      </w:hyperlink>
      <w:r w:rsidRPr="000C4EF7">
        <w:rPr>
          <w:rFonts w:eastAsia="Times New Roman"/>
          <w:lang w:eastAsia="en-GB"/>
        </w:rPr>
        <w:t>.</w:t>
      </w:r>
    </w:p>
    <w:p w14:paraId="383863DC" w14:textId="77777777" w:rsidR="000C4EF7" w:rsidRPr="000C4EF7" w:rsidRDefault="000C4EF7" w:rsidP="00B23FF8">
      <w:pPr>
        <w:snapToGrid w:val="0"/>
        <w:spacing w:afterLines="60" w:after="144" w:line="240" w:lineRule="auto"/>
        <w:ind w:hanging="480"/>
        <w:rPr>
          <w:rFonts w:eastAsia="Times New Roman"/>
          <w:lang w:eastAsia="en-GB"/>
        </w:rPr>
      </w:pPr>
      <w:r w:rsidRPr="00D40D5C">
        <w:rPr>
          <w:rFonts w:eastAsia="Times New Roman"/>
          <w:lang w:eastAsia="en-GB"/>
        </w:rPr>
        <w:t>Kim, Kyoung Ae, Sabrina L Spencer, John G Albeck, John M Burke, Peter K Sorger, Suzanne Gaudet, and Do Hyun Kim. 2010. ‘Systematic Calib</w:t>
      </w:r>
      <w:r w:rsidRPr="000C4EF7">
        <w:rPr>
          <w:rFonts w:eastAsia="Times New Roman"/>
          <w:lang w:eastAsia="en-GB"/>
        </w:rPr>
        <w:t xml:space="preserve">ration of a Cell Signaling Network Model’. </w:t>
      </w:r>
      <w:r w:rsidRPr="000C4EF7">
        <w:rPr>
          <w:rFonts w:eastAsia="Times New Roman"/>
          <w:i/>
          <w:iCs/>
          <w:lang w:eastAsia="en-GB"/>
        </w:rPr>
        <w:t>BMC Bioinformatics</w:t>
      </w:r>
      <w:r w:rsidRPr="000C4EF7">
        <w:rPr>
          <w:rFonts w:eastAsia="Times New Roman"/>
          <w:lang w:eastAsia="en-GB"/>
        </w:rPr>
        <w:t xml:space="preserve"> 11 (April): 202. </w:t>
      </w:r>
      <w:hyperlink r:id="rId196" w:history="1">
        <w:r w:rsidRPr="000C4EF7">
          <w:rPr>
            <w:rFonts w:eastAsia="Times New Roman"/>
            <w:color w:val="0000FF"/>
            <w:u w:val="single"/>
            <w:lang w:eastAsia="en-GB"/>
          </w:rPr>
          <w:t>https://doi.org/10.1186/1471-2105-11-202</w:t>
        </w:r>
      </w:hyperlink>
      <w:r w:rsidRPr="000C4EF7">
        <w:rPr>
          <w:rFonts w:eastAsia="Times New Roman"/>
          <w:lang w:eastAsia="en-GB"/>
        </w:rPr>
        <w:t>.</w:t>
      </w:r>
    </w:p>
    <w:p w14:paraId="665BD1FA" w14:textId="77777777" w:rsidR="000C4EF7" w:rsidRPr="000C4EF7" w:rsidRDefault="000C4EF7" w:rsidP="00B23FF8">
      <w:pPr>
        <w:snapToGrid w:val="0"/>
        <w:spacing w:afterLines="60" w:after="144" w:line="240" w:lineRule="auto"/>
        <w:ind w:hanging="480"/>
        <w:rPr>
          <w:rFonts w:eastAsia="Times New Roman"/>
          <w:lang w:eastAsia="en-GB"/>
        </w:rPr>
      </w:pPr>
      <w:r w:rsidRPr="00D40D5C">
        <w:rPr>
          <w:rFonts w:eastAsia="Times New Roman"/>
          <w:lang w:eastAsia="en-GB"/>
        </w:rPr>
        <w:t>Kima, P. E., N. H. Ruddle, and D. McMahon-Pratt. 1997. ‘Presentation via the C</w:t>
      </w:r>
      <w:r w:rsidRPr="000C4EF7">
        <w:rPr>
          <w:rFonts w:eastAsia="Times New Roman"/>
          <w:lang w:eastAsia="en-GB"/>
        </w:rPr>
        <w:t xml:space="preserve">lass I Pathway by Leishmania Amazonensis-Infected Macrophages of an Endogenous Leishmanial Antigen to CD8+ T Cells’. </w:t>
      </w:r>
      <w:r w:rsidRPr="000C4EF7">
        <w:rPr>
          <w:rFonts w:eastAsia="Times New Roman"/>
          <w:i/>
          <w:iCs/>
          <w:lang w:eastAsia="en-GB"/>
        </w:rPr>
        <w:t>Journal of Immunology (Baltimore, Md.: 1950)</w:t>
      </w:r>
      <w:r w:rsidRPr="000C4EF7">
        <w:rPr>
          <w:rFonts w:eastAsia="Times New Roman"/>
          <w:lang w:eastAsia="en-GB"/>
        </w:rPr>
        <w:t xml:space="preserve"> 159 (4): 1828–34.</w:t>
      </w:r>
    </w:p>
    <w:p w14:paraId="6B93429A" w14:textId="77777777" w:rsidR="000C4EF7" w:rsidRPr="000C4EF7" w:rsidRDefault="000C4EF7" w:rsidP="00B23FF8">
      <w:pPr>
        <w:snapToGrid w:val="0"/>
        <w:spacing w:afterLines="60" w:after="144" w:line="240" w:lineRule="auto"/>
        <w:ind w:hanging="480"/>
        <w:rPr>
          <w:rFonts w:eastAsia="Times New Roman"/>
          <w:lang w:eastAsia="en-GB"/>
        </w:rPr>
      </w:pPr>
      <w:r w:rsidRPr="000C4EF7">
        <w:rPr>
          <w:rFonts w:eastAsia="Times New Roman"/>
          <w:lang w:eastAsia="en-GB"/>
        </w:rPr>
        <w:t xml:space="preserve">Kima, Peter E., and Lynn Soong. 2013. ‘Interferon Gamma in Leishmaniasis’. </w:t>
      </w:r>
      <w:r w:rsidRPr="000C4EF7">
        <w:rPr>
          <w:rFonts w:eastAsia="Times New Roman"/>
          <w:i/>
          <w:iCs/>
          <w:lang w:eastAsia="en-GB"/>
        </w:rPr>
        <w:t>Frontiers in Immunology</w:t>
      </w:r>
      <w:r w:rsidRPr="000C4EF7">
        <w:rPr>
          <w:rFonts w:eastAsia="Times New Roman"/>
          <w:lang w:eastAsia="en-GB"/>
        </w:rPr>
        <w:t xml:space="preserve"> 4: 156. </w:t>
      </w:r>
      <w:hyperlink r:id="rId197" w:history="1">
        <w:r w:rsidRPr="000C4EF7">
          <w:rPr>
            <w:rFonts w:eastAsia="Times New Roman"/>
            <w:color w:val="0000FF"/>
            <w:u w:val="single"/>
            <w:lang w:eastAsia="en-GB"/>
          </w:rPr>
          <w:t>https://doi.org/10.3389/fimmu.2013.00156</w:t>
        </w:r>
      </w:hyperlink>
      <w:r w:rsidRPr="000C4EF7">
        <w:rPr>
          <w:rFonts w:eastAsia="Times New Roman"/>
          <w:lang w:eastAsia="en-GB"/>
        </w:rPr>
        <w:t>.</w:t>
      </w:r>
    </w:p>
    <w:p w14:paraId="0B6F0589" w14:textId="77777777" w:rsidR="000C4EF7" w:rsidRPr="000C4EF7" w:rsidRDefault="000C4EF7" w:rsidP="00B23FF8">
      <w:pPr>
        <w:snapToGrid w:val="0"/>
        <w:spacing w:afterLines="60" w:after="144" w:line="240" w:lineRule="auto"/>
        <w:ind w:hanging="480"/>
        <w:rPr>
          <w:rFonts w:eastAsia="Times New Roman"/>
          <w:lang w:eastAsia="en-GB"/>
        </w:rPr>
      </w:pPr>
      <w:r w:rsidRPr="00D40D5C">
        <w:rPr>
          <w:rFonts w:eastAsia="Times New Roman"/>
          <w:lang w:eastAsia="en-GB"/>
        </w:rPr>
        <w:t>Klaunig, James E., Peter J. Goldblatt, David E. Hinton, Michael M. Lipsky, Jacob Chacko, and Benjamin F. Trump. 1981. ‘Mouse L</w:t>
      </w:r>
      <w:r w:rsidRPr="000C4EF7">
        <w:rPr>
          <w:rFonts w:eastAsia="Times New Roman"/>
          <w:lang w:eastAsia="en-GB"/>
        </w:rPr>
        <w:t xml:space="preserve">iver Cell Culture. I. Hepatocyte Isolation’. </w:t>
      </w:r>
      <w:r w:rsidRPr="000C4EF7">
        <w:rPr>
          <w:rFonts w:eastAsia="Times New Roman"/>
          <w:i/>
          <w:iCs/>
          <w:lang w:eastAsia="en-GB"/>
        </w:rPr>
        <w:t>In Vitro</w:t>
      </w:r>
      <w:r w:rsidRPr="000C4EF7">
        <w:rPr>
          <w:rFonts w:eastAsia="Times New Roman"/>
          <w:lang w:eastAsia="en-GB"/>
        </w:rPr>
        <w:t xml:space="preserve"> 17 (10): 913–25.</w:t>
      </w:r>
    </w:p>
    <w:p w14:paraId="3D340859" w14:textId="77777777" w:rsidR="000C4EF7" w:rsidRPr="000C4EF7" w:rsidRDefault="000C4EF7" w:rsidP="00B23FF8">
      <w:pPr>
        <w:snapToGrid w:val="0"/>
        <w:spacing w:afterLines="60" w:after="144" w:line="240" w:lineRule="auto"/>
        <w:ind w:hanging="480"/>
        <w:rPr>
          <w:rFonts w:eastAsia="Times New Roman"/>
          <w:lang w:eastAsia="en-GB"/>
        </w:rPr>
      </w:pPr>
      <w:r w:rsidRPr="000C4EF7">
        <w:rPr>
          <w:rFonts w:eastAsia="Times New Roman"/>
          <w:lang w:eastAsia="en-GB"/>
        </w:rPr>
        <w:t xml:space="preserve">Klein, Ingo, Judith C. Cornejo, Noelle K. Polakos, Beena John, Sherry A. Wuensch, David J. Topham, Robert H. Pierce, and Ian Nicholas Crispe. 2007. ‘Kupffer Cell Heterogeneity: Functional Properties of Bone Marrow–Derived and Sessile Hepatic Macrophages’. </w:t>
      </w:r>
      <w:r w:rsidRPr="000C4EF7">
        <w:rPr>
          <w:rFonts w:eastAsia="Times New Roman"/>
          <w:i/>
          <w:iCs/>
          <w:lang w:eastAsia="en-GB"/>
        </w:rPr>
        <w:t>Blood</w:t>
      </w:r>
      <w:r w:rsidRPr="000C4EF7">
        <w:rPr>
          <w:rFonts w:eastAsia="Times New Roman"/>
          <w:lang w:eastAsia="en-GB"/>
        </w:rPr>
        <w:t xml:space="preserve"> 110 (12): 4077–85. </w:t>
      </w:r>
      <w:hyperlink r:id="rId198" w:history="1">
        <w:r w:rsidRPr="000C4EF7">
          <w:rPr>
            <w:rFonts w:eastAsia="Times New Roman"/>
            <w:color w:val="0000FF"/>
            <w:u w:val="single"/>
            <w:lang w:eastAsia="en-GB"/>
          </w:rPr>
          <w:t>https://doi.org/10.11</w:t>
        </w:r>
        <w:r w:rsidRPr="00D40D5C">
          <w:rPr>
            <w:rFonts w:eastAsia="Times New Roman"/>
            <w:color w:val="0000FF"/>
            <w:u w:val="single"/>
            <w:lang w:eastAsia="en-GB"/>
          </w:rPr>
          <w:t>82/blood-2007-02-073841</w:t>
        </w:r>
      </w:hyperlink>
      <w:r w:rsidRPr="000C4EF7">
        <w:rPr>
          <w:rFonts w:eastAsia="Times New Roman"/>
          <w:lang w:eastAsia="en-GB"/>
        </w:rPr>
        <w:t>.</w:t>
      </w:r>
    </w:p>
    <w:p w14:paraId="10312549" w14:textId="77777777" w:rsidR="000C4EF7" w:rsidRPr="000C4EF7" w:rsidRDefault="000C4EF7" w:rsidP="00B23FF8">
      <w:pPr>
        <w:snapToGrid w:val="0"/>
        <w:spacing w:afterLines="60" w:after="144" w:line="240" w:lineRule="auto"/>
        <w:ind w:hanging="480"/>
        <w:rPr>
          <w:rFonts w:eastAsia="Times New Roman"/>
          <w:lang w:eastAsia="en-GB"/>
        </w:rPr>
      </w:pPr>
      <w:r w:rsidRPr="00D40D5C">
        <w:rPr>
          <w:rFonts w:eastAsia="Times New Roman"/>
          <w:lang w:eastAsia="en-GB"/>
        </w:rPr>
        <w:t>Kolaczkowska, Elzbieta, and Paul Kubes. 2013. ‘Neutro</w:t>
      </w:r>
      <w:r w:rsidRPr="000C4EF7">
        <w:rPr>
          <w:rFonts w:eastAsia="Times New Roman"/>
          <w:lang w:eastAsia="en-GB"/>
        </w:rPr>
        <w:t xml:space="preserve">phil Recruitment and Function in Health and Inflammation’. </w:t>
      </w:r>
      <w:r w:rsidRPr="000C4EF7">
        <w:rPr>
          <w:rFonts w:eastAsia="Times New Roman"/>
          <w:i/>
          <w:iCs/>
          <w:lang w:eastAsia="en-GB"/>
        </w:rPr>
        <w:t>Nature Reviews Immunology</w:t>
      </w:r>
      <w:r w:rsidRPr="000C4EF7">
        <w:rPr>
          <w:rFonts w:eastAsia="Times New Roman"/>
          <w:lang w:eastAsia="en-GB"/>
        </w:rPr>
        <w:t xml:space="preserve"> 13 (3): 159–75. </w:t>
      </w:r>
      <w:hyperlink r:id="rId199" w:history="1">
        <w:r w:rsidRPr="000C4EF7">
          <w:rPr>
            <w:rFonts w:eastAsia="Times New Roman"/>
            <w:color w:val="0000FF"/>
            <w:u w:val="single"/>
            <w:lang w:eastAsia="en-GB"/>
          </w:rPr>
          <w:t>https://doi.org/10.1038/nri33</w:t>
        </w:r>
        <w:r w:rsidRPr="00D40D5C">
          <w:rPr>
            <w:rFonts w:eastAsia="Times New Roman"/>
            <w:color w:val="0000FF"/>
            <w:u w:val="single"/>
            <w:lang w:eastAsia="en-GB"/>
          </w:rPr>
          <w:t>99</w:t>
        </w:r>
      </w:hyperlink>
      <w:r w:rsidRPr="000C4EF7">
        <w:rPr>
          <w:rFonts w:eastAsia="Times New Roman"/>
          <w:lang w:eastAsia="en-GB"/>
        </w:rPr>
        <w:t>.</w:t>
      </w:r>
    </w:p>
    <w:p w14:paraId="48702B06" w14:textId="77777777" w:rsidR="000C4EF7" w:rsidRPr="000C4EF7" w:rsidRDefault="000C4EF7" w:rsidP="00B23FF8">
      <w:pPr>
        <w:snapToGrid w:val="0"/>
        <w:spacing w:afterLines="60" w:after="144" w:line="240" w:lineRule="auto"/>
        <w:ind w:hanging="480"/>
        <w:rPr>
          <w:rFonts w:eastAsia="Times New Roman"/>
          <w:lang w:eastAsia="en-GB"/>
        </w:rPr>
      </w:pPr>
      <w:r w:rsidRPr="00D40D5C">
        <w:rPr>
          <w:rFonts w:eastAsia="Times New Roman"/>
          <w:lang w:eastAsia="en-GB"/>
        </w:rPr>
        <w:t>Kolios, George, Vassilis Valatas, and Elias Kouroumalis. 2006. ‘Role of Ku</w:t>
      </w:r>
      <w:r w:rsidRPr="000C4EF7">
        <w:rPr>
          <w:rFonts w:eastAsia="Times New Roman"/>
          <w:lang w:eastAsia="en-GB"/>
        </w:rPr>
        <w:t xml:space="preserve">pffer Cells in the Pathogenesis of Liver Disease’. </w:t>
      </w:r>
      <w:r w:rsidRPr="000C4EF7">
        <w:rPr>
          <w:rFonts w:eastAsia="Times New Roman"/>
          <w:i/>
          <w:iCs/>
          <w:lang w:eastAsia="en-GB"/>
        </w:rPr>
        <w:t>World Journal of Gastroenterology : WJG</w:t>
      </w:r>
      <w:r w:rsidRPr="000C4EF7">
        <w:rPr>
          <w:rFonts w:eastAsia="Times New Roman"/>
          <w:lang w:eastAsia="en-GB"/>
        </w:rPr>
        <w:t xml:space="preserve"> 12 (46): 7413–20. </w:t>
      </w:r>
      <w:hyperlink r:id="rId200" w:history="1">
        <w:r w:rsidRPr="000C4EF7">
          <w:rPr>
            <w:rFonts w:eastAsia="Times New Roman"/>
            <w:color w:val="0000FF"/>
            <w:u w:val="single"/>
            <w:lang w:eastAsia="en-GB"/>
          </w:rPr>
          <w:t>https://doi.</w:t>
        </w:r>
        <w:r w:rsidRPr="00D40D5C">
          <w:rPr>
            <w:rFonts w:eastAsia="Times New Roman"/>
            <w:color w:val="0000FF"/>
            <w:u w:val="single"/>
            <w:lang w:eastAsia="en-GB"/>
          </w:rPr>
          <w:t>org/10.3748/wjg.v12.i46.7413</w:t>
        </w:r>
      </w:hyperlink>
      <w:r w:rsidRPr="000C4EF7">
        <w:rPr>
          <w:rFonts w:eastAsia="Times New Roman"/>
          <w:lang w:eastAsia="en-GB"/>
        </w:rPr>
        <w:t>.</w:t>
      </w:r>
    </w:p>
    <w:p w14:paraId="122F664A" w14:textId="77777777" w:rsidR="000C4EF7" w:rsidRPr="000C4EF7" w:rsidRDefault="000C4EF7" w:rsidP="00B23FF8">
      <w:pPr>
        <w:snapToGrid w:val="0"/>
        <w:spacing w:afterLines="60" w:after="144" w:line="240" w:lineRule="auto"/>
        <w:ind w:hanging="480"/>
        <w:rPr>
          <w:rFonts w:eastAsia="Times New Roman"/>
          <w:lang w:eastAsia="en-GB"/>
        </w:rPr>
      </w:pPr>
      <w:r w:rsidRPr="00D40D5C">
        <w:rPr>
          <w:rFonts w:eastAsia="Times New Roman"/>
          <w:lang w:eastAsia="en-GB"/>
        </w:rPr>
        <w:t>Kumar, Rajiv, and Susanne Nylén. 2012. ‘Immunobi</w:t>
      </w:r>
      <w:r w:rsidRPr="000C4EF7">
        <w:rPr>
          <w:rFonts w:eastAsia="Times New Roman"/>
          <w:lang w:eastAsia="en-GB"/>
        </w:rPr>
        <w:t xml:space="preserve">ology of Visceral Leishmaniasis’. </w:t>
      </w:r>
      <w:r w:rsidRPr="000C4EF7">
        <w:rPr>
          <w:rFonts w:eastAsia="Times New Roman"/>
          <w:i/>
          <w:iCs/>
          <w:lang w:eastAsia="en-GB"/>
        </w:rPr>
        <w:t>Frontiers in Immunology</w:t>
      </w:r>
      <w:r w:rsidRPr="000C4EF7">
        <w:rPr>
          <w:rFonts w:eastAsia="Times New Roman"/>
          <w:lang w:eastAsia="en-GB"/>
        </w:rPr>
        <w:t xml:space="preserve"> 3: 251. </w:t>
      </w:r>
      <w:hyperlink r:id="rId201" w:history="1">
        <w:r w:rsidRPr="000C4EF7">
          <w:rPr>
            <w:rFonts w:eastAsia="Times New Roman"/>
            <w:color w:val="0000FF"/>
            <w:u w:val="single"/>
            <w:lang w:eastAsia="en-GB"/>
          </w:rPr>
          <w:t>https://doi.org/10.3389/fimmu.2012.00251</w:t>
        </w:r>
      </w:hyperlink>
      <w:r w:rsidRPr="000C4EF7">
        <w:rPr>
          <w:rFonts w:eastAsia="Times New Roman"/>
          <w:lang w:eastAsia="en-GB"/>
        </w:rPr>
        <w:t>.</w:t>
      </w:r>
    </w:p>
    <w:p w14:paraId="3F73E7F2" w14:textId="77777777" w:rsidR="000C4EF7" w:rsidRPr="000C4EF7" w:rsidRDefault="000C4EF7" w:rsidP="00B23FF8">
      <w:pPr>
        <w:snapToGrid w:val="0"/>
        <w:spacing w:afterLines="60" w:after="144" w:line="240" w:lineRule="auto"/>
        <w:ind w:hanging="480"/>
        <w:rPr>
          <w:rFonts w:eastAsia="Times New Roman"/>
          <w:lang w:eastAsia="en-GB"/>
        </w:rPr>
      </w:pPr>
      <w:r w:rsidRPr="00D40D5C">
        <w:rPr>
          <w:rFonts w:eastAsia="Times New Roman"/>
          <w:lang w:eastAsia="en-GB"/>
        </w:rPr>
        <w:t>Kumari, Anjali, Krishn Pratap Singh, Abhishek Mandal, Ranjeet Kumar Paswan, Preeti Sinha, P</w:t>
      </w:r>
      <w:r w:rsidRPr="000C4EF7">
        <w:rPr>
          <w:rFonts w:eastAsia="Times New Roman"/>
          <w:lang w:eastAsia="en-GB"/>
        </w:rPr>
        <w:t xml:space="preserve">radeep Das, Vahab Ali, Sanjiva Bimal, and Chandra Shekhar Lal. 2017. ‘Intracellular Zinc Flux Causes Reactive Oxygen Species Mediated Mitochondrial Dysfunction Leading to Cell Death in Leishmania Donovani’. </w:t>
      </w:r>
      <w:r w:rsidRPr="000C4EF7">
        <w:rPr>
          <w:rFonts w:eastAsia="Times New Roman"/>
          <w:i/>
          <w:iCs/>
          <w:lang w:eastAsia="en-GB"/>
        </w:rPr>
        <w:t>PloS One</w:t>
      </w:r>
      <w:r w:rsidRPr="000C4EF7">
        <w:rPr>
          <w:rFonts w:eastAsia="Times New Roman"/>
          <w:lang w:eastAsia="en-GB"/>
        </w:rPr>
        <w:t xml:space="preserve"> 12 (6): e0178800. </w:t>
      </w:r>
      <w:hyperlink r:id="rId202" w:history="1">
        <w:r w:rsidRPr="000C4EF7">
          <w:rPr>
            <w:rFonts w:eastAsia="Times New Roman"/>
            <w:color w:val="0000FF"/>
            <w:u w:val="single"/>
            <w:lang w:eastAsia="en-GB"/>
          </w:rPr>
          <w:t>https://doi.org/10.1371/journal.pone.0178800</w:t>
        </w:r>
      </w:hyperlink>
      <w:r w:rsidRPr="000C4EF7">
        <w:rPr>
          <w:rFonts w:eastAsia="Times New Roman"/>
          <w:lang w:eastAsia="en-GB"/>
        </w:rPr>
        <w:t>.</w:t>
      </w:r>
    </w:p>
    <w:p w14:paraId="5C95F831" w14:textId="77777777" w:rsidR="000C4EF7" w:rsidRPr="000C4EF7" w:rsidRDefault="000C4EF7" w:rsidP="00B23FF8">
      <w:pPr>
        <w:snapToGrid w:val="0"/>
        <w:spacing w:afterLines="60" w:after="144" w:line="240" w:lineRule="auto"/>
        <w:ind w:hanging="480"/>
        <w:rPr>
          <w:rFonts w:eastAsia="Times New Roman"/>
          <w:lang w:eastAsia="en-GB"/>
        </w:rPr>
      </w:pPr>
      <w:r w:rsidRPr="00D40D5C">
        <w:rPr>
          <w:rFonts w:eastAsia="Times New Roman"/>
          <w:lang w:eastAsia="en-GB"/>
        </w:rPr>
        <w:t>Laar, Lianne van de, Wouter Saelens, Sofie De Prijck, Liesbet Martens, Charlotte L. Scott, Gert Van Isterdael, Eik Hoffmann, et al. 2016. ‘Yolk Sac Macrophages, Fetal Live</w:t>
      </w:r>
      <w:r w:rsidRPr="000C4EF7">
        <w:rPr>
          <w:rFonts w:eastAsia="Times New Roman"/>
          <w:lang w:eastAsia="en-GB"/>
        </w:rPr>
        <w:t xml:space="preserve">r, and Adult Monocytes Can Colonize an Empty Niche and Develop into Functional Tissue-Resident Macrophages’. </w:t>
      </w:r>
      <w:r w:rsidRPr="000C4EF7">
        <w:rPr>
          <w:rFonts w:eastAsia="Times New Roman"/>
          <w:i/>
          <w:iCs/>
          <w:lang w:eastAsia="en-GB"/>
        </w:rPr>
        <w:t>Immunity</w:t>
      </w:r>
      <w:r w:rsidRPr="000C4EF7">
        <w:rPr>
          <w:rFonts w:eastAsia="Times New Roman"/>
          <w:lang w:eastAsia="en-GB"/>
        </w:rPr>
        <w:t xml:space="preserve"> 44 (4): 755–68. </w:t>
      </w:r>
      <w:hyperlink r:id="rId203" w:history="1">
        <w:r w:rsidRPr="000C4EF7">
          <w:rPr>
            <w:rFonts w:eastAsia="Times New Roman"/>
            <w:color w:val="0000FF"/>
            <w:u w:val="single"/>
            <w:lang w:eastAsia="en-GB"/>
          </w:rPr>
          <w:t>https://doi.org/10.1016/j.immuni.2016.02.017</w:t>
        </w:r>
      </w:hyperlink>
      <w:r w:rsidRPr="000C4EF7">
        <w:rPr>
          <w:rFonts w:eastAsia="Times New Roman"/>
          <w:lang w:eastAsia="en-GB"/>
        </w:rPr>
        <w:t>.</w:t>
      </w:r>
    </w:p>
    <w:p w14:paraId="005F625F" w14:textId="77777777" w:rsidR="000C4EF7" w:rsidRPr="000C4EF7" w:rsidRDefault="000C4EF7" w:rsidP="00B23FF8">
      <w:pPr>
        <w:snapToGrid w:val="0"/>
        <w:spacing w:afterLines="60" w:after="144" w:line="240" w:lineRule="auto"/>
        <w:ind w:hanging="480"/>
        <w:rPr>
          <w:rFonts w:eastAsia="Times New Roman"/>
          <w:lang w:eastAsia="en-GB"/>
        </w:rPr>
      </w:pPr>
      <w:r w:rsidRPr="00D40D5C">
        <w:rPr>
          <w:rFonts w:eastAsia="Times New Roman"/>
          <w:lang w:eastAsia="en-GB"/>
        </w:rPr>
        <w:t>Lahoz-Beneytez,</w:t>
      </w:r>
      <w:r w:rsidRPr="000C4EF7">
        <w:rPr>
          <w:rFonts w:eastAsia="Times New Roman"/>
          <w:lang w:eastAsia="en-GB"/>
        </w:rPr>
        <w:t xml:space="preserve"> Julio, Marjet Elemans, Yan Zhang, Raya Ahmed, Arafa Salam, Michael Block, Christoph Niederalt, Becca Asquith, and Derek Macallan. 2016. ‘Human Neutrophil Kinetics: Modeling of Stable Isotope Labeling Data Supports Short Blood Neutrophil Half-Lives’. </w:t>
      </w:r>
      <w:r w:rsidRPr="000C4EF7">
        <w:rPr>
          <w:rFonts w:eastAsia="Times New Roman"/>
          <w:i/>
          <w:iCs/>
          <w:lang w:eastAsia="en-GB"/>
        </w:rPr>
        <w:t>Blood</w:t>
      </w:r>
      <w:r w:rsidRPr="000C4EF7">
        <w:rPr>
          <w:rFonts w:eastAsia="Times New Roman"/>
          <w:lang w:eastAsia="en-GB"/>
        </w:rPr>
        <w:t xml:space="preserve"> 127 (26): 3431–38. </w:t>
      </w:r>
      <w:hyperlink r:id="rId204" w:history="1">
        <w:r w:rsidRPr="000C4EF7">
          <w:rPr>
            <w:rFonts w:eastAsia="Times New Roman"/>
            <w:color w:val="0000FF"/>
            <w:u w:val="single"/>
            <w:lang w:eastAsia="en-GB"/>
          </w:rPr>
          <w:t>http</w:t>
        </w:r>
        <w:r w:rsidRPr="00D40D5C">
          <w:rPr>
            <w:rFonts w:eastAsia="Times New Roman"/>
            <w:color w:val="0000FF"/>
            <w:u w:val="single"/>
            <w:lang w:eastAsia="en-GB"/>
          </w:rPr>
          <w:t>s://doi.org/10.1182/blood-2016-03-700336</w:t>
        </w:r>
      </w:hyperlink>
      <w:r w:rsidRPr="000C4EF7">
        <w:rPr>
          <w:rFonts w:eastAsia="Times New Roman"/>
          <w:lang w:eastAsia="en-GB"/>
        </w:rPr>
        <w:t>.</w:t>
      </w:r>
    </w:p>
    <w:p w14:paraId="664D7F92" w14:textId="77777777" w:rsidR="000C4EF7" w:rsidRPr="000C4EF7" w:rsidRDefault="000C4EF7" w:rsidP="00B23FF8">
      <w:pPr>
        <w:snapToGrid w:val="0"/>
        <w:spacing w:afterLines="60" w:after="144" w:line="240" w:lineRule="auto"/>
        <w:ind w:hanging="480"/>
        <w:rPr>
          <w:rFonts w:eastAsia="Times New Roman"/>
          <w:lang w:eastAsia="en-GB"/>
        </w:rPr>
      </w:pPr>
      <w:r w:rsidRPr="00D40D5C">
        <w:rPr>
          <w:rFonts w:eastAsia="Times New Roman"/>
          <w:lang w:eastAsia="en-GB"/>
        </w:rPr>
        <w:lastRenderedPageBreak/>
        <w:t>Lahoz-Beneytez, Julio, Stephan Schaller, Derek Macallan, Thomas Eissing, Christoph Niederalt, and Becca Asquith. 2017. ‘Physiolog</w:t>
      </w:r>
      <w:r w:rsidRPr="000C4EF7">
        <w:rPr>
          <w:rFonts w:eastAsia="Times New Roman"/>
          <w:lang w:eastAsia="en-GB"/>
        </w:rPr>
        <w:t xml:space="preserve">ically Based Simulations of Deuterated Glucose for Quantifying Cell Turnover in Humans’. </w:t>
      </w:r>
      <w:r w:rsidRPr="000C4EF7">
        <w:rPr>
          <w:rFonts w:eastAsia="Times New Roman"/>
          <w:i/>
          <w:iCs/>
          <w:lang w:eastAsia="en-GB"/>
        </w:rPr>
        <w:t>Frontiers in Immunology</w:t>
      </w:r>
      <w:r w:rsidRPr="000C4EF7">
        <w:rPr>
          <w:rFonts w:eastAsia="Times New Roman"/>
          <w:lang w:eastAsia="en-GB"/>
        </w:rPr>
        <w:t xml:space="preserve"> 8. </w:t>
      </w:r>
      <w:hyperlink r:id="rId205" w:history="1">
        <w:r w:rsidRPr="000C4EF7">
          <w:rPr>
            <w:rFonts w:eastAsia="Times New Roman"/>
            <w:color w:val="0000FF"/>
            <w:u w:val="single"/>
            <w:lang w:eastAsia="en-GB"/>
          </w:rPr>
          <w:t>https://doi.org/10.3389/fimmu.2017.00474</w:t>
        </w:r>
      </w:hyperlink>
      <w:r w:rsidRPr="000C4EF7">
        <w:rPr>
          <w:rFonts w:eastAsia="Times New Roman"/>
          <w:lang w:eastAsia="en-GB"/>
        </w:rPr>
        <w:t>.</w:t>
      </w:r>
    </w:p>
    <w:p w14:paraId="4623F28F" w14:textId="77777777" w:rsidR="000C4EF7" w:rsidRPr="000C4EF7" w:rsidRDefault="000C4EF7" w:rsidP="00B23FF8">
      <w:pPr>
        <w:snapToGrid w:val="0"/>
        <w:spacing w:afterLines="60" w:after="144" w:line="240" w:lineRule="auto"/>
        <w:ind w:hanging="480"/>
        <w:rPr>
          <w:rFonts w:eastAsia="Times New Roman"/>
          <w:lang w:eastAsia="en-GB"/>
        </w:rPr>
      </w:pPr>
      <w:r w:rsidRPr="00D40D5C">
        <w:rPr>
          <w:rFonts w:eastAsia="Times New Roman"/>
          <w:lang w:eastAsia="en-GB"/>
        </w:rPr>
        <w:t>Länger, Bettina M., Cristina Pou-Barreto,</w:t>
      </w:r>
      <w:r w:rsidRPr="000C4EF7">
        <w:rPr>
          <w:rFonts w:eastAsia="Times New Roman"/>
          <w:lang w:eastAsia="en-GB"/>
        </w:rPr>
        <w:t xml:space="preserve"> Carlos González-Alcón, Basilio Valladares, Bettina Wimmer, and Néstor V. Torres. 2012. ‘Modeling of Leishmaniasis Infection Dynamics: Novel Application to the Design of Effective Therapies’. </w:t>
      </w:r>
      <w:r w:rsidRPr="000C4EF7">
        <w:rPr>
          <w:rFonts w:eastAsia="Times New Roman"/>
          <w:i/>
          <w:iCs/>
          <w:lang w:eastAsia="en-GB"/>
        </w:rPr>
        <w:t>BMC Systems Biology</w:t>
      </w:r>
      <w:r w:rsidRPr="000C4EF7">
        <w:rPr>
          <w:rFonts w:eastAsia="Times New Roman"/>
          <w:lang w:eastAsia="en-GB"/>
        </w:rPr>
        <w:t xml:space="preserve"> 6 (January): 1. </w:t>
      </w:r>
      <w:hyperlink r:id="rId206" w:history="1">
        <w:r w:rsidRPr="000C4EF7">
          <w:rPr>
            <w:rFonts w:eastAsia="Times New Roman"/>
            <w:color w:val="0000FF"/>
            <w:u w:val="single"/>
            <w:lang w:eastAsia="en-GB"/>
          </w:rPr>
          <w:t>https://doi.org/10.1186/1752-0509-6-1</w:t>
        </w:r>
      </w:hyperlink>
      <w:r w:rsidRPr="000C4EF7">
        <w:rPr>
          <w:rFonts w:eastAsia="Times New Roman"/>
          <w:lang w:eastAsia="en-GB"/>
        </w:rPr>
        <w:t>.</w:t>
      </w:r>
    </w:p>
    <w:p w14:paraId="6C1D3D1A" w14:textId="77777777" w:rsidR="000C4EF7" w:rsidRPr="000C4EF7" w:rsidRDefault="000C4EF7" w:rsidP="00B23FF8">
      <w:pPr>
        <w:snapToGrid w:val="0"/>
        <w:spacing w:afterLines="60" w:after="144" w:line="240" w:lineRule="auto"/>
        <w:ind w:hanging="480"/>
        <w:rPr>
          <w:rFonts w:eastAsia="Times New Roman"/>
          <w:lang w:eastAsia="en-GB"/>
        </w:rPr>
      </w:pPr>
      <w:r w:rsidRPr="00D40D5C">
        <w:rPr>
          <w:rFonts w:eastAsia="Times New Roman"/>
          <w:lang w:eastAsia="en-GB"/>
        </w:rPr>
        <w:t xml:space="preserve">Laskay, Tamás, Ger van Zandbergen, and Werner Solbach. 2003. ‘Neutrophil Granulocytes--Trojan Horses for Leishmania Major and Other Intracellular Microbes?’ </w:t>
      </w:r>
      <w:r w:rsidRPr="000C4EF7">
        <w:rPr>
          <w:rFonts w:eastAsia="Times New Roman"/>
          <w:i/>
          <w:iCs/>
          <w:lang w:eastAsia="en-GB"/>
        </w:rPr>
        <w:t>Trends in Microbiology</w:t>
      </w:r>
      <w:r w:rsidRPr="000C4EF7">
        <w:rPr>
          <w:rFonts w:eastAsia="Times New Roman"/>
          <w:lang w:eastAsia="en-GB"/>
        </w:rPr>
        <w:t xml:space="preserve"> 11 (5): 210–14.</w:t>
      </w:r>
    </w:p>
    <w:p w14:paraId="38BDF087" w14:textId="77777777" w:rsidR="000C4EF7" w:rsidRPr="000C4EF7" w:rsidRDefault="000C4EF7" w:rsidP="00B23FF8">
      <w:pPr>
        <w:snapToGrid w:val="0"/>
        <w:spacing w:afterLines="60" w:after="144" w:line="240" w:lineRule="auto"/>
        <w:ind w:hanging="480"/>
        <w:rPr>
          <w:rFonts w:eastAsia="Times New Roman"/>
          <w:lang w:eastAsia="en-GB"/>
        </w:rPr>
      </w:pPr>
      <w:r w:rsidRPr="000C4EF7">
        <w:rPr>
          <w:rFonts w:eastAsia="Times New Roman"/>
          <w:lang w:eastAsia="en-GB"/>
        </w:rPr>
        <w:t xml:space="preserve">Le Gros, G., S. Z. Ben-Sasson, R. Seder, F. D. Finkelman, and W. E. Paul. 1990. ‘Generation of Interleukin 4 (IL-4)-Producing Cells in Vivo and in Vitro: IL-2 and IL-4 Are Required for in Vitro Generation of IL-4-Producing Cells’. </w:t>
      </w:r>
      <w:r w:rsidRPr="000C4EF7">
        <w:rPr>
          <w:rFonts w:eastAsia="Times New Roman"/>
          <w:i/>
          <w:iCs/>
          <w:lang w:eastAsia="en-GB"/>
        </w:rPr>
        <w:t>The Journal of Experimental Medicine</w:t>
      </w:r>
      <w:r w:rsidRPr="000C4EF7">
        <w:rPr>
          <w:rFonts w:eastAsia="Times New Roman"/>
          <w:lang w:eastAsia="en-GB"/>
        </w:rPr>
        <w:t xml:space="preserve"> 172 (3): 921–29.</w:t>
      </w:r>
    </w:p>
    <w:p w14:paraId="69C13C0A" w14:textId="77777777" w:rsidR="000C4EF7" w:rsidRPr="000C4EF7" w:rsidRDefault="000C4EF7" w:rsidP="00B23FF8">
      <w:pPr>
        <w:snapToGrid w:val="0"/>
        <w:spacing w:afterLines="60" w:after="144" w:line="240" w:lineRule="auto"/>
        <w:ind w:hanging="480"/>
        <w:rPr>
          <w:rFonts w:eastAsia="Times New Roman"/>
          <w:lang w:eastAsia="en-GB"/>
        </w:rPr>
      </w:pPr>
      <w:r w:rsidRPr="000C4EF7">
        <w:rPr>
          <w:rFonts w:eastAsia="Times New Roman"/>
          <w:lang w:eastAsia="en-GB"/>
        </w:rPr>
        <w:t xml:space="preserve">‘Leishmaniasis’. World Health Organization. Accessed 26 July 2018. </w:t>
      </w:r>
      <w:hyperlink r:id="rId207" w:history="1">
        <w:r w:rsidRPr="000C4EF7">
          <w:rPr>
            <w:rFonts w:eastAsia="Times New Roman"/>
            <w:color w:val="0000FF"/>
            <w:u w:val="single"/>
            <w:lang w:eastAsia="en-GB"/>
          </w:rPr>
          <w:t>http://www.who.int/news-room/fact-sheets/detail/leishmaniasis</w:t>
        </w:r>
      </w:hyperlink>
      <w:r w:rsidRPr="000C4EF7">
        <w:rPr>
          <w:rFonts w:eastAsia="Times New Roman"/>
          <w:lang w:eastAsia="en-GB"/>
        </w:rPr>
        <w:t>.</w:t>
      </w:r>
    </w:p>
    <w:p w14:paraId="35293309" w14:textId="77777777" w:rsidR="000C4EF7" w:rsidRPr="000C4EF7" w:rsidRDefault="000C4EF7" w:rsidP="00B23FF8">
      <w:pPr>
        <w:snapToGrid w:val="0"/>
        <w:spacing w:afterLines="60" w:after="144" w:line="240" w:lineRule="auto"/>
        <w:ind w:hanging="480"/>
        <w:rPr>
          <w:rFonts w:eastAsia="Times New Roman"/>
          <w:lang w:eastAsia="en-GB"/>
        </w:rPr>
      </w:pPr>
      <w:r w:rsidRPr="00D40D5C">
        <w:rPr>
          <w:rFonts w:eastAsia="Times New Roman"/>
          <w:lang w:eastAsia="en-GB"/>
        </w:rPr>
        <w:t xml:space="preserve">Lepay, D. A., </w:t>
      </w:r>
      <w:r w:rsidRPr="000C4EF7">
        <w:rPr>
          <w:rFonts w:eastAsia="Times New Roman"/>
          <w:lang w:eastAsia="en-GB"/>
        </w:rPr>
        <w:t xml:space="preserve">C. F. Nathan, R. M. Steinman, H. W. Murray, and Z. A. Cohn. 1985. ‘Murine Kupffer Cells. Mononuclear Phagocytes Deficient in the Generation of Reactive Oxygen Intermediates.’ </w:t>
      </w:r>
      <w:r w:rsidRPr="000C4EF7">
        <w:rPr>
          <w:rFonts w:eastAsia="Times New Roman"/>
          <w:i/>
          <w:iCs/>
          <w:lang w:eastAsia="en-GB"/>
        </w:rPr>
        <w:t>Journal of Experimental Medicine</w:t>
      </w:r>
      <w:r w:rsidRPr="000C4EF7">
        <w:rPr>
          <w:rFonts w:eastAsia="Times New Roman"/>
          <w:lang w:eastAsia="en-GB"/>
        </w:rPr>
        <w:t xml:space="preserve"> 161 (5): 1079–96. </w:t>
      </w:r>
      <w:hyperlink r:id="rId208" w:history="1">
        <w:r w:rsidRPr="000C4EF7">
          <w:rPr>
            <w:rFonts w:eastAsia="Times New Roman"/>
            <w:color w:val="0000FF"/>
            <w:u w:val="single"/>
            <w:lang w:eastAsia="en-GB"/>
          </w:rPr>
          <w:t>https://doi.org/10.1084/jem.161.5.1079</w:t>
        </w:r>
      </w:hyperlink>
      <w:r w:rsidRPr="000C4EF7">
        <w:rPr>
          <w:rFonts w:eastAsia="Times New Roman"/>
          <w:lang w:eastAsia="en-GB"/>
        </w:rPr>
        <w:t>.</w:t>
      </w:r>
    </w:p>
    <w:p w14:paraId="0897AD39" w14:textId="77777777" w:rsidR="000C4EF7" w:rsidRPr="000C4EF7" w:rsidRDefault="000C4EF7" w:rsidP="00B23FF8">
      <w:pPr>
        <w:snapToGrid w:val="0"/>
        <w:spacing w:afterLines="60" w:after="144" w:line="240" w:lineRule="auto"/>
        <w:ind w:hanging="480"/>
        <w:rPr>
          <w:rFonts w:eastAsia="Times New Roman"/>
          <w:lang w:eastAsia="en-GB"/>
        </w:rPr>
      </w:pPr>
      <w:r w:rsidRPr="00D40D5C">
        <w:rPr>
          <w:rFonts w:eastAsia="Times New Roman"/>
          <w:lang w:eastAsia="en-GB"/>
        </w:rPr>
        <w:t>Lestinova, Tereza, Iva Rohousova, Michal Sima, Camila I. de Oliveira, and Petr Volf. 2017. ‘Insights into the Sand Fly Saliva: Blood-Feeding and Immune Interactions between Sand Flies, Hosts,</w:t>
      </w:r>
      <w:r w:rsidRPr="000C4EF7">
        <w:rPr>
          <w:rFonts w:eastAsia="Times New Roman"/>
          <w:lang w:eastAsia="en-GB"/>
        </w:rPr>
        <w:t xml:space="preserve"> and Leishmania’. </w:t>
      </w:r>
      <w:r w:rsidRPr="000C4EF7">
        <w:rPr>
          <w:rFonts w:eastAsia="Times New Roman"/>
          <w:i/>
          <w:iCs/>
          <w:lang w:eastAsia="en-GB"/>
        </w:rPr>
        <w:t>PLOS Neglected Tropical Diseases</w:t>
      </w:r>
      <w:r w:rsidRPr="000C4EF7">
        <w:rPr>
          <w:rFonts w:eastAsia="Times New Roman"/>
          <w:lang w:eastAsia="en-GB"/>
        </w:rPr>
        <w:t xml:space="preserve"> 11 (7): e0005600. </w:t>
      </w:r>
      <w:hyperlink r:id="rId209" w:history="1">
        <w:r w:rsidRPr="000C4EF7">
          <w:rPr>
            <w:rFonts w:eastAsia="Times New Roman"/>
            <w:color w:val="0000FF"/>
            <w:u w:val="single"/>
            <w:lang w:eastAsia="en-GB"/>
          </w:rPr>
          <w:t>https://doi.org/10.1371/journal.pntd.0005600</w:t>
        </w:r>
      </w:hyperlink>
      <w:r w:rsidRPr="000C4EF7">
        <w:rPr>
          <w:rFonts w:eastAsia="Times New Roman"/>
          <w:lang w:eastAsia="en-GB"/>
        </w:rPr>
        <w:t>.</w:t>
      </w:r>
    </w:p>
    <w:p w14:paraId="3DDD2C17" w14:textId="77777777" w:rsidR="000C4EF7" w:rsidRPr="000C4EF7" w:rsidRDefault="000C4EF7" w:rsidP="00B23FF8">
      <w:pPr>
        <w:snapToGrid w:val="0"/>
        <w:spacing w:afterLines="60" w:after="144" w:line="240" w:lineRule="auto"/>
        <w:ind w:hanging="480"/>
        <w:rPr>
          <w:rFonts w:eastAsia="Times New Roman"/>
          <w:lang w:eastAsia="en-GB"/>
        </w:rPr>
      </w:pPr>
      <w:r w:rsidRPr="00D40D5C">
        <w:rPr>
          <w:rFonts w:eastAsia="Times New Roman"/>
          <w:lang w:eastAsia="en-GB"/>
        </w:rPr>
        <w:t>Liao, Chia-Min, Michael I. Zimmer, and Chyung-Ru Wang. 2013. ‘The Functions of T</w:t>
      </w:r>
      <w:r w:rsidRPr="000C4EF7">
        <w:rPr>
          <w:rFonts w:eastAsia="Times New Roman"/>
          <w:lang w:eastAsia="en-GB"/>
        </w:rPr>
        <w:t xml:space="preserve">ype I and Type II Natural Killer T (NKT) Cells in Inflammatory Bowel Diseases’. </w:t>
      </w:r>
      <w:r w:rsidRPr="000C4EF7">
        <w:rPr>
          <w:rFonts w:eastAsia="Times New Roman"/>
          <w:i/>
          <w:iCs/>
          <w:lang w:eastAsia="en-GB"/>
        </w:rPr>
        <w:t>Inflammatory Bowel Diseases</w:t>
      </w:r>
      <w:r w:rsidRPr="000C4EF7">
        <w:rPr>
          <w:rFonts w:eastAsia="Times New Roman"/>
          <w:lang w:eastAsia="en-GB"/>
        </w:rPr>
        <w:t xml:space="preserve"> 19 (6): 1330–38. </w:t>
      </w:r>
      <w:hyperlink r:id="rId210" w:history="1">
        <w:r w:rsidRPr="000C4EF7">
          <w:rPr>
            <w:rFonts w:eastAsia="Times New Roman"/>
            <w:color w:val="0000FF"/>
            <w:u w:val="single"/>
            <w:lang w:eastAsia="en-GB"/>
          </w:rPr>
          <w:t>https://doi.org/10.1097/MIB.0b013e318280b1e3</w:t>
        </w:r>
      </w:hyperlink>
      <w:r w:rsidRPr="000C4EF7">
        <w:rPr>
          <w:rFonts w:eastAsia="Times New Roman"/>
          <w:lang w:eastAsia="en-GB"/>
        </w:rPr>
        <w:t>.</w:t>
      </w:r>
    </w:p>
    <w:p w14:paraId="68F133A9" w14:textId="77777777" w:rsidR="000C4EF7" w:rsidRPr="000C4EF7" w:rsidRDefault="000C4EF7" w:rsidP="00B23FF8">
      <w:pPr>
        <w:snapToGrid w:val="0"/>
        <w:spacing w:afterLines="60" w:after="144" w:line="240" w:lineRule="auto"/>
        <w:ind w:hanging="480"/>
        <w:rPr>
          <w:rFonts w:eastAsia="Times New Roman"/>
          <w:lang w:eastAsia="en-GB"/>
        </w:rPr>
      </w:pPr>
      <w:r w:rsidRPr="00D40D5C">
        <w:rPr>
          <w:rFonts w:eastAsia="Times New Roman"/>
          <w:lang w:eastAsia="en-GB"/>
        </w:rPr>
        <w:t>Lindoso, José Angelo Lau</w:t>
      </w:r>
      <w:r w:rsidRPr="000C4EF7">
        <w:rPr>
          <w:rFonts w:eastAsia="Times New Roman"/>
          <w:lang w:eastAsia="en-GB"/>
        </w:rPr>
        <w:t xml:space="preserve">letta, Mirella Alves Cunha, Igor Thiago Queiroz, and Carlos Henrique Valente Moreira. 2016. ‘Leishmaniasis–HIV Coinfection: Current Challenges’. </w:t>
      </w:r>
      <w:r w:rsidRPr="000C4EF7">
        <w:rPr>
          <w:rFonts w:eastAsia="Times New Roman"/>
          <w:i/>
          <w:iCs/>
          <w:lang w:eastAsia="en-GB"/>
        </w:rPr>
        <w:t>HIV/AIDS (Auckland, N.Z.)</w:t>
      </w:r>
      <w:r w:rsidRPr="000C4EF7">
        <w:rPr>
          <w:rFonts w:eastAsia="Times New Roman"/>
          <w:lang w:eastAsia="en-GB"/>
        </w:rPr>
        <w:t xml:space="preserve"> 8 (October): 147–56. </w:t>
      </w:r>
      <w:hyperlink r:id="rId211" w:history="1">
        <w:r w:rsidRPr="000C4EF7">
          <w:rPr>
            <w:rFonts w:eastAsia="Times New Roman"/>
            <w:color w:val="0000FF"/>
            <w:u w:val="single"/>
            <w:lang w:eastAsia="en-GB"/>
          </w:rPr>
          <w:t>https://doi.org/10.2147/HIV.S93789</w:t>
        </w:r>
      </w:hyperlink>
      <w:r w:rsidRPr="000C4EF7">
        <w:rPr>
          <w:rFonts w:eastAsia="Times New Roman"/>
          <w:lang w:eastAsia="en-GB"/>
        </w:rPr>
        <w:t>.</w:t>
      </w:r>
    </w:p>
    <w:p w14:paraId="0857DB46" w14:textId="77777777" w:rsidR="000C4EF7" w:rsidRPr="000C4EF7" w:rsidRDefault="000C4EF7" w:rsidP="00B23FF8">
      <w:pPr>
        <w:snapToGrid w:val="0"/>
        <w:spacing w:afterLines="60" w:after="144" w:line="240" w:lineRule="auto"/>
        <w:ind w:hanging="480"/>
        <w:rPr>
          <w:rFonts w:eastAsia="Times New Roman"/>
          <w:lang w:eastAsia="en-GB"/>
        </w:rPr>
      </w:pPr>
      <w:r w:rsidRPr="00D40D5C">
        <w:rPr>
          <w:rFonts w:eastAsia="Times New Roman"/>
          <w:lang w:eastAsia="en-GB"/>
        </w:rPr>
        <w:t xml:space="preserve">Loeuillet, Corinne, Anne-Laure Bañuls, and Mallorie Hide. 2016. ‘Study of Leishmania Pathogenesis in Mice: Experimental Considerations’. </w:t>
      </w:r>
      <w:r w:rsidRPr="000C4EF7">
        <w:rPr>
          <w:rFonts w:eastAsia="Times New Roman"/>
          <w:i/>
          <w:iCs/>
          <w:lang w:eastAsia="en-GB"/>
        </w:rPr>
        <w:t>Parasites &amp; Vectors</w:t>
      </w:r>
      <w:r w:rsidRPr="000C4EF7">
        <w:rPr>
          <w:rFonts w:eastAsia="Times New Roman"/>
          <w:lang w:eastAsia="en-GB"/>
        </w:rPr>
        <w:t xml:space="preserve"> 9 (March): 144. </w:t>
      </w:r>
      <w:hyperlink r:id="rId212" w:history="1">
        <w:r w:rsidRPr="000C4EF7">
          <w:rPr>
            <w:rFonts w:eastAsia="Times New Roman"/>
            <w:color w:val="0000FF"/>
            <w:u w:val="single"/>
            <w:lang w:eastAsia="en-GB"/>
          </w:rPr>
          <w:t>https://doi.org/10.1186/s13071-016-1413-9</w:t>
        </w:r>
      </w:hyperlink>
      <w:r w:rsidRPr="000C4EF7">
        <w:rPr>
          <w:rFonts w:eastAsia="Times New Roman"/>
          <w:lang w:eastAsia="en-GB"/>
        </w:rPr>
        <w:t>.</w:t>
      </w:r>
    </w:p>
    <w:p w14:paraId="2D83D017" w14:textId="77777777" w:rsidR="000C4EF7" w:rsidRPr="000C4EF7" w:rsidRDefault="000C4EF7" w:rsidP="00B23FF8">
      <w:pPr>
        <w:snapToGrid w:val="0"/>
        <w:spacing w:afterLines="60" w:after="144" w:line="240" w:lineRule="auto"/>
        <w:ind w:hanging="480"/>
        <w:rPr>
          <w:rFonts w:eastAsia="Times New Roman"/>
          <w:lang w:eastAsia="en-GB"/>
        </w:rPr>
      </w:pPr>
      <w:r w:rsidRPr="00D40D5C">
        <w:rPr>
          <w:rFonts w:eastAsia="Times New Roman"/>
          <w:lang w:eastAsia="en-GB"/>
        </w:rPr>
        <w:t xml:space="preserve">Longmuir, Kenneth J., Sherry M. Haynes, Janie L. Baratta, Natasha Kasabwalla, and Richard T. Robertson. 2009. ‘Liposomal Delivery of Doxorubicin to Hepatocytes in Vivo by Targeting Heparan Sulfate’. </w:t>
      </w:r>
      <w:r w:rsidRPr="000C4EF7">
        <w:rPr>
          <w:rFonts w:eastAsia="Times New Roman"/>
          <w:i/>
          <w:iCs/>
          <w:lang w:eastAsia="en-GB"/>
        </w:rPr>
        <w:t>International Journal of Pharmaceutics</w:t>
      </w:r>
      <w:r w:rsidRPr="000C4EF7">
        <w:rPr>
          <w:rFonts w:eastAsia="Times New Roman"/>
          <w:lang w:eastAsia="en-GB"/>
        </w:rPr>
        <w:t xml:space="preserve"> 382 (1–2): 222–33. </w:t>
      </w:r>
      <w:hyperlink r:id="rId213" w:history="1">
        <w:r w:rsidRPr="000C4EF7">
          <w:rPr>
            <w:rFonts w:eastAsia="Times New Roman"/>
            <w:color w:val="0000FF"/>
            <w:u w:val="single"/>
            <w:lang w:eastAsia="en-GB"/>
          </w:rPr>
          <w:t>https://doi.org/10.1016/j.ijpharm.2009.07.030</w:t>
        </w:r>
      </w:hyperlink>
      <w:r w:rsidRPr="000C4EF7">
        <w:rPr>
          <w:rFonts w:eastAsia="Times New Roman"/>
          <w:lang w:eastAsia="en-GB"/>
        </w:rPr>
        <w:t>.</w:t>
      </w:r>
    </w:p>
    <w:p w14:paraId="34D2DD05" w14:textId="77777777" w:rsidR="000C4EF7" w:rsidRPr="000C4EF7" w:rsidRDefault="000C4EF7" w:rsidP="00B23FF8">
      <w:pPr>
        <w:snapToGrid w:val="0"/>
        <w:spacing w:afterLines="60" w:after="144" w:line="240" w:lineRule="auto"/>
        <w:ind w:hanging="480"/>
        <w:rPr>
          <w:rFonts w:eastAsia="Times New Roman"/>
          <w:lang w:eastAsia="en-GB"/>
        </w:rPr>
      </w:pPr>
      <w:r w:rsidRPr="00D40D5C">
        <w:rPr>
          <w:rFonts w:eastAsia="Times New Roman"/>
          <w:lang w:eastAsia="en-GB"/>
        </w:rPr>
        <w:t>MacLean, Adam L., Cristina Lo Celso, and Michael P. H. Stumpf. 2013. ‘Population Dynamics of Normal and L</w:t>
      </w:r>
      <w:r w:rsidRPr="000C4EF7">
        <w:rPr>
          <w:rFonts w:eastAsia="Times New Roman"/>
          <w:lang w:eastAsia="en-GB"/>
        </w:rPr>
        <w:t xml:space="preserve">eukaemia Stem Cells in the Haematopoietic Stem Cell Niche Show Distinct Regimes Where Leukaemia Will Be Controlled’. </w:t>
      </w:r>
      <w:r w:rsidRPr="000C4EF7">
        <w:rPr>
          <w:rFonts w:eastAsia="Times New Roman"/>
          <w:i/>
          <w:iCs/>
          <w:lang w:eastAsia="en-GB"/>
        </w:rPr>
        <w:t>Journal of the Royal Society Interface</w:t>
      </w:r>
      <w:r w:rsidRPr="000C4EF7">
        <w:rPr>
          <w:rFonts w:eastAsia="Times New Roman"/>
          <w:lang w:eastAsia="en-GB"/>
        </w:rPr>
        <w:t xml:space="preserve"> 10 (81). </w:t>
      </w:r>
      <w:hyperlink r:id="rId214" w:history="1">
        <w:r w:rsidRPr="000C4EF7">
          <w:rPr>
            <w:rFonts w:eastAsia="Times New Roman"/>
            <w:color w:val="0000FF"/>
            <w:u w:val="single"/>
            <w:lang w:eastAsia="en-GB"/>
          </w:rPr>
          <w:t>https://doi.org/10.1098/rsif.2012.0968</w:t>
        </w:r>
      </w:hyperlink>
      <w:r w:rsidRPr="000C4EF7">
        <w:rPr>
          <w:rFonts w:eastAsia="Times New Roman"/>
          <w:lang w:eastAsia="en-GB"/>
        </w:rPr>
        <w:t>.</w:t>
      </w:r>
    </w:p>
    <w:p w14:paraId="1875DA6B" w14:textId="77777777" w:rsidR="000C4EF7" w:rsidRPr="000C4EF7" w:rsidRDefault="000C4EF7" w:rsidP="00B23FF8">
      <w:pPr>
        <w:snapToGrid w:val="0"/>
        <w:spacing w:afterLines="60" w:after="144" w:line="240" w:lineRule="auto"/>
        <w:ind w:hanging="480"/>
        <w:rPr>
          <w:rFonts w:eastAsia="Times New Roman"/>
          <w:lang w:eastAsia="en-GB"/>
        </w:rPr>
      </w:pPr>
      <w:r w:rsidRPr="00D40D5C">
        <w:rPr>
          <w:rFonts w:eastAsia="Times New Roman"/>
          <w:lang w:eastAsia="en-GB"/>
        </w:rPr>
        <w:t xml:space="preserve">Maharaj, A. R., and A. N. Edginton. 2014. ‘Physiologically Based Pharmacokinetic Modeling and Simulation in Pediatric Drug Development’. </w:t>
      </w:r>
      <w:r w:rsidRPr="000C4EF7">
        <w:rPr>
          <w:rFonts w:eastAsia="Times New Roman"/>
          <w:i/>
          <w:iCs/>
          <w:lang w:eastAsia="en-GB"/>
        </w:rPr>
        <w:t>CPT: Pharmacometrics &amp; Systems Pharmacology</w:t>
      </w:r>
      <w:r w:rsidRPr="000C4EF7">
        <w:rPr>
          <w:rFonts w:eastAsia="Times New Roman"/>
          <w:lang w:eastAsia="en-GB"/>
        </w:rPr>
        <w:t xml:space="preserve"> 3 (11): 1–13. </w:t>
      </w:r>
      <w:hyperlink r:id="rId215" w:history="1">
        <w:r w:rsidRPr="000C4EF7">
          <w:rPr>
            <w:rFonts w:eastAsia="Times New Roman"/>
            <w:color w:val="0000FF"/>
            <w:u w:val="single"/>
            <w:lang w:eastAsia="en-GB"/>
          </w:rPr>
          <w:t>https://doi.org/10.1038/psp.2014.45</w:t>
        </w:r>
      </w:hyperlink>
      <w:r w:rsidRPr="000C4EF7">
        <w:rPr>
          <w:rFonts w:eastAsia="Times New Roman"/>
          <w:lang w:eastAsia="en-GB"/>
        </w:rPr>
        <w:t>.</w:t>
      </w:r>
    </w:p>
    <w:p w14:paraId="7C48E6ED" w14:textId="77777777" w:rsidR="000C4EF7" w:rsidRPr="000C4EF7" w:rsidRDefault="000C4EF7" w:rsidP="00B23FF8">
      <w:pPr>
        <w:snapToGrid w:val="0"/>
        <w:spacing w:afterLines="60" w:after="144" w:line="240" w:lineRule="auto"/>
        <w:ind w:hanging="480"/>
        <w:rPr>
          <w:rFonts w:eastAsia="Times New Roman"/>
          <w:lang w:eastAsia="en-GB"/>
        </w:rPr>
      </w:pPr>
      <w:r w:rsidRPr="00D40D5C">
        <w:rPr>
          <w:rFonts w:eastAsia="Times New Roman"/>
          <w:lang w:eastAsia="en-GB"/>
        </w:rPr>
        <w:lastRenderedPageBreak/>
        <w:t xml:space="preserve">Mallavarapu, Aneil, Matthew Thomson, Benjamin Ullian, and Jeremy Gunawardena. 2009. ‘Programming with Models: Modularity and Abstraction Provide Powerful Capabilities for Systems Biology’. </w:t>
      </w:r>
      <w:r w:rsidRPr="000C4EF7">
        <w:rPr>
          <w:rFonts w:eastAsia="Times New Roman"/>
          <w:i/>
          <w:iCs/>
          <w:lang w:eastAsia="en-GB"/>
        </w:rPr>
        <w:t>Journal of the Royal Society, Interface</w:t>
      </w:r>
      <w:r w:rsidRPr="000C4EF7">
        <w:rPr>
          <w:rFonts w:eastAsia="Times New Roman"/>
          <w:lang w:eastAsia="en-GB"/>
        </w:rPr>
        <w:t xml:space="preserve"> 6 (32): 257–70. </w:t>
      </w:r>
      <w:hyperlink r:id="rId216" w:history="1">
        <w:r w:rsidRPr="000C4EF7">
          <w:rPr>
            <w:rFonts w:eastAsia="Times New Roman"/>
            <w:color w:val="0000FF"/>
            <w:u w:val="single"/>
            <w:lang w:eastAsia="en-GB"/>
          </w:rPr>
          <w:t>https://doi.org/10.1098/rsif.2008.0205</w:t>
        </w:r>
      </w:hyperlink>
      <w:r w:rsidRPr="000C4EF7">
        <w:rPr>
          <w:rFonts w:eastAsia="Times New Roman"/>
          <w:lang w:eastAsia="en-GB"/>
        </w:rPr>
        <w:t>.</w:t>
      </w:r>
    </w:p>
    <w:p w14:paraId="13D00ACF" w14:textId="77777777" w:rsidR="000C4EF7" w:rsidRPr="000C4EF7" w:rsidRDefault="000C4EF7" w:rsidP="00B23FF8">
      <w:pPr>
        <w:snapToGrid w:val="0"/>
        <w:spacing w:afterLines="60" w:after="144" w:line="240" w:lineRule="auto"/>
        <w:ind w:hanging="480"/>
        <w:rPr>
          <w:rFonts w:eastAsia="Times New Roman"/>
          <w:lang w:eastAsia="en-GB"/>
        </w:rPr>
      </w:pPr>
      <w:r w:rsidRPr="00D40D5C">
        <w:rPr>
          <w:rFonts w:eastAsia="Times New Roman"/>
          <w:lang w:eastAsia="en-GB"/>
        </w:rPr>
        <w:t xml:space="preserve">Mann, H. B., and D. R. Whitney. 1947. ‘On a Test of Whether One of Two Random Variables Is Stochastically Larger than the Other’. </w:t>
      </w:r>
      <w:r w:rsidRPr="000C4EF7">
        <w:rPr>
          <w:rFonts w:eastAsia="Times New Roman"/>
          <w:i/>
          <w:iCs/>
          <w:lang w:eastAsia="en-GB"/>
        </w:rPr>
        <w:t>The Annals of Mathematical Statistics</w:t>
      </w:r>
      <w:r w:rsidRPr="000C4EF7">
        <w:rPr>
          <w:rFonts w:eastAsia="Times New Roman"/>
          <w:lang w:eastAsia="en-GB"/>
        </w:rPr>
        <w:t xml:space="preserve"> 18 (1): 50–60.</w:t>
      </w:r>
    </w:p>
    <w:p w14:paraId="2F3B72A7" w14:textId="77777777" w:rsidR="000C4EF7" w:rsidRPr="000C4EF7" w:rsidRDefault="000C4EF7" w:rsidP="00B23FF8">
      <w:pPr>
        <w:snapToGrid w:val="0"/>
        <w:spacing w:afterLines="60" w:after="144" w:line="240" w:lineRule="auto"/>
        <w:ind w:hanging="480"/>
        <w:rPr>
          <w:rFonts w:eastAsia="Times New Roman"/>
          <w:lang w:eastAsia="en-GB"/>
        </w:rPr>
      </w:pPr>
      <w:r w:rsidRPr="000C4EF7">
        <w:rPr>
          <w:rFonts w:eastAsia="Times New Roman"/>
          <w:lang w:eastAsia="en-GB"/>
        </w:rPr>
        <w:t xml:space="preserve">Mantovani, Alberto, Marco A. Cassatella, Claudio Costantini, and Sébastien Jaillon. 2011. ‘Neutrophils in the Activation and Regulation of Innate and Adaptive Immunity’. </w:t>
      </w:r>
      <w:r w:rsidRPr="000C4EF7">
        <w:rPr>
          <w:rFonts w:eastAsia="Times New Roman"/>
          <w:i/>
          <w:iCs/>
          <w:lang w:eastAsia="en-GB"/>
        </w:rPr>
        <w:t>Nature Reviews. Immunology</w:t>
      </w:r>
      <w:r w:rsidRPr="000C4EF7">
        <w:rPr>
          <w:rFonts w:eastAsia="Times New Roman"/>
          <w:lang w:eastAsia="en-GB"/>
        </w:rPr>
        <w:t xml:space="preserve"> 11 (8): 519–31. </w:t>
      </w:r>
      <w:hyperlink r:id="rId217" w:history="1">
        <w:r w:rsidRPr="000C4EF7">
          <w:rPr>
            <w:rFonts w:eastAsia="Times New Roman"/>
            <w:color w:val="0000FF"/>
            <w:u w:val="single"/>
            <w:lang w:eastAsia="en-GB"/>
          </w:rPr>
          <w:t>https://doi.org/10.1038/nri3024</w:t>
        </w:r>
      </w:hyperlink>
      <w:r w:rsidRPr="000C4EF7">
        <w:rPr>
          <w:rFonts w:eastAsia="Times New Roman"/>
          <w:lang w:eastAsia="en-GB"/>
        </w:rPr>
        <w:t>.</w:t>
      </w:r>
    </w:p>
    <w:p w14:paraId="16AA4723" w14:textId="77777777" w:rsidR="000C4EF7" w:rsidRPr="000C4EF7" w:rsidRDefault="000C4EF7" w:rsidP="00B23FF8">
      <w:pPr>
        <w:snapToGrid w:val="0"/>
        <w:spacing w:afterLines="60" w:after="144" w:line="240" w:lineRule="auto"/>
        <w:ind w:hanging="480"/>
        <w:rPr>
          <w:rFonts w:eastAsia="Times New Roman"/>
          <w:lang w:eastAsia="en-GB"/>
        </w:rPr>
      </w:pPr>
      <w:r w:rsidRPr="00D40D5C">
        <w:rPr>
          <w:rFonts w:eastAsia="Times New Roman"/>
          <w:lang w:eastAsia="en-GB"/>
        </w:rPr>
        <w:t xml:space="preserve">Markose, D., P. Kirkland, P. Ramachandran, and N. C. Henderson. 2018. ‘Immune Cell Regulation of Liver Regeneration and Repair’. </w:t>
      </w:r>
      <w:r w:rsidRPr="000C4EF7">
        <w:rPr>
          <w:rFonts w:eastAsia="Times New Roman"/>
          <w:i/>
          <w:iCs/>
          <w:lang w:eastAsia="en-GB"/>
        </w:rPr>
        <w:t>Journal of Immunology and Regenerative Medicine</w:t>
      </w:r>
      <w:r w:rsidRPr="000C4EF7">
        <w:rPr>
          <w:rFonts w:eastAsia="Times New Roman"/>
          <w:lang w:eastAsia="en-GB"/>
        </w:rPr>
        <w:t xml:space="preserve"> 2 (September): 1–10. </w:t>
      </w:r>
      <w:hyperlink r:id="rId218" w:history="1">
        <w:r w:rsidRPr="000C4EF7">
          <w:rPr>
            <w:rFonts w:eastAsia="Times New Roman"/>
            <w:color w:val="0000FF"/>
            <w:u w:val="single"/>
            <w:lang w:eastAsia="en-GB"/>
          </w:rPr>
          <w:t>https://doi.org/10.1016/j.regen.2018.03.003</w:t>
        </w:r>
      </w:hyperlink>
      <w:r w:rsidRPr="000C4EF7">
        <w:rPr>
          <w:rFonts w:eastAsia="Times New Roman"/>
          <w:lang w:eastAsia="en-GB"/>
        </w:rPr>
        <w:t>.</w:t>
      </w:r>
    </w:p>
    <w:p w14:paraId="1D77D4B8" w14:textId="77777777" w:rsidR="000C4EF7" w:rsidRPr="000C4EF7" w:rsidRDefault="000C4EF7" w:rsidP="00B23FF8">
      <w:pPr>
        <w:snapToGrid w:val="0"/>
        <w:spacing w:afterLines="60" w:after="144" w:line="240" w:lineRule="auto"/>
        <w:ind w:hanging="480"/>
        <w:rPr>
          <w:rFonts w:eastAsia="Times New Roman"/>
          <w:lang w:eastAsia="en-GB"/>
        </w:rPr>
      </w:pPr>
      <w:r w:rsidRPr="00D40D5C">
        <w:rPr>
          <w:rFonts w:eastAsia="Times New Roman"/>
          <w:lang w:eastAsia="en-GB"/>
        </w:rPr>
        <w:t>Maroli, M., M. D. Feliciangeli, L. Bichaud, R. N. Charrel, and L. Gradoni. 2013. ‘Phlebotomine Sandflies and the Spreading of Le</w:t>
      </w:r>
      <w:r w:rsidRPr="000C4EF7">
        <w:rPr>
          <w:rFonts w:eastAsia="Times New Roman"/>
          <w:lang w:eastAsia="en-GB"/>
        </w:rPr>
        <w:t xml:space="preserve">ishmaniases and Other Diseases of Public Health Concern’. </w:t>
      </w:r>
      <w:r w:rsidRPr="000C4EF7">
        <w:rPr>
          <w:rFonts w:eastAsia="Times New Roman"/>
          <w:i/>
          <w:iCs/>
          <w:lang w:eastAsia="en-GB"/>
        </w:rPr>
        <w:t>Medical and Veterinary Entomology</w:t>
      </w:r>
      <w:r w:rsidRPr="000C4EF7">
        <w:rPr>
          <w:rFonts w:eastAsia="Times New Roman"/>
          <w:lang w:eastAsia="en-GB"/>
        </w:rPr>
        <w:t xml:space="preserve"> 27 (2): 123–47. </w:t>
      </w:r>
      <w:hyperlink r:id="rId219" w:history="1">
        <w:r w:rsidRPr="000C4EF7">
          <w:rPr>
            <w:rFonts w:eastAsia="Times New Roman"/>
            <w:color w:val="0000FF"/>
            <w:u w:val="single"/>
            <w:lang w:eastAsia="en-GB"/>
          </w:rPr>
          <w:t>https://doi.org/10.1111/j.1365-2915.2012.01034.x</w:t>
        </w:r>
      </w:hyperlink>
      <w:r w:rsidRPr="000C4EF7">
        <w:rPr>
          <w:rFonts w:eastAsia="Times New Roman"/>
          <w:lang w:eastAsia="en-GB"/>
        </w:rPr>
        <w:t>.</w:t>
      </w:r>
    </w:p>
    <w:p w14:paraId="192869DE" w14:textId="77777777" w:rsidR="000C4EF7" w:rsidRPr="000C4EF7" w:rsidRDefault="000C4EF7" w:rsidP="00B23FF8">
      <w:pPr>
        <w:snapToGrid w:val="0"/>
        <w:spacing w:afterLines="60" w:after="144" w:line="240" w:lineRule="auto"/>
        <w:ind w:hanging="480"/>
        <w:rPr>
          <w:rFonts w:eastAsia="Times New Roman"/>
          <w:lang w:eastAsia="en-GB"/>
        </w:rPr>
      </w:pPr>
      <w:r w:rsidRPr="00D40D5C">
        <w:rPr>
          <w:rFonts w:eastAsia="Times New Roman"/>
          <w:lang w:eastAsia="en-GB"/>
        </w:rPr>
        <w:t>Marrack, Philippa, James Scott-Br</w:t>
      </w:r>
      <w:r w:rsidRPr="000C4EF7">
        <w:rPr>
          <w:rFonts w:eastAsia="Times New Roman"/>
          <w:lang w:eastAsia="en-GB"/>
        </w:rPr>
        <w:t xml:space="preserve">owne, and Megan K. L. MacLeod. 2010. ‘Terminating the Immune Response’. </w:t>
      </w:r>
      <w:r w:rsidRPr="000C4EF7">
        <w:rPr>
          <w:rFonts w:eastAsia="Times New Roman"/>
          <w:i/>
          <w:iCs/>
          <w:lang w:eastAsia="en-GB"/>
        </w:rPr>
        <w:t>Immunological Reviews</w:t>
      </w:r>
      <w:r w:rsidRPr="000C4EF7">
        <w:rPr>
          <w:rFonts w:eastAsia="Times New Roman"/>
          <w:lang w:eastAsia="en-GB"/>
        </w:rPr>
        <w:t xml:space="preserve"> 236 (July): 5–10. </w:t>
      </w:r>
      <w:hyperlink r:id="rId220" w:history="1">
        <w:r w:rsidRPr="000C4EF7">
          <w:rPr>
            <w:rFonts w:eastAsia="Times New Roman"/>
            <w:color w:val="0000FF"/>
            <w:u w:val="single"/>
            <w:lang w:eastAsia="en-GB"/>
          </w:rPr>
          <w:t>https://doi.org/10.1111/j.1600-065X.2010.00928.x</w:t>
        </w:r>
      </w:hyperlink>
      <w:r w:rsidRPr="000C4EF7">
        <w:rPr>
          <w:rFonts w:eastAsia="Times New Roman"/>
          <w:lang w:eastAsia="en-GB"/>
        </w:rPr>
        <w:t>.</w:t>
      </w:r>
    </w:p>
    <w:p w14:paraId="3E722704" w14:textId="77777777" w:rsidR="000C4EF7" w:rsidRPr="000C4EF7" w:rsidRDefault="000C4EF7" w:rsidP="00B23FF8">
      <w:pPr>
        <w:snapToGrid w:val="0"/>
        <w:spacing w:afterLines="60" w:after="144" w:line="240" w:lineRule="auto"/>
        <w:ind w:hanging="480"/>
        <w:rPr>
          <w:rFonts w:eastAsia="Times New Roman"/>
          <w:lang w:eastAsia="en-GB"/>
        </w:rPr>
      </w:pPr>
      <w:r w:rsidRPr="00D40D5C">
        <w:rPr>
          <w:rFonts w:eastAsia="Times New Roman"/>
          <w:lang w:eastAsia="en-GB"/>
        </w:rPr>
        <w:t>Martinez, Fernando O., and Si</w:t>
      </w:r>
      <w:r w:rsidRPr="000C4EF7">
        <w:rPr>
          <w:rFonts w:eastAsia="Times New Roman"/>
          <w:lang w:eastAsia="en-GB"/>
        </w:rPr>
        <w:t xml:space="preserve">amon Gordon. 2014. ‘The M1 and M2 Paradigm of Macrophage Activation: Time for Reassessment’. </w:t>
      </w:r>
      <w:r w:rsidRPr="000C4EF7">
        <w:rPr>
          <w:rFonts w:eastAsia="Times New Roman"/>
          <w:i/>
          <w:iCs/>
          <w:lang w:eastAsia="en-GB"/>
        </w:rPr>
        <w:t>F1000prime Reports</w:t>
      </w:r>
      <w:r w:rsidRPr="000C4EF7">
        <w:rPr>
          <w:rFonts w:eastAsia="Times New Roman"/>
          <w:lang w:eastAsia="en-GB"/>
        </w:rPr>
        <w:t xml:space="preserve"> 6: 13. </w:t>
      </w:r>
      <w:hyperlink r:id="rId221" w:history="1">
        <w:r w:rsidRPr="000C4EF7">
          <w:rPr>
            <w:rFonts w:eastAsia="Times New Roman"/>
            <w:color w:val="0000FF"/>
            <w:u w:val="single"/>
            <w:lang w:eastAsia="en-GB"/>
          </w:rPr>
          <w:t>https://doi.org/10.12703/P6-13</w:t>
        </w:r>
      </w:hyperlink>
      <w:r w:rsidRPr="000C4EF7">
        <w:rPr>
          <w:rFonts w:eastAsia="Times New Roman"/>
          <w:lang w:eastAsia="en-GB"/>
        </w:rPr>
        <w:t>.</w:t>
      </w:r>
    </w:p>
    <w:p w14:paraId="3C4F953A" w14:textId="77777777" w:rsidR="000C4EF7" w:rsidRPr="000C4EF7" w:rsidRDefault="000C4EF7" w:rsidP="00B23FF8">
      <w:pPr>
        <w:snapToGrid w:val="0"/>
        <w:spacing w:afterLines="60" w:after="144" w:line="240" w:lineRule="auto"/>
        <w:ind w:hanging="480"/>
        <w:rPr>
          <w:rFonts w:eastAsia="Times New Roman"/>
          <w:lang w:eastAsia="en-GB"/>
        </w:rPr>
      </w:pPr>
      <w:r w:rsidRPr="00D40D5C">
        <w:rPr>
          <w:rFonts w:eastAsia="Times New Roman"/>
          <w:lang w:eastAsia="en-GB"/>
        </w:rPr>
        <w:t>Martín-Montes, Álvaro, Rafael Ballesteros-Garrido, Rubén M</w:t>
      </w:r>
      <w:r w:rsidRPr="000C4EF7">
        <w:rPr>
          <w:rFonts w:eastAsia="Times New Roman"/>
          <w:lang w:eastAsia="en-GB"/>
        </w:rPr>
        <w:t xml:space="preserve">artín-Escolano, Clotilde Marín, Ramón Guitiérrez-Sánchez, Belén Abarca, Rafael Ballesteros, and Manuel Sanchez-Moreno. 2017. ‘Synthesis and in Vitro Leishmanicidal Activity of Novel [1,2,3]Triazolo[1,5-a]Pyridine Salts’. </w:t>
      </w:r>
      <w:r w:rsidRPr="000C4EF7">
        <w:rPr>
          <w:rFonts w:eastAsia="Times New Roman"/>
          <w:i/>
          <w:iCs/>
          <w:lang w:eastAsia="en-GB"/>
        </w:rPr>
        <w:t>RSC Advances</w:t>
      </w:r>
      <w:r w:rsidRPr="000C4EF7">
        <w:rPr>
          <w:rFonts w:eastAsia="Times New Roman"/>
          <w:lang w:eastAsia="en-GB"/>
        </w:rPr>
        <w:t xml:space="preserve"> 7 (26): 15715–26. </w:t>
      </w:r>
      <w:hyperlink r:id="rId222" w:history="1">
        <w:r w:rsidRPr="000C4EF7">
          <w:rPr>
            <w:rFonts w:eastAsia="Times New Roman"/>
            <w:color w:val="0000FF"/>
            <w:u w:val="single"/>
            <w:lang w:eastAsia="en-GB"/>
          </w:rPr>
          <w:t>https://doi.org/10.1039/C7RA01070B</w:t>
        </w:r>
      </w:hyperlink>
      <w:r w:rsidRPr="000C4EF7">
        <w:rPr>
          <w:rFonts w:eastAsia="Times New Roman"/>
          <w:lang w:eastAsia="en-GB"/>
        </w:rPr>
        <w:t>.</w:t>
      </w:r>
    </w:p>
    <w:p w14:paraId="541CA491" w14:textId="77777777" w:rsidR="000C4EF7" w:rsidRPr="000C4EF7" w:rsidRDefault="000C4EF7" w:rsidP="00B23FF8">
      <w:pPr>
        <w:snapToGrid w:val="0"/>
        <w:spacing w:afterLines="60" w:after="144" w:line="240" w:lineRule="auto"/>
        <w:ind w:hanging="480"/>
        <w:rPr>
          <w:rFonts w:eastAsia="Times New Roman"/>
          <w:lang w:eastAsia="en-GB"/>
        </w:rPr>
      </w:pPr>
      <w:r w:rsidRPr="00D40D5C">
        <w:rPr>
          <w:rFonts w:eastAsia="Times New Roman"/>
          <w:lang w:eastAsia="en-GB"/>
        </w:rPr>
        <w:t>Matrajt, Laura, Patrick M. Younan, Hans-Peter Kiem, and Joshua T. Schiffer. 2014. ‘The Majority of CD4+ T-Cell Depletion during Acute Simian-Human Immunodeficiency Virus SHI</w:t>
      </w:r>
      <w:r w:rsidRPr="000C4EF7">
        <w:rPr>
          <w:rFonts w:eastAsia="Times New Roman"/>
          <w:lang w:eastAsia="en-GB"/>
        </w:rPr>
        <w:t xml:space="preserve">V89.6P Infection Occurs in Uninfected Cells’. </w:t>
      </w:r>
      <w:r w:rsidRPr="000C4EF7">
        <w:rPr>
          <w:rFonts w:eastAsia="Times New Roman"/>
          <w:i/>
          <w:iCs/>
          <w:lang w:eastAsia="en-GB"/>
        </w:rPr>
        <w:t>Journal of Virology</w:t>
      </w:r>
      <w:r w:rsidRPr="000C4EF7">
        <w:rPr>
          <w:rFonts w:eastAsia="Times New Roman"/>
          <w:lang w:eastAsia="en-GB"/>
        </w:rPr>
        <w:t xml:space="preserve"> 88 (6): 3202–12. </w:t>
      </w:r>
      <w:hyperlink r:id="rId223" w:history="1">
        <w:r w:rsidRPr="000C4EF7">
          <w:rPr>
            <w:rFonts w:eastAsia="Times New Roman"/>
            <w:color w:val="0000FF"/>
            <w:u w:val="single"/>
            <w:lang w:eastAsia="en-GB"/>
          </w:rPr>
          <w:t>https://doi.org/10.1128/JVI.03428-13</w:t>
        </w:r>
      </w:hyperlink>
      <w:r w:rsidRPr="000C4EF7">
        <w:rPr>
          <w:rFonts w:eastAsia="Times New Roman"/>
          <w:lang w:eastAsia="en-GB"/>
        </w:rPr>
        <w:t>.</w:t>
      </w:r>
    </w:p>
    <w:p w14:paraId="69E227FD" w14:textId="77777777" w:rsidR="000C4EF7" w:rsidRPr="000C4EF7" w:rsidRDefault="000C4EF7" w:rsidP="00B23FF8">
      <w:pPr>
        <w:snapToGrid w:val="0"/>
        <w:spacing w:afterLines="60" w:after="144" w:line="240" w:lineRule="auto"/>
        <w:ind w:hanging="480"/>
        <w:rPr>
          <w:rFonts w:eastAsia="Times New Roman"/>
          <w:lang w:eastAsia="en-GB"/>
        </w:rPr>
      </w:pPr>
      <w:r w:rsidRPr="00D40D5C">
        <w:rPr>
          <w:rFonts w:eastAsia="Times New Roman"/>
          <w:lang w:eastAsia="en-GB"/>
        </w:rPr>
        <w:t>McCall, Laura-Isobel, Wen-Wei Zhang, and Greg Matlashewski. 2013. ‘Determinants fo</w:t>
      </w:r>
      <w:r w:rsidRPr="000C4EF7">
        <w:rPr>
          <w:rFonts w:eastAsia="Times New Roman"/>
          <w:lang w:eastAsia="en-GB"/>
        </w:rPr>
        <w:t xml:space="preserve">r the Development of Visceral Leishmaniasis Disease’. </w:t>
      </w:r>
      <w:r w:rsidRPr="000C4EF7">
        <w:rPr>
          <w:rFonts w:eastAsia="Times New Roman"/>
          <w:i/>
          <w:iCs/>
          <w:lang w:eastAsia="en-GB"/>
        </w:rPr>
        <w:t>PLoS Pathogens</w:t>
      </w:r>
      <w:r w:rsidRPr="000C4EF7">
        <w:rPr>
          <w:rFonts w:eastAsia="Times New Roman"/>
          <w:lang w:eastAsia="en-GB"/>
        </w:rPr>
        <w:t xml:space="preserve"> 9 (1). </w:t>
      </w:r>
      <w:hyperlink r:id="rId224" w:history="1">
        <w:r w:rsidRPr="000C4EF7">
          <w:rPr>
            <w:rFonts w:eastAsia="Times New Roman"/>
            <w:color w:val="0000FF"/>
            <w:u w:val="single"/>
            <w:lang w:eastAsia="en-GB"/>
          </w:rPr>
          <w:t>https://doi.org/10.1371/journal.ppat.</w:t>
        </w:r>
        <w:r w:rsidRPr="00D40D5C">
          <w:rPr>
            <w:rFonts w:eastAsia="Times New Roman"/>
            <w:color w:val="0000FF"/>
            <w:u w:val="single"/>
            <w:lang w:eastAsia="en-GB"/>
          </w:rPr>
          <w:t>1003053</w:t>
        </w:r>
      </w:hyperlink>
      <w:r w:rsidRPr="000C4EF7">
        <w:rPr>
          <w:rFonts w:eastAsia="Times New Roman"/>
          <w:lang w:eastAsia="en-GB"/>
        </w:rPr>
        <w:t>.</w:t>
      </w:r>
    </w:p>
    <w:p w14:paraId="24250288" w14:textId="77777777" w:rsidR="000C4EF7" w:rsidRPr="000C4EF7" w:rsidRDefault="000C4EF7" w:rsidP="00B23FF8">
      <w:pPr>
        <w:snapToGrid w:val="0"/>
        <w:spacing w:afterLines="60" w:after="144" w:line="240" w:lineRule="auto"/>
        <w:ind w:hanging="480"/>
        <w:rPr>
          <w:rFonts w:eastAsia="Times New Roman"/>
          <w:lang w:eastAsia="en-GB"/>
        </w:rPr>
      </w:pPr>
      <w:r w:rsidRPr="00D40D5C">
        <w:rPr>
          <w:rFonts w:eastAsia="Times New Roman"/>
          <w:lang w:eastAsia="en-GB"/>
        </w:rPr>
        <w:t>McLane, Adam J., Christina Semeniuk, Gregory J. McDermid, and Danielle J.</w:t>
      </w:r>
      <w:r w:rsidRPr="000C4EF7">
        <w:rPr>
          <w:rFonts w:eastAsia="Times New Roman"/>
          <w:lang w:eastAsia="en-GB"/>
        </w:rPr>
        <w:t xml:space="preserve"> Marceau. 2011. ‘The Role of Agent-Based Models in Wildlife Ecology and Management’. </w:t>
      </w:r>
      <w:r w:rsidRPr="000C4EF7">
        <w:rPr>
          <w:rFonts w:eastAsia="Times New Roman"/>
          <w:i/>
          <w:iCs/>
          <w:lang w:eastAsia="en-GB"/>
        </w:rPr>
        <w:t>Ecological Modelling</w:t>
      </w:r>
      <w:r w:rsidRPr="000C4EF7">
        <w:rPr>
          <w:rFonts w:eastAsia="Times New Roman"/>
          <w:lang w:eastAsia="en-GB"/>
        </w:rPr>
        <w:t xml:space="preserve"> 222 (8): 1544–56. </w:t>
      </w:r>
      <w:hyperlink r:id="rId225" w:history="1">
        <w:r w:rsidRPr="000C4EF7">
          <w:rPr>
            <w:rFonts w:eastAsia="Times New Roman"/>
            <w:color w:val="0000FF"/>
            <w:u w:val="single"/>
            <w:lang w:eastAsia="en-GB"/>
          </w:rPr>
          <w:t>https://doi.org/10.1016/j.ecolmodel.2011.01.020</w:t>
        </w:r>
      </w:hyperlink>
      <w:r w:rsidRPr="000C4EF7">
        <w:rPr>
          <w:rFonts w:eastAsia="Times New Roman"/>
          <w:lang w:eastAsia="en-GB"/>
        </w:rPr>
        <w:t>.</w:t>
      </w:r>
    </w:p>
    <w:p w14:paraId="3ADEEB48" w14:textId="77777777" w:rsidR="000C4EF7" w:rsidRPr="000C4EF7" w:rsidRDefault="000C4EF7" w:rsidP="00B23FF8">
      <w:pPr>
        <w:snapToGrid w:val="0"/>
        <w:spacing w:afterLines="60" w:after="144" w:line="240" w:lineRule="auto"/>
        <w:ind w:hanging="480"/>
        <w:rPr>
          <w:rFonts w:eastAsia="Times New Roman"/>
          <w:lang w:eastAsia="en-GB"/>
        </w:rPr>
      </w:pPr>
      <w:r w:rsidRPr="00D40D5C">
        <w:rPr>
          <w:rFonts w:eastAsia="Times New Roman"/>
          <w:lang w:eastAsia="en-GB"/>
        </w:rPr>
        <w:t>McNamara, Hayley A,</w:t>
      </w:r>
      <w:r w:rsidRPr="000C4EF7">
        <w:rPr>
          <w:rFonts w:eastAsia="Times New Roman"/>
          <w:lang w:eastAsia="en-GB"/>
        </w:rPr>
        <w:t xml:space="preserve"> and Ian A Cockburn. 2016. ‘The Three Rs: Recruitment, Retention and Residence of Leukocytes in the Liver’. </w:t>
      </w:r>
      <w:r w:rsidRPr="000C4EF7">
        <w:rPr>
          <w:rFonts w:eastAsia="Times New Roman"/>
          <w:i/>
          <w:iCs/>
          <w:lang w:eastAsia="en-GB"/>
        </w:rPr>
        <w:t>Clinical &amp; Translational Immunology</w:t>
      </w:r>
      <w:r w:rsidRPr="000C4EF7">
        <w:rPr>
          <w:rFonts w:eastAsia="Times New Roman"/>
          <w:lang w:eastAsia="en-GB"/>
        </w:rPr>
        <w:t xml:space="preserve"> 5 (12): e123. </w:t>
      </w:r>
      <w:hyperlink r:id="rId226" w:history="1">
        <w:r w:rsidRPr="000C4EF7">
          <w:rPr>
            <w:rFonts w:eastAsia="Times New Roman"/>
            <w:color w:val="0000FF"/>
            <w:u w:val="single"/>
            <w:lang w:eastAsia="en-GB"/>
          </w:rPr>
          <w:t>https://doi.org/10.1038/cti.2016.84</w:t>
        </w:r>
      </w:hyperlink>
      <w:r w:rsidRPr="000C4EF7">
        <w:rPr>
          <w:rFonts w:eastAsia="Times New Roman"/>
          <w:lang w:eastAsia="en-GB"/>
        </w:rPr>
        <w:t>.</w:t>
      </w:r>
    </w:p>
    <w:p w14:paraId="14F4F4C3" w14:textId="77777777" w:rsidR="000C4EF7" w:rsidRPr="000C4EF7" w:rsidRDefault="000C4EF7" w:rsidP="00B23FF8">
      <w:pPr>
        <w:snapToGrid w:val="0"/>
        <w:spacing w:afterLines="60" w:after="144" w:line="240" w:lineRule="auto"/>
        <w:ind w:hanging="480"/>
        <w:rPr>
          <w:rFonts w:eastAsia="Times New Roman"/>
          <w:lang w:eastAsia="en-GB"/>
        </w:rPr>
      </w:pPr>
      <w:r w:rsidRPr="00D40D5C">
        <w:rPr>
          <w:rFonts w:eastAsia="Times New Roman"/>
          <w:lang w:eastAsia="en-GB"/>
        </w:rPr>
        <w:t>Melby, P.</w:t>
      </w:r>
      <w:r w:rsidRPr="000C4EF7">
        <w:rPr>
          <w:rFonts w:eastAsia="Times New Roman"/>
          <w:lang w:eastAsia="en-GB"/>
        </w:rPr>
        <w:t xml:space="preserve"> C., Y. Z. Yang, J. Cheng, and W. Zhao. 1998. ‘Regional Differences in the Cellular Immune Response to Experimental Cutaneous or Visceral Infection with Leishmania Donovani’. </w:t>
      </w:r>
      <w:r w:rsidRPr="000C4EF7">
        <w:rPr>
          <w:rFonts w:eastAsia="Times New Roman"/>
          <w:i/>
          <w:iCs/>
          <w:lang w:eastAsia="en-GB"/>
        </w:rPr>
        <w:t>Infection and Immunity</w:t>
      </w:r>
      <w:r w:rsidRPr="000C4EF7">
        <w:rPr>
          <w:rFonts w:eastAsia="Times New Roman"/>
          <w:lang w:eastAsia="en-GB"/>
        </w:rPr>
        <w:t xml:space="preserve"> 66 (1): 18–27.</w:t>
      </w:r>
    </w:p>
    <w:p w14:paraId="145E9AE2" w14:textId="77777777" w:rsidR="000C4EF7" w:rsidRPr="000C4EF7" w:rsidRDefault="000C4EF7" w:rsidP="00B23FF8">
      <w:pPr>
        <w:snapToGrid w:val="0"/>
        <w:spacing w:afterLines="60" w:after="144" w:line="240" w:lineRule="auto"/>
        <w:ind w:hanging="480"/>
        <w:rPr>
          <w:rFonts w:eastAsia="Times New Roman"/>
          <w:lang w:eastAsia="en-GB"/>
        </w:rPr>
      </w:pPr>
      <w:r w:rsidRPr="000C4EF7">
        <w:rPr>
          <w:rFonts w:eastAsia="Times New Roman"/>
          <w:lang w:eastAsia="en-GB"/>
        </w:rPr>
        <w:t xml:space="preserve">Melby, Peter C., Bysani Chandrasekar, Weigou Zhao, and John E. Coe. 2001. ‘The Hamster as a Model of Human Visceral Leishmaniasis: Progressive Disease and Impaired Generation </w:t>
      </w:r>
      <w:r w:rsidRPr="000C4EF7">
        <w:rPr>
          <w:rFonts w:eastAsia="Times New Roman"/>
          <w:lang w:eastAsia="en-GB"/>
        </w:rPr>
        <w:lastRenderedPageBreak/>
        <w:t xml:space="preserve">of Nitric Oxide in the Face of a Prominent Th1-Like Cytokine Response’. </w:t>
      </w:r>
      <w:r w:rsidRPr="000C4EF7">
        <w:rPr>
          <w:rFonts w:eastAsia="Times New Roman"/>
          <w:i/>
          <w:iCs/>
          <w:lang w:eastAsia="en-GB"/>
        </w:rPr>
        <w:t>The Journal of Immunology</w:t>
      </w:r>
      <w:r w:rsidRPr="000C4EF7">
        <w:rPr>
          <w:rFonts w:eastAsia="Times New Roman"/>
          <w:lang w:eastAsia="en-GB"/>
        </w:rPr>
        <w:t xml:space="preserve"> 166 (3): 1912–20. </w:t>
      </w:r>
      <w:hyperlink r:id="rId227" w:history="1">
        <w:r w:rsidRPr="000C4EF7">
          <w:rPr>
            <w:rFonts w:eastAsia="Times New Roman"/>
            <w:color w:val="0000FF"/>
            <w:u w:val="single"/>
            <w:lang w:eastAsia="en-GB"/>
          </w:rPr>
          <w:t>https://doi.org/10.4049/jimmunol.166.3.1912</w:t>
        </w:r>
      </w:hyperlink>
      <w:r w:rsidRPr="000C4EF7">
        <w:rPr>
          <w:rFonts w:eastAsia="Times New Roman"/>
          <w:lang w:eastAsia="en-GB"/>
        </w:rPr>
        <w:t>.</w:t>
      </w:r>
    </w:p>
    <w:p w14:paraId="0C6892DE" w14:textId="77777777" w:rsidR="000C4EF7" w:rsidRPr="000C4EF7" w:rsidRDefault="000C4EF7" w:rsidP="00B23FF8">
      <w:pPr>
        <w:snapToGrid w:val="0"/>
        <w:spacing w:afterLines="60" w:after="144" w:line="240" w:lineRule="auto"/>
        <w:ind w:hanging="480"/>
        <w:rPr>
          <w:rFonts w:eastAsia="Times New Roman"/>
          <w:lang w:eastAsia="en-GB"/>
        </w:rPr>
      </w:pPr>
      <w:r w:rsidRPr="00D40D5C">
        <w:rPr>
          <w:rFonts w:eastAsia="Times New Roman"/>
          <w:lang w:eastAsia="en-GB"/>
        </w:rPr>
        <w:t xml:space="preserve">Mendes, P., and D. Kell. 1998. ‘Non-Linear Optimization of Biochemical Pathways: Applications to Metabolic Engineering and Parameter Estimation’. </w:t>
      </w:r>
      <w:r w:rsidRPr="000C4EF7">
        <w:rPr>
          <w:rFonts w:eastAsia="Times New Roman"/>
          <w:i/>
          <w:iCs/>
          <w:lang w:eastAsia="en-GB"/>
        </w:rPr>
        <w:t>Bioinformatics (Oxford, England)</w:t>
      </w:r>
      <w:r w:rsidRPr="000C4EF7">
        <w:rPr>
          <w:rFonts w:eastAsia="Times New Roman"/>
          <w:lang w:eastAsia="en-GB"/>
        </w:rPr>
        <w:t xml:space="preserve"> 14 (10): 869–83.</w:t>
      </w:r>
    </w:p>
    <w:p w14:paraId="22D6FC0F" w14:textId="77777777" w:rsidR="000C4EF7" w:rsidRPr="000C4EF7" w:rsidRDefault="000C4EF7" w:rsidP="00B23FF8">
      <w:pPr>
        <w:snapToGrid w:val="0"/>
        <w:spacing w:afterLines="60" w:after="144" w:line="240" w:lineRule="auto"/>
        <w:ind w:hanging="480"/>
        <w:rPr>
          <w:rFonts w:eastAsia="Times New Roman"/>
          <w:lang w:eastAsia="en-GB"/>
        </w:rPr>
      </w:pPr>
      <w:r w:rsidRPr="000C4EF7">
        <w:rPr>
          <w:rFonts w:eastAsia="Times New Roman"/>
          <w:lang w:eastAsia="en-GB"/>
        </w:rPr>
        <w:t xml:space="preserve">Metelitsa, Leonid S., Olga V. Naidenko, Anita Kant, Hong-Wei Wu, Matthew J. Loza, Bice Perussia, Mitchell Kronenberg, and Robert C. Seeger. 2001. ‘Human NKT Cells Mediate Antitumor Cytotoxicity Directly by Recognizing Target Cell CD1d with Bound Ligand or Indirectly by Producing IL-2 to Activate NK Cells’. </w:t>
      </w:r>
      <w:r w:rsidRPr="000C4EF7">
        <w:rPr>
          <w:rFonts w:eastAsia="Times New Roman"/>
          <w:i/>
          <w:iCs/>
          <w:lang w:eastAsia="en-GB"/>
        </w:rPr>
        <w:t>The Journal of Immunology</w:t>
      </w:r>
      <w:r w:rsidRPr="000C4EF7">
        <w:rPr>
          <w:rFonts w:eastAsia="Times New Roman"/>
          <w:lang w:eastAsia="en-GB"/>
        </w:rPr>
        <w:t xml:space="preserve"> 167 (6): 3114–22. </w:t>
      </w:r>
      <w:hyperlink r:id="rId228" w:history="1">
        <w:r w:rsidRPr="000C4EF7">
          <w:rPr>
            <w:rFonts w:eastAsia="Times New Roman"/>
            <w:color w:val="0000FF"/>
            <w:u w:val="single"/>
            <w:lang w:eastAsia="en-GB"/>
          </w:rPr>
          <w:t>https://doi.org/10.4049/jimmunol.167.6.3114</w:t>
        </w:r>
      </w:hyperlink>
      <w:r w:rsidRPr="000C4EF7">
        <w:rPr>
          <w:rFonts w:eastAsia="Times New Roman"/>
          <w:lang w:eastAsia="en-GB"/>
        </w:rPr>
        <w:t>.</w:t>
      </w:r>
    </w:p>
    <w:p w14:paraId="2C9081C6" w14:textId="77777777" w:rsidR="000C4EF7" w:rsidRPr="000C4EF7" w:rsidRDefault="000C4EF7" w:rsidP="00B23FF8">
      <w:pPr>
        <w:snapToGrid w:val="0"/>
        <w:spacing w:afterLines="60" w:after="144" w:line="240" w:lineRule="auto"/>
        <w:ind w:hanging="480"/>
        <w:rPr>
          <w:rFonts w:eastAsia="Times New Roman"/>
          <w:lang w:eastAsia="en-GB"/>
        </w:rPr>
      </w:pPr>
      <w:r w:rsidRPr="00D40D5C">
        <w:rPr>
          <w:rFonts w:eastAsia="Times New Roman"/>
          <w:lang w:eastAsia="en-GB"/>
        </w:rPr>
        <w:t xml:space="preserve">Moles, Carmen G., </w:t>
      </w:r>
      <w:r w:rsidRPr="000C4EF7">
        <w:rPr>
          <w:rFonts w:eastAsia="Times New Roman"/>
          <w:lang w:eastAsia="en-GB"/>
        </w:rPr>
        <w:t xml:space="preserve">Pedro Mendes, and Julio R. Banga. 2003. ‘Parameter Estimation in Biochemical Pathways: A Comparison of Global Optimization Methods’. </w:t>
      </w:r>
      <w:r w:rsidRPr="000C4EF7">
        <w:rPr>
          <w:rFonts w:eastAsia="Times New Roman"/>
          <w:i/>
          <w:iCs/>
          <w:lang w:eastAsia="en-GB"/>
        </w:rPr>
        <w:t>Genome Research</w:t>
      </w:r>
      <w:r w:rsidRPr="000C4EF7">
        <w:rPr>
          <w:rFonts w:eastAsia="Times New Roman"/>
          <w:lang w:eastAsia="en-GB"/>
        </w:rPr>
        <w:t xml:space="preserve"> 13 (11): 2467–74. </w:t>
      </w:r>
      <w:hyperlink r:id="rId229" w:history="1">
        <w:r w:rsidRPr="000C4EF7">
          <w:rPr>
            <w:rFonts w:eastAsia="Times New Roman"/>
            <w:color w:val="0000FF"/>
            <w:u w:val="single"/>
            <w:lang w:eastAsia="en-GB"/>
          </w:rPr>
          <w:t>https://doi.org/10.1101/gr.12</w:t>
        </w:r>
        <w:r w:rsidRPr="00D40D5C">
          <w:rPr>
            <w:rFonts w:eastAsia="Times New Roman"/>
            <w:color w:val="0000FF"/>
            <w:u w:val="single"/>
            <w:lang w:eastAsia="en-GB"/>
          </w:rPr>
          <w:t>62503</w:t>
        </w:r>
      </w:hyperlink>
      <w:r w:rsidRPr="000C4EF7">
        <w:rPr>
          <w:rFonts w:eastAsia="Times New Roman"/>
          <w:lang w:eastAsia="en-GB"/>
        </w:rPr>
        <w:t>.</w:t>
      </w:r>
    </w:p>
    <w:p w14:paraId="3ECF56DB" w14:textId="77777777" w:rsidR="000C4EF7" w:rsidRPr="000C4EF7" w:rsidRDefault="000C4EF7" w:rsidP="00B23FF8">
      <w:pPr>
        <w:snapToGrid w:val="0"/>
        <w:spacing w:afterLines="60" w:after="144" w:line="240" w:lineRule="auto"/>
        <w:ind w:hanging="480"/>
        <w:rPr>
          <w:rFonts w:eastAsia="Times New Roman"/>
          <w:lang w:eastAsia="en-GB"/>
        </w:rPr>
      </w:pPr>
      <w:r w:rsidRPr="00D40D5C">
        <w:rPr>
          <w:rFonts w:eastAsia="Times New Roman"/>
          <w:lang w:eastAsia="en-GB"/>
        </w:rPr>
        <w:t>Mö</w:t>
      </w:r>
      <w:r w:rsidRPr="000C4EF7">
        <w:rPr>
          <w:rFonts w:eastAsia="Times New Roman"/>
          <w:lang w:eastAsia="en-GB"/>
        </w:rPr>
        <w:t xml:space="preserve">nkkönen, Jukka, Nico van Rooijen, and Pauli Ylitalo. n.d. ‘Effects of Clodronate and Pamidronate on Splenic and Hepatic Phagocytic Cells of Mice’. </w:t>
      </w:r>
      <w:r w:rsidRPr="000C4EF7">
        <w:rPr>
          <w:rFonts w:eastAsia="Times New Roman"/>
          <w:i/>
          <w:iCs/>
          <w:lang w:eastAsia="en-GB"/>
        </w:rPr>
        <w:t>Pharmacology &amp; Toxicology</w:t>
      </w:r>
      <w:r w:rsidRPr="000C4EF7">
        <w:rPr>
          <w:rFonts w:eastAsia="Times New Roman"/>
          <w:lang w:eastAsia="en-GB"/>
        </w:rPr>
        <w:t xml:space="preserve"> 68 (4): 284–86. </w:t>
      </w:r>
      <w:hyperlink r:id="rId230" w:history="1">
        <w:r w:rsidRPr="000C4EF7">
          <w:rPr>
            <w:rFonts w:eastAsia="Times New Roman"/>
            <w:color w:val="0000FF"/>
            <w:u w:val="single"/>
            <w:lang w:eastAsia="en-GB"/>
          </w:rPr>
          <w:t>https://doi.org/10.1111/j.1600-0773.1991.tb01240.x</w:t>
        </w:r>
      </w:hyperlink>
      <w:r w:rsidRPr="000C4EF7">
        <w:rPr>
          <w:rFonts w:eastAsia="Times New Roman"/>
          <w:lang w:eastAsia="en-GB"/>
        </w:rPr>
        <w:t>.</w:t>
      </w:r>
    </w:p>
    <w:p w14:paraId="3343E5CD" w14:textId="77777777" w:rsidR="000C4EF7" w:rsidRPr="000C4EF7" w:rsidRDefault="000C4EF7" w:rsidP="00B23FF8">
      <w:pPr>
        <w:snapToGrid w:val="0"/>
        <w:spacing w:afterLines="60" w:after="144" w:line="240" w:lineRule="auto"/>
        <w:ind w:hanging="480"/>
        <w:rPr>
          <w:rFonts w:eastAsia="Times New Roman"/>
          <w:lang w:eastAsia="en-GB"/>
        </w:rPr>
      </w:pPr>
      <w:r w:rsidRPr="00D40D5C">
        <w:rPr>
          <w:rFonts w:eastAsia="Times New Roman"/>
          <w:lang w:eastAsia="en-GB"/>
        </w:rPr>
        <w:t xml:space="preserve">Mookerjee Basu, Jayati, Ananda Mookerjee, Prosenjit Sen, Suniti Bhaumik, Pradip Sen, Subha Banerjee, Ksudiram Naskar, et al. 2006. ‘Sodium Antimony Gluconate Induces Generation of Reactive Oxygen Species </w:t>
      </w:r>
      <w:r w:rsidRPr="000C4EF7">
        <w:rPr>
          <w:rFonts w:eastAsia="Times New Roman"/>
          <w:lang w:eastAsia="en-GB"/>
        </w:rPr>
        <w:t xml:space="preserve">and Nitric Oxide via Phosphoinositide 3-Kinase and Mitogen-Activated Protein Kinase Activation in Leishmania Donovani-Infected Macrophages’. </w:t>
      </w:r>
      <w:r w:rsidRPr="000C4EF7">
        <w:rPr>
          <w:rFonts w:eastAsia="Times New Roman"/>
          <w:i/>
          <w:iCs/>
          <w:lang w:eastAsia="en-GB"/>
        </w:rPr>
        <w:t>Antimicrobial Agents and Chemotherapy</w:t>
      </w:r>
      <w:r w:rsidRPr="000C4EF7">
        <w:rPr>
          <w:rFonts w:eastAsia="Times New Roman"/>
          <w:lang w:eastAsia="en-GB"/>
        </w:rPr>
        <w:t xml:space="preserve"> 50 (5): 1788–97. </w:t>
      </w:r>
      <w:hyperlink r:id="rId231" w:history="1">
        <w:r w:rsidRPr="000C4EF7">
          <w:rPr>
            <w:rFonts w:eastAsia="Times New Roman"/>
            <w:color w:val="0000FF"/>
            <w:u w:val="single"/>
            <w:lang w:eastAsia="en-GB"/>
          </w:rPr>
          <w:t>https://doi.org/10.1128/AAC.50.5.1788-1797.2006</w:t>
        </w:r>
      </w:hyperlink>
      <w:r w:rsidRPr="000C4EF7">
        <w:rPr>
          <w:rFonts w:eastAsia="Times New Roman"/>
          <w:lang w:eastAsia="en-GB"/>
        </w:rPr>
        <w:t>.</w:t>
      </w:r>
    </w:p>
    <w:p w14:paraId="4ED3C5EF" w14:textId="77777777" w:rsidR="000C4EF7" w:rsidRPr="000C4EF7" w:rsidRDefault="000C4EF7" w:rsidP="00B23FF8">
      <w:pPr>
        <w:snapToGrid w:val="0"/>
        <w:spacing w:afterLines="60" w:after="144" w:line="240" w:lineRule="auto"/>
        <w:ind w:hanging="480"/>
        <w:rPr>
          <w:rFonts w:eastAsia="Times New Roman"/>
          <w:lang w:eastAsia="en-GB"/>
        </w:rPr>
      </w:pPr>
      <w:r w:rsidRPr="00D40D5C">
        <w:rPr>
          <w:rFonts w:eastAsia="Times New Roman"/>
          <w:lang w:eastAsia="en-GB"/>
        </w:rPr>
        <w:t xml:space="preserve">Moore, John W. J., Daniel Moyo, Lynette Beattie, Paul S. Andrews, Jon Timmis, and Paul M. Kaye. 2013. ‘Functional Complexity of the Leishmania Granuloma and the Potential of in Silico Modeling’. </w:t>
      </w:r>
      <w:r w:rsidRPr="000C4EF7">
        <w:rPr>
          <w:rFonts w:eastAsia="Times New Roman"/>
          <w:i/>
          <w:iCs/>
          <w:lang w:eastAsia="en-GB"/>
        </w:rPr>
        <w:t>Frontiers in Immunology</w:t>
      </w:r>
      <w:r w:rsidRPr="000C4EF7">
        <w:rPr>
          <w:rFonts w:eastAsia="Times New Roman"/>
          <w:lang w:eastAsia="en-GB"/>
        </w:rPr>
        <w:t xml:space="preserve"> 4 (February). </w:t>
      </w:r>
      <w:hyperlink r:id="rId232" w:history="1">
        <w:r w:rsidRPr="000C4EF7">
          <w:rPr>
            <w:rFonts w:eastAsia="Times New Roman"/>
            <w:color w:val="0000FF"/>
            <w:u w:val="single"/>
            <w:lang w:eastAsia="en-GB"/>
          </w:rPr>
          <w:t>https://doi.org/10.3389/fimmu.2013.00035</w:t>
        </w:r>
      </w:hyperlink>
      <w:r w:rsidRPr="000C4EF7">
        <w:rPr>
          <w:rFonts w:eastAsia="Times New Roman"/>
          <w:lang w:eastAsia="en-GB"/>
        </w:rPr>
        <w:t>.</w:t>
      </w:r>
    </w:p>
    <w:p w14:paraId="2D5D4136" w14:textId="77777777" w:rsidR="000C4EF7" w:rsidRPr="000C4EF7" w:rsidRDefault="000C4EF7" w:rsidP="00B23FF8">
      <w:pPr>
        <w:snapToGrid w:val="0"/>
        <w:spacing w:afterLines="60" w:after="144" w:line="240" w:lineRule="auto"/>
        <w:ind w:hanging="480"/>
        <w:rPr>
          <w:rFonts w:eastAsia="Times New Roman"/>
          <w:lang w:eastAsia="en-GB"/>
        </w:rPr>
      </w:pPr>
      <w:r w:rsidRPr="00D40D5C">
        <w:rPr>
          <w:rFonts w:eastAsia="Times New Roman"/>
          <w:lang w:eastAsia="en-GB"/>
        </w:rPr>
        <w:t>Moreira, Nádia das Dores, Juliana Vitoriano-Souza, Bruno Mendes Roatt, Paula Melo de Abreu Vieira, Henrique Gama Ker, Jamille M</w:t>
      </w:r>
      <w:r w:rsidRPr="000C4EF7">
        <w:rPr>
          <w:rFonts w:eastAsia="Times New Roman"/>
          <w:lang w:eastAsia="en-GB"/>
        </w:rPr>
        <w:t xml:space="preserve">irelle de Oliveira Cardoso, Rodolfo Cordeiro Giunchetti, Cláudia Martins Carneiro, Marta de Lana, and Alexandre Barbosa Reis. 2012. ‘Parasite Burden in Hamsters Infected with Two Different Strains of Leishmania (Leishmania) Infantum: “Leishman Donovan Units” versus Real-Time PCR’. </w:t>
      </w:r>
      <w:r w:rsidRPr="000C4EF7">
        <w:rPr>
          <w:rFonts w:eastAsia="Times New Roman"/>
          <w:i/>
          <w:iCs/>
          <w:lang w:eastAsia="en-GB"/>
        </w:rPr>
        <w:t>PloS One</w:t>
      </w:r>
      <w:r w:rsidRPr="000C4EF7">
        <w:rPr>
          <w:rFonts w:eastAsia="Times New Roman"/>
          <w:lang w:eastAsia="en-GB"/>
        </w:rPr>
        <w:t xml:space="preserve"> 7 (10): e47907. </w:t>
      </w:r>
      <w:hyperlink r:id="rId233" w:history="1">
        <w:r w:rsidRPr="000C4EF7">
          <w:rPr>
            <w:rFonts w:eastAsia="Times New Roman"/>
            <w:color w:val="0000FF"/>
            <w:u w:val="single"/>
            <w:lang w:eastAsia="en-GB"/>
          </w:rPr>
          <w:t>https://doi.org/10.1371/journal.pone.0047907</w:t>
        </w:r>
      </w:hyperlink>
      <w:r w:rsidRPr="000C4EF7">
        <w:rPr>
          <w:rFonts w:eastAsia="Times New Roman"/>
          <w:lang w:eastAsia="en-GB"/>
        </w:rPr>
        <w:t>.</w:t>
      </w:r>
    </w:p>
    <w:p w14:paraId="6D9B70DB" w14:textId="77777777" w:rsidR="000C4EF7" w:rsidRPr="000C4EF7" w:rsidRDefault="000C4EF7" w:rsidP="00B23FF8">
      <w:pPr>
        <w:snapToGrid w:val="0"/>
        <w:spacing w:afterLines="60" w:after="144" w:line="240" w:lineRule="auto"/>
        <w:ind w:hanging="480"/>
        <w:rPr>
          <w:rFonts w:eastAsia="Times New Roman"/>
          <w:lang w:eastAsia="en-GB"/>
        </w:rPr>
      </w:pPr>
      <w:r w:rsidRPr="00D40D5C">
        <w:rPr>
          <w:rFonts w:eastAsia="Times New Roman"/>
          <w:lang w:eastAsia="en-GB"/>
        </w:rPr>
        <w:t xml:space="preserve">Moyo, Daniel, Lynette Beattie, Paul S. Andrews, John W. J. Moore, Jon Timmis, Amy Sawtell, Stefan </w:t>
      </w:r>
      <w:r w:rsidRPr="000C4EF7">
        <w:rPr>
          <w:rFonts w:eastAsia="Times New Roman"/>
          <w:lang w:eastAsia="en-GB"/>
        </w:rPr>
        <w:t xml:space="preserve">Hoehme, Adam T. Sampson, and Paul M. Kaye. 2018. ‘Macrophage Transactivation for Chemokine Production Identified as a Negative Regulator of Granulomatous Inflammation Using Agent-Based Modeling’. </w:t>
      </w:r>
      <w:r w:rsidRPr="000C4EF7">
        <w:rPr>
          <w:rFonts w:eastAsia="Times New Roman"/>
          <w:i/>
          <w:iCs/>
          <w:lang w:eastAsia="en-GB"/>
        </w:rPr>
        <w:t>Frontiers in Immunology</w:t>
      </w:r>
      <w:r w:rsidRPr="000C4EF7">
        <w:rPr>
          <w:rFonts w:eastAsia="Times New Roman"/>
          <w:lang w:eastAsia="en-GB"/>
        </w:rPr>
        <w:t xml:space="preserve"> 9 (March). </w:t>
      </w:r>
      <w:hyperlink r:id="rId234" w:history="1">
        <w:r w:rsidRPr="000C4EF7">
          <w:rPr>
            <w:rFonts w:eastAsia="Times New Roman"/>
            <w:color w:val="0000FF"/>
            <w:u w:val="single"/>
            <w:lang w:eastAsia="en-GB"/>
          </w:rPr>
          <w:t>https://doi.org/10.3389/fimmu.2018.00637</w:t>
        </w:r>
      </w:hyperlink>
      <w:r w:rsidRPr="000C4EF7">
        <w:rPr>
          <w:rFonts w:eastAsia="Times New Roman"/>
          <w:lang w:eastAsia="en-GB"/>
        </w:rPr>
        <w:t>.</w:t>
      </w:r>
    </w:p>
    <w:p w14:paraId="7F458342" w14:textId="77777777" w:rsidR="000C4EF7" w:rsidRPr="000C4EF7" w:rsidRDefault="000C4EF7" w:rsidP="00B23FF8">
      <w:pPr>
        <w:snapToGrid w:val="0"/>
        <w:spacing w:afterLines="60" w:after="144" w:line="240" w:lineRule="auto"/>
        <w:ind w:hanging="480"/>
        <w:rPr>
          <w:rFonts w:eastAsia="Times New Roman"/>
          <w:lang w:eastAsia="en-GB"/>
        </w:rPr>
      </w:pPr>
      <w:r w:rsidRPr="00D40D5C">
        <w:rPr>
          <w:rFonts w:eastAsia="Times New Roman"/>
          <w:lang w:eastAsia="en-GB"/>
        </w:rPr>
        <w:t xml:space="preserve">Mukhopadhyay, Debanjan, Jane E. Dalton, Paul M. Kaye, and Mitali Chatterjee. 2014. ‘Post Kala-Azar Dermal Leishmaniasis: An Unresolved Mystery’. </w:t>
      </w:r>
      <w:r w:rsidRPr="000C4EF7">
        <w:rPr>
          <w:rFonts w:eastAsia="Times New Roman"/>
          <w:i/>
          <w:iCs/>
          <w:lang w:eastAsia="en-GB"/>
        </w:rPr>
        <w:t>Trends in Parasitology</w:t>
      </w:r>
      <w:r w:rsidRPr="000C4EF7">
        <w:rPr>
          <w:rFonts w:eastAsia="Times New Roman"/>
          <w:lang w:eastAsia="en-GB"/>
        </w:rPr>
        <w:t xml:space="preserve"> 30 (2): 65–74. </w:t>
      </w:r>
      <w:hyperlink r:id="rId235" w:history="1">
        <w:r w:rsidRPr="000C4EF7">
          <w:rPr>
            <w:rFonts w:eastAsia="Times New Roman"/>
            <w:color w:val="0000FF"/>
            <w:u w:val="single"/>
            <w:lang w:eastAsia="en-GB"/>
          </w:rPr>
          <w:t>https://doi.org/10.1016/j.pt.2013.12.004</w:t>
        </w:r>
      </w:hyperlink>
      <w:r w:rsidRPr="000C4EF7">
        <w:rPr>
          <w:rFonts w:eastAsia="Times New Roman"/>
          <w:lang w:eastAsia="en-GB"/>
        </w:rPr>
        <w:t>.</w:t>
      </w:r>
    </w:p>
    <w:p w14:paraId="28C96500" w14:textId="77777777" w:rsidR="000C4EF7" w:rsidRPr="000C4EF7" w:rsidRDefault="000C4EF7" w:rsidP="00B23FF8">
      <w:pPr>
        <w:snapToGrid w:val="0"/>
        <w:spacing w:afterLines="60" w:after="144" w:line="240" w:lineRule="auto"/>
        <w:ind w:hanging="480"/>
        <w:rPr>
          <w:rFonts w:eastAsia="Times New Roman"/>
          <w:lang w:eastAsia="en-GB"/>
        </w:rPr>
      </w:pPr>
      <w:r w:rsidRPr="00D40D5C">
        <w:rPr>
          <w:rFonts w:eastAsia="Times New Roman"/>
          <w:lang w:eastAsia="en-GB"/>
        </w:rPr>
        <w:t>Murray, H. W. 1982. ‘Cell-Mediated Immune Response in Experimental Visceral Leishmaniasis. II. Oxygen-Dependent Killing of Intracellular Leishmania Donovani</w:t>
      </w:r>
      <w:r w:rsidRPr="000C4EF7">
        <w:rPr>
          <w:rFonts w:eastAsia="Times New Roman"/>
          <w:lang w:eastAsia="en-GB"/>
        </w:rPr>
        <w:t xml:space="preserve"> Amastigotes’. </w:t>
      </w:r>
      <w:r w:rsidRPr="000C4EF7">
        <w:rPr>
          <w:rFonts w:eastAsia="Times New Roman"/>
          <w:i/>
          <w:iCs/>
          <w:lang w:eastAsia="en-GB"/>
        </w:rPr>
        <w:t>Journal of Immunology (Baltimore, Md.: 1950)</w:t>
      </w:r>
      <w:r w:rsidRPr="000C4EF7">
        <w:rPr>
          <w:rFonts w:eastAsia="Times New Roman"/>
          <w:lang w:eastAsia="en-GB"/>
        </w:rPr>
        <w:t xml:space="preserve"> 129 (1): 351–57.</w:t>
      </w:r>
    </w:p>
    <w:p w14:paraId="51348BBD" w14:textId="77777777" w:rsidR="000C4EF7" w:rsidRPr="000C4EF7" w:rsidRDefault="000C4EF7" w:rsidP="00B23FF8">
      <w:pPr>
        <w:snapToGrid w:val="0"/>
        <w:spacing w:afterLines="60" w:after="144" w:line="240" w:lineRule="auto"/>
        <w:ind w:hanging="480"/>
        <w:rPr>
          <w:rFonts w:eastAsia="Times New Roman"/>
          <w:lang w:eastAsia="en-GB"/>
        </w:rPr>
      </w:pPr>
      <w:r w:rsidRPr="000C4EF7">
        <w:rPr>
          <w:rFonts w:eastAsia="Times New Roman"/>
          <w:lang w:eastAsia="en-GB"/>
        </w:rPr>
        <w:t xml:space="preserve">Murray, H. W 1990. ‘Effect of Continuous Administration of Interferon-Gamma in Experimental Visceral Leishmaniasis’. </w:t>
      </w:r>
      <w:r w:rsidRPr="000C4EF7">
        <w:rPr>
          <w:rFonts w:eastAsia="Times New Roman"/>
          <w:i/>
          <w:iCs/>
          <w:lang w:eastAsia="en-GB"/>
        </w:rPr>
        <w:t>The Journal of Infectious Diseases</w:t>
      </w:r>
      <w:r w:rsidRPr="000C4EF7">
        <w:rPr>
          <w:rFonts w:eastAsia="Times New Roman"/>
          <w:lang w:eastAsia="en-GB"/>
        </w:rPr>
        <w:t xml:space="preserve"> 161 (5): 992–94.</w:t>
      </w:r>
    </w:p>
    <w:p w14:paraId="67E1AA39" w14:textId="77777777" w:rsidR="000C4EF7" w:rsidRPr="000C4EF7" w:rsidRDefault="000C4EF7" w:rsidP="00B23FF8">
      <w:pPr>
        <w:snapToGrid w:val="0"/>
        <w:spacing w:afterLines="60" w:after="144" w:line="240" w:lineRule="auto"/>
        <w:ind w:hanging="480"/>
        <w:rPr>
          <w:rFonts w:eastAsia="Times New Roman"/>
          <w:lang w:eastAsia="en-GB"/>
        </w:rPr>
      </w:pPr>
      <w:r w:rsidRPr="000C4EF7">
        <w:rPr>
          <w:rFonts w:eastAsia="Times New Roman"/>
          <w:lang w:eastAsia="en-GB"/>
        </w:rPr>
        <w:lastRenderedPageBreak/>
        <w:t xml:space="preserve">Murray, H. W 2001. ‘Tissue Granuloma Structure-Function in Experimental Visceral Leishmaniasis’. </w:t>
      </w:r>
      <w:r w:rsidRPr="000C4EF7">
        <w:rPr>
          <w:rFonts w:eastAsia="Times New Roman"/>
          <w:i/>
          <w:iCs/>
          <w:lang w:eastAsia="en-GB"/>
        </w:rPr>
        <w:t>International Journal of Experimental Pathology</w:t>
      </w:r>
      <w:r w:rsidRPr="000C4EF7">
        <w:rPr>
          <w:rFonts w:eastAsia="Times New Roman"/>
          <w:lang w:eastAsia="en-GB"/>
        </w:rPr>
        <w:t xml:space="preserve"> 82 (5): 249–67.</w:t>
      </w:r>
    </w:p>
    <w:p w14:paraId="574C415F" w14:textId="77777777" w:rsidR="000C4EF7" w:rsidRPr="000C4EF7" w:rsidRDefault="000C4EF7" w:rsidP="00B23FF8">
      <w:pPr>
        <w:snapToGrid w:val="0"/>
        <w:spacing w:afterLines="60" w:after="144" w:line="240" w:lineRule="auto"/>
        <w:ind w:hanging="480"/>
        <w:rPr>
          <w:rFonts w:eastAsia="Times New Roman"/>
          <w:lang w:eastAsia="en-GB"/>
        </w:rPr>
      </w:pPr>
      <w:r w:rsidRPr="000C4EF7">
        <w:rPr>
          <w:rFonts w:eastAsia="Times New Roman"/>
          <w:lang w:eastAsia="en-GB"/>
        </w:rPr>
        <w:t xml:space="preserve">Murray, H. W., and C. F. Nathan. 1999. ‘Macrophage Microbicidal Mechanisms in Vivo: Reactive Nitrogen versus Oxygen Intermediates in the Killing of Intracellular Visceral Leishmania Donovani’. </w:t>
      </w:r>
      <w:r w:rsidRPr="000C4EF7">
        <w:rPr>
          <w:rFonts w:eastAsia="Times New Roman"/>
          <w:i/>
          <w:iCs/>
          <w:lang w:eastAsia="en-GB"/>
        </w:rPr>
        <w:t>The Journal of Experimental Medicine</w:t>
      </w:r>
      <w:r w:rsidRPr="000C4EF7">
        <w:rPr>
          <w:rFonts w:eastAsia="Times New Roman"/>
          <w:lang w:eastAsia="en-GB"/>
        </w:rPr>
        <w:t xml:space="preserve"> 189 (4): 741–46.</w:t>
      </w:r>
    </w:p>
    <w:p w14:paraId="2374AC3C" w14:textId="77777777" w:rsidR="000C4EF7" w:rsidRPr="000C4EF7" w:rsidRDefault="000C4EF7" w:rsidP="00B23FF8">
      <w:pPr>
        <w:snapToGrid w:val="0"/>
        <w:spacing w:afterLines="60" w:after="144" w:line="240" w:lineRule="auto"/>
        <w:ind w:hanging="480"/>
        <w:rPr>
          <w:rFonts w:eastAsia="Times New Roman"/>
          <w:lang w:eastAsia="en-GB"/>
        </w:rPr>
      </w:pPr>
      <w:r w:rsidRPr="000C4EF7">
        <w:rPr>
          <w:rFonts w:eastAsia="Times New Roman"/>
          <w:lang w:eastAsia="en-GB"/>
        </w:rPr>
        <w:t xml:space="preserve">Murray, Henry W., and Carl F. Nathan. 1999. ‘Macrophage Microbicidal Mechanisms In Vivo: Reactive Nitrogen versus Oxygen Intermediates in the Killing of Intracellular Visceral Leishmania Donovani’. </w:t>
      </w:r>
      <w:r w:rsidRPr="000C4EF7">
        <w:rPr>
          <w:rFonts w:eastAsia="Times New Roman"/>
          <w:i/>
          <w:iCs/>
          <w:lang w:eastAsia="en-GB"/>
        </w:rPr>
        <w:t>The Journal of Experimental Medicine</w:t>
      </w:r>
      <w:r w:rsidRPr="000C4EF7">
        <w:rPr>
          <w:rFonts w:eastAsia="Times New Roman"/>
          <w:lang w:eastAsia="en-GB"/>
        </w:rPr>
        <w:t xml:space="preserve"> 189 (4): 741–46.</w:t>
      </w:r>
    </w:p>
    <w:p w14:paraId="4E0041A7" w14:textId="77777777" w:rsidR="000C4EF7" w:rsidRPr="000C4EF7" w:rsidRDefault="000C4EF7" w:rsidP="00B23FF8">
      <w:pPr>
        <w:snapToGrid w:val="0"/>
        <w:spacing w:afterLines="60" w:after="144" w:line="240" w:lineRule="auto"/>
        <w:ind w:hanging="480"/>
        <w:rPr>
          <w:rFonts w:eastAsia="Times New Roman"/>
          <w:lang w:eastAsia="en-GB"/>
        </w:rPr>
      </w:pPr>
      <w:r w:rsidRPr="000C4EF7">
        <w:rPr>
          <w:rFonts w:eastAsia="Times New Roman"/>
          <w:lang w:eastAsia="en-GB"/>
        </w:rPr>
        <w:t xml:space="preserve">Murray, Henry W., Yunhua Zhang, Yan Zhang, Vanitha S. Raman, Steven G. Reed, and Xiaojing Ma. 2013. ‘Regulatory Actions of Toll-like Receptor 2 (TLR2) and TLR4 in Leishmania Donovani Infection in the Liver’. </w:t>
      </w:r>
      <w:r w:rsidRPr="000C4EF7">
        <w:rPr>
          <w:rFonts w:eastAsia="Times New Roman"/>
          <w:i/>
          <w:iCs/>
          <w:lang w:eastAsia="en-GB"/>
        </w:rPr>
        <w:t>Infection and Immunity</w:t>
      </w:r>
      <w:r w:rsidRPr="000C4EF7">
        <w:rPr>
          <w:rFonts w:eastAsia="Times New Roman"/>
          <w:lang w:eastAsia="en-GB"/>
        </w:rPr>
        <w:t xml:space="preserve"> 81 (7): 2318–26. </w:t>
      </w:r>
      <w:hyperlink r:id="rId236" w:history="1">
        <w:r w:rsidRPr="000C4EF7">
          <w:rPr>
            <w:rFonts w:eastAsia="Times New Roman"/>
            <w:color w:val="0000FF"/>
            <w:u w:val="single"/>
            <w:lang w:eastAsia="en-GB"/>
          </w:rPr>
          <w:t>https://doi.org/10.1128/IAI.01468-12</w:t>
        </w:r>
      </w:hyperlink>
      <w:r w:rsidRPr="000C4EF7">
        <w:rPr>
          <w:rFonts w:eastAsia="Times New Roman"/>
          <w:lang w:eastAsia="en-GB"/>
        </w:rPr>
        <w:t>.</w:t>
      </w:r>
    </w:p>
    <w:p w14:paraId="7AE384EC" w14:textId="77777777" w:rsidR="000C4EF7" w:rsidRPr="000C4EF7" w:rsidRDefault="000C4EF7" w:rsidP="00B23FF8">
      <w:pPr>
        <w:snapToGrid w:val="0"/>
        <w:spacing w:afterLines="60" w:after="144" w:line="240" w:lineRule="auto"/>
        <w:ind w:hanging="480"/>
        <w:rPr>
          <w:rFonts w:eastAsia="Times New Roman"/>
          <w:lang w:eastAsia="en-GB"/>
        </w:rPr>
      </w:pPr>
      <w:r w:rsidRPr="00D40D5C">
        <w:rPr>
          <w:rFonts w:eastAsia="Times New Roman"/>
          <w:lang w:eastAsia="en-GB"/>
        </w:rPr>
        <w:t xml:space="preserve">Murray, Kathleen A. 2012. ‘Chapter </w:t>
      </w:r>
      <w:r w:rsidRPr="000C4EF7">
        <w:rPr>
          <w:rFonts w:eastAsia="Times New Roman"/>
          <w:lang w:eastAsia="en-GB"/>
        </w:rPr>
        <w:t xml:space="preserve">27 - Anatomy, Physiology, and Behavior’. In </w:t>
      </w:r>
      <w:r w:rsidRPr="000C4EF7">
        <w:rPr>
          <w:rFonts w:eastAsia="Times New Roman"/>
          <w:i/>
          <w:iCs/>
          <w:lang w:eastAsia="en-GB"/>
        </w:rPr>
        <w:t>The Laboratory Rabbit, Guinea Pig, Hamster, and Other Rodents</w:t>
      </w:r>
      <w:r w:rsidRPr="000C4EF7">
        <w:rPr>
          <w:rFonts w:eastAsia="Times New Roman"/>
          <w:lang w:eastAsia="en-GB"/>
        </w:rPr>
        <w:t xml:space="preserve">, edited by Mark A. Suckow, Karla A. Stevens, and Ronald P. Wilson, 753–63. American College of Laboratory Animal Medicine. Boston: Academic Press. </w:t>
      </w:r>
      <w:hyperlink r:id="rId237" w:history="1">
        <w:r w:rsidRPr="000C4EF7">
          <w:rPr>
            <w:rFonts w:eastAsia="Times New Roman"/>
            <w:color w:val="0000FF"/>
            <w:u w:val="single"/>
            <w:lang w:eastAsia="en-GB"/>
          </w:rPr>
          <w:t>https://doi.org/10.1016/B</w:t>
        </w:r>
        <w:r w:rsidRPr="00D40D5C">
          <w:rPr>
            <w:rFonts w:eastAsia="Times New Roman"/>
            <w:color w:val="0000FF"/>
            <w:u w:val="single"/>
            <w:lang w:eastAsia="en-GB"/>
          </w:rPr>
          <w:t>978-0-12-380920-9.00027-4</w:t>
        </w:r>
      </w:hyperlink>
      <w:r w:rsidRPr="000C4EF7">
        <w:rPr>
          <w:rFonts w:eastAsia="Times New Roman"/>
          <w:lang w:eastAsia="en-GB"/>
        </w:rPr>
        <w:t>.</w:t>
      </w:r>
    </w:p>
    <w:p w14:paraId="056F4919" w14:textId="77777777" w:rsidR="000C4EF7" w:rsidRPr="000C4EF7" w:rsidRDefault="000C4EF7" w:rsidP="00B23FF8">
      <w:pPr>
        <w:snapToGrid w:val="0"/>
        <w:spacing w:afterLines="60" w:after="144" w:line="240" w:lineRule="auto"/>
        <w:ind w:hanging="480"/>
        <w:rPr>
          <w:rFonts w:eastAsia="Times New Roman"/>
          <w:lang w:eastAsia="en-GB"/>
        </w:rPr>
      </w:pPr>
      <w:r w:rsidRPr="00D40D5C">
        <w:rPr>
          <w:rFonts w:eastAsia="Times New Roman"/>
          <w:lang w:eastAsia="en-GB"/>
        </w:rPr>
        <w:t>Nacy, C. A., and C. L. Diggs. 1981. ‘Intracellular Replication of Leishmania Tropica in Mouse Peritoneal Macrophages: Comparison of Amastigo</w:t>
      </w:r>
      <w:r w:rsidRPr="000C4EF7">
        <w:rPr>
          <w:rFonts w:eastAsia="Times New Roman"/>
          <w:lang w:eastAsia="en-GB"/>
        </w:rPr>
        <w:t xml:space="preserve">te Replication in Adherent and Nonadherent Macrophages’. </w:t>
      </w:r>
      <w:r w:rsidRPr="000C4EF7">
        <w:rPr>
          <w:rFonts w:eastAsia="Times New Roman"/>
          <w:i/>
          <w:iCs/>
          <w:lang w:eastAsia="en-GB"/>
        </w:rPr>
        <w:t>Infection and Immunity</w:t>
      </w:r>
      <w:r w:rsidRPr="000C4EF7">
        <w:rPr>
          <w:rFonts w:eastAsia="Times New Roman"/>
          <w:lang w:eastAsia="en-GB"/>
        </w:rPr>
        <w:t xml:space="preserve"> 34 (1): 310–13.</w:t>
      </w:r>
    </w:p>
    <w:p w14:paraId="19540533" w14:textId="77777777" w:rsidR="000C4EF7" w:rsidRPr="000C4EF7" w:rsidRDefault="000C4EF7" w:rsidP="00B23FF8">
      <w:pPr>
        <w:snapToGrid w:val="0"/>
        <w:spacing w:afterLines="60" w:after="144" w:line="240" w:lineRule="auto"/>
        <w:ind w:hanging="480"/>
        <w:rPr>
          <w:rFonts w:eastAsia="Times New Roman"/>
          <w:lang w:eastAsia="en-GB"/>
        </w:rPr>
      </w:pPr>
      <w:r w:rsidRPr="000C4EF7">
        <w:rPr>
          <w:rFonts w:eastAsia="Times New Roman"/>
          <w:lang w:eastAsia="en-GB"/>
        </w:rPr>
        <w:t xml:space="preserve">Olliaro, P., and S. Sundar. 2009. ‘Anthropometrically Derived Dosing and Drug Costing Calculations for Treating Visceral Leishmaniasis in Bihar, India’. </w:t>
      </w:r>
      <w:r w:rsidRPr="000C4EF7">
        <w:rPr>
          <w:rFonts w:eastAsia="Times New Roman"/>
          <w:i/>
          <w:iCs/>
          <w:lang w:eastAsia="en-GB"/>
        </w:rPr>
        <w:t>Tropical Medicine &amp; International Health</w:t>
      </w:r>
      <w:r w:rsidRPr="000C4EF7">
        <w:rPr>
          <w:rFonts w:eastAsia="Times New Roman"/>
          <w:lang w:eastAsia="en-GB"/>
        </w:rPr>
        <w:t xml:space="preserve"> 14 (1): 88–92. </w:t>
      </w:r>
      <w:hyperlink r:id="rId238" w:history="1">
        <w:r w:rsidRPr="000C4EF7">
          <w:rPr>
            <w:rFonts w:eastAsia="Times New Roman"/>
            <w:color w:val="0000FF"/>
            <w:u w:val="single"/>
            <w:lang w:eastAsia="en-GB"/>
          </w:rPr>
          <w:t>https://doi.org/10.1111/j.1365-3156.2008.02195.x</w:t>
        </w:r>
      </w:hyperlink>
      <w:r w:rsidRPr="000C4EF7">
        <w:rPr>
          <w:rFonts w:eastAsia="Times New Roman"/>
          <w:lang w:eastAsia="en-GB"/>
        </w:rPr>
        <w:t>.</w:t>
      </w:r>
    </w:p>
    <w:p w14:paraId="47582315" w14:textId="77777777" w:rsidR="000C4EF7" w:rsidRPr="000C4EF7" w:rsidRDefault="000C4EF7" w:rsidP="00B23FF8">
      <w:pPr>
        <w:snapToGrid w:val="0"/>
        <w:spacing w:afterLines="60" w:after="144" w:line="240" w:lineRule="auto"/>
        <w:ind w:hanging="480"/>
        <w:rPr>
          <w:rFonts w:eastAsia="Times New Roman"/>
          <w:lang w:eastAsia="en-GB"/>
        </w:rPr>
      </w:pPr>
      <w:r w:rsidRPr="00D40D5C">
        <w:rPr>
          <w:rFonts w:eastAsia="Times New Roman"/>
          <w:lang w:eastAsia="en-GB"/>
        </w:rPr>
        <w:t>Paila, Yamuna Devi, Bhaskar Saha, and Amitabha Chattopadhyay. 2010. ‘Amphotericin B Inhibits</w:t>
      </w:r>
      <w:r w:rsidRPr="000C4EF7">
        <w:rPr>
          <w:rFonts w:eastAsia="Times New Roman"/>
          <w:lang w:eastAsia="en-GB"/>
        </w:rPr>
        <w:t xml:space="preserve"> Entry of Leishmania Donovani into Primary Macrophages’. </w:t>
      </w:r>
      <w:r w:rsidRPr="000C4EF7">
        <w:rPr>
          <w:rFonts w:eastAsia="Times New Roman"/>
          <w:i/>
          <w:iCs/>
          <w:lang w:eastAsia="en-GB"/>
        </w:rPr>
        <w:t>Biochemical and Biophysical Research Communications</w:t>
      </w:r>
      <w:r w:rsidRPr="000C4EF7">
        <w:rPr>
          <w:rFonts w:eastAsia="Times New Roman"/>
          <w:lang w:eastAsia="en-GB"/>
        </w:rPr>
        <w:t xml:space="preserve"> 399 (3): 429–33. </w:t>
      </w:r>
      <w:hyperlink r:id="rId239" w:history="1">
        <w:r w:rsidRPr="000C4EF7">
          <w:rPr>
            <w:rFonts w:eastAsia="Times New Roman"/>
            <w:color w:val="0000FF"/>
            <w:u w:val="single"/>
            <w:lang w:eastAsia="en-GB"/>
          </w:rPr>
          <w:t>https://doi.org/10.1016/j.bbrc.2010.07.099</w:t>
        </w:r>
      </w:hyperlink>
      <w:r w:rsidRPr="000C4EF7">
        <w:rPr>
          <w:rFonts w:eastAsia="Times New Roman"/>
          <w:lang w:eastAsia="en-GB"/>
        </w:rPr>
        <w:t>.</w:t>
      </w:r>
    </w:p>
    <w:p w14:paraId="1B46C741" w14:textId="77777777" w:rsidR="000C4EF7" w:rsidRPr="000C4EF7" w:rsidRDefault="000C4EF7" w:rsidP="00B23FF8">
      <w:pPr>
        <w:snapToGrid w:val="0"/>
        <w:spacing w:afterLines="60" w:after="144" w:line="240" w:lineRule="auto"/>
        <w:ind w:hanging="480"/>
        <w:rPr>
          <w:rFonts w:eastAsia="Times New Roman"/>
          <w:lang w:eastAsia="en-GB"/>
        </w:rPr>
      </w:pPr>
      <w:r w:rsidRPr="00D40D5C">
        <w:rPr>
          <w:rFonts w:eastAsia="Times New Roman"/>
          <w:lang w:eastAsia="en-GB"/>
        </w:rPr>
        <w:t>Paraguai de Souza, E., A. P</w:t>
      </w:r>
      <w:r w:rsidRPr="000C4EF7">
        <w:rPr>
          <w:rFonts w:eastAsia="Times New Roman"/>
          <w:lang w:eastAsia="en-GB"/>
        </w:rPr>
        <w:t xml:space="preserve">. Esteves Pereira, F. C. Machado, M. F. Melo, T. Souto-Padrón, M. Palatnik, and C. B. Palatnik-de-Sousa. 2001. ‘Occurrence of Leishmania Donovani Parasitemia in Plasma of Infected Hamsters’. </w:t>
      </w:r>
      <w:r w:rsidRPr="000C4EF7">
        <w:rPr>
          <w:rFonts w:eastAsia="Times New Roman"/>
          <w:i/>
          <w:iCs/>
          <w:lang w:eastAsia="en-GB"/>
        </w:rPr>
        <w:t>Acta Tropica</w:t>
      </w:r>
      <w:r w:rsidRPr="000C4EF7">
        <w:rPr>
          <w:rFonts w:eastAsia="Times New Roman"/>
          <w:lang w:eastAsia="en-GB"/>
        </w:rPr>
        <w:t xml:space="preserve"> 80 (1): 69–75.</w:t>
      </w:r>
    </w:p>
    <w:p w14:paraId="0556CE4D" w14:textId="77777777" w:rsidR="000C4EF7" w:rsidRPr="000C4EF7" w:rsidRDefault="000C4EF7" w:rsidP="00B23FF8">
      <w:pPr>
        <w:snapToGrid w:val="0"/>
        <w:spacing w:afterLines="60" w:after="144" w:line="240" w:lineRule="auto"/>
        <w:ind w:hanging="480"/>
        <w:rPr>
          <w:rFonts w:eastAsia="Times New Roman"/>
          <w:lang w:eastAsia="en-GB"/>
        </w:rPr>
      </w:pPr>
      <w:r w:rsidRPr="000C4EF7">
        <w:rPr>
          <w:rFonts w:eastAsia="Times New Roman"/>
          <w:lang w:eastAsia="en-GB"/>
        </w:rPr>
        <w:t xml:space="preserve">Patel, Amit A., Yan Zhang, James N. Fullerton, Lies Boelen, Anthony Rongvaux, Alexander A. Maini, Venetia Bigley, et al. 2017. ‘The Fate and Lifespan of Human Monocyte Subsets in Steady State and Systemic Inflammation’. </w:t>
      </w:r>
      <w:r w:rsidRPr="000C4EF7">
        <w:rPr>
          <w:rFonts w:eastAsia="Times New Roman"/>
          <w:i/>
          <w:iCs/>
          <w:lang w:eastAsia="en-GB"/>
        </w:rPr>
        <w:t>The Journal of Experimental Medicine</w:t>
      </w:r>
      <w:r w:rsidRPr="000C4EF7">
        <w:rPr>
          <w:rFonts w:eastAsia="Times New Roman"/>
          <w:lang w:eastAsia="en-GB"/>
        </w:rPr>
        <w:t xml:space="preserve"> 214 (7): 1913–23. </w:t>
      </w:r>
      <w:hyperlink r:id="rId240" w:history="1">
        <w:r w:rsidRPr="000C4EF7">
          <w:rPr>
            <w:rFonts w:eastAsia="Times New Roman"/>
            <w:color w:val="0000FF"/>
            <w:u w:val="single"/>
            <w:lang w:eastAsia="en-GB"/>
          </w:rPr>
          <w:t>https://doi.org/10.1084/jem.20170355</w:t>
        </w:r>
      </w:hyperlink>
      <w:r w:rsidRPr="000C4EF7">
        <w:rPr>
          <w:rFonts w:eastAsia="Times New Roman"/>
          <w:lang w:eastAsia="en-GB"/>
        </w:rPr>
        <w:t>.</w:t>
      </w:r>
    </w:p>
    <w:p w14:paraId="6E351099" w14:textId="77777777" w:rsidR="000C4EF7" w:rsidRPr="000C4EF7" w:rsidRDefault="000C4EF7" w:rsidP="00B23FF8">
      <w:pPr>
        <w:snapToGrid w:val="0"/>
        <w:spacing w:afterLines="60" w:after="144" w:line="240" w:lineRule="auto"/>
        <w:ind w:hanging="480"/>
        <w:rPr>
          <w:rFonts w:eastAsia="Times New Roman"/>
          <w:lang w:eastAsia="en-GB"/>
        </w:rPr>
      </w:pPr>
      <w:r w:rsidRPr="00D40D5C">
        <w:rPr>
          <w:rFonts w:eastAsia="Times New Roman"/>
          <w:lang w:eastAsia="en-GB"/>
        </w:rPr>
        <w:t xml:space="preserve">Pavli, Androula, and Helena C. Maltezou. 2010. ‘Leishmaniasis, an Emerging Infection in Travelers’. </w:t>
      </w:r>
      <w:r w:rsidRPr="000C4EF7">
        <w:rPr>
          <w:rFonts w:eastAsia="Times New Roman"/>
          <w:i/>
          <w:iCs/>
          <w:lang w:eastAsia="en-GB"/>
        </w:rPr>
        <w:t>International Journal of Infectious Diseases</w:t>
      </w:r>
      <w:r w:rsidRPr="000C4EF7">
        <w:rPr>
          <w:rFonts w:eastAsia="Times New Roman"/>
          <w:lang w:eastAsia="en-GB"/>
        </w:rPr>
        <w:t xml:space="preserve"> 14 (12): e1032–39. </w:t>
      </w:r>
      <w:hyperlink r:id="rId241" w:history="1">
        <w:r w:rsidRPr="000C4EF7">
          <w:rPr>
            <w:rFonts w:eastAsia="Times New Roman"/>
            <w:color w:val="0000FF"/>
            <w:u w:val="single"/>
            <w:lang w:eastAsia="en-GB"/>
          </w:rPr>
          <w:t>https://doi.org/10.1016/j.ijid.2010.06.019</w:t>
        </w:r>
      </w:hyperlink>
      <w:r w:rsidRPr="000C4EF7">
        <w:rPr>
          <w:rFonts w:eastAsia="Times New Roman"/>
          <w:lang w:eastAsia="en-GB"/>
        </w:rPr>
        <w:t>.</w:t>
      </w:r>
    </w:p>
    <w:p w14:paraId="04CAB95E" w14:textId="77777777" w:rsidR="000C4EF7" w:rsidRPr="000C4EF7" w:rsidRDefault="000C4EF7" w:rsidP="00B23FF8">
      <w:pPr>
        <w:snapToGrid w:val="0"/>
        <w:spacing w:afterLines="60" w:after="144" w:line="240" w:lineRule="auto"/>
        <w:ind w:hanging="480"/>
        <w:rPr>
          <w:rFonts w:eastAsia="Times New Roman"/>
          <w:lang w:eastAsia="en-GB"/>
        </w:rPr>
      </w:pPr>
      <w:r w:rsidRPr="00D40D5C">
        <w:rPr>
          <w:rFonts w:eastAsia="Times New Roman"/>
          <w:lang w:eastAsia="en-GB"/>
        </w:rPr>
        <w:t xml:space="preserve">Pearson, R. D., G. Cox, S. M. Jeronimo, J. Castracane, J. S. Drew, T. Evans, and J. E. de Alencar. 1992. ‘Visceral Leishmaniasis: A Model for Infection-Induced Cachexia’. </w:t>
      </w:r>
      <w:r w:rsidRPr="000C4EF7">
        <w:rPr>
          <w:rFonts w:eastAsia="Times New Roman"/>
          <w:i/>
          <w:iCs/>
          <w:lang w:eastAsia="en-GB"/>
        </w:rPr>
        <w:t>The American Journal of Tropical Medicine and Hygiene</w:t>
      </w:r>
      <w:r w:rsidRPr="000C4EF7">
        <w:rPr>
          <w:rFonts w:eastAsia="Times New Roman"/>
          <w:lang w:eastAsia="en-GB"/>
        </w:rPr>
        <w:t xml:space="preserve"> 47 (1 Pt 2): 8–15.</w:t>
      </w:r>
    </w:p>
    <w:p w14:paraId="70360152" w14:textId="77777777" w:rsidR="000C4EF7" w:rsidRPr="000C4EF7" w:rsidRDefault="000C4EF7" w:rsidP="00B23FF8">
      <w:pPr>
        <w:snapToGrid w:val="0"/>
        <w:spacing w:afterLines="60" w:after="144" w:line="240" w:lineRule="auto"/>
        <w:ind w:hanging="480"/>
        <w:rPr>
          <w:rFonts w:eastAsia="Times New Roman"/>
          <w:lang w:eastAsia="en-GB"/>
        </w:rPr>
      </w:pPr>
      <w:r w:rsidRPr="000C4EF7">
        <w:rPr>
          <w:rFonts w:eastAsia="Times New Roman"/>
          <w:lang w:eastAsia="en-GB"/>
        </w:rPr>
        <w:t xml:space="preserve">Pennock, Nathan D., Jason T. White, Eric W. Cross, Elizabeth E. Cheney, Beth A. Tamburini, and Ross M. Kedl. 2013. ‘T Cell Responses: Naïve to Memory and Everything in Between’. </w:t>
      </w:r>
      <w:r w:rsidRPr="000C4EF7">
        <w:rPr>
          <w:rFonts w:eastAsia="Times New Roman"/>
          <w:i/>
          <w:iCs/>
          <w:lang w:eastAsia="en-GB"/>
        </w:rPr>
        <w:t>Advances in Physiology Education</w:t>
      </w:r>
      <w:r w:rsidRPr="000C4EF7">
        <w:rPr>
          <w:rFonts w:eastAsia="Times New Roman"/>
          <w:lang w:eastAsia="en-GB"/>
        </w:rPr>
        <w:t xml:space="preserve"> 37 (4): 273–83. </w:t>
      </w:r>
      <w:hyperlink r:id="rId242" w:history="1">
        <w:r w:rsidRPr="000C4EF7">
          <w:rPr>
            <w:rFonts w:eastAsia="Times New Roman"/>
            <w:color w:val="0000FF"/>
            <w:u w:val="single"/>
            <w:lang w:eastAsia="en-GB"/>
          </w:rPr>
          <w:t>https://doi.org/10.1152/advan.00066.2013</w:t>
        </w:r>
      </w:hyperlink>
      <w:r w:rsidRPr="000C4EF7">
        <w:rPr>
          <w:rFonts w:eastAsia="Times New Roman"/>
          <w:lang w:eastAsia="en-GB"/>
        </w:rPr>
        <w:t>.</w:t>
      </w:r>
    </w:p>
    <w:p w14:paraId="62DD8D24" w14:textId="77777777" w:rsidR="000C4EF7" w:rsidRPr="000C4EF7" w:rsidRDefault="000C4EF7" w:rsidP="00B23FF8">
      <w:pPr>
        <w:snapToGrid w:val="0"/>
        <w:spacing w:afterLines="60" w:after="144" w:line="240" w:lineRule="auto"/>
        <w:ind w:hanging="480"/>
        <w:rPr>
          <w:rFonts w:eastAsia="Times New Roman"/>
          <w:lang w:eastAsia="en-GB"/>
        </w:rPr>
      </w:pPr>
      <w:r w:rsidRPr="00D40D5C">
        <w:rPr>
          <w:rFonts w:eastAsia="Times New Roman"/>
          <w:lang w:eastAsia="en-GB"/>
        </w:rPr>
        <w:t xml:space="preserve">Perelson, A. S., D. E. Kirschner, and R. De Boer. 1993. ‘Dynamics of HIV Infection of CD4+ T Cells’. </w:t>
      </w:r>
      <w:r w:rsidRPr="000C4EF7">
        <w:rPr>
          <w:rFonts w:eastAsia="Times New Roman"/>
          <w:i/>
          <w:iCs/>
          <w:lang w:eastAsia="en-GB"/>
        </w:rPr>
        <w:t>Mathematical Biosciences</w:t>
      </w:r>
      <w:r w:rsidRPr="000C4EF7">
        <w:rPr>
          <w:rFonts w:eastAsia="Times New Roman"/>
          <w:lang w:eastAsia="en-GB"/>
        </w:rPr>
        <w:t xml:space="preserve"> 114 (1): 81–125.</w:t>
      </w:r>
    </w:p>
    <w:p w14:paraId="687C7CB6" w14:textId="77777777" w:rsidR="000C4EF7" w:rsidRPr="000C4EF7" w:rsidRDefault="000C4EF7" w:rsidP="00B23FF8">
      <w:pPr>
        <w:snapToGrid w:val="0"/>
        <w:spacing w:afterLines="60" w:after="144" w:line="240" w:lineRule="auto"/>
        <w:ind w:hanging="480"/>
        <w:rPr>
          <w:rFonts w:eastAsia="Times New Roman"/>
          <w:lang w:eastAsia="en-GB"/>
        </w:rPr>
      </w:pPr>
      <w:r w:rsidRPr="000C4EF7">
        <w:rPr>
          <w:rFonts w:eastAsia="Times New Roman"/>
          <w:lang w:eastAsia="en-GB"/>
        </w:rPr>
        <w:lastRenderedPageBreak/>
        <w:t xml:space="preserve">Perry, S. 1971. ‘Proliferation of Myeloid Cells’. </w:t>
      </w:r>
      <w:r w:rsidRPr="000C4EF7">
        <w:rPr>
          <w:rFonts w:eastAsia="Times New Roman"/>
          <w:i/>
          <w:iCs/>
          <w:lang w:eastAsia="en-GB"/>
        </w:rPr>
        <w:t>Annual Review of Medicine</w:t>
      </w:r>
      <w:r w:rsidRPr="000C4EF7">
        <w:rPr>
          <w:rFonts w:eastAsia="Times New Roman"/>
          <w:lang w:eastAsia="en-GB"/>
        </w:rPr>
        <w:t xml:space="preserve"> 22: 171–84. </w:t>
      </w:r>
      <w:hyperlink r:id="rId243" w:history="1">
        <w:r w:rsidRPr="000C4EF7">
          <w:rPr>
            <w:rFonts w:eastAsia="Times New Roman"/>
            <w:color w:val="0000FF"/>
            <w:u w:val="single"/>
            <w:lang w:eastAsia="en-GB"/>
          </w:rPr>
          <w:t>https://doi.org/10.1146/annurev.me</w:t>
        </w:r>
        <w:r w:rsidRPr="00D40D5C">
          <w:rPr>
            <w:rFonts w:eastAsia="Times New Roman"/>
            <w:color w:val="0000FF"/>
            <w:u w:val="single"/>
            <w:lang w:eastAsia="en-GB"/>
          </w:rPr>
          <w:t>.22.020171.001131</w:t>
        </w:r>
      </w:hyperlink>
      <w:r w:rsidRPr="000C4EF7">
        <w:rPr>
          <w:rFonts w:eastAsia="Times New Roman"/>
          <w:lang w:eastAsia="en-GB"/>
        </w:rPr>
        <w:t>.</w:t>
      </w:r>
    </w:p>
    <w:p w14:paraId="0AC93BC5" w14:textId="77777777" w:rsidR="000C4EF7" w:rsidRPr="000C4EF7" w:rsidRDefault="000C4EF7" w:rsidP="00B23FF8">
      <w:pPr>
        <w:snapToGrid w:val="0"/>
        <w:spacing w:afterLines="60" w:after="144" w:line="240" w:lineRule="auto"/>
        <w:ind w:hanging="480"/>
        <w:rPr>
          <w:rFonts w:eastAsia="Times New Roman"/>
          <w:lang w:eastAsia="en-GB"/>
        </w:rPr>
      </w:pPr>
      <w:r w:rsidRPr="00D40D5C">
        <w:rPr>
          <w:rFonts w:eastAsia="Times New Roman"/>
          <w:lang w:eastAsia="en-GB"/>
        </w:rPr>
        <w:t>Peters, Nathan C.,</w:t>
      </w:r>
      <w:r w:rsidRPr="000C4EF7">
        <w:rPr>
          <w:rFonts w:eastAsia="Times New Roman"/>
          <w:lang w:eastAsia="en-GB"/>
        </w:rPr>
        <w:t xml:space="preserve"> Nicola Kimblin, Nagila Secundino, Shaden Kamhawi, Phillip Lawyer, and David L. Sacks. 2009. ‘Vector Transmission of Leishmania Abrogates Vaccine-Induced Protective Immunity’. </w:t>
      </w:r>
      <w:r w:rsidRPr="000C4EF7">
        <w:rPr>
          <w:rFonts w:eastAsia="Times New Roman"/>
          <w:i/>
          <w:iCs/>
          <w:lang w:eastAsia="en-GB"/>
        </w:rPr>
        <w:t>PLoS Pathogens</w:t>
      </w:r>
      <w:r w:rsidRPr="000C4EF7">
        <w:rPr>
          <w:rFonts w:eastAsia="Times New Roman"/>
          <w:lang w:eastAsia="en-GB"/>
        </w:rPr>
        <w:t xml:space="preserve"> 5 (6): e1000484. </w:t>
      </w:r>
      <w:hyperlink r:id="rId244" w:history="1">
        <w:r w:rsidRPr="000C4EF7">
          <w:rPr>
            <w:rFonts w:eastAsia="Times New Roman"/>
            <w:color w:val="0000FF"/>
            <w:u w:val="single"/>
            <w:lang w:eastAsia="en-GB"/>
          </w:rPr>
          <w:t>https://doi.org/10.1371/journal.ppat.1000484</w:t>
        </w:r>
      </w:hyperlink>
      <w:r w:rsidRPr="000C4EF7">
        <w:rPr>
          <w:rFonts w:eastAsia="Times New Roman"/>
          <w:lang w:eastAsia="en-GB"/>
        </w:rPr>
        <w:t>.</w:t>
      </w:r>
    </w:p>
    <w:p w14:paraId="6506AC63" w14:textId="77777777" w:rsidR="000C4EF7" w:rsidRPr="000C4EF7" w:rsidRDefault="000C4EF7" w:rsidP="00B23FF8">
      <w:pPr>
        <w:snapToGrid w:val="0"/>
        <w:spacing w:afterLines="60" w:after="144" w:line="240" w:lineRule="auto"/>
        <w:ind w:hanging="480"/>
        <w:rPr>
          <w:rFonts w:eastAsia="Times New Roman"/>
          <w:lang w:eastAsia="en-GB"/>
        </w:rPr>
      </w:pPr>
      <w:r w:rsidRPr="00D40D5C">
        <w:rPr>
          <w:rFonts w:eastAsia="Times New Roman"/>
          <w:lang w:eastAsia="en-GB"/>
        </w:rPr>
        <w:t>Phillips, Rebecca, Mattias Svensson, Naveed Aziz, Asher Maroof, Najmeeyah Brown, Lynette Beattie, Nathalie Signoret, and Paul M. Kaye. 2010. ‘Innate Killing of Leishmania Donovani by Macrophages of</w:t>
      </w:r>
      <w:r w:rsidRPr="000C4EF7">
        <w:rPr>
          <w:rFonts w:eastAsia="Times New Roman"/>
          <w:lang w:eastAsia="en-GB"/>
        </w:rPr>
        <w:t xml:space="preserve"> the Splenic Marginal Zone Requires IRF-7’. </w:t>
      </w:r>
      <w:r w:rsidRPr="000C4EF7">
        <w:rPr>
          <w:rFonts w:eastAsia="Times New Roman"/>
          <w:i/>
          <w:iCs/>
          <w:lang w:eastAsia="en-GB"/>
        </w:rPr>
        <w:t>PLoS Pathogens</w:t>
      </w:r>
      <w:r w:rsidRPr="000C4EF7">
        <w:rPr>
          <w:rFonts w:eastAsia="Times New Roman"/>
          <w:lang w:eastAsia="en-GB"/>
        </w:rPr>
        <w:t xml:space="preserve"> 6 (3): e1000813. </w:t>
      </w:r>
      <w:hyperlink r:id="rId245" w:history="1">
        <w:r w:rsidRPr="000C4EF7">
          <w:rPr>
            <w:rFonts w:eastAsia="Times New Roman"/>
            <w:color w:val="0000FF"/>
            <w:u w:val="single"/>
            <w:lang w:eastAsia="en-GB"/>
          </w:rPr>
          <w:t>https://doi.org/10.1371/journal.ppat.1000813</w:t>
        </w:r>
      </w:hyperlink>
      <w:r w:rsidRPr="000C4EF7">
        <w:rPr>
          <w:rFonts w:eastAsia="Times New Roman"/>
          <w:lang w:eastAsia="en-GB"/>
        </w:rPr>
        <w:t>.</w:t>
      </w:r>
    </w:p>
    <w:p w14:paraId="4C10382B" w14:textId="77777777" w:rsidR="000C4EF7" w:rsidRPr="000C4EF7" w:rsidRDefault="000C4EF7" w:rsidP="00B23FF8">
      <w:pPr>
        <w:snapToGrid w:val="0"/>
        <w:spacing w:afterLines="60" w:after="144" w:line="240" w:lineRule="auto"/>
        <w:ind w:hanging="480"/>
        <w:rPr>
          <w:rFonts w:eastAsia="Times New Roman"/>
          <w:lang w:eastAsia="en-GB"/>
        </w:rPr>
      </w:pPr>
      <w:r w:rsidRPr="00D40D5C">
        <w:rPr>
          <w:rFonts w:eastAsia="Times New Roman"/>
          <w:lang w:eastAsia="en-GB"/>
        </w:rPr>
        <w:t>Pienaar, Elsje, Jansy Sarathy, Brendan Prideaux, Jillian Dietzold, Véroni</w:t>
      </w:r>
      <w:r w:rsidRPr="000C4EF7">
        <w:rPr>
          <w:rFonts w:eastAsia="Times New Roman"/>
          <w:lang w:eastAsia="en-GB"/>
        </w:rPr>
        <w:t xml:space="preserve">que Dartois, Denise E. Kirschner, and Jennifer J. Linderman. 2017. ‘Comparing Efficacies of Moxifloxacin, Levofloxacin and Gatifloxacin in Tuberculosis Granulomas Using a Multi-Scale Systems Pharmacology Approach’. </w:t>
      </w:r>
      <w:r w:rsidRPr="000C4EF7">
        <w:rPr>
          <w:rFonts w:eastAsia="Times New Roman"/>
          <w:i/>
          <w:iCs/>
          <w:lang w:eastAsia="en-GB"/>
        </w:rPr>
        <w:t>PLoS Computational Biology</w:t>
      </w:r>
      <w:r w:rsidRPr="000C4EF7">
        <w:rPr>
          <w:rFonts w:eastAsia="Times New Roman"/>
          <w:lang w:eastAsia="en-GB"/>
        </w:rPr>
        <w:t xml:space="preserve"> 13 (8). </w:t>
      </w:r>
      <w:hyperlink r:id="rId246" w:history="1">
        <w:r w:rsidRPr="000C4EF7">
          <w:rPr>
            <w:rFonts w:eastAsia="Times New Roman"/>
            <w:color w:val="0000FF"/>
            <w:u w:val="single"/>
            <w:lang w:eastAsia="en-GB"/>
          </w:rPr>
          <w:t>https://doi.org/10.1371/journal.pcbi.1005650</w:t>
        </w:r>
      </w:hyperlink>
      <w:r w:rsidRPr="000C4EF7">
        <w:rPr>
          <w:rFonts w:eastAsia="Times New Roman"/>
          <w:lang w:eastAsia="en-GB"/>
        </w:rPr>
        <w:t>.</w:t>
      </w:r>
    </w:p>
    <w:p w14:paraId="25479A2C" w14:textId="77777777" w:rsidR="000C4EF7" w:rsidRPr="000C4EF7" w:rsidRDefault="000C4EF7" w:rsidP="00B23FF8">
      <w:pPr>
        <w:snapToGrid w:val="0"/>
        <w:spacing w:afterLines="60" w:after="144" w:line="240" w:lineRule="auto"/>
        <w:ind w:hanging="480"/>
        <w:rPr>
          <w:rFonts w:eastAsia="Times New Roman"/>
          <w:lang w:eastAsia="en-GB"/>
        </w:rPr>
      </w:pPr>
      <w:r w:rsidRPr="00D40D5C">
        <w:rPr>
          <w:rFonts w:eastAsia="Times New Roman"/>
          <w:lang w:eastAsia="en-GB"/>
        </w:rPr>
        <w:t>Poché, David M., William E. Grant, and Hsiao-Hsuan Wang. 2016. ‘Visceral Leishmaniasis on the Indian Subcontinent: Modelling the Dynamic Relationship betwe</w:t>
      </w:r>
      <w:r w:rsidRPr="000C4EF7">
        <w:rPr>
          <w:rFonts w:eastAsia="Times New Roman"/>
          <w:lang w:eastAsia="en-GB"/>
        </w:rPr>
        <w:t xml:space="preserve">en Vector Control Schemes and Vector Life Cycles’. </w:t>
      </w:r>
      <w:r w:rsidRPr="000C4EF7">
        <w:rPr>
          <w:rFonts w:eastAsia="Times New Roman"/>
          <w:i/>
          <w:iCs/>
          <w:lang w:eastAsia="en-GB"/>
        </w:rPr>
        <w:t>PLoS Neglected Tropical Diseases</w:t>
      </w:r>
      <w:r w:rsidRPr="000C4EF7">
        <w:rPr>
          <w:rFonts w:eastAsia="Times New Roman"/>
          <w:lang w:eastAsia="en-GB"/>
        </w:rPr>
        <w:t xml:space="preserve"> 10 (8). </w:t>
      </w:r>
      <w:hyperlink r:id="rId247" w:history="1">
        <w:r w:rsidRPr="000C4EF7">
          <w:rPr>
            <w:rFonts w:eastAsia="Times New Roman"/>
            <w:color w:val="0000FF"/>
            <w:u w:val="single"/>
            <w:lang w:eastAsia="en-GB"/>
          </w:rPr>
          <w:t>https://doi.org/10.1371/journal.pntd.0004868</w:t>
        </w:r>
      </w:hyperlink>
      <w:r w:rsidRPr="000C4EF7">
        <w:rPr>
          <w:rFonts w:eastAsia="Times New Roman"/>
          <w:lang w:eastAsia="en-GB"/>
        </w:rPr>
        <w:t>.</w:t>
      </w:r>
    </w:p>
    <w:p w14:paraId="46F24793" w14:textId="77777777" w:rsidR="000C4EF7" w:rsidRPr="000C4EF7" w:rsidRDefault="000C4EF7" w:rsidP="00B23FF8">
      <w:pPr>
        <w:snapToGrid w:val="0"/>
        <w:spacing w:afterLines="60" w:after="144" w:line="240" w:lineRule="auto"/>
        <w:ind w:hanging="480"/>
        <w:rPr>
          <w:rFonts w:eastAsia="Times New Roman"/>
          <w:lang w:eastAsia="en-GB"/>
        </w:rPr>
      </w:pPr>
      <w:r w:rsidRPr="00D40D5C">
        <w:rPr>
          <w:rFonts w:eastAsia="Times New Roman"/>
          <w:lang w:eastAsia="en-GB"/>
        </w:rPr>
        <w:t>Poisson, Johanne, Sara Lemoinne, Chantal Boulanger, Franç</w:t>
      </w:r>
      <w:r w:rsidRPr="000C4EF7">
        <w:rPr>
          <w:rFonts w:eastAsia="Times New Roman"/>
          <w:lang w:eastAsia="en-GB"/>
        </w:rPr>
        <w:t xml:space="preserve">ois Durand, Richard Moreau, Dominique Valla, and Pierre-Emmanuel Rautou. 2017. ‘Liver Sinusoidal Endothelial Cells: Physiology and Role in Liver Diseases’. </w:t>
      </w:r>
      <w:r w:rsidRPr="000C4EF7">
        <w:rPr>
          <w:rFonts w:eastAsia="Times New Roman"/>
          <w:i/>
          <w:iCs/>
          <w:lang w:eastAsia="en-GB"/>
        </w:rPr>
        <w:t>Journal of Hepatology</w:t>
      </w:r>
      <w:r w:rsidRPr="000C4EF7">
        <w:rPr>
          <w:rFonts w:eastAsia="Times New Roman"/>
          <w:lang w:eastAsia="en-GB"/>
        </w:rPr>
        <w:t xml:space="preserve"> 66 (1): 212–27. </w:t>
      </w:r>
      <w:hyperlink r:id="rId248" w:history="1">
        <w:r w:rsidRPr="000C4EF7">
          <w:rPr>
            <w:rFonts w:eastAsia="Times New Roman"/>
            <w:color w:val="0000FF"/>
            <w:u w:val="single"/>
            <w:lang w:eastAsia="en-GB"/>
          </w:rPr>
          <w:t>https://doi.org/10.1016/j.jhep.2016.07.009</w:t>
        </w:r>
      </w:hyperlink>
      <w:r w:rsidRPr="000C4EF7">
        <w:rPr>
          <w:rFonts w:eastAsia="Times New Roman"/>
          <w:lang w:eastAsia="en-GB"/>
        </w:rPr>
        <w:t>.</w:t>
      </w:r>
    </w:p>
    <w:p w14:paraId="57B0B814" w14:textId="77777777" w:rsidR="000C4EF7" w:rsidRPr="000C4EF7" w:rsidRDefault="000C4EF7" w:rsidP="00B23FF8">
      <w:pPr>
        <w:snapToGrid w:val="0"/>
        <w:spacing w:afterLines="60" w:after="144" w:line="240" w:lineRule="auto"/>
        <w:ind w:hanging="480"/>
        <w:rPr>
          <w:rFonts w:eastAsia="Times New Roman"/>
          <w:lang w:eastAsia="en-GB"/>
        </w:rPr>
      </w:pPr>
      <w:r w:rsidRPr="00D40D5C">
        <w:rPr>
          <w:rFonts w:eastAsia="Times New Roman"/>
          <w:lang w:eastAsia="en-GB"/>
        </w:rPr>
        <w:t xml:space="preserve">Proffitt, R. T., A. Satorius, S. M. Chiang, L. Sullivan, and J. P. Adler-Moore. 1991. ‘Pharmacology and Toxicology of a Liposomal Formulation of Amphotericin B (AmBisome) in Rodents’. </w:t>
      </w:r>
      <w:r w:rsidRPr="000C4EF7">
        <w:rPr>
          <w:rFonts w:eastAsia="Times New Roman"/>
          <w:i/>
          <w:iCs/>
          <w:lang w:eastAsia="en-GB"/>
        </w:rPr>
        <w:t>The Journal of Antimicrobial Chemotherapy</w:t>
      </w:r>
      <w:r w:rsidRPr="000C4EF7">
        <w:rPr>
          <w:rFonts w:eastAsia="Times New Roman"/>
          <w:lang w:eastAsia="en-GB"/>
        </w:rPr>
        <w:t xml:space="preserve"> 28 Suppl B (October): 49–61.</w:t>
      </w:r>
    </w:p>
    <w:p w14:paraId="3192C3C3" w14:textId="77777777" w:rsidR="000C4EF7" w:rsidRPr="000C4EF7" w:rsidRDefault="000C4EF7" w:rsidP="00B23FF8">
      <w:pPr>
        <w:snapToGrid w:val="0"/>
        <w:spacing w:afterLines="60" w:after="144" w:line="240" w:lineRule="auto"/>
        <w:ind w:hanging="480"/>
        <w:rPr>
          <w:rFonts w:eastAsia="Times New Roman"/>
          <w:lang w:eastAsia="en-GB"/>
        </w:rPr>
      </w:pPr>
      <w:r w:rsidRPr="000C4EF7">
        <w:rPr>
          <w:rFonts w:eastAsia="Times New Roman"/>
          <w:lang w:eastAsia="en-GB"/>
        </w:rPr>
        <w:t xml:space="preserve">Proffitt, Richard T., Alan Satorius, Su-Ming Chiang, Layla Sullivan, and Jill P. Adler-Moore. 1991. ‘Pharmacology and Toxicology of a Liposomal Formulation of Amphotericin B (AmBisome) in Rodents’. </w:t>
      </w:r>
      <w:r w:rsidRPr="000C4EF7">
        <w:rPr>
          <w:rFonts w:eastAsia="Times New Roman"/>
          <w:i/>
          <w:iCs/>
          <w:lang w:eastAsia="en-GB"/>
        </w:rPr>
        <w:t>Journal of Antimicrobial Chemotherapy</w:t>
      </w:r>
      <w:r w:rsidRPr="000C4EF7">
        <w:rPr>
          <w:rFonts w:eastAsia="Times New Roman"/>
          <w:lang w:eastAsia="en-GB"/>
        </w:rPr>
        <w:t xml:space="preserve"> 28 (suppl_B): 49–61. </w:t>
      </w:r>
      <w:hyperlink r:id="rId249" w:history="1">
        <w:r w:rsidRPr="000C4EF7">
          <w:rPr>
            <w:rFonts w:eastAsia="Times New Roman"/>
            <w:color w:val="0000FF"/>
            <w:u w:val="single"/>
            <w:lang w:eastAsia="en-GB"/>
          </w:rPr>
          <w:t>ht</w:t>
        </w:r>
        <w:r w:rsidRPr="00D40D5C">
          <w:rPr>
            <w:rFonts w:eastAsia="Times New Roman"/>
            <w:color w:val="0000FF"/>
            <w:u w:val="single"/>
            <w:lang w:eastAsia="en-GB"/>
          </w:rPr>
          <w:t>tps://doi.org/10.1093/jac/28.suppl_B.49</w:t>
        </w:r>
      </w:hyperlink>
      <w:r w:rsidRPr="000C4EF7">
        <w:rPr>
          <w:rFonts w:eastAsia="Times New Roman"/>
          <w:lang w:eastAsia="en-GB"/>
        </w:rPr>
        <w:t>.</w:t>
      </w:r>
    </w:p>
    <w:p w14:paraId="666CEA47" w14:textId="77777777" w:rsidR="000C4EF7" w:rsidRPr="000C4EF7" w:rsidRDefault="000C4EF7" w:rsidP="00B23FF8">
      <w:pPr>
        <w:snapToGrid w:val="0"/>
        <w:spacing w:afterLines="60" w:after="144" w:line="240" w:lineRule="auto"/>
        <w:ind w:hanging="480"/>
        <w:rPr>
          <w:rFonts w:eastAsia="Times New Roman"/>
          <w:lang w:eastAsia="en-GB"/>
        </w:rPr>
      </w:pPr>
      <w:r w:rsidRPr="00D40D5C">
        <w:rPr>
          <w:rFonts w:eastAsia="Times New Roman"/>
          <w:lang w:eastAsia="en-GB"/>
        </w:rPr>
        <w:t>Pruzinova, Katerina, Jovana Sadlova, Jitka Myskova, Tereza Lestinova, Jozef Janda, and Petr Volf. 2018. ‘Leishmani</w:t>
      </w:r>
      <w:r w:rsidRPr="000C4EF7">
        <w:rPr>
          <w:rFonts w:eastAsia="Times New Roman"/>
          <w:lang w:eastAsia="en-GB"/>
        </w:rPr>
        <w:t xml:space="preserve">a Mortality in Sand Fly Blood Meal Is Not Species-Specific and Does Not Result from Direct Effect of Proteinases’. </w:t>
      </w:r>
      <w:r w:rsidRPr="000C4EF7">
        <w:rPr>
          <w:rFonts w:eastAsia="Times New Roman"/>
          <w:i/>
          <w:iCs/>
          <w:lang w:eastAsia="en-GB"/>
        </w:rPr>
        <w:t>Parasites &amp; Vectors</w:t>
      </w:r>
      <w:r w:rsidRPr="000C4EF7">
        <w:rPr>
          <w:rFonts w:eastAsia="Times New Roman"/>
          <w:lang w:eastAsia="en-GB"/>
        </w:rPr>
        <w:t xml:space="preserve"> 11 (1): 37. </w:t>
      </w:r>
      <w:hyperlink r:id="rId250" w:history="1">
        <w:r w:rsidRPr="000C4EF7">
          <w:rPr>
            <w:rFonts w:eastAsia="Times New Roman"/>
            <w:color w:val="0000FF"/>
            <w:u w:val="single"/>
            <w:lang w:eastAsia="en-GB"/>
          </w:rPr>
          <w:t>https://doi.org/10.1186/s13071-018-2613-2</w:t>
        </w:r>
      </w:hyperlink>
      <w:r w:rsidRPr="000C4EF7">
        <w:rPr>
          <w:rFonts w:eastAsia="Times New Roman"/>
          <w:lang w:eastAsia="en-GB"/>
        </w:rPr>
        <w:t>.</w:t>
      </w:r>
    </w:p>
    <w:p w14:paraId="7B6488D8" w14:textId="77777777" w:rsidR="000C4EF7" w:rsidRPr="000C4EF7" w:rsidRDefault="000C4EF7" w:rsidP="00B23FF8">
      <w:pPr>
        <w:snapToGrid w:val="0"/>
        <w:spacing w:afterLines="60" w:after="144" w:line="240" w:lineRule="auto"/>
        <w:ind w:hanging="480"/>
        <w:rPr>
          <w:rFonts w:eastAsia="Times New Roman"/>
          <w:lang w:eastAsia="en-GB"/>
        </w:rPr>
      </w:pPr>
      <w:r w:rsidRPr="00D40D5C">
        <w:rPr>
          <w:rFonts w:eastAsia="Times New Roman"/>
          <w:lang w:eastAsia="en-GB"/>
        </w:rPr>
        <w:t>Purkait,</w:t>
      </w:r>
      <w:r w:rsidRPr="000C4EF7">
        <w:rPr>
          <w:rFonts w:eastAsia="Times New Roman"/>
          <w:lang w:eastAsia="en-GB"/>
        </w:rPr>
        <w:t xml:space="preserve"> Bidyut, Ashish Kumar, Nilay Nandi, Abul Hasan Sardar, Sushmita Das, Sudeep Kumar, Krishna Pandey, et al. 2012. ‘Mechanism of Amphotericin B Resistance in Clinical Isolates of Leishmania Donovani’. </w:t>
      </w:r>
      <w:r w:rsidRPr="000C4EF7">
        <w:rPr>
          <w:rFonts w:eastAsia="Times New Roman"/>
          <w:i/>
          <w:iCs/>
          <w:lang w:eastAsia="en-GB"/>
        </w:rPr>
        <w:t>Antimicrobial Agents and Chemotherapy</w:t>
      </w:r>
      <w:r w:rsidRPr="000C4EF7">
        <w:rPr>
          <w:rFonts w:eastAsia="Times New Roman"/>
          <w:lang w:eastAsia="en-GB"/>
        </w:rPr>
        <w:t xml:space="preserve"> 56 (2): 1031–41. </w:t>
      </w:r>
      <w:hyperlink r:id="rId251" w:history="1">
        <w:r w:rsidRPr="000C4EF7">
          <w:rPr>
            <w:rFonts w:eastAsia="Times New Roman"/>
            <w:color w:val="0000FF"/>
            <w:u w:val="single"/>
            <w:lang w:eastAsia="en-GB"/>
          </w:rPr>
          <w:t>https://doi.org/10.1128/AAC.00030-11</w:t>
        </w:r>
      </w:hyperlink>
      <w:r w:rsidRPr="000C4EF7">
        <w:rPr>
          <w:rFonts w:eastAsia="Times New Roman"/>
          <w:lang w:eastAsia="en-GB"/>
        </w:rPr>
        <w:t>.</w:t>
      </w:r>
    </w:p>
    <w:p w14:paraId="5AE2CB9D" w14:textId="77777777" w:rsidR="000C4EF7" w:rsidRPr="000C4EF7" w:rsidRDefault="000C4EF7" w:rsidP="00B23FF8">
      <w:pPr>
        <w:snapToGrid w:val="0"/>
        <w:spacing w:afterLines="60" w:after="144" w:line="240" w:lineRule="auto"/>
        <w:ind w:hanging="480"/>
        <w:rPr>
          <w:rFonts w:eastAsia="Times New Roman"/>
          <w:lang w:eastAsia="en-GB"/>
        </w:rPr>
      </w:pPr>
      <w:r w:rsidRPr="00D40D5C">
        <w:rPr>
          <w:rFonts w:eastAsia="Times New Roman"/>
          <w:lang w:eastAsia="en-GB"/>
        </w:rPr>
        <w:t xml:space="preserve">Quinnell, R. J., and O. Courtenay. 2009. ‘Transmission, Reservoir Hosts and Control of Zoonotic Visceral Leishmaniasis’. </w:t>
      </w:r>
      <w:r w:rsidRPr="000C4EF7">
        <w:rPr>
          <w:rFonts w:eastAsia="Times New Roman"/>
          <w:i/>
          <w:iCs/>
          <w:lang w:eastAsia="en-GB"/>
        </w:rPr>
        <w:t>Parasitology</w:t>
      </w:r>
      <w:r w:rsidRPr="000C4EF7">
        <w:rPr>
          <w:rFonts w:eastAsia="Times New Roman"/>
          <w:lang w:eastAsia="en-GB"/>
        </w:rPr>
        <w:t xml:space="preserve"> 136 (14): 1915–34. </w:t>
      </w:r>
      <w:hyperlink r:id="rId252" w:history="1">
        <w:r w:rsidRPr="000C4EF7">
          <w:rPr>
            <w:rFonts w:eastAsia="Times New Roman"/>
            <w:color w:val="0000FF"/>
            <w:u w:val="single"/>
            <w:lang w:eastAsia="en-GB"/>
          </w:rPr>
          <w:t>https://doi.org/10.1017/S0031182009991156</w:t>
        </w:r>
      </w:hyperlink>
      <w:r w:rsidRPr="000C4EF7">
        <w:rPr>
          <w:rFonts w:eastAsia="Times New Roman"/>
          <w:lang w:eastAsia="en-GB"/>
        </w:rPr>
        <w:t>.</w:t>
      </w:r>
    </w:p>
    <w:p w14:paraId="49AA3DB2" w14:textId="77777777" w:rsidR="000C4EF7" w:rsidRPr="000C4EF7" w:rsidRDefault="000C4EF7" w:rsidP="00B23FF8">
      <w:pPr>
        <w:snapToGrid w:val="0"/>
        <w:spacing w:afterLines="60" w:after="144" w:line="240" w:lineRule="auto"/>
        <w:ind w:hanging="480"/>
        <w:rPr>
          <w:rFonts w:eastAsia="Times New Roman"/>
          <w:lang w:eastAsia="en-GB"/>
        </w:rPr>
      </w:pPr>
      <w:r w:rsidRPr="00D40D5C">
        <w:rPr>
          <w:rFonts w:eastAsia="Times New Roman"/>
          <w:lang w:eastAsia="en-GB"/>
        </w:rPr>
        <w:t>Read, Mark, Paul S. Andrews, Jon Timmis, and Vipin Kumar. 2014. ‘Modelling Biological Behaviours with the Unified Modelling Language: An Immunological Case Study and Crit</w:t>
      </w:r>
      <w:r w:rsidRPr="000C4EF7">
        <w:rPr>
          <w:rFonts w:eastAsia="Times New Roman"/>
          <w:lang w:eastAsia="en-GB"/>
        </w:rPr>
        <w:t xml:space="preserve">ique’. </w:t>
      </w:r>
      <w:r w:rsidRPr="000C4EF7">
        <w:rPr>
          <w:rFonts w:eastAsia="Times New Roman"/>
          <w:i/>
          <w:iCs/>
          <w:lang w:eastAsia="en-GB"/>
        </w:rPr>
        <w:t>Journal of The Royal Society Interface</w:t>
      </w:r>
      <w:r w:rsidRPr="000C4EF7">
        <w:rPr>
          <w:rFonts w:eastAsia="Times New Roman"/>
          <w:lang w:eastAsia="en-GB"/>
        </w:rPr>
        <w:t xml:space="preserve"> 11 (99): 20140704. </w:t>
      </w:r>
      <w:hyperlink r:id="rId253" w:history="1">
        <w:r w:rsidRPr="000C4EF7">
          <w:rPr>
            <w:rFonts w:eastAsia="Times New Roman"/>
            <w:color w:val="0000FF"/>
            <w:u w:val="single"/>
            <w:lang w:eastAsia="en-GB"/>
          </w:rPr>
          <w:t>https://doi.org/10.1098/rsif.2014.0704</w:t>
        </w:r>
      </w:hyperlink>
      <w:r w:rsidRPr="000C4EF7">
        <w:rPr>
          <w:rFonts w:eastAsia="Times New Roman"/>
          <w:lang w:eastAsia="en-GB"/>
        </w:rPr>
        <w:t>.</w:t>
      </w:r>
    </w:p>
    <w:p w14:paraId="230DB294" w14:textId="77777777" w:rsidR="000C4EF7" w:rsidRPr="000C4EF7" w:rsidRDefault="000C4EF7" w:rsidP="00B23FF8">
      <w:pPr>
        <w:snapToGrid w:val="0"/>
        <w:spacing w:afterLines="60" w:after="144" w:line="240" w:lineRule="auto"/>
        <w:ind w:hanging="480"/>
        <w:rPr>
          <w:rFonts w:eastAsia="Times New Roman"/>
          <w:lang w:eastAsia="en-GB"/>
        </w:rPr>
      </w:pPr>
      <w:r w:rsidRPr="00D40D5C">
        <w:rPr>
          <w:rFonts w:eastAsia="Times New Roman"/>
          <w:lang w:eastAsia="en-GB"/>
        </w:rPr>
        <w:lastRenderedPageBreak/>
        <w:t>Read, Mark N., Kieran Alden, Louis M. Rose, and Jon Timmis. 2016. ‘Automated Multi-Objective Cal</w:t>
      </w:r>
      <w:r w:rsidRPr="000C4EF7">
        <w:rPr>
          <w:rFonts w:eastAsia="Times New Roman"/>
          <w:lang w:eastAsia="en-GB"/>
        </w:rPr>
        <w:t xml:space="preserve">ibration of Biological Agent-Based Simulations’. </w:t>
      </w:r>
      <w:r w:rsidRPr="000C4EF7">
        <w:rPr>
          <w:rFonts w:eastAsia="Times New Roman"/>
          <w:i/>
          <w:iCs/>
          <w:lang w:eastAsia="en-GB"/>
        </w:rPr>
        <w:t>Journal of the Royal Society Interface</w:t>
      </w:r>
      <w:r w:rsidRPr="000C4EF7">
        <w:rPr>
          <w:rFonts w:eastAsia="Times New Roman"/>
          <w:lang w:eastAsia="en-GB"/>
        </w:rPr>
        <w:t xml:space="preserve"> 13 (122). </w:t>
      </w:r>
      <w:hyperlink r:id="rId254" w:history="1">
        <w:r w:rsidRPr="000C4EF7">
          <w:rPr>
            <w:rFonts w:eastAsia="Times New Roman"/>
            <w:color w:val="0000FF"/>
            <w:u w:val="single"/>
            <w:lang w:eastAsia="en-GB"/>
          </w:rPr>
          <w:t>https://doi.org/10.1098/rsif.2016.0543</w:t>
        </w:r>
      </w:hyperlink>
      <w:r w:rsidRPr="000C4EF7">
        <w:rPr>
          <w:rFonts w:eastAsia="Times New Roman"/>
          <w:lang w:eastAsia="en-GB"/>
        </w:rPr>
        <w:t>.</w:t>
      </w:r>
    </w:p>
    <w:p w14:paraId="5F88943B" w14:textId="77777777" w:rsidR="000C4EF7" w:rsidRPr="000C4EF7" w:rsidRDefault="000C4EF7" w:rsidP="00B23FF8">
      <w:pPr>
        <w:snapToGrid w:val="0"/>
        <w:spacing w:afterLines="60" w:after="144" w:line="240" w:lineRule="auto"/>
        <w:ind w:hanging="480"/>
        <w:rPr>
          <w:rFonts w:eastAsia="Times New Roman"/>
          <w:lang w:eastAsia="en-GB"/>
        </w:rPr>
      </w:pPr>
      <w:r w:rsidRPr="00D40D5C">
        <w:rPr>
          <w:rFonts w:eastAsia="Times New Roman"/>
          <w:lang w:eastAsia="en-GB"/>
        </w:rPr>
        <w:t xml:space="preserve">Ready, Paul D. 2014. ‘Epidemiology of Visceral Leishmaniasis’. </w:t>
      </w:r>
      <w:r w:rsidRPr="000C4EF7">
        <w:rPr>
          <w:rFonts w:eastAsia="Times New Roman"/>
          <w:i/>
          <w:iCs/>
          <w:lang w:eastAsia="en-GB"/>
        </w:rPr>
        <w:t>Clinical Epidemiology</w:t>
      </w:r>
      <w:r w:rsidRPr="000C4EF7">
        <w:rPr>
          <w:rFonts w:eastAsia="Times New Roman"/>
          <w:lang w:eastAsia="en-GB"/>
        </w:rPr>
        <w:t xml:space="preserve"> 6 (May): 147–54. </w:t>
      </w:r>
      <w:hyperlink r:id="rId255" w:history="1">
        <w:r w:rsidRPr="000C4EF7">
          <w:rPr>
            <w:rFonts w:eastAsia="Times New Roman"/>
            <w:color w:val="0000FF"/>
            <w:u w:val="single"/>
            <w:lang w:eastAsia="en-GB"/>
          </w:rPr>
          <w:t>https://doi.org/10.2147/CLEP.S44267</w:t>
        </w:r>
      </w:hyperlink>
      <w:r w:rsidRPr="000C4EF7">
        <w:rPr>
          <w:rFonts w:eastAsia="Times New Roman"/>
          <w:lang w:eastAsia="en-GB"/>
        </w:rPr>
        <w:t>.</w:t>
      </w:r>
    </w:p>
    <w:p w14:paraId="15AB8BAE" w14:textId="77777777" w:rsidR="000C4EF7" w:rsidRPr="000C4EF7" w:rsidRDefault="000C4EF7" w:rsidP="00B23FF8">
      <w:pPr>
        <w:snapToGrid w:val="0"/>
        <w:spacing w:afterLines="60" w:after="144" w:line="240" w:lineRule="auto"/>
        <w:ind w:hanging="480"/>
        <w:rPr>
          <w:rFonts w:eastAsia="Times New Roman"/>
          <w:lang w:eastAsia="en-GB"/>
        </w:rPr>
      </w:pPr>
      <w:r w:rsidRPr="00D40D5C">
        <w:rPr>
          <w:rFonts w:eastAsia="Times New Roman"/>
          <w:lang w:eastAsia="en-GB"/>
        </w:rPr>
        <w:t>Response, World Health Organization Dept of Epidemic and Pandemic Alert and. 2000. ‘Leishmania/HIV Co-Infection in South-Western</w:t>
      </w:r>
      <w:r w:rsidRPr="000C4EF7">
        <w:rPr>
          <w:rFonts w:eastAsia="Times New Roman"/>
          <w:lang w:eastAsia="en-GB"/>
        </w:rPr>
        <w:t xml:space="preserve"> Europe 1990-1998 : Retrospective Analysis of 965 Cases’. </w:t>
      </w:r>
      <w:hyperlink r:id="rId256" w:history="1">
        <w:r w:rsidRPr="000C4EF7">
          <w:rPr>
            <w:rFonts w:eastAsia="Times New Roman"/>
            <w:color w:val="0000FF"/>
            <w:u w:val="single"/>
            <w:lang w:eastAsia="en-GB"/>
          </w:rPr>
          <w:t>http://apps.who.int/iris/handle/10665/66625</w:t>
        </w:r>
      </w:hyperlink>
      <w:r w:rsidRPr="000C4EF7">
        <w:rPr>
          <w:rFonts w:eastAsia="Times New Roman"/>
          <w:lang w:eastAsia="en-GB"/>
        </w:rPr>
        <w:t>.</w:t>
      </w:r>
    </w:p>
    <w:p w14:paraId="711A496E" w14:textId="77777777" w:rsidR="000C4EF7" w:rsidRPr="000C4EF7" w:rsidRDefault="000C4EF7" w:rsidP="00B23FF8">
      <w:pPr>
        <w:snapToGrid w:val="0"/>
        <w:spacing w:afterLines="60" w:after="144" w:line="240" w:lineRule="auto"/>
        <w:ind w:hanging="480"/>
        <w:rPr>
          <w:rFonts w:eastAsia="Times New Roman"/>
          <w:lang w:eastAsia="en-GB"/>
        </w:rPr>
      </w:pPr>
      <w:r w:rsidRPr="00D40D5C">
        <w:rPr>
          <w:rFonts w:eastAsia="Times New Roman"/>
          <w:lang w:eastAsia="en-GB"/>
        </w:rPr>
        <w:t>Ribeiro, Henrique A. L., Tatiani U. Maioli, Leandro M. de Freitas, Paolo Tieri, and Filippo C</w:t>
      </w:r>
      <w:r w:rsidRPr="000C4EF7">
        <w:rPr>
          <w:rFonts w:eastAsia="Times New Roman"/>
          <w:lang w:eastAsia="en-GB"/>
        </w:rPr>
        <w:t xml:space="preserve">astiglione. 2017. ‘Modeling Immune Response to Leishmania Species Indicates Adenosine As an Important Inhibitor of Th-Cell Activation’. </w:t>
      </w:r>
      <w:r w:rsidRPr="000C4EF7">
        <w:rPr>
          <w:rFonts w:eastAsia="Times New Roman"/>
          <w:i/>
          <w:iCs/>
          <w:lang w:eastAsia="en-GB"/>
        </w:rPr>
        <w:t>Frontiers in Cellular and Infection Microbiology</w:t>
      </w:r>
      <w:r w:rsidRPr="000C4EF7">
        <w:rPr>
          <w:rFonts w:eastAsia="Times New Roman"/>
          <w:lang w:eastAsia="en-GB"/>
        </w:rPr>
        <w:t xml:space="preserve"> 7: 309. </w:t>
      </w:r>
      <w:hyperlink r:id="rId257" w:history="1">
        <w:r w:rsidRPr="000C4EF7">
          <w:rPr>
            <w:rFonts w:eastAsia="Times New Roman"/>
            <w:color w:val="0000FF"/>
            <w:u w:val="single"/>
            <w:lang w:eastAsia="en-GB"/>
          </w:rPr>
          <w:t>https://doi.org/10.3389/fcimb.2017.00309</w:t>
        </w:r>
      </w:hyperlink>
      <w:r w:rsidRPr="000C4EF7">
        <w:rPr>
          <w:rFonts w:eastAsia="Times New Roman"/>
          <w:lang w:eastAsia="en-GB"/>
        </w:rPr>
        <w:t>.</w:t>
      </w:r>
    </w:p>
    <w:p w14:paraId="187FFC25" w14:textId="77777777" w:rsidR="000C4EF7" w:rsidRPr="000C4EF7" w:rsidRDefault="000C4EF7" w:rsidP="00B23FF8">
      <w:pPr>
        <w:snapToGrid w:val="0"/>
        <w:spacing w:afterLines="60" w:after="144" w:line="240" w:lineRule="auto"/>
        <w:ind w:hanging="480"/>
        <w:rPr>
          <w:rFonts w:eastAsia="Times New Roman"/>
          <w:lang w:eastAsia="en-GB"/>
        </w:rPr>
      </w:pPr>
      <w:r w:rsidRPr="00D40D5C">
        <w:rPr>
          <w:rFonts w:eastAsia="Times New Roman"/>
          <w:lang w:eastAsia="en-GB"/>
        </w:rPr>
        <w:t xml:space="preserve">Ribeiro-Gomes, Flavia L., Nathan C. Peters, Alain Debrabant, and David L. Sacks. 2012. ‘Efficient Capture of Infected Neutrophils by Dendritic Cells in the Skin Inhibits the Early Anti-Leishmania Response’. </w:t>
      </w:r>
      <w:r w:rsidRPr="000C4EF7">
        <w:rPr>
          <w:rFonts w:eastAsia="Times New Roman"/>
          <w:i/>
          <w:iCs/>
          <w:lang w:eastAsia="en-GB"/>
        </w:rPr>
        <w:t>PLoS Pathogens</w:t>
      </w:r>
      <w:r w:rsidRPr="000C4EF7">
        <w:rPr>
          <w:rFonts w:eastAsia="Times New Roman"/>
          <w:lang w:eastAsia="en-GB"/>
        </w:rPr>
        <w:t xml:space="preserve"> 8 (2). </w:t>
      </w:r>
      <w:hyperlink r:id="rId258" w:history="1">
        <w:r w:rsidRPr="000C4EF7">
          <w:rPr>
            <w:rFonts w:eastAsia="Times New Roman"/>
            <w:color w:val="0000FF"/>
            <w:u w:val="single"/>
            <w:lang w:eastAsia="en-GB"/>
          </w:rPr>
          <w:t>https://doi.org/</w:t>
        </w:r>
        <w:r w:rsidRPr="00D40D5C">
          <w:rPr>
            <w:rFonts w:eastAsia="Times New Roman"/>
            <w:color w:val="0000FF"/>
            <w:u w:val="single"/>
            <w:lang w:eastAsia="en-GB"/>
          </w:rPr>
          <w:t>10.1371/journal.ppat.1002536</w:t>
        </w:r>
      </w:hyperlink>
      <w:r w:rsidRPr="000C4EF7">
        <w:rPr>
          <w:rFonts w:eastAsia="Times New Roman"/>
          <w:lang w:eastAsia="en-GB"/>
        </w:rPr>
        <w:t>.</w:t>
      </w:r>
    </w:p>
    <w:p w14:paraId="00F8E299" w14:textId="77777777" w:rsidR="000C4EF7" w:rsidRPr="000C4EF7" w:rsidRDefault="000C4EF7" w:rsidP="00B23FF8">
      <w:pPr>
        <w:snapToGrid w:val="0"/>
        <w:spacing w:afterLines="60" w:after="144" w:line="240" w:lineRule="auto"/>
        <w:ind w:hanging="480"/>
        <w:rPr>
          <w:rFonts w:eastAsia="Times New Roman"/>
          <w:lang w:eastAsia="en-GB"/>
        </w:rPr>
      </w:pPr>
      <w:r w:rsidRPr="00D40D5C">
        <w:rPr>
          <w:rFonts w:eastAsia="Times New Roman"/>
          <w:lang w:eastAsia="en-GB"/>
        </w:rPr>
        <w:t>Rifat, Dalin, Brendan Prideaux, Radojka M. Savic, Michael E. Urbanowski, Teresa L. Parsons, Brian Luna, Mark A. Marzinke, et al. 2018. ‘Phar</w:t>
      </w:r>
      <w:r w:rsidRPr="000C4EF7">
        <w:rPr>
          <w:rFonts w:eastAsia="Times New Roman"/>
          <w:lang w:eastAsia="en-GB"/>
        </w:rPr>
        <w:t xml:space="preserve">macokinetics of Rifapentine and Rifampin in a Rabbit Model of Tuberculosis and Correlation with Clinical Trial Data’. </w:t>
      </w:r>
      <w:r w:rsidRPr="000C4EF7">
        <w:rPr>
          <w:rFonts w:eastAsia="Times New Roman"/>
          <w:i/>
          <w:iCs/>
          <w:lang w:eastAsia="en-GB"/>
        </w:rPr>
        <w:t>Science Translational Medicine</w:t>
      </w:r>
      <w:r w:rsidRPr="000C4EF7">
        <w:rPr>
          <w:rFonts w:eastAsia="Times New Roman"/>
          <w:lang w:eastAsia="en-GB"/>
        </w:rPr>
        <w:t xml:space="preserve"> 10 (435): eaai7786. </w:t>
      </w:r>
      <w:hyperlink r:id="rId259" w:history="1">
        <w:r w:rsidRPr="000C4EF7">
          <w:rPr>
            <w:rFonts w:eastAsia="Times New Roman"/>
            <w:color w:val="0000FF"/>
            <w:u w:val="single"/>
            <w:lang w:eastAsia="en-GB"/>
          </w:rPr>
          <w:t>https://doi.org/10.1126/scitranslmed.aai7786</w:t>
        </w:r>
      </w:hyperlink>
      <w:r w:rsidRPr="000C4EF7">
        <w:rPr>
          <w:rFonts w:eastAsia="Times New Roman"/>
          <w:lang w:eastAsia="en-GB"/>
        </w:rPr>
        <w:t>.</w:t>
      </w:r>
    </w:p>
    <w:p w14:paraId="6719C22D" w14:textId="77777777" w:rsidR="000C4EF7" w:rsidRPr="000C4EF7" w:rsidRDefault="000C4EF7" w:rsidP="00B23FF8">
      <w:pPr>
        <w:snapToGrid w:val="0"/>
        <w:spacing w:afterLines="60" w:after="144" w:line="240" w:lineRule="auto"/>
        <w:ind w:hanging="480"/>
        <w:rPr>
          <w:rFonts w:eastAsia="Times New Roman"/>
          <w:lang w:eastAsia="en-GB"/>
        </w:rPr>
      </w:pPr>
      <w:r w:rsidRPr="00D40D5C">
        <w:rPr>
          <w:rFonts w:eastAsia="Times New Roman"/>
          <w:lang w:eastAsia="en-GB"/>
        </w:rPr>
        <w:t xml:space="preserve">Roach, T I, A F Kiderlen, and J M Blackwell. 1991. ‘Role of Inorganic Nitrogen Oxides and Tumor Necrosis Factor Alpha in Killing Leishmania Donovani Amastigotes in Gamma Interferon-Lipopolysaccharide-Activated Macrophages from Lshs and </w:t>
      </w:r>
      <w:r w:rsidRPr="000C4EF7">
        <w:rPr>
          <w:rFonts w:eastAsia="Times New Roman"/>
          <w:lang w:eastAsia="en-GB"/>
        </w:rPr>
        <w:t xml:space="preserve">Lshr Congenic Mouse Strains.’ </w:t>
      </w:r>
      <w:r w:rsidRPr="000C4EF7">
        <w:rPr>
          <w:rFonts w:eastAsia="Times New Roman"/>
          <w:i/>
          <w:iCs/>
          <w:lang w:eastAsia="en-GB"/>
        </w:rPr>
        <w:t>Infection and Immunity</w:t>
      </w:r>
      <w:r w:rsidRPr="000C4EF7">
        <w:rPr>
          <w:rFonts w:eastAsia="Times New Roman"/>
          <w:lang w:eastAsia="en-GB"/>
        </w:rPr>
        <w:t xml:space="preserve"> 59 (11): 3935–44.</w:t>
      </w:r>
    </w:p>
    <w:p w14:paraId="623B13D6" w14:textId="77777777" w:rsidR="000C4EF7" w:rsidRPr="000C4EF7" w:rsidRDefault="000C4EF7" w:rsidP="00B23FF8">
      <w:pPr>
        <w:snapToGrid w:val="0"/>
        <w:spacing w:afterLines="60" w:after="144" w:line="240" w:lineRule="auto"/>
        <w:ind w:hanging="480"/>
        <w:rPr>
          <w:rFonts w:eastAsia="Times New Roman"/>
          <w:lang w:eastAsia="en-GB"/>
        </w:rPr>
      </w:pPr>
      <w:r w:rsidRPr="000C4EF7">
        <w:rPr>
          <w:rFonts w:eastAsia="Times New Roman"/>
          <w:lang w:eastAsia="en-GB"/>
        </w:rPr>
        <w:t xml:space="preserve">Robert-Gangneux, Florence, Anne-Sophie Drogoul, Octavie Rostan, Claire Piquet-Pellorce, Jérome Cayon, Mariette Lisbonne, André Herbelin, et al. 2012. ‘Invariant NKT Cells Drive Hepatic Cytokinic Microenvironment Favoring Efficient Granuloma Formation and Early Control of Leishmania Donovani Infection’. </w:t>
      </w:r>
      <w:r w:rsidRPr="000C4EF7">
        <w:rPr>
          <w:rFonts w:eastAsia="Times New Roman"/>
          <w:i/>
          <w:iCs/>
          <w:lang w:eastAsia="en-GB"/>
        </w:rPr>
        <w:t>PloS One</w:t>
      </w:r>
      <w:r w:rsidRPr="000C4EF7">
        <w:rPr>
          <w:rFonts w:eastAsia="Times New Roman"/>
          <w:lang w:eastAsia="en-GB"/>
        </w:rPr>
        <w:t xml:space="preserve"> 7 (3): e33413. </w:t>
      </w:r>
      <w:hyperlink r:id="rId260" w:history="1">
        <w:r w:rsidRPr="000C4EF7">
          <w:rPr>
            <w:rFonts w:eastAsia="Times New Roman"/>
            <w:color w:val="0000FF"/>
            <w:u w:val="single"/>
            <w:lang w:eastAsia="en-GB"/>
          </w:rPr>
          <w:t>https://doi.org/10.1371/journal.pone.0033413</w:t>
        </w:r>
      </w:hyperlink>
      <w:r w:rsidRPr="000C4EF7">
        <w:rPr>
          <w:rFonts w:eastAsia="Times New Roman"/>
          <w:lang w:eastAsia="en-GB"/>
        </w:rPr>
        <w:t>.</w:t>
      </w:r>
    </w:p>
    <w:p w14:paraId="0F74D5BB" w14:textId="77777777" w:rsidR="000C4EF7" w:rsidRPr="000C4EF7" w:rsidRDefault="000C4EF7" w:rsidP="00B23FF8">
      <w:pPr>
        <w:snapToGrid w:val="0"/>
        <w:spacing w:afterLines="60" w:after="144" w:line="240" w:lineRule="auto"/>
        <w:ind w:hanging="480"/>
        <w:rPr>
          <w:rFonts w:eastAsia="Times New Roman"/>
          <w:lang w:eastAsia="en-GB"/>
        </w:rPr>
      </w:pPr>
      <w:r w:rsidRPr="00D40D5C">
        <w:rPr>
          <w:rFonts w:eastAsia="Times New Roman"/>
          <w:lang w:eastAsia="en-GB"/>
        </w:rPr>
        <w:t>Rogers</w:t>
      </w:r>
      <w:r w:rsidRPr="000C4EF7">
        <w:rPr>
          <w:rFonts w:eastAsia="Times New Roman"/>
          <w:lang w:eastAsia="en-GB"/>
        </w:rPr>
        <w:t xml:space="preserve">, Matthew E. 2012. ‘The Role of Leishmania Proteophosphoglycans in Sand Fly Transmission and Infection of the Mammalian Host’. </w:t>
      </w:r>
      <w:r w:rsidRPr="000C4EF7">
        <w:rPr>
          <w:rFonts w:eastAsia="Times New Roman"/>
          <w:i/>
          <w:iCs/>
          <w:lang w:eastAsia="en-GB"/>
        </w:rPr>
        <w:t>Frontiers in Microbiology</w:t>
      </w:r>
      <w:r w:rsidRPr="000C4EF7">
        <w:rPr>
          <w:rFonts w:eastAsia="Times New Roman"/>
          <w:lang w:eastAsia="en-GB"/>
        </w:rPr>
        <w:t xml:space="preserve"> 3 (June). </w:t>
      </w:r>
      <w:hyperlink r:id="rId261" w:history="1">
        <w:r w:rsidRPr="000C4EF7">
          <w:rPr>
            <w:rFonts w:eastAsia="Times New Roman"/>
            <w:color w:val="0000FF"/>
            <w:u w:val="single"/>
            <w:lang w:eastAsia="en-GB"/>
          </w:rPr>
          <w:t>https://doi.org/10.3389/fmicb.</w:t>
        </w:r>
        <w:r w:rsidRPr="00D40D5C">
          <w:rPr>
            <w:rFonts w:eastAsia="Times New Roman"/>
            <w:color w:val="0000FF"/>
            <w:u w:val="single"/>
            <w:lang w:eastAsia="en-GB"/>
          </w:rPr>
          <w:t>2012.00</w:t>
        </w:r>
        <w:r w:rsidRPr="000C4EF7">
          <w:rPr>
            <w:rFonts w:eastAsia="Times New Roman"/>
            <w:color w:val="0000FF"/>
            <w:u w:val="single"/>
            <w:lang w:eastAsia="en-GB"/>
          </w:rPr>
          <w:t>223</w:t>
        </w:r>
      </w:hyperlink>
      <w:r w:rsidRPr="000C4EF7">
        <w:rPr>
          <w:rFonts w:eastAsia="Times New Roman"/>
          <w:lang w:eastAsia="en-GB"/>
        </w:rPr>
        <w:t>.</w:t>
      </w:r>
    </w:p>
    <w:p w14:paraId="10382A5F" w14:textId="77777777" w:rsidR="000C4EF7" w:rsidRPr="000C4EF7" w:rsidRDefault="000C4EF7" w:rsidP="00B23FF8">
      <w:pPr>
        <w:snapToGrid w:val="0"/>
        <w:spacing w:afterLines="60" w:after="144" w:line="240" w:lineRule="auto"/>
        <w:ind w:hanging="480"/>
        <w:rPr>
          <w:rFonts w:eastAsia="Times New Roman"/>
          <w:lang w:eastAsia="en-GB"/>
        </w:rPr>
      </w:pPr>
      <w:r w:rsidRPr="00D40D5C">
        <w:rPr>
          <w:rFonts w:eastAsia="Times New Roman"/>
          <w:lang w:eastAsia="en-GB"/>
        </w:rPr>
        <w:t xml:space="preserve">Romagnani, S. 1999. ‘Th1/Th2 Cells’. </w:t>
      </w:r>
      <w:r w:rsidRPr="000C4EF7">
        <w:rPr>
          <w:rFonts w:eastAsia="Times New Roman"/>
          <w:i/>
          <w:iCs/>
          <w:lang w:eastAsia="en-GB"/>
        </w:rPr>
        <w:t>Inflammatory Bowel Diseases</w:t>
      </w:r>
      <w:r w:rsidRPr="000C4EF7">
        <w:rPr>
          <w:rFonts w:eastAsia="Times New Roman"/>
          <w:lang w:eastAsia="en-GB"/>
        </w:rPr>
        <w:t xml:space="preserve"> 5 (4): 285–94.</w:t>
      </w:r>
    </w:p>
    <w:p w14:paraId="55BE4445" w14:textId="77777777" w:rsidR="000C4EF7" w:rsidRPr="000C4EF7" w:rsidRDefault="000C4EF7" w:rsidP="00B23FF8">
      <w:pPr>
        <w:snapToGrid w:val="0"/>
        <w:spacing w:afterLines="60" w:after="144" w:line="240" w:lineRule="auto"/>
        <w:ind w:hanging="480"/>
        <w:rPr>
          <w:rFonts w:eastAsia="Times New Roman"/>
          <w:lang w:eastAsia="en-GB"/>
        </w:rPr>
      </w:pPr>
      <w:r w:rsidRPr="000C4EF7">
        <w:rPr>
          <w:rFonts w:eastAsia="Times New Roman"/>
          <w:lang w:eastAsia="en-GB"/>
        </w:rPr>
        <w:t xml:space="preserve">Rossini, A. J., Luke Tierney, and Na Li. 2007. ‘Simple Parallel Statistical Computing in R’. </w:t>
      </w:r>
      <w:r w:rsidRPr="000C4EF7">
        <w:rPr>
          <w:rFonts w:eastAsia="Times New Roman"/>
          <w:i/>
          <w:iCs/>
          <w:lang w:eastAsia="en-GB"/>
        </w:rPr>
        <w:t>Journal of Computational and Graphical Statistics</w:t>
      </w:r>
      <w:r w:rsidRPr="000C4EF7">
        <w:rPr>
          <w:rFonts w:eastAsia="Times New Roman"/>
          <w:lang w:eastAsia="en-GB"/>
        </w:rPr>
        <w:t xml:space="preserve"> 16 (2): 399–420. </w:t>
      </w:r>
      <w:hyperlink r:id="rId262" w:history="1">
        <w:r w:rsidRPr="000C4EF7">
          <w:rPr>
            <w:rFonts w:eastAsia="Times New Roman"/>
            <w:color w:val="0000FF"/>
            <w:u w:val="single"/>
            <w:lang w:eastAsia="en-GB"/>
          </w:rPr>
          <w:t>https://doi.org/10.1198/106186007X178979</w:t>
        </w:r>
      </w:hyperlink>
      <w:r w:rsidRPr="000C4EF7">
        <w:rPr>
          <w:rFonts w:eastAsia="Times New Roman"/>
          <w:lang w:eastAsia="en-GB"/>
        </w:rPr>
        <w:t>.</w:t>
      </w:r>
    </w:p>
    <w:p w14:paraId="7F4DE906" w14:textId="77777777" w:rsidR="000C4EF7" w:rsidRPr="000C4EF7" w:rsidRDefault="000C4EF7" w:rsidP="00B23FF8">
      <w:pPr>
        <w:snapToGrid w:val="0"/>
        <w:spacing w:afterLines="60" w:after="144" w:line="240" w:lineRule="auto"/>
        <w:ind w:hanging="480"/>
        <w:rPr>
          <w:rFonts w:eastAsia="Times New Roman"/>
          <w:lang w:eastAsia="en-GB"/>
        </w:rPr>
      </w:pPr>
      <w:r w:rsidRPr="00D40D5C">
        <w:rPr>
          <w:rFonts w:eastAsia="Times New Roman"/>
          <w:lang w:eastAsia="en-GB"/>
        </w:rPr>
        <w:t xml:space="preserve">Roy, Amit, Sayan Chowdhury, Souvik Sengupta, Madhumita Mandal, Parasuraman Jaisankar, Ilda D’Annessa, Alessandro Desideri, and Hemanta K. Majumder. 2011. ‘Development </w:t>
      </w:r>
      <w:r w:rsidRPr="000C4EF7">
        <w:rPr>
          <w:rFonts w:eastAsia="Times New Roman"/>
          <w:lang w:eastAsia="en-GB"/>
        </w:rPr>
        <w:t xml:space="preserve">of Derivatives of 3, 3’-Diindolylmethane as Potent Leishmania Donovani Bi-Subunit Topoisomerase IB Poisons’. </w:t>
      </w:r>
      <w:r w:rsidRPr="000C4EF7">
        <w:rPr>
          <w:rFonts w:eastAsia="Times New Roman"/>
          <w:i/>
          <w:iCs/>
          <w:lang w:eastAsia="en-GB"/>
        </w:rPr>
        <w:t>PloS One</w:t>
      </w:r>
      <w:r w:rsidRPr="000C4EF7">
        <w:rPr>
          <w:rFonts w:eastAsia="Times New Roman"/>
          <w:lang w:eastAsia="en-GB"/>
        </w:rPr>
        <w:t xml:space="preserve"> 6 (12): e28493. </w:t>
      </w:r>
      <w:hyperlink r:id="rId263" w:history="1">
        <w:r w:rsidRPr="000C4EF7">
          <w:rPr>
            <w:rFonts w:eastAsia="Times New Roman"/>
            <w:color w:val="0000FF"/>
            <w:u w:val="single"/>
            <w:lang w:eastAsia="en-GB"/>
          </w:rPr>
          <w:t>https://doi.org/10.1371/journal.pone.0028493</w:t>
        </w:r>
      </w:hyperlink>
      <w:r w:rsidRPr="000C4EF7">
        <w:rPr>
          <w:rFonts w:eastAsia="Times New Roman"/>
          <w:lang w:eastAsia="en-GB"/>
        </w:rPr>
        <w:t>.</w:t>
      </w:r>
    </w:p>
    <w:p w14:paraId="6AF182D6" w14:textId="77777777" w:rsidR="000C4EF7" w:rsidRPr="000C4EF7" w:rsidRDefault="000C4EF7" w:rsidP="00B23FF8">
      <w:pPr>
        <w:snapToGrid w:val="0"/>
        <w:spacing w:afterLines="60" w:after="144" w:line="240" w:lineRule="auto"/>
        <w:ind w:hanging="480"/>
        <w:rPr>
          <w:rFonts w:eastAsia="Times New Roman"/>
          <w:lang w:eastAsia="en-GB"/>
        </w:rPr>
      </w:pPr>
      <w:r w:rsidRPr="00D40D5C">
        <w:rPr>
          <w:rFonts w:eastAsia="Times New Roman"/>
          <w:lang w:eastAsia="en-GB"/>
        </w:rPr>
        <w:t xml:space="preserve">Rui, Liangyou. </w:t>
      </w:r>
      <w:r w:rsidRPr="000C4EF7">
        <w:rPr>
          <w:rFonts w:eastAsia="Times New Roman"/>
          <w:lang w:eastAsia="en-GB"/>
        </w:rPr>
        <w:t xml:space="preserve">2014. ‘Energy Metabolism in the Liver’. </w:t>
      </w:r>
      <w:r w:rsidRPr="000C4EF7">
        <w:rPr>
          <w:rFonts w:eastAsia="Times New Roman"/>
          <w:i/>
          <w:iCs/>
          <w:lang w:eastAsia="en-GB"/>
        </w:rPr>
        <w:t>Comprehensive Physiology</w:t>
      </w:r>
      <w:r w:rsidRPr="000C4EF7">
        <w:rPr>
          <w:rFonts w:eastAsia="Times New Roman"/>
          <w:lang w:eastAsia="en-GB"/>
        </w:rPr>
        <w:t xml:space="preserve"> 4 (1): 177–97. </w:t>
      </w:r>
      <w:hyperlink r:id="rId264" w:history="1">
        <w:r w:rsidRPr="000C4EF7">
          <w:rPr>
            <w:rFonts w:eastAsia="Times New Roman"/>
            <w:color w:val="0000FF"/>
            <w:u w:val="single"/>
            <w:lang w:eastAsia="en-GB"/>
          </w:rPr>
          <w:t>https://doi.org/10.1002/cphy.c130024</w:t>
        </w:r>
      </w:hyperlink>
      <w:r w:rsidRPr="000C4EF7">
        <w:rPr>
          <w:rFonts w:eastAsia="Times New Roman"/>
          <w:lang w:eastAsia="en-GB"/>
        </w:rPr>
        <w:t>.</w:t>
      </w:r>
    </w:p>
    <w:p w14:paraId="4E354F17" w14:textId="77777777" w:rsidR="000C4EF7" w:rsidRPr="000C4EF7" w:rsidRDefault="000C4EF7" w:rsidP="00B23FF8">
      <w:pPr>
        <w:snapToGrid w:val="0"/>
        <w:spacing w:afterLines="60" w:after="144" w:line="240" w:lineRule="auto"/>
        <w:ind w:hanging="480"/>
        <w:rPr>
          <w:rFonts w:eastAsia="Times New Roman"/>
          <w:lang w:eastAsia="en-GB"/>
        </w:rPr>
      </w:pPr>
      <w:r w:rsidRPr="00D40D5C">
        <w:rPr>
          <w:rFonts w:eastAsia="Times New Roman"/>
          <w:lang w:eastAsia="en-GB"/>
        </w:rPr>
        <w:lastRenderedPageBreak/>
        <w:t>Saha, A. K., T. Mukherjee, and A. Bhaduri. 1986. ‘Mechanism of Action of Amphotericin</w:t>
      </w:r>
      <w:r w:rsidRPr="000C4EF7">
        <w:rPr>
          <w:rFonts w:eastAsia="Times New Roman"/>
          <w:lang w:eastAsia="en-GB"/>
        </w:rPr>
        <w:t xml:space="preserve"> B on Leishmania Donovani Promastigotes’. </w:t>
      </w:r>
      <w:r w:rsidRPr="000C4EF7">
        <w:rPr>
          <w:rFonts w:eastAsia="Times New Roman"/>
          <w:i/>
          <w:iCs/>
          <w:lang w:eastAsia="en-GB"/>
        </w:rPr>
        <w:t>Molecular and Biochemical Parasitology</w:t>
      </w:r>
      <w:r w:rsidRPr="000C4EF7">
        <w:rPr>
          <w:rFonts w:eastAsia="Times New Roman"/>
          <w:lang w:eastAsia="en-GB"/>
        </w:rPr>
        <w:t xml:space="preserve"> 19 (3): 195–200.</w:t>
      </w:r>
    </w:p>
    <w:p w14:paraId="6E280F3A" w14:textId="77777777" w:rsidR="000C4EF7" w:rsidRPr="000C4EF7" w:rsidRDefault="000C4EF7" w:rsidP="00B23FF8">
      <w:pPr>
        <w:snapToGrid w:val="0"/>
        <w:spacing w:afterLines="60" w:after="144" w:line="240" w:lineRule="auto"/>
        <w:ind w:hanging="480"/>
        <w:rPr>
          <w:rFonts w:eastAsia="Times New Roman"/>
          <w:lang w:eastAsia="en-GB"/>
        </w:rPr>
      </w:pPr>
      <w:r w:rsidRPr="000C4EF7">
        <w:rPr>
          <w:rFonts w:eastAsia="Times New Roman"/>
          <w:lang w:eastAsia="en-GB"/>
        </w:rPr>
        <w:t xml:space="preserve">Sakkas, Hercules, Constantina Gartzonika, and Stamatina Levidiotou. 2016. ‘Laboratory Diagnosis of Human Visceral Leishmaniasis’. </w:t>
      </w:r>
      <w:r w:rsidRPr="000C4EF7">
        <w:rPr>
          <w:rFonts w:eastAsia="Times New Roman"/>
          <w:i/>
          <w:iCs/>
          <w:lang w:eastAsia="en-GB"/>
        </w:rPr>
        <w:t>Journal of Vector Borne Diseases</w:t>
      </w:r>
      <w:r w:rsidRPr="000C4EF7">
        <w:rPr>
          <w:rFonts w:eastAsia="Times New Roman"/>
          <w:lang w:eastAsia="en-GB"/>
        </w:rPr>
        <w:t xml:space="preserve"> 53 (1): 8–16.</w:t>
      </w:r>
    </w:p>
    <w:p w14:paraId="11DD172A" w14:textId="77777777" w:rsidR="000C4EF7" w:rsidRPr="000C4EF7" w:rsidRDefault="000C4EF7" w:rsidP="00B23FF8">
      <w:pPr>
        <w:snapToGrid w:val="0"/>
        <w:spacing w:afterLines="60" w:after="144" w:line="240" w:lineRule="auto"/>
        <w:ind w:hanging="480"/>
        <w:rPr>
          <w:rFonts w:eastAsia="Times New Roman"/>
          <w:lang w:eastAsia="en-GB"/>
        </w:rPr>
      </w:pPr>
      <w:r w:rsidRPr="000C4EF7">
        <w:rPr>
          <w:rFonts w:eastAsia="Times New Roman"/>
          <w:lang w:eastAsia="en-GB"/>
        </w:rPr>
        <w:t xml:space="preserve">Schlub, Timothy E., Joseph C. Sun, Senta M. Walton, Scott H. Robbins, Amelia K. Pinto, Michael W. Munks, Ann B. Hill, Laurent Brossay, Annette Oxenius, and Miles P. Davenport. 2011. ‘Comparing the Kinetics of NK Cells, CD4, and CD8 T Cells in Murine Cytomegalovirus Infection’. </w:t>
      </w:r>
      <w:r w:rsidRPr="000C4EF7">
        <w:rPr>
          <w:rFonts w:eastAsia="Times New Roman"/>
          <w:i/>
          <w:iCs/>
          <w:lang w:eastAsia="en-GB"/>
        </w:rPr>
        <w:t>Journal of Immunology (Baltimore, Md.: 1950)</w:t>
      </w:r>
      <w:r w:rsidRPr="000C4EF7">
        <w:rPr>
          <w:rFonts w:eastAsia="Times New Roman"/>
          <w:lang w:eastAsia="en-GB"/>
        </w:rPr>
        <w:t xml:space="preserve"> 187 (3): 1385–92. </w:t>
      </w:r>
      <w:hyperlink r:id="rId265" w:history="1">
        <w:r w:rsidRPr="000C4EF7">
          <w:rPr>
            <w:rFonts w:eastAsia="Times New Roman"/>
            <w:color w:val="0000FF"/>
            <w:u w:val="single"/>
            <w:lang w:eastAsia="en-GB"/>
          </w:rPr>
          <w:t>https://doi.org/10.4049/jimmunol.1100416</w:t>
        </w:r>
      </w:hyperlink>
      <w:r w:rsidRPr="000C4EF7">
        <w:rPr>
          <w:rFonts w:eastAsia="Times New Roman"/>
          <w:lang w:eastAsia="en-GB"/>
        </w:rPr>
        <w:t>.</w:t>
      </w:r>
    </w:p>
    <w:p w14:paraId="69CE59BB" w14:textId="77777777" w:rsidR="000C4EF7" w:rsidRPr="000C4EF7" w:rsidRDefault="000C4EF7" w:rsidP="00B23FF8">
      <w:pPr>
        <w:snapToGrid w:val="0"/>
        <w:spacing w:afterLines="60" w:after="144" w:line="240" w:lineRule="auto"/>
        <w:ind w:hanging="480"/>
        <w:rPr>
          <w:rFonts w:eastAsia="Times New Roman"/>
          <w:lang w:eastAsia="en-GB"/>
        </w:rPr>
      </w:pPr>
      <w:r w:rsidRPr="00D40D5C">
        <w:rPr>
          <w:rFonts w:eastAsia="Times New Roman"/>
          <w:lang w:eastAsia="en-GB"/>
        </w:rPr>
        <w:t>Scott, Charlotte L., Fang Zheng, Patrick De Baetselie</w:t>
      </w:r>
      <w:r w:rsidRPr="000C4EF7">
        <w:rPr>
          <w:rFonts w:eastAsia="Times New Roman"/>
          <w:lang w:eastAsia="en-GB"/>
        </w:rPr>
        <w:t xml:space="preserve">r, Liesbet Martens, Yvan Saeys, Sofie De Prijck, Saskia Lippens, et al. 2016. ‘Bone Marrow-Derived Monocytes Give Rise to Self-Renewing and Fully Differentiated Kupffer Cells’. </w:t>
      </w:r>
      <w:r w:rsidRPr="000C4EF7">
        <w:rPr>
          <w:rFonts w:eastAsia="Times New Roman"/>
          <w:i/>
          <w:iCs/>
          <w:lang w:eastAsia="en-GB"/>
        </w:rPr>
        <w:t>Nature Communications</w:t>
      </w:r>
      <w:r w:rsidRPr="000C4EF7">
        <w:rPr>
          <w:rFonts w:eastAsia="Times New Roman"/>
          <w:lang w:eastAsia="en-GB"/>
        </w:rPr>
        <w:t xml:space="preserve"> 7 (January): 10321. </w:t>
      </w:r>
      <w:hyperlink r:id="rId266" w:history="1">
        <w:r w:rsidRPr="000C4EF7">
          <w:rPr>
            <w:rFonts w:eastAsia="Times New Roman"/>
            <w:color w:val="0000FF"/>
            <w:u w:val="single"/>
            <w:lang w:eastAsia="en-GB"/>
          </w:rPr>
          <w:t>https://doi.org/10.1038/ncomms10321</w:t>
        </w:r>
      </w:hyperlink>
      <w:r w:rsidRPr="000C4EF7">
        <w:rPr>
          <w:rFonts w:eastAsia="Times New Roman"/>
          <w:lang w:eastAsia="en-GB"/>
        </w:rPr>
        <w:t>.</w:t>
      </w:r>
    </w:p>
    <w:p w14:paraId="2C5552F8" w14:textId="77777777" w:rsidR="000C4EF7" w:rsidRPr="000C4EF7" w:rsidRDefault="000C4EF7" w:rsidP="00B23FF8">
      <w:pPr>
        <w:snapToGrid w:val="0"/>
        <w:spacing w:afterLines="60" w:after="144" w:line="240" w:lineRule="auto"/>
        <w:ind w:hanging="480"/>
        <w:rPr>
          <w:rFonts w:eastAsia="Times New Roman"/>
          <w:lang w:eastAsia="en-GB"/>
        </w:rPr>
      </w:pPr>
      <w:r w:rsidRPr="00D40D5C">
        <w:rPr>
          <w:rFonts w:eastAsia="Times New Roman"/>
          <w:lang w:eastAsia="en-GB"/>
        </w:rPr>
        <w:t>Scott, Charlotte L., Fang Zheng, Patrick De Baetselier, Liesbet Martens, Yvan Saeys, Sofie De Prijck, Saskia Lippens, et al. 2016. ‘Bone Marrow-Derived Monocytes Give Rise to Self-Renewing and Fully Diffe</w:t>
      </w:r>
      <w:r w:rsidRPr="000C4EF7">
        <w:rPr>
          <w:rFonts w:eastAsia="Times New Roman"/>
          <w:lang w:eastAsia="en-GB"/>
        </w:rPr>
        <w:t xml:space="preserve">rentiated Kupffer Cells’. </w:t>
      </w:r>
      <w:r w:rsidRPr="000C4EF7">
        <w:rPr>
          <w:rFonts w:eastAsia="Times New Roman"/>
          <w:i/>
          <w:iCs/>
          <w:lang w:eastAsia="en-GB"/>
        </w:rPr>
        <w:t>Nature Communications</w:t>
      </w:r>
      <w:r w:rsidRPr="000C4EF7">
        <w:rPr>
          <w:rFonts w:eastAsia="Times New Roman"/>
          <w:lang w:eastAsia="en-GB"/>
        </w:rPr>
        <w:t xml:space="preserve"> 7 (January): 10321. </w:t>
      </w:r>
      <w:hyperlink r:id="rId267" w:history="1">
        <w:r w:rsidRPr="000C4EF7">
          <w:rPr>
            <w:rFonts w:eastAsia="Times New Roman"/>
            <w:color w:val="0000FF"/>
            <w:u w:val="single"/>
            <w:lang w:eastAsia="en-GB"/>
          </w:rPr>
          <w:t>https://doi.org/10.1038/ncomms10321</w:t>
        </w:r>
      </w:hyperlink>
      <w:r w:rsidRPr="000C4EF7">
        <w:rPr>
          <w:rFonts w:eastAsia="Times New Roman"/>
          <w:lang w:eastAsia="en-GB"/>
        </w:rPr>
        <w:t>.</w:t>
      </w:r>
    </w:p>
    <w:p w14:paraId="605CCD7B" w14:textId="77777777" w:rsidR="000C4EF7" w:rsidRPr="000C4EF7" w:rsidRDefault="000C4EF7" w:rsidP="00B23FF8">
      <w:pPr>
        <w:snapToGrid w:val="0"/>
        <w:spacing w:afterLines="60" w:after="144" w:line="240" w:lineRule="auto"/>
        <w:ind w:hanging="480"/>
        <w:rPr>
          <w:rFonts w:eastAsia="Times New Roman"/>
          <w:lang w:eastAsia="en-GB"/>
        </w:rPr>
      </w:pPr>
      <w:r w:rsidRPr="00D40D5C">
        <w:rPr>
          <w:rFonts w:eastAsia="Times New Roman"/>
          <w:lang w:eastAsia="en-GB"/>
        </w:rPr>
        <w:t xml:space="preserve">Senoo, Haruki. 2004. ‘Structure and Function of Hepatic Stellate Cells’. </w:t>
      </w:r>
      <w:r w:rsidRPr="000C4EF7">
        <w:rPr>
          <w:rFonts w:eastAsia="Times New Roman"/>
          <w:i/>
          <w:iCs/>
          <w:lang w:eastAsia="en-GB"/>
        </w:rPr>
        <w:t>Medical Electron Microscopy: Official Journal of the Clinical Electron Microscopy Society of Japan</w:t>
      </w:r>
      <w:r w:rsidRPr="000C4EF7">
        <w:rPr>
          <w:rFonts w:eastAsia="Times New Roman"/>
          <w:lang w:eastAsia="en-GB"/>
        </w:rPr>
        <w:t xml:space="preserve"> 37 (1): 3–15. </w:t>
      </w:r>
      <w:hyperlink r:id="rId268" w:history="1">
        <w:r w:rsidRPr="000C4EF7">
          <w:rPr>
            <w:rFonts w:eastAsia="Times New Roman"/>
            <w:color w:val="0000FF"/>
            <w:u w:val="single"/>
            <w:lang w:eastAsia="en-GB"/>
          </w:rPr>
          <w:t>https://doi.org/10.1007/s00795-003-0230-3</w:t>
        </w:r>
      </w:hyperlink>
      <w:r w:rsidRPr="000C4EF7">
        <w:rPr>
          <w:rFonts w:eastAsia="Times New Roman"/>
          <w:lang w:eastAsia="en-GB"/>
        </w:rPr>
        <w:t>.</w:t>
      </w:r>
    </w:p>
    <w:p w14:paraId="6343DC45" w14:textId="77777777" w:rsidR="000C4EF7" w:rsidRPr="000C4EF7" w:rsidRDefault="000C4EF7" w:rsidP="00B23FF8">
      <w:pPr>
        <w:snapToGrid w:val="0"/>
        <w:spacing w:afterLines="60" w:after="144" w:line="240" w:lineRule="auto"/>
        <w:ind w:hanging="480"/>
        <w:rPr>
          <w:rFonts w:eastAsia="Times New Roman"/>
          <w:lang w:eastAsia="en-GB"/>
        </w:rPr>
      </w:pPr>
      <w:r w:rsidRPr="00D40D5C">
        <w:rPr>
          <w:rFonts w:eastAsia="Times New Roman"/>
          <w:lang w:eastAsia="en-GB"/>
        </w:rPr>
        <w:t xml:space="preserve">Shapiro, Howard M. 2005. </w:t>
      </w:r>
      <w:r w:rsidRPr="000C4EF7">
        <w:rPr>
          <w:rFonts w:eastAsia="Times New Roman"/>
          <w:i/>
          <w:iCs/>
          <w:lang w:eastAsia="en-GB"/>
        </w:rPr>
        <w:t>Practical Flow Cytometry</w:t>
      </w:r>
      <w:r w:rsidRPr="000C4EF7">
        <w:rPr>
          <w:rFonts w:eastAsia="Times New Roman"/>
          <w:lang w:eastAsia="en-GB"/>
        </w:rPr>
        <w:t>. John Wiley &amp; Sons.</w:t>
      </w:r>
    </w:p>
    <w:p w14:paraId="3D66352F" w14:textId="77777777" w:rsidR="000C4EF7" w:rsidRPr="000C4EF7" w:rsidRDefault="000C4EF7" w:rsidP="00B23FF8">
      <w:pPr>
        <w:snapToGrid w:val="0"/>
        <w:spacing w:afterLines="60" w:after="144" w:line="240" w:lineRule="auto"/>
        <w:ind w:hanging="480"/>
        <w:rPr>
          <w:rFonts w:eastAsia="Times New Roman"/>
          <w:lang w:eastAsia="en-GB"/>
        </w:rPr>
      </w:pPr>
      <w:r w:rsidRPr="000C4EF7">
        <w:rPr>
          <w:rFonts w:eastAsia="Times New Roman"/>
          <w:lang w:eastAsia="en-GB"/>
        </w:rPr>
        <w:t xml:space="preserve">Shi, Chao, and Eric G. Pamer. 2011. ‘Monocyte Recruitment during Infection and Inflammation’. </w:t>
      </w:r>
      <w:r w:rsidRPr="000C4EF7">
        <w:rPr>
          <w:rFonts w:eastAsia="Times New Roman"/>
          <w:i/>
          <w:iCs/>
          <w:lang w:eastAsia="en-GB"/>
        </w:rPr>
        <w:t>Nature Reviews. Immunology</w:t>
      </w:r>
      <w:r w:rsidRPr="000C4EF7">
        <w:rPr>
          <w:rFonts w:eastAsia="Times New Roman"/>
          <w:lang w:eastAsia="en-GB"/>
        </w:rPr>
        <w:t xml:space="preserve"> 11 (11): 762–74. </w:t>
      </w:r>
      <w:hyperlink r:id="rId269" w:history="1">
        <w:r w:rsidRPr="000C4EF7">
          <w:rPr>
            <w:rFonts w:eastAsia="Times New Roman"/>
            <w:color w:val="0000FF"/>
            <w:u w:val="single"/>
            <w:lang w:eastAsia="en-GB"/>
          </w:rPr>
          <w:t>https://doi.org/10.1038/nri3070</w:t>
        </w:r>
      </w:hyperlink>
      <w:r w:rsidRPr="000C4EF7">
        <w:rPr>
          <w:rFonts w:eastAsia="Times New Roman"/>
          <w:lang w:eastAsia="en-GB"/>
        </w:rPr>
        <w:t>.</w:t>
      </w:r>
    </w:p>
    <w:p w14:paraId="1513180E" w14:textId="77777777" w:rsidR="000C4EF7" w:rsidRPr="000C4EF7" w:rsidRDefault="000C4EF7" w:rsidP="00B23FF8">
      <w:pPr>
        <w:snapToGrid w:val="0"/>
        <w:spacing w:afterLines="60" w:after="144" w:line="240" w:lineRule="auto"/>
        <w:ind w:hanging="480"/>
        <w:rPr>
          <w:rFonts w:eastAsia="Times New Roman"/>
          <w:lang w:eastAsia="en-GB"/>
        </w:rPr>
      </w:pPr>
      <w:r w:rsidRPr="00D40D5C">
        <w:rPr>
          <w:rFonts w:eastAsia="Times New Roman"/>
          <w:lang w:eastAsia="en-GB"/>
        </w:rPr>
        <w:t>Siewe, Nourridine, Abdul-Aziz Yakub</w:t>
      </w:r>
      <w:r w:rsidRPr="000C4EF7">
        <w:rPr>
          <w:rFonts w:eastAsia="Times New Roman"/>
          <w:lang w:eastAsia="en-GB"/>
        </w:rPr>
        <w:t xml:space="preserve">u, Abhay R. Satoskar, and Avner Friedman. 2016. ‘Immune Response to Infection by Leishmania: A Mathematical Model’. </w:t>
      </w:r>
      <w:r w:rsidRPr="000C4EF7">
        <w:rPr>
          <w:rFonts w:eastAsia="Times New Roman"/>
          <w:i/>
          <w:iCs/>
          <w:lang w:eastAsia="en-GB"/>
        </w:rPr>
        <w:t>Mathematical Biosciences</w:t>
      </w:r>
      <w:r w:rsidRPr="000C4EF7">
        <w:rPr>
          <w:rFonts w:eastAsia="Times New Roman"/>
          <w:lang w:eastAsia="en-GB"/>
        </w:rPr>
        <w:t xml:space="preserve"> 276: 28–43. </w:t>
      </w:r>
      <w:hyperlink r:id="rId270" w:history="1">
        <w:r w:rsidRPr="000C4EF7">
          <w:rPr>
            <w:rFonts w:eastAsia="Times New Roman"/>
            <w:color w:val="0000FF"/>
            <w:u w:val="single"/>
            <w:lang w:eastAsia="en-GB"/>
          </w:rPr>
          <w:t>https://doi.org/10.1016/j.mbs.2016.02.015</w:t>
        </w:r>
      </w:hyperlink>
      <w:r w:rsidRPr="000C4EF7">
        <w:rPr>
          <w:rFonts w:eastAsia="Times New Roman"/>
          <w:lang w:eastAsia="en-GB"/>
        </w:rPr>
        <w:t>.</w:t>
      </w:r>
    </w:p>
    <w:p w14:paraId="188E8B9C" w14:textId="77777777" w:rsidR="000C4EF7" w:rsidRPr="000C4EF7" w:rsidRDefault="000C4EF7" w:rsidP="00B23FF8">
      <w:pPr>
        <w:snapToGrid w:val="0"/>
        <w:spacing w:afterLines="60" w:after="144" w:line="240" w:lineRule="auto"/>
        <w:ind w:hanging="480"/>
        <w:rPr>
          <w:rFonts w:eastAsia="Times New Roman"/>
          <w:lang w:eastAsia="en-GB"/>
        </w:rPr>
      </w:pPr>
      <w:r w:rsidRPr="00D40D5C">
        <w:rPr>
          <w:rFonts w:eastAsia="Times New Roman"/>
          <w:lang w:eastAsia="en-GB"/>
        </w:rPr>
        <w:t>Si</w:t>
      </w:r>
      <w:r w:rsidRPr="000C4EF7">
        <w:rPr>
          <w:rFonts w:eastAsia="Times New Roman"/>
          <w:lang w:eastAsia="en-GB"/>
        </w:rPr>
        <w:t xml:space="preserve">ewe, Nourridine, Abdul-Aziz Yakubu, Abhay R. Satoskar, and Avner Friedman. 2017. ‘Granuloma Formation in Leishmaniasis: A Mathematical Model’. </w:t>
      </w:r>
      <w:r w:rsidRPr="000C4EF7">
        <w:rPr>
          <w:rFonts w:eastAsia="Times New Roman"/>
          <w:i/>
          <w:iCs/>
          <w:lang w:eastAsia="en-GB"/>
        </w:rPr>
        <w:t>Journal of Theoretical Biology</w:t>
      </w:r>
      <w:r w:rsidRPr="000C4EF7">
        <w:rPr>
          <w:rFonts w:eastAsia="Times New Roman"/>
          <w:lang w:eastAsia="en-GB"/>
        </w:rPr>
        <w:t xml:space="preserve"> 412 (January): 48–60. </w:t>
      </w:r>
      <w:hyperlink r:id="rId271" w:history="1">
        <w:r w:rsidRPr="000C4EF7">
          <w:rPr>
            <w:rFonts w:eastAsia="Times New Roman"/>
            <w:color w:val="0000FF"/>
            <w:u w:val="single"/>
            <w:lang w:eastAsia="en-GB"/>
          </w:rPr>
          <w:t>https://doi.org/10.1016/j.jtbi.2016.10.004</w:t>
        </w:r>
      </w:hyperlink>
      <w:r w:rsidRPr="000C4EF7">
        <w:rPr>
          <w:rFonts w:eastAsia="Times New Roman"/>
          <w:lang w:eastAsia="en-GB"/>
        </w:rPr>
        <w:t>.</w:t>
      </w:r>
    </w:p>
    <w:p w14:paraId="2F8E8DD4" w14:textId="77777777" w:rsidR="000C4EF7" w:rsidRPr="000C4EF7" w:rsidRDefault="000C4EF7" w:rsidP="00B23FF8">
      <w:pPr>
        <w:snapToGrid w:val="0"/>
        <w:spacing w:afterLines="60" w:after="144" w:line="240" w:lineRule="auto"/>
        <w:ind w:hanging="480"/>
        <w:rPr>
          <w:rFonts w:eastAsia="Times New Roman"/>
          <w:lang w:eastAsia="en-GB"/>
        </w:rPr>
      </w:pPr>
      <w:r w:rsidRPr="00D40D5C">
        <w:rPr>
          <w:rFonts w:eastAsia="Times New Roman"/>
          <w:lang w:eastAsia="en-GB"/>
        </w:rPr>
        <w:t>Silva Miranda, Mayra, Adrien Breiman, Sophie Allain, Florence Deknuydt, and Frederic Altare. 2012. ‘The Tuberculous Granuloma: An Unsuccessful Host Defence Mechanism Providing a Safety Shelter for the Bacteria?’ R</w:t>
      </w:r>
      <w:r w:rsidRPr="000C4EF7">
        <w:rPr>
          <w:rFonts w:eastAsia="Times New Roman"/>
          <w:lang w:eastAsia="en-GB"/>
        </w:rPr>
        <w:t xml:space="preserve">esearch article. Journal of Immunology Research. 2012. </w:t>
      </w:r>
      <w:hyperlink r:id="rId272" w:history="1">
        <w:r w:rsidRPr="000C4EF7">
          <w:rPr>
            <w:rFonts w:eastAsia="Times New Roman"/>
            <w:color w:val="0000FF"/>
            <w:u w:val="single"/>
            <w:lang w:eastAsia="en-GB"/>
          </w:rPr>
          <w:t>https://doi.org/10.1155/2012/139127</w:t>
        </w:r>
      </w:hyperlink>
      <w:r w:rsidRPr="000C4EF7">
        <w:rPr>
          <w:rFonts w:eastAsia="Times New Roman"/>
          <w:lang w:eastAsia="en-GB"/>
        </w:rPr>
        <w:t>.</w:t>
      </w:r>
    </w:p>
    <w:p w14:paraId="0AE3D3AA" w14:textId="77777777" w:rsidR="000C4EF7" w:rsidRPr="000C4EF7" w:rsidRDefault="000C4EF7" w:rsidP="00B23FF8">
      <w:pPr>
        <w:snapToGrid w:val="0"/>
        <w:spacing w:afterLines="60" w:after="144" w:line="240" w:lineRule="auto"/>
        <w:ind w:hanging="480"/>
        <w:rPr>
          <w:rFonts w:eastAsia="Times New Roman"/>
          <w:lang w:eastAsia="en-GB"/>
        </w:rPr>
      </w:pPr>
      <w:r w:rsidRPr="00D40D5C">
        <w:rPr>
          <w:rFonts w:eastAsia="Times New Roman"/>
          <w:lang w:eastAsia="en-GB"/>
        </w:rPr>
        <w:t>Smelt, S. C., S. E. Cotterell, C. R. Engwerda, and P. M. Kaye. 2000. ‘B Cell-Deficient Mice Are Highly Resistant</w:t>
      </w:r>
      <w:r w:rsidRPr="000C4EF7">
        <w:rPr>
          <w:rFonts w:eastAsia="Times New Roman"/>
          <w:lang w:eastAsia="en-GB"/>
        </w:rPr>
        <w:t xml:space="preserve"> to Leishmania Donovani Infection, but Develop Neutrophil-Mediated Tissue Pathology’. </w:t>
      </w:r>
      <w:r w:rsidRPr="000C4EF7">
        <w:rPr>
          <w:rFonts w:eastAsia="Times New Roman"/>
          <w:i/>
          <w:iCs/>
          <w:lang w:eastAsia="en-GB"/>
        </w:rPr>
        <w:t>Journal of Immunology (Baltimore, Md.: 1950)</w:t>
      </w:r>
      <w:r w:rsidRPr="000C4EF7">
        <w:rPr>
          <w:rFonts w:eastAsia="Times New Roman"/>
          <w:lang w:eastAsia="en-GB"/>
        </w:rPr>
        <w:t xml:space="preserve"> 164 (7): 3681–88.</w:t>
      </w:r>
    </w:p>
    <w:p w14:paraId="613BC579" w14:textId="77777777" w:rsidR="000C4EF7" w:rsidRPr="000C4EF7" w:rsidRDefault="000C4EF7" w:rsidP="00B23FF8">
      <w:pPr>
        <w:snapToGrid w:val="0"/>
        <w:spacing w:afterLines="60" w:after="144" w:line="240" w:lineRule="auto"/>
        <w:ind w:hanging="480"/>
        <w:rPr>
          <w:rFonts w:eastAsia="Times New Roman"/>
          <w:lang w:eastAsia="en-GB"/>
        </w:rPr>
      </w:pPr>
      <w:r w:rsidRPr="000C4EF7">
        <w:rPr>
          <w:rFonts w:eastAsia="Times New Roman"/>
          <w:lang w:eastAsia="en-GB"/>
        </w:rPr>
        <w:t xml:space="preserve">Smelt, Sara C., Sara E. J. Cotterell, Christian R. Engwerda, and Paul M. Kaye. 2000. ‘B Cell-Deficient Mice Are Highly Resistant to Leishmania Donovani Infection, but Develop Neutrophil-Mediated Tissue Pathology’. </w:t>
      </w:r>
      <w:r w:rsidRPr="000C4EF7">
        <w:rPr>
          <w:rFonts w:eastAsia="Times New Roman"/>
          <w:i/>
          <w:iCs/>
          <w:lang w:eastAsia="en-GB"/>
        </w:rPr>
        <w:t>The Journal of Immunology</w:t>
      </w:r>
      <w:r w:rsidRPr="000C4EF7">
        <w:rPr>
          <w:rFonts w:eastAsia="Times New Roman"/>
          <w:lang w:eastAsia="en-GB"/>
        </w:rPr>
        <w:t xml:space="preserve"> 164 (7): 3681–88. </w:t>
      </w:r>
      <w:hyperlink r:id="rId273" w:history="1">
        <w:r w:rsidRPr="000C4EF7">
          <w:rPr>
            <w:rFonts w:eastAsia="Times New Roman"/>
            <w:color w:val="0000FF"/>
            <w:u w:val="single"/>
            <w:lang w:eastAsia="en-GB"/>
          </w:rPr>
          <w:t>https://doi.org/10.4049/jimmunol.164.7.3681</w:t>
        </w:r>
      </w:hyperlink>
      <w:r w:rsidRPr="000C4EF7">
        <w:rPr>
          <w:rFonts w:eastAsia="Times New Roman"/>
          <w:lang w:eastAsia="en-GB"/>
        </w:rPr>
        <w:t>.</w:t>
      </w:r>
    </w:p>
    <w:p w14:paraId="4D138CF2" w14:textId="77777777" w:rsidR="000C4EF7" w:rsidRPr="000C4EF7" w:rsidRDefault="000C4EF7" w:rsidP="00B23FF8">
      <w:pPr>
        <w:snapToGrid w:val="0"/>
        <w:spacing w:afterLines="60" w:after="144" w:line="240" w:lineRule="auto"/>
        <w:ind w:hanging="480"/>
        <w:rPr>
          <w:rFonts w:eastAsia="Times New Roman"/>
          <w:lang w:eastAsia="en-GB"/>
        </w:rPr>
      </w:pPr>
      <w:r w:rsidRPr="00D40D5C">
        <w:rPr>
          <w:rFonts w:eastAsia="Times New Roman"/>
          <w:lang w:eastAsia="en-GB"/>
        </w:rPr>
        <w:t xml:space="preserve">Smith, L. E., M. Rodrigues, and D. G. Russell. 1991. ‘The Interaction between CD8+ Cytotoxic T Cells and Leishmania-Infected Macrophages’. </w:t>
      </w:r>
      <w:r w:rsidRPr="000C4EF7">
        <w:rPr>
          <w:rFonts w:eastAsia="Times New Roman"/>
          <w:i/>
          <w:iCs/>
          <w:lang w:eastAsia="en-GB"/>
        </w:rPr>
        <w:t>The Journal of Experimental Medicine</w:t>
      </w:r>
      <w:r w:rsidRPr="000C4EF7">
        <w:rPr>
          <w:rFonts w:eastAsia="Times New Roman"/>
          <w:lang w:eastAsia="en-GB"/>
        </w:rPr>
        <w:t xml:space="preserve"> 174 (3): 499–505.</w:t>
      </w:r>
    </w:p>
    <w:p w14:paraId="0212FF87" w14:textId="77777777" w:rsidR="000C4EF7" w:rsidRPr="00D40D5C" w:rsidRDefault="000C4EF7" w:rsidP="00B23FF8">
      <w:pPr>
        <w:snapToGrid w:val="0"/>
        <w:spacing w:afterLines="60" w:after="144" w:line="240" w:lineRule="auto"/>
        <w:ind w:hanging="480"/>
        <w:rPr>
          <w:rFonts w:eastAsia="Times New Roman"/>
          <w:lang w:eastAsia="en-GB"/>
        </w:rPr>
      </w:pPr>
      <w:r w:rsidRPr="000C4EF7">
        <w:rPr>
          <w:rFonts w:eastAsia="Times New Roman"/>
          <w:lang w:eastAsia="en-GB"/>
        </w:rPr>
        <w:lastRenderedPageBreak/>
        <w:t xml:space="preserve">Smith, Peter J., Jon A. Olson, David Constable, Julie Schwartz, Richard T. Proffitt, and Jill P. Adler-Moore. 2007. ‘Effects of Dosing Regimen on Accumulation, Retention and Prophylactic Efficacy of Liposomal Amphotericin B’. </w:t>
      </w:r>
      <w:r w:rsidRPr="000C4EF7">
        <w:rPr>
          <w:rFonts w:eastAsia="Times New Roman"/>
          <w:i/>
          <w:iCs/>
          <w:lang w:eastAsia="en-GB"/>
        </w:rPr>
        <w:t>The Journal of Antimicrobial Chemotherapy</w:t>
      </w:r>
      <w:r w:rsidRPr="000C4EF7">
        <w:rPr>
          <w:rFonts w:eastAsia="Times New Roman"/>
          <w:lang w:eastAsia="en-GB"/>
        </w:rPr>
        <w:t xml:space="preserve"> 59 (5): 941–51. </w:t>
      </w:r>
      <w:hyperlink r:id="rId274" w:history="1">
        <w:r w:rsidRPr="00D40D5C">
          <w:rPr>
            <w:rFonts w:eastAsia="Times New Roman"/>
            <w:color w:val="0000FF"/>
            <w:u w:val="single"/>
            <w:lang w:eastAsia="en-GB"/>
          </w:rPr>
          <w:t>https://doi.org/10.1093/jac/dkm077</w:t>
        </w:r>
      </w:hyperlink>
      <w:r w:rsidRPr="000C4EF7">
        <w:rPr>
          <w:rFonts w:eastAsia="Times New Roman"/>
          <w:lang w:eastAsia="en-GB"/>
        </w:rPr>
        <w:t>.</w:t>
      </w:r>
    </w:p>
    <w:p w14:paraId="2DE188D4" w14:textId="77777777" w:rsidR="000C4EF7" w:rsidRPr="000C4EF7" w:rsidRDefault="000C4EF7" w:rsidP="00B23FF8">
      <w:pPr>
        <w:snapToGrid w:val="0"/>
        <w:spacing w:afterLines="60" w:after="144" w:line="240" w:lineRule="auto"/>
        <w:ind w:hanging="480"/>
        <w:rPr>
          <w:rFonts w:eastAsia="Times New Roman"/>
          <w:lang w:eastAsia="en-GB"/>
        </w:rPr>
      </w:pPr>
      <w:r w:rsidRPr="000C4EF7">
        <w:rPr>
          <w:rFonts w:eastAsia="Times New Roman"/>
          <w:lang w:eastAsia="en-GB"/>
        </w:rPr>
        <w:t xml:space="preserve">Soetaert, Karline, Thomas Petzoldt, and R. Woodrow Setzer. 2010. ‘Solving Differential Equations in R: Package DeSolve’. </w:t>
      </w:r>
      <w:r w:rsidRPr="000C4EF7">
        <w:rPr>
          <w:rFonts w:eastAsia="Times New Roman"/>
          <w:i/>
          <w:iCs/>
          <w:lang w:eastAsia="en-GB"/>
        </w:rPr>
        <w:t>Journal of Statistical Software</w:t>
      </w:r>
      <w:r w:rsidRPr="000C4EF7">
        <w:rPr>
          <w:rFonts w:eastAsia="Times New Roman"/>
          <w:lang w:eastAsia="en-GB"/>
        </w:rPr>
        <w:t xml:space="preserve"> 33 (9): 25.</w:t>
      </w:r>
    </w:p>
    <w:p w14:paraId="404AFBFE" w14:textId="77777777" w:rsidR="000C4EF7" w:rsidRPr="00D40D5C" w:rsidRDefault="000C4EF7" w:rsidP="00B23FF8">
      <w:pPr>
        <w:snapToGrid w:val="0"/>
        <w:spacing w:afterLines="60" w:after="144" w:line="240" w:lineRule="auto"/>
        <w:ind w:hanging="480"/>
        <w:rPr>
          <w:rFonts w:eastAsia="Times New Roman"/>
          <w:lang w:eastAsia="en-GB"/>
        </w:rPr>
      </w:pPr>
      <w:r w:rsidRPr="000C4EF7">
        <w:rPr>
          <w:rFonts w:eastAsia="Times New Roman"/>
          <w:lang w:eastAsia="en-GB"/>
        </w:rPr>
        <w:t xml:space="preserve">Sohlenius-Sternbeck, Anna-Karin. 2006. ‘Determination of the Hepatocellularity Number for Human, Dog, Rabbit, Rat and Mouse Livers from Protein Concentration Measurements’. </w:t>
      </w:r>
      <w:r w:rsidRPr="000C4EF7">
        <w:rPr>
          <w:rFonts w:eastAsia="Times New Roman"/>
          <w:i/>
          <w:iCs/>
          <w:lang w:eastAsia="en-GB"/>
        </w:rPr>
        <w:t>Toxicology in Vitro: An International Journal Published in Association with BIBRA</w:t>
      </w:r>
      <w:r w:rsidRPr="000C4EF7">
        <w:rPr>
          <w:rFonts w:eastAsia="Times New Roman"/>
          <w:lang w:eastAsia="en-GB"/>
        </w:rPr>
        <w:t xml:space="preserve"> 20 (8): 1582–86. </w:t>
      </w:r>
      <w:hyperlink r:id="rId275" w:history="1">
        <w:r w:rsidRPr="00D40D5C">
          <w:rPr>
            <w:rFonts w:eastAsia="Times New Roman"/>
            <w:color w:val="0000FF"/>
            <w:u w:val="single"/>
            <w:lang w:eastAsia="en-GB"/>
          </w:rPr>
          <w:t>https://doi.org/10.1016/j.tiv.2006.06.003</w:t>
        </w:r>
      </w:hyperlink>
      <w:r w:rsidRPr="000C4EF7">
        <w:rPr>
          <w:rFonts w:eastAsia="Times New Roman"/>
          <w:lang w:eastAsia="en-GB"/>
        </w:rPr>
        <w:t>.</w:t>
      </w:r>
    </w:p>
    <w:p w14:paraId="17B21AFD" w14:textId="77777777" w:rsidR="000C4EF7" w:rsidRPr="000C4EF7" w:rsidRDefault="000C4EF7" w:rsidP="00B23FF8">
      <w:pPr>
        <w:snapToGrid w:val="0"/>
        <w:spacing w:afterLines="60" w:after="144" w:line="240" w:lineRule="auto"/>
        <w:ind w:hanging="480"/>
        <w:rPr>
          <w:rFonts w:eastAsia="Times New Roman"/>
          <w:lang w:eastAsia="en-GB"/>
        </w:rPr>
      </w:pPr>
      <w:r w:rsidRPr="000C4EF7">
        <w:rPr>
          <w:rFonts w:eastAsia="Times New Roman"/>
          <w:lang w:eastAsia="en-GB"/>
        </w:rPr>
        <w:t xml:space="preserve">Sprent, J, X Zhang, S Sun, and D Tough. 2000. ‘T-Cell Proliferation in Vivo and the Role of Cytokines.’ </w:t>
      </w:r>
      <w:r w:rsidRPr="000C4EF7">
        <w:rPr>
          <w:rFonts w:eastAsia="Times New Roman"/>
          <w:i/>
          <w:iCs/>
          <w:lang w:eastAsia="en-GB"/>
        </w:rPr>
        <w:t>Philosophical Transactions of the Royal Society B: Biological Sciences</w:t>
      </w:r>
      <w:r w:rsidRPr="000C4EF7">
        <w:rPr>
          <w:rFonts w:eastAsia="Times New Roman"/>
          <w:lang w:eastAsia="en-GB"/>
        </w:rPr>
        <w:t xml:space="preserve"> 355 (1395): 317–22.</w:t>
      </w:r>
    </w:p>
    <w:p w14:paraId="26C21BFA" w14:textId="77777777" w:rsidR="000C4EF7" w:rsidRPr="00D40D5C" w:rsidRDefault="000C4EF7" w:rsidP="00B23FF8">
      <w:pPr>
        <w:snapToGrid w:val="0"/>
        <w:spacing w:afterLines="60" w:after="144" w:line="240" w:lineRule="auto"/>
        <w:ind w:hanging="480"/>
        <w:rPr>
          <w:rFonts w:eastAsia="Times New Roman"/>
          <w:lang w:eastAsia="en-GB"/>
        </w:rPr>
      </w:pPr>
      <w:r w:rsidRPr="000C4EF7">
        <w:rPr>
          <w:rFonts w:eastAsia="Times New Roman"/>
          <w:lang w:eastAsia="en-GB"/>
        </w:rPr>
        <w:t xml:space="preserve">Stäger, Simona, and Sima Rafati. 2012. ‘CD8(+) T Cells in Leishmania Infections: Friends or Foes?’ </w:t>
      </w:r>
      <w:r w:rsidRPr="000C4EF7">
        <w:rPr>
          <w:rFonts w:eastAsia="Times New Roman"/>
          <w:i/>
          <w:iCs/>
          <w:lang w:eastAsia="en-GB"/>
        </w:rPr>
        <w:t>Frontiers in Immunology</w:t>
      </w:r>
      <w:r w:rsidRPr="000C4EF7">
        <w:rPr>
          <w:rFonts w:eastAsia="Times New Roman"/>
          <w:lang w:eastAsia="en-GB"/>
        </w:rPr>
        <w:t xml:space="preserve"> 3: 5. </w:t>
      </w:r>
      <w:hyperlink r:id="rId276" w:history="1">
        <w:r w:rsidRPr="00D40D5C">
          <w:rPr>
            <w:rFonts w:eastAsia="Times New Roman"/>
            <w:color w:val="0000FF"/>
            <w:u w:val="single"/>
            <w:lang w:eastAsia="en-GB"/>
          </w:rPr>
          <w:t>https://doi.org/10.3389/fimmu.2012.00005</w:t>
        </w:r>
      </w:hyperlink>
      <w:r w:rsidRPr="000C4EF7">
        <w:rPr>
          <w:rFonts w:eastAsia="Times New Roman"/>
          <w:lang w:eastAsia="en-GB"/>
        </w:rPr>
        <w:t>.</w:t>
      </w:r>
    </w:p>
    <w:p w14:paraId="7FB804E8" w14:textId="77777777" w:rsidR="000C4EF7" w:rsidRPr="00D40D5C" w:rsidRDefault="000C4EF7" w:rsidP="00B23FF8">
      <w:pPr>
        <w:snapToGrid w:val="0"/>
        <w:spacing w:afterLines="60" w:after="144" w:line="240" w:lineRule="auto"/>
        <w:ind w:hanging="480"/>
        <w:rPr>
          <w:rFonts w:eastAsia="Times New Roman"/>
          <w:lang w:eastAsia="en-GB"/>
        </w:rPr>
      </w:pPr>
      <w:r w:rsidRPr="000C4EF7">
        <w:rPr>
          <w:rFonts w:eastAsia="Times New Roman"/>
          <w:lang w:eastAsia="en-GB"/>
        </w:rPr>
        <w:t xml:space="preserve">Stanley, Amanda C., Yonghong Zhou, Fiona H. Amante, Louise M. Randall, Ashraful Haque, Daniel G. Pellicci, Geoff R. Hill, Mark J. Smyth, Dale I. Godfrey, and Christian R. Engwerda. 2008. ‘Activation of Invariant NKT Cells Exacerbates Experimental Visceral Leishmaniasis’. </w:t>
      </w:r>
      <w:r w:rsidRPr="000C4EF7">
        <w:rPr>
          <w:rFonts w:eastAsia="Times New Roman"/>
          <w:i/>
          <w:iCs/>
          <w:lang w:eastAsia="en-GB"/>
        </w:rPr>
        <w:t>PLOS Pathogens</w:t>
      </w:r>
      <w:r w:rsidRPr="000C4EF7">
        <w:rPr>
          <w:rFonts w:eastAsia="Times New Roman"/>
          <w:lang w:eastAsia="en-GB"/>
        </w:rPr>
        <w:t xml:space="preserve"> 4 (2): e1000028. </w:t>
      </w:r>
      <w:hyperlink r:id="rId277" w:history="1">
        <w:r w:rsidRPr="00D40D5C">
          <w:rPr>
            <w:rFonts w:eastAsia="Times New Roman"/>
            <w:color w:val="0000FF"/>
            <w:u w:val="single"/>
            <w:lang w:eastAsia="en-GB"/>
          </w:rPr>
          <w:t>https://doi.org/10.1371/journal.ppat.1000028</w:t>
        </w:r>
      </w:hyperlink>
      <w:r w:rsidRPr="000C4EF7">
        <w:rPr>
          <w:rFonts w:eastAsia="Times New Roman"/>
          <w:lang w:eastAsia="en-GB"/>
        </w:rPr>
        <w:t>.</w:t>
      </w:r>
    </w:p>
    <w:p w14:paraId="51A1363C" w14:textId="77777777" w:rsidR="000C4EF7" w:rsidRPr="000C4EF7" w:rsidRDefault="000C4EF7" w:rsidP="00B23FF8">
      <w:pPr>
        <w:snapToGrid w:val="0"/>
        <w:spacing w:afterLines="60" w:after="144" w:line="240" w:lineRule="auto"/>
        <w:ind w:hanging="480"/>
        <w:rPr>
          <w:rFonts w:eastAsia="Times New Roman"/>
          <w:lang w:eastAsia="en-GB"/>
        </w:rPr>
      </w:pPr>
      <w:r w:rsidRPr="000C4EF7">
        <w:rPr>
          <w:rFonts w:eastAsia="Times New Roman"/>
          <w:lang w:eastAsia="en-GB"/>
        </w:rPr>
        <w:t xml:space="preserve">Stern, J. J., M. J. Oca, B. Y. Rubin, S. L. Anderson, and H. W. Murray. 1988. ‘Role of L3T4+ and LyT-2+ Cells in Experimental Visceral Leishmaniasis’. </w:t>
      </w:r>
      <w:r w:rsidRPr="000C4EF7">
        <w:rPr>
          <w:rFonts w:eastAsia="Times New Roman"/>
          <w:i/>
          <w:iCs/>
          <w:lang w:eastAsia="en-GB"/>
        </w:rPr>
        <w:t>Journal of Immunology (Baltimore, Md.: 1950)</w:t>
      </w:r>
      <w:r w:rsidRPr="000C4EF7">
        <w:rPr>
          <w:rFonts w:eastAsia="Times New Roman"/>
          <w:lang w:eastAsia="en-GB"/>
        </w:rPr>
        <w:t xml:space="preserve"> 140 (11): 3971–77.</w:t>
      </w:r>
    </w:p>
    <w:p w14:paraId="30AA82AD" w14:textId="77777777" w:rsidR="000C4EF7" w:rsidRPr="00D40D5C" w:rsidRDefault="000C4EF7" w:rsidP="00B23FF8">
      <w:pPr>
        <w:snapToGrid w:val="0"/>
        <w:spacing w:afterLines="60" w:after="144" w:line="240" w:lineRule="auto"/>
        <w:ind w:hanging="480"/>
        <w:rPr>
          <w:rFonts w:eastAsia="Times New Roman"/>
          <w:lang w:eastAsia="en-GB"/>
        </w:rPr>
      </w:pPr>
      <w:r w:rsidRPr="000C4EF7">
        <w:rPr>
          <w:rFonts w:eastAsia="Times New Roman"/>
          <w:lang w:eastAsia="en-GB"/>
        </w:rPr>
        <w:t xml:space="preserve">Steverding, Dietmar. 2017. ‘The History of Leishmaniasis’. </w:t>
      </w:r>
      <w:r w:rsidRPr="000C4EF7">
        <w:rPr>
          <w:rFonts w:eastAsia="Times New Roman"/>
          <w:i/>
          <w:iCs/>
          <w:lang w:eastAsia="en-GB"/>
        </w:rPr>
        <w:t>Parasites &amp; Vectors</w:t>
      </w:r>
      <w:r w:rsidRPr="000C4EF7">
        <w:rPr>
          <w:rFonts w:eastAsia="Times New Roman"/>
          <w:lang w:eastAsia="en-GB"/>
        </w:rPr>
        <w:t xml:space="preserve"> 10 (1): 82. </w:t>
      </w:r>
      <w:hyperlink r:id="rId278" w:history="1">
        <w:r w:rsidRPr="00D40D5C">
          <w:rPr>
            <w:rFonts w:eastAsia="Times New Roman"/>
            <w:color w:val="0000FF"/>
            <w:u w:val="single"/>
            <w:lang w:eastAsia="en-GB"/>
          </w:rPr>
          <w:t>http</w:t>
        </w:r>
        <w:r w:rsidRPr="000C4EF7">
          <w:rPr>
            <w:rFonts w:eastAsia="Times New Roman"/>
            <w:color w:val="0000FF"/>
            <w:u w:val="single"/>
            <w:lang w:eastAsia="en-GB"/>
          </w:rPr>
          <w:t>s://doi.org/10.1186/s13071-017-2028-5</w:t>
        </w:r>
      </w:hyperlink>
      <w:r w:rsidRPr="000C4EF7">
        <w:rPr>
          <w:rFonts w:eastAsia="Times New Roman"/>
          <w:lang w:eastAsia="en-GB"/>
        </w:rPr>
        <w:t>.</w:t>
      </w:r>
    </w:p>
    <w:p w14:paraId="1863E963" w14:textId="77777777" w:rsidR="000C4EF7" w:rsidRPr="00D40D5C" w:rsidRDefault="000C4EF7" w:rsidP="00B23FF8">
      <w:pPr>
        <w:snapToGrid w:val="0"/>
        <w:spacing w:afterLines="60" w:after="144" w:line="240" w:lineRule="auto"/>
        <w:ind w:hanging="480"/>
        <w:rPr>
          <w:rFonts w:eastAsia="Times New Roman"/>
          <w:lang w:eastAsia="en-GB"/>
        </w:rPr>
      </w:pPr>
      <w:r w:rsidRPr="000C4EF7">
        <w:rPr>
          <w:rFonts w:eastAsia="Times New Roman"/>
          <w:lang w:eastAsia="en-GB"/>
        </w:rPr>
        <w:t xml:space="preserve">Sundar, Shyam, and M. Rai. 2002. ‘Laboratory Diagnosis of Visceral Leishmaniasis’. </w:t>
      </w:r>
      <w:r w:rsidRPr="000C4EF7">
        <w:rPr>
          <w:rFonts w:eastAsia="Times New Roman"/>
          <w:i/>
          <w:iCs/>
          <w:lang w:eastAsia="en-GB"/>
        </w:rPr>
        <w:t>Clinical and Diagnostic Laboratory Immunology</w:t>
      </w:r>
      <w:r w:rsidRPr="000C4EF7">
        <w:rPr>
          <w:rFonts w:eastAsia="Times New Roman"/>
          <w:lang w:eastAsia="en-GB"/>
        </w:rPr>
        <w:t xml:space="preserve"> 9 (5): 951–58. </w:t>
      </w:r>
      <w:hyperlink r:id="rId279" w:history="1">
        <w:r w:rsidRPr="00D40D5C">
          <w:rPr>
            <w:rFonts w:eastAsia="Times New Roman"/>
            <w:color w:val="0000FF"/>
            <w:u w:val="single"/>
            <w:lang w:eastAsia="en-GB"/>
          </w:rPr>
          <w:t>https://doi</w:t>
        </w:r>
        <w:r w:rsidRPr="000C4EF7">
          <w:rPr>
            <w:rFonts w:eastAsia="Times New Roman"/>
            <w:color w:val="0000FF"/>
            <w:u w:val="single"/>
            <w:lang w:eastAsia="en-GB"/>
          </w:rPr>
          <w:t>.org/10.1128/CDLI.9.5.951-958.2002</w:t>
        </w:r>
      </w:hyperlink>
      <w:r w:rsidRPr="000C4EF7">
        <w:rPr>
          <w:rFonts w:eastAsia="Times New Roman"/>
          <w:lang w:eastAsia="en-GB"/>
        </w:rPr>
        <w:t>.</w:t>
      </w:r>
    </w:p>
    <w:p w14:paraId="4BFD39D4" w14:textId="77777777" w:rsidR="000C4EF7" w:rsidRPr="00D40D5C" w:rsidRDefault="000C4EF7" w:rsidP="00B23FF8">
      <w:pPr>
        <w:snapToGrid w:val="0"/>
        <w:spacing w:afterLines="60" w:after="144" w:line="240" w:lineRule="auto"/>
        <w:ind w:hanging="480"/>
        <w:rPr>
          <w:rFonts w:eastAsia="Times New Roman"/>
          <w:lang w:eastAsia="en-GB"/>
        </w:rPr>
      </w:pPr>
      <w:r w:rsidRPr="000C4EF7">
        <w:rPr>
          <w:rFonts w:eastAsia="Times New Roman"/>
          <w:lang w:eastAsia="en-GB"/>
        </w:rPr>
        <w:t xml:space="preserve">Sung, Pil Soo, Vito Racanelli, and Eui-Cheol Shin. 2014. ‘CD8+ T-Cell Responses in Acute Hepatitis C Virus Infection’. </w:t>
      </w:r>
      <w:r w:rsidRPr="000C4EF7">
        <w:rPr>
          <w:rFonts w:eastAsia="Times New Roman"/>
          <w:i/>
          <w:iCs/>
          <w:lang w:eastAsia="en-GB"/>
        </w:rPr>
        <w:t>Frontiers in Immunology</w:t>
      </w:r>
      <w:r w:rsidRPr="000C4EF7">
        <w:rPr>
          <w:rFonts w:eastAsia="Times New Roman"/>
          <w:lang w:eastAsia="en-GB"/>
        </w:rPr>
        <w:t xml:space="preserve"> 5. </w:t>
      </w:r>
      <w:hyperlink r:id="rId280" w:history="1">
        <w:r w:rsidRPr="00D40D5C">
          <w:rPr>
            <w:rFonts w:eastAsia="Times New Roman"/>
            <w:color w:val="0000FF"/>
            <w:u w:val="single"/>
            <w:lang w:eastAsia="en-GB"/>
          </w:rPr>
          <w:t>https://doi.org/1</w:t>
        </w:r>
        <w:r w:rsidRPr="000C4EF7">
          <w:rPr>
            <w:rFonts w:eastAsia="Times New Roman"/>
            <w:color w:val="0000FF"/>
            <w:u w:val="single"/>
            <w:lang w:eastAsia="en-GB"/>
          </w:rPr>
          <w:t>0.3389/fimmu.2014.00266</w:t>
        </w:r>
      </w:hyperlink>
      <w:r w:rsidRPr="000C4EF7">
        <w:rPr>
          <w:rFonts w:eastAsia="Times New Roman"/>
          <w:lang w:eastAsia="en-GB"/>
        </w:rPr>
        <w:t>.</w:t>
      </w:r>
    </w:p>
    <w:p w14:paraId="4CA06311" w14:textId="77777777" w:rsidR="000C4EF7" w:rsidRPr="00D40D5C" w:rsidRDefault="000C4EF7" w:rsidP="00B23FF8">
      <w:pPr>
        <w:snapToGrid w:val="0"/>
        <w:spacing w:afterLines="60" w:after="144" w:line="240" w:lineRule="auto"/>
        <w:ind w:hanging="480"/>
        <w:rPr>
          <w:rFonts w:eastAsia="Times New Roman"/>
          <w:lang w:eastAsia="en-GB"/>
        </w:rPr>
      </w:pPr>
      <w:r w:rsidRPr="000C4EF7">
        <w:rPr>
          <w:rFonts w:eastAsia="Times New Roman"/>
          <w:lang w:eastAsia="en-GB"/>
        </w:rPr>
        <w:t xml:space="preserve">Sunter, Jack, and Keith Gull. 2017. ‘Shape, Form, Function and Leishmania Pathogenicity: From Textbook Descriptions to Biological Understanding’. </w:t>
      </w:r>
      <w:r w:rsidRPr="000C4EF7">
        <w:rPr>
          <w:rFonts w:eastAsia="Times New Roman"/>
          <w:i/>
          <w:iCs/>
          <w:lang w:eastAsia="en-GB"/>
        </w:rPr>
        <w:t>Open Biology</w:t>
      </w:r>
      <w:r w:rsidRPr="000C4EF7">
        <w:rPr>
          <w:rFonts w:eastAsia="Times New Roman"/>
          <w:lang w:eastAsia="en-GB"/>
        </w:rPr>
        <w:t xml:space="preserve"> 7 (9). </w:t>
      </w:r>
      <w:hyperlink r:id="rId281" w:history="1">
        <w:r w:rsidRPr="00D40D5C">
          <w:rPr>
            <w:rFonts w:eastAsia="Times New Roman"/>
            <w:color w:val="0000FF"/>
            <w:u w:val="single"/>
            <w:lang w:eastAsia="en-GB"/>
          </w:rPr>
          <w:t>https://doi.o</w:t>
        </w:r>
        <w:r w:rsidRPr="000C4EF7">
          <w:rPr>
            <w:rFonts w:eastAsia="Times New Roman"/>
            <w:color w:val="0000FF"/>
            <w:u w:val="single"/>
            <w:lang w:eastAsia="en-GB"/>
          </w:rPr>
          <w:t>rg/10.1098/rsob.170165</w:t>
        </w:r>
      </w:hyperlink>
      <w:r w:rsidRPr="000C4EF7">
        <w:rPr>
          <w:rFonts w:eastAsia="Times New Roman"/>
          <w:lang w:eastAsia="en-GB"/>
        </w:rPr>
        <w:t>.</w:t>
      </w:r>
    </w:p>
    <w:p w14:paraId="40054FFA" w14:textId="77777777" w:rsidR="000C4EF7" w:rsidRPr="00D40D5C" w:rsidRDefault="000C4EF7" w:rsidP="00B23FF8">
      <w:pPr>
        <w:snapToGrid w:val="0"/>
        <w:spacing w:afterLines="60" w:after="144" w:line="240" w:lineRule="auto"/>
        <w:ind w:hanging="480"/>
        <w:rPr>
          <w:rFonts w:eastAsia="Times New Roman"/>
          <w:lang w:eastAsia="en-GB"/>
        </w:rPr>
      </w:pPr>
      <w:r w:rsidRPr="000C4EF7">
        <w:rPr>
          <w:rFonts w:eastAsia="Times New Roman"/>
          <w:lang w:eastAsia="en-GB"/>
        </w:rPr>
        <w:t xml:space="preserve">Tan, Michael L., and Daniel R. Webster. 2018. ‘Histology, Kupffer Cell’. In </w:t>
      </w:r>
      <w:r w:rsidRPr="000C4EF7">
        <w:rPr>
          <w:rFonts w:eastAsia="Times New Roman"/>
          <w:i/>
          <w:iCs/>
          <w:lang w:eastAsia="en-GB"/>
        </w:rPr>
        <w:t>StatPearls</w:t>
      </w:r>
      <w:r w:rsidRPr="000C4EF7">
        <w:rPr>
          <w:rFonts w:eastAsia="Times New Roman"/>
          <w:lang w:eastAsia="en-GB"/>
        </w:rPr>
        <w:t xml:space="preserve">. Treasure Island (FL): StatPearls Publishing. </w:t>
      </w:r>
      <w:hyperlink r:id="rId282" w:history="1">
        <w:r w:rsidRPr="00D40D5C">
          <w:rPr>
            <w:rFonts w:eastAsia="Times New Roman"/>
            <w:color w:val="0000FF"/>
            <w:u w:val="single"/>
            <w:lang w:eastAsia="en-GB"/>
          </w:rPr>
          <w:t>http://www.ncbi.nlm.nih.gov/books/NBK4</w:t>
        </w:r>
        <w:r w:rsidRPr="000C4EF7">
          <w:rPr>
            <w:rFonts w:eastAsia="Times New Roman"/>
            <w:color w:val="0000FF"/>
            <w:u w:val="single"/>
            <w:lang w:eastAsia="en-GB"/>
          </w:rPr>
          <w:t>93226/</w:t>
        </w:r>
      </w:hyperlink>
      <w:r w:rsidRPr="000C4EF7">
        <w:rPr>
          <w:rFonts w:eastAsia="Times New Roman"/>
          <w:lang w:eastAsia="en-GB"/>
        </w:rPr>
        <w:t>.</w:t>
      </w:r>
    </w:p>
    <w:p w14:paraId="26DA0AA1" w14:textId="77777777" w:rsidR="000C4EF7" w:rsidRPr="000C4EF7" w:rsidRDefault="000C4EF7" w:rsidP="00B23FF8">
      <w:pPr>
        <w:snapToGrid w:val="0"/>
        <w:spacing w:afterLines="60" w:after="144" w:line="240" w:lineRule="auto"/>
        <w:ind w:hanging="480"/>
        <w:rPr>
          <w:rFonts w:eastAsia="Times New Roman"/>
          <w:lang w:eastAsia="en-GB"/>
        </w:rPr>
      </w:pPr>
      <w:r w:rsidRPr="000C4EF7">
        <w:rPr>
          <w:rFonts w:eastAsia="Times New Roman"/>
          <w:lang w:eastAsia="en-GB"/>
        </w:rPr>
        <w:t xml:space="preserve">Tavill, A S. 1972. ‘The Synthesis and Degradation of Liver-Produced Proteins.’ </w:t>
      </w:r>
      <w:r w:rsidRPr="000C4EF7">
        <w:rPr>
          <w:rFonts w:eastAsia="Times New Roman"/>
          <w:i/>
          <w:iCs/>
          <w:lang w:eastAsia="en-GB"/>
        </w:rPr>
        <w:t>Gut</w:t>
      </w:r>
      <w:r w:rsidRPr="000C4EF7">
        <w:rPr>
          <w:rFonts w:eastAsia="Times New Roman"/>
          <w:lang w:eastAsia="en-GB"/>
        </w:rPr>
        <w:t xml:space="preserve"> 13 (3): 225–41.</w:t>
      </w:r>
    </w:p>
    <w:p w14:paraId="15D6900B" w14:textId="77777777" w:rsidR="000C4EF7" w:rsidRPr="00D40D5C" w:rsidRDefault="000C4EF7" w:rsidP="00B23FF8">
      <w:pPr>
        <w:snapToGrid w:val="0"/>
        <w:spacing w:afterLines="60" w:after="144" w:line="240" w:lineRule="auto"/>
        <w:ind w:hanging="480"/>
        <w:rPr>
          <w:rFonts w:eastAsia="Times New Roman"/>
          <w:lang w:eastAsia="en-GB"/>
        </w:rPr>
      </w:pPr>
      <w:r w:rsidRPr="000C4EF7">
        <w:rPr>
          <w:rFonts w:eastAsia="Times New Roman"/>
          <w:lang w:eastAsia="en-GB"/>
        </w:rPr>
        <w:t xml:space="preserve">Taylor, P. R., L. Martinez-Pomares, M. Stacey, H.-H. Lin, G. D. Brown, and S. Gordon. 2005. ‘Macrophage Receptors and Immune Recognition’. </w:t>
      </w:r>
      <w:r w:rsidRPr="000C4EF7">
        <w:rPr>
          <w:rFonts w:eastAsia="Times New Roman"/>
          <w:i/>
          <w:iCs/>
          <w:lang w:eastAsia="en-GB"/>
        </w:rPr>
        <w:t>Annual Review of Immunology</w:t>
      </w:r>
      <w:r w:rsidRPr="000C4EF7">
        <w:rPr>
          <w:rFonts w:eastAsia="Times New Roman"/>
          <w:lang w:eastAsia="en-GB"/>
        </w:rPr>
        <w:t xml:space="preserve"> 23: 901–44. </w:t>
      </w:r>
      <w:hyperlink r:id="rId283" w:history="1">
        <w:r w:rsidRPr="00D40D5C">
          <w:rPr>
            <w:rFonts w:eastAsia="Times New Roman"/>
            <w:color w:val="0000FF"/>
            <w:u w:val="single"/>
            <w:lang w:eastAsia="en-GB"/>
          </w:rPr>
          <w:t>https://doi.org/10.1146/annurev.immunol.23.021704.115816</w:t>
        </w:r>
      </w:hyperlink>
      <w:r w:rsidRPr="000C4EF7">
        <w:rPr>
          <w:rFonts w:eastAsia="Times New Roman"/>
          <w:lang w:eastAsia="en-GB"/>
        </w:rPr>
        <w:t>.</w:t>
      </w:r>
    </w:p>
    <w:p w14:paraId="6360A965" w14:textId="77777777" w:rsidR="000C4EF7" w:rsidRPr="000C4EF7" w:rsidRDefault="000C4EF7" w:rsidP="00B23FF8">
      <w:pPr>
        <w:snapToGrid w:val="0"/>
        <w:spacing w:afterLines="60" w:after="144" w:line="240" w:lineRule="auto"/>
        <w:ind w:hanging="480"/>
        <w:rPr>
          <w:rFonts w:eastAsia="Times New Roman"/>
          <w:lang w:eastAsia="en-GB"/>
        </w:rPr>
      </w:pPr>
      <w:r w:rsidRPr="000C4EF7">
        <w:rPr>
          <w:rFonts w:eastAsia="Times New Roman"/>
          <w:lang w:eastAsia="en-GB"/>
        </w:rPr>
        <w:t xml:space="preserve">Teixeira, Clarissa R., Maria Jânia Teixeira, Regis B. B. Gomes, Claire S. Santos, Bruno B. Andrade, Imbroinise Raffaele-Netto, João S. Silva, et al. 2005. ‘Saliva from Lutzomyia Longipalpis Induces CC Chemokine Ligand 2/Monocyte Chemoattractant Protein-1 </w:t>
      </w:r>
      <w:r w:rsidRPr="000C4EF7">
        <w:rPr>
          <w:rFonts w:eastAsia="Times New Roman"/>
          <w:lang w:eastAsia="en-GB"/>
        </w:rPr>
        <w:lastRenderedPageBreak/>
        <w:t xml:space="preserve">Expression and Macrophage Recruitment’. </w:t>
      </w:r>
      <w:r w:rsidRPr="000C4EF7">
        <w:rPr>
          <w:rFonts w:eastAsia="Times New Roman"/>
          <w:i/>
          <w:iCs/>
          <w:lang w:eastAsia="en-GB"/>
        </w:rPr>
        <w:t>Journal of Immunology (Baltimore, Md.: 1950)</w:t>
      </w:r>
      <w:r w:rsidRPr="000C4EF7">
        <w:rPr>
          <w:rFonts w:eastAsia="Times New Roman"/>
          <w:lang w:eastAsia="en-GB"/>
        </w:rPr>
        <w:t xml:space="preserve"> 175 (12): 8346–53.</w:t>
      </w:r>
    </w:p>
    <w:p w14:paraId="0E4F78C3" w14:textId="77777777" w:rsidR="000C4EF7" w:rsidRPr="00D40D5C" w:rsidRDefault="000C4EF7" w:rsidP="00B23FF8">
      <w:pPr>
        <w:snapToGrid w:val="0"/>
        <w:spacing w:afterLines="60" w:after="144" w:line="240" w:lineRule="auto"/>
        <w:ind w:hanging="480"/>
        <w:rPr>
          <w:rFonts w:eastAsia="Times New Roman"/>
          <w:lang w:eastAsia="en-GB"/>
        </w:rPr>
      </w:pPr>
      <w:r w:rsidRPr="000C4EF7">
        <w:rPr>
          <w:rFonts w:eastAsia="Times New Roman"/>
          <w:lang w:eastAsia="en-GB"/>
        </w:rPr>
        <w:t xml:space="preserve">Terrazas, Cesar, Sanjay Varikuti, Jennifer Kimble, Ellen Moretti, Prosper N. Boyaka, and Abhay R. Satoskar. 2016. ‘IL-17A Promotes Susceptibility during Experimental Visceral Leishmaniasis Caused by Leishmania Donovani’. </w:t>
      </w:r>
      <w:r w:rsidRPr="000C4EF7">
        <w:rPr>
          <w:rFonts w:eastAsia="Times New Roman"/>
          <w:i/>
          <w:iCs/>
          <w:lang w:eastAsia="en-GB"/>
        </w:rPr>
        <w:t>The FASEB Journal</w:t>
      </w:r>
      <w:r w:rsidRPr="000C4EF7">
        <w:rPr>
          <w:rFonts w:eastAsia="Times New Roman"/>
          <w:lang w:eastAsia="en-GB"/>
        </w:rPr>
        <w:t xml:space="preserve"> 30 (3): 1135–43. </w:t>
      </w:r>
      <w:hyperlink r:id="rId284" w:history="1">
        <w:r w:rsidRPr="00D40D5C">
          <w:rPr>
            <w:rFonts w:eastAsia="Times New Roman"/>
            <w:color w:val="0000FF"/>
            <w:u w:val="single"/>
            <w:lang w:eastAsia="en-GB"/>
          </w:rPr>
          <w:t>https://doi.org/10.1096/fj.15-277202</w:t>
        </w:r>
      </w:hyperlink>
      <w:r w:rsidRPr="000C4EF7">
        <w:rPr>
          <w:rFonts w:eastAsia="Times New Roman"/>
          <w:lang w:eastAsia="en-GB"/>
        </w:rPr>
        <w:t>.</w:t>
      </w:r>
    </w:p>
    <w:p w14:paraId="19D887FD" w14:textId="77777777" w:rsidR="000C4EF7" w:rsidRPr="00D40D5C" w:rsidRDefault="000C4EF7" w:rsidP="00B23FF8">
      <w:pPr>
        <w:snapToGrid w:val="0"/>
        <w:spacing w:afterLines="60" w:after="144" w:line="240" w:lineRule="auto"/>
        <w:ind w:hanging="480"/>
        <w:rPr>
          <w:rFonts w:eastAsia="Times New Roman"/>
          <w:lang w:eastAsia="en-GB"/>
        </w:rPr>
      </w:pPr>
      <w:r w:rsidRPr="000C4EF7">
        <w:rPr>
          <w:rFonts w:eastAsia="Times New Roman"/>
          <w:lang w:eastAsia="en-GB"/>
        </w:rPr>
        <w:t xml:space="preserve">Terrazas, Cesar, Sanjay Varikuti, Steve Oghumu, Heidi M. Steinkamp, Nurittin Ardic, Jennifer Kimble, Hira Nakhasi, and Abhay R. Satoskar. 2017. ‘Ly6C Hi Inflammatory Monocytes Promote Susceptibility to Leishmania Donovani Infection’. </w:t>
      </w:r>
      <w:r w:rsidRPr="000C4EF7">
        <w:rPr>
          <w:rFonts w:eastAsia="Times New Roman"/>
          <w:i/>
          <w:iCs/>
          <w:lang w:eastAsia="en-GB"/>
        </w:rPr>
        <w:t>Scientific Reports</w:t>
      </w:r>
      <w:r w:rsidRPr="000C4EF7">
        <w:rPr>
          <w:rFonts w:eastAsia="Times New Roman"/>
          <w:lang w:eastAsia="en-GB"/>
        </w:rPr>
        <w:t xml:space="preserve"> 7 (1): 14693. </w:t>
      </w:r>
      <w:hyperlink r:id="rId285" w:history="1">
        <w:r w:rsidRPr="00D40D5C">
          <w:rPr>
            <w:rFonts w:eastAsia="Times New Roman"/>
            <w:color w:val="0000FF"/>
            <w:u w:val="single"/>
            <w:lang w:eastAsia="en-GB"/>
          </w:rPr>
          <w:t>https://doi.org/10.1038/s41598-017-14935-3</w:t>
        </w:r>
      </w:hyperlink>
      <w:r w:rsidRPr="000C4EF7">
        <w:rPr>
          <w:rFonts w:eastAsia="Times New Roman"/>
          <w:lang w:eastAsia="en-GB"/>
        </w:rPr>
        <w:t>.</w:t>
      </w:r>
    </w:p>
    <w:p w14:paraId="22E5C2C3" w14:textId="77777777" w:rsidR="000C4EF7" w:rsidRPr="00D40D5C" w:rsidRDefault="000C4EF7" w:rsidP="00B23FF8">
      <w:pPr>
        <w:snapToGrid w:val="0"/>
        <w:spacing w:afterLines="60" w:after="144" w:line="240" w:lineRule="auto"/>
        <w:ind w:hanging="480"/>
        <w:rPr>
          <w:rFonts w:eastAsia="Times New Roman"/>
          <w:lang w:eastAsia="en-GB"/>
        </w:rPr>
      </w:pPr>
      <w:r w:rsidRPr="000C4EF7">
        <w:rPr>
          <w:rFonts w:eastAsia="Times New Roman"/>
          <w:lang w:eastAsia="en-GB"/>
        </w:rPr>
        <w:t xml:space="preserve">The Sixtieth World Health Assembly. 2007. ‘Control of Leishmaniasis’. Resolutions and Decisions WHA60.13. </w:t>
      </w:r>
      <w:hyperlink r:id="rId286" w:history="1">
        <w:r w:rsidRPr="00D40D5C">
          <w:rPr>
            <w:rFonts w:eastAsia="Times New Roman"/>
            <w:color w:val="0000FF"/>
            <w:u w:val="single"/>
            <w:lang w:eastAsia="en-GB"/>
          </w:rPr>
          <w:t>http://www.who.int/neglected_diseases/mediacentre/WHA_60.13_Eng.pdf</w:t>
        </w:r>
      </w:hyperlink>
      <w:r w:rsidRPr="000C4EF7">
        <w:rPr>
          <w:rFonts w:eastAsia="Times New Roman"/>
          <w:lang w:eastAsia="en-GB"/>
        </w:rPr>
        <w:t>.</w:t>
      </w:r>
    </w:p>
    <w:p w14:paraId="636D821D" w14:textId="77777777" w:rsidR="000C4EF7" w:rsidRPr="00D40D5C" w:rsidRDefault="000C4EF7" w:rsidP="00B23FF8">
      <w:pPr>
        <w:snapToGrid w:val="0"/>
        <w:spacing w:afterLines="60" w:after="144" w:line="240" w:lineRule="auto"/>
        <w:ind w:hanging="480"/>
        <w:rPr>
          <w:rFonts w:eastAsia="Times New Roman"/>
          <w:lang w:eastAsia="en-GB"/>
        </w:rPr>
      </w:pPr>
      <w:r w:rsidRPr="000C4EF7">
        <w:rPr>
          <w:rFonts w:eastAsia="Times New Roman"/>
          <w:lang w:eastAsia="en-GB"/>
        </w:rPr>
        <w:t xml:space="preserve">Tiwananthagorn, Saruda, Kazuya Iwabuchi, Manabu Ato, Tatsuya Sakurai, Hirotomo Kato, and Ken Katakura. 2012. ‘Involvement of CD4+ Foxp3+ Regulatory T Cells in Persistence of Leishmania Donovani in the Liver of Alymphoplastic Aly/Aly Mice’. </w:t>
      </w:r>
      <w:r w:rsidRPr="000C4EF7">
        <w:rPr>
          <w:rFonts w:eastAsia="Times New Roman"/>
          <w:i/>
          <w:iCs/>
          <w:lang w:eastAsia="en-GB"/>
        </w:rPr>
        <w:t>PLOS Neglected Tropical Diseases</w:t>
      </w:r>
      <w:r w:rsidRPr="000C4EF7">
        <w:rPr>
          <w:rFonts w:eastAsia="Times New Roman"/>
          <w:lang w:eastAsia="en-GB"/>
        </w:rPr>
        <w:t xml:space="preserve"> 6 (8): e1798. </w:t>
      </w:r>
      <w:hyperlink r:id="rId287" w:history="1">
        <w:r w:rsidRPr="00D40D5C">
          <w:rPr>
            <w:rFonts w:eastAsia="Times New Roman"/>
            <w:color w:val="0000FF"/>
            <w:u w:val="single"/>
            <w:lang w:eastAsia="en-GB"/>
          </w:rPr>
          <w:t>https://doi.org/10.1371/journal.pntd.0001798</w:t>
        </w:r>
      </w:hyperlink>
      <w:r w:rsidRPr="000C4EF7">
        <w:rPr>
          <w:rFonts w:eastAsia="Times New Roman"/>
          <w:lang w:eastAsia="en-GB"/>
        </w:rPr>
        <w:t>.</w:t>
      </w:r>
    </w:p>
    <w:p w14:paraId="7B25731D" w14:textId="77777777" w:rsidR="000C4EF7" w:rsidRPr="00D40D5C" w:rsidRDefault="000C4EF7" w:rsidP="00B23FF8">
      <w:pPr>
        <w:snapToGrid w:val="0"/>
        <w:spacing w:afterLines="60" w:after="144" w:line="240" w:lineRule="auto"/>
        <w:ind w:hanging="480"/>
        <w:rPr>
          <w:rFonts w:eastAsia="Times New Roman"/>
          <w:lang w:eastAsia="en-GB"/>
        </w:rPr>
      </w:pPr>
      <w:r w:rsidRPr="000C4EF7">
        <w:rPr>
          <w:rFonts w:eastAsia="Times New Roman"/>
          <w:lang w:eastAsia="en-GB"/>
        </w:rPr>
        <w:t xml:space="preserve">Tsuchida, Takuma, and Scott L. Friedman. 2017. ‘Mechanisms of Hepatic Stellate Cell Activation’. </w:t>
      </w:r>
      <w:r w:rsidRPr="000C4EF7">
        <w:rPr>
          <w:rFonts w:eastAsia="Times New Roman"/>
          <w:i/>
          <w:iCs/>
          <w:lang w:eastAsia="en-GB"/>
        </w:rPr>
        <w:t>Nature Reviews Gastroenterology &amp; Hepatology</w:t>
      </w:r>
      <w:r w:rsidRPr="000C4EF7">
        <w:rPr>
          <w:rFonts w:eastAsia="Times New Roman"/>
          <w:lang w:eastAsia="en-GB"/>
        </w:rPr>
        <w:t xml:space="preserve"> 14 (7): 397–411. </w:t>
      </w:r>
      <w:hyperlink r:id="rId288" w:history="1">
        <w:r w:rsidRPr="00D40D5C">
          <w:rPr>
            <w:rFonts w:eastAsia="Times New Roman"/>
            <w:color w:val="0000FF"/>
            <w:u w:val="single"/>
            <w:lang w:eastAsia="en-GB"/>
          </w:rPr>
          <w:t>https://doi.org/10.1038/nrgastro.2017.38</w:t>
        </w:r>
      </w:hyperlink>
      <w:r w:rsidRPr="000C4EF7">
        <w:rPr>
          <w:rFonts w:eastAsia="Times New Roman"/>
          <w:lang w:eastAsia="en-GB"/>
        </w:rPr>
        <w:t>.</w:t>
      </w:r>
    </w:p>
    <w:p w14:paraId="66BE24E8" w14:textId="77777777" w:rsidR="000C4EF7" w:rsidRPr="00D40D5C" w:rsidRDefault="000C4EF7" w:rsidP="00B23FF8">
      <w:pPr>
        <w:snapToGrid w:val="0"/>
        <w:spacing w:afterLines="60" w:after="144" w:line="240" w:lineRule="auto"/>
        <w:ind w:hanging="480"/>
        <w:rPr>
          <w:rFonts w:eastAsia="Times New Roman"/>
          <w:lang w:eastAsia="en-GB"/>
        </w:rPr>
      </w:pPr>
      <w:r w:rsidRPr="000C4EF7">
        <w:rPr>
          <w:rFonts w:eastAsia="Times New Roman"/>
          <w:lang w:eastAsia="en-GB"/>
        </w:rPr>
        <w:t xml:space="preserve">Tsuji, M. 2006. ‘Glycolipids and Phospholipids as Natural CD1d-Binding NKT Cell Ligands’. </w:t>
      </w:r>
      <w:r w:rsidRPr="000C4EF7">
        <w:rPr>
          <w:rFonts w:eastAsia="Times New Roman"/>
          <w:i/>
          <w:iCs/>
          <w:lang w:eastAsia="en-GB"/>
        </w:rPr>
        <w:t>Cellular and Molecular Life Sciences CMLS</w:t>
      </w:r>
      <w:r w:rsidRPr="000C4EF7">
        <w:rPr>
          <w:rFonts w:eastAsia="Times New Roman"/>
          <w:lang w:eastAsia="en-GB"/>
        </w:rPr>
        <w:t xml:space="preserve"> 63 (16): 1889–98. </w:t>
      </w:r>
      <w:hyperlink r:id="rId289" w:history="1">
        <w:r w:rsidRPr="00D40D5C">
          <w:rPr>
            <w:rFonts w:eastAsia="Times New Roman"/>
            <w:color w:val="0000FF"/>
            <w:u w:val="single"/>
            <w:lang w:eastAsia="en-GB"/>
          </w:rPr>
          <w:t>https://doi.org/10.1007/s00018-006-6073-z</w:t>
        </w:r>
      </w:hyperlink>
      <w:r w:rsidRPr="000C4EF7">
        <w:rPr>
          <w:rFonts w:eastAsia="Times New Roman"/>
          <w:lang w:eastAsia="en-GB"/>
        </w:rPr>
        <w:t>.</w:t>
      </w:r>
    </w:p>
    <w:p w14:paraId="279ABE69" w14:textId="77777777" w:rsidR="000C4EF7" w:rsidRPr="00D40D5C" w:rsidRDefault="000C4EF7" w:rsidP="00B23FF8">
      <w:pPr>
        <w:snapToGrid w:val="0"/>
        <w:spacing w:afterLines="60" w:after="144" w:line="240" w:lineRule="auto"/>
        <w:ind w:hanging="480"/>
        <w:rPr>
          <w:rFonts w:eastAsia="Times New Roman"/>
          <w:lang w:eastAsia="en-GB"/>
        </w:rPr>
      </w:pPr>
      <w:r w:rsidRPr="000C4EF7">
        <w:rPr>
          <w:rFonts w:eastAsia="Times New Roman"/>
          <w:lang w:eastAsia="en-GB"/>
        </w:rPr>
        <w:t xml:space="preserve">Tupin, Emmanuel, Yuki Kinjo, and Mitchell Kronenberg. 2007. ‘The Unique Role of Natural Killer T Cells in the Response to Microorganisms’. </w:t>
      </w:r>
      <w:r w:rsidRPr="000C4EF7">
        <w:rPr>
          <w:rFonts w:eastAsia="Times New Roman"/>
          <w:i/>
          <w:iCs/>
          <w:lang w:eastAsia="en-GB"/>
        </w:rPr>
        <w:t>Nature Reviews. Microbiology</w:t>
      </w:r>
      <w:r w:rsidRPr="000C4EF7">
        <w:rPr>
          <w:rFonts w:eastAsia="Times New Roman"/>
          <w:lang w:eastAsia="en-GB"/>
        </w:rPr>
        <w:t xml:space="preserve"> 5 (6): 405–17. </w:t>
      </w:r>
      <w:hyperlink r:id="rId290" w:history="1">
        <w:r w:rsidRPr="00D40D5C">
          <w:rPr>
            <w:rFonts w:eastAsia="Times New Roman"/>
            <w:color w:val="0000FF"/>
            <w:u w:val="single"/>
            <w:lang w:eastAsia="en-GB"/>
          </w:rPr>
          <w:t>https://doi.org/10.1038/nrmicro1657</w:t>
        </w:r>
      </w:hyperlink>
      <w:r w:rsidRPr="000C4EF7">
        <w:rPr>
          <w:rFonts w:eastAsia="Times New Roman"/>
          <w:lang w:eastAsia="en-GB"/>
        </w:rPr>
        <w:t>.</w:t>
      </w:r>
    </w:p>
    <w:p w14:paraId="76878BB9" w14:textId="77777777" w:rsidR="000C4EF7" w:rsidRPr="00D40D5C" w:rsidRDefault="000C4EF7" w:rsidP="00B23FF8">
      <w:pPr>
        <w:snapToGrid w:val="0"/>
        <w:spacing w:afterLines="60" w:after="144" w:line="240" w:lineRule="auto"/>
        <w:ind w:hanging="480"/>
        <w:rPr>
          <w:rFonts w:eastAsia="Times New Roman"/>
          <w:lang w:eastAsia="en-GB"/>
        </w:rPr>
      </w:pPr>
      <w:r w:rsidRPr="000C4EF7">
        <w:rPr>
          <w:rFonts w:eastAsia="Times New Roman"/>
          <w:lang w:eastAsia="en-GB"/>
        </w:rPr>
        <w:t xml:space="preserve">Turner, Brandon M., and Trisha Van Zandt. 2012. ‘A Tutorial on Approximate Bayesian Computation’. </w:t>
      </w:r>
      <w:r w:rsidRPr="000C4EF7">
        <w:rPr>
          <w:rFonts w:eastAsia="Times New Roman"/>
          <w:i/>
          <w:iCs/>
          <w:lang w:eastAsia="en-GB"/>
        </w:rPr>
        <w:t>Journal of Mathematical Psychology</w:t>
      </w:r>
      <w:r w:rsidRPr="000C4EF7">
        <w:rPr>
          <w:rFonts w:eastAsia="Times New Roman"/>
          <w:lang w:eastAsia="en-GB"/>
        </w:rPr>
        <w:t xml:space="preserve"> 56 (2): 69–85. </w:t>
      </w:r>
      <w:hyperlink r:id="rId291" w:history="1">
        <w:r w:rsidRPr="00D40D5C">
          <w:rPr>
            <w:rFonts w:eastAsia="Times New Roman"/>
            <w:color w:val="0000FF"/>
            <w:u w:val="single"/>
            <w:lang w:eastAsia="en-GB"/>
          </w:rPr>
          <w:t>https://doi.org/10.1016/j.jmp.2012.02.005</w:t>
        </w:r>
      </w:hyperlink>
      <w:r w:rsidRPr="000C4EF7">
        <w:rPr>
          <w:rFonts w:eastAsia="Times New Roman"/>
          <w:lang w:eastAsia="en-GB"/>
        </w:rPr>
        <w:t>.</w:t>
      </w:r>
    </w:p>
    <w:p w14:paraId="49082048" w14:textId="77777777" w:rsidR="000C4EF7" w:rsidRPr="00D40D5C" w:rsidRDefault="000C4EF7" w:rsidP="00B23FF8">
      <w:pPr>
        <w:snapToGrid w:val="0"/>
        <w:spacing w:afterLines="60" w:after="144" w:line="240" w:lineRule="auto"/>
        <w:ind w:hanging="480"/>
        <w:rPr>
          <w:rFonts w:eastAsia="Times New Roman"/>
          <w:lang w:eastAsia="en-GB"/>
        </w:rPr>
      </w:pPr>
      <w:r w:rsidRPr="000C4EF7">
        <w:rPr>
          <w:rFonts w:eastAsia="Times New Roman"/>
          <w:lang w:eastAsia="en-GB"/>
        </w:rPr>
        <w:t xml:space="preserve">Ueno, Norikiyo, and Mary E. Wilson. 2012. ‘Receptor-Mediated Phagocytosis of Leishmania: Implications for Intracellular Survival’. </w:t>
      </w:r>
      <w:r w:rsidRPr="000C4EF7">
        <w:rPr>
          <w:rFonts w:eastAsia="Times New Roman"/>
          <w:i/>
          <w:iCs/>
          <w:lang w:eastAsia="en-GB"/>
        </w:rPr>
        <w:t>Trends in Parasitology</w:t>
      </w:r>
      <w:r w:rsidRPr="000C4EF7">
        <w:rPr>
          <w:rFonts w:eastAsia="Times New Roman"/>
          <w:lang w:eastAsia="en-GB"/>
        </w:rPr>
        <w:t xml:space="preserve"> 28 (8): 335–44. </w:t>
      </w:r>
      <w:hyperlink r:id="rId292" w:history="1">
        <w:r w:rsidRPr="00D40D5C">
          <w:rPr>
            <w:rFonts w:eastAsia="Times New Roman"/>
            <w:color w:val="0000FF"/>
            <w:u w:val="single"/>
            <w:lang w:eastAsia="en-GB"/>
          </w:rPr>
          <w:t>https://doi.org/10.1016/j.pt.2012.05.002</w:t>
        </w:r>
      </w:hyperlink>
      <w:r w:rsidRPr="000C4EF7">
        <w:rPr>
          <w:rFonts w:eastAsia="Times New Roman"/>
          <w:lang w:eastAsia="en-GB"/>
        </w:rPr>
        <w:t>.</w:t>
      </w:r>
    </w:p>
    <w:p w14:paraId="57CB4F88" w14:textId="77777777" w:rsidR="000C4EF7" w:rsidRPr="000C4EF7" w:rsidRDefault="000C4EF7" w:rsidP="00B23FF8">
      <w:pPr>
        <w:snapToGrid w:val="0"/>
        <w:spacing w:afterLines="60" w:after="144" w:line="240" w:lineRule="auto"/>
        <w:ind w:hanging="480"/>
        <w:rPr>
          <w:rFonts w:eastAsia="Times New Roman"/>
          <w:lang w:eastAsia="en-GB"/>
        </w:rPr>
      </w:pPr>
      <w:r w:rsidRPr="000C4EF7">
        <w:rPr>
          <w:rFonts w:eastAsia="Times New Roman"/>
          <w:lang w:eastAsia="en-GB"/>
        </w:rPr>
        <w:t xml:space="preserve">Verma, J. N., N. M. Wassef, R. A. Wirtz, C. T. Atkinson, M. Aikawa, L. D. Loomis, and C. R. Alving. 1991. ‘Phagocytosis of Liposomes by Macrophages: Intracellular Fate of Liposomal Malaria Antigen’. </w:t>
      </w:r>
      <w:r w:rsidRPr="000C4EF7">
        <w:rPr>
          <w:rFonts w:eastAsia="Times New Roman"/>
          <w:i/>
          <w:iCs/>
          <w:lang w:eastAsia="en-GB"/>
        </w:rPr>
        <w:t>Biochimica Et Biophysica Acta</w:t>
      </w:r>
      <w:r w:rsidRPr="000C4EF7">
        <w:rPr>
          <w:rFonts w:eastAsia="Times New Roman"/>
          <w:lang w:eastAsia="en-GB"/>
        </w:rPr>
        <w:t xml:space="preserve"> 1066 (2): 229–38.</w:t>
      </w:r>
    </w:p>
    <w:p w14:paraId="2DB70B65" w14:textId="77777777" w:rsidR="000C4EF7" w:rsidRPr="00D40D5C" w:rsidRDefault="000C4EF7" w:rsidP="00B23FF8">
      <w:pPr>
        <w:snapToGrid w:val="0"/>
        <w:spacing w:afterLines="60" w:after="144" w:line="240" w:lineRule="auto"/>
        <w:ind w:hanging="480"/>
        <w:rPr>
          <w:rFonts w:eastAsia="Times New Roman"/>
          <w:lang w:eastAsia="en-GB"/>
        </w:rPr>
      </w:pPr>
      <w:r w:rsidRPr="000C4EF7">
        <w:rPr>
          <w:rFonts w:eastAsia="Times New Roman"/>
          <w:lang w:eastAsia="en-GB"/>
        </w:rPr>
        <w:t xml:space="preserve">Verma, Sudha, Abhishek Mandal, Md Yousuf Ansari, Ajay Kumar, Kumar Abhishek, Ayan Kumar Ghosh, Ashish Kumar, Vinod Kumar, Sushmita Das, and Pradeep Das. 2018. ‘Leishmania Donovani Inhibitor of Serine Peptidases 2 Mediated Inhibition of Lectin Pathway and Upregulation of C5aR Signaling Promote Parasite Survival inside Host’. </w:t>
      </w:r>
      <w:r w:rsidRPr="000C4EF7">
        <w:rPr>
          <w:rFonts w:eastAsia="Times New Roman"/>
          <w:i/>
          <w:iCs/>
          <w:lang w:eastAsia="en-GB"/>
        </w:rPr>
        <w:t>Frontiers in Immunology</w:t>
      </w:r>
      <w:r w:rsidRPr="000C4EF7">
        <w:rPr>
          <w:rFonts w:eastAsia="Times New Roman"/>
          <w:lang w:eastAsia="en-GB"/>
        </w:rPr>
        <w:t xml:space="preserve"> 9: 63. </w:t>
      </w:r>
      <w:hyperlink r:id="rId293" w:history="1">
        <w:r w:rsidRPr="00D40D5C">
          <w:rPr>
            <w:rFonts w:eastAsia="Times New Roman"/>
            <w:color w:val="0000FF"/>
            <w:u w:val="single"/>
            <w:lang w:eastAsia="en-GB"/>
          </w:rPr>
          <w:t>https://doi.org/10.3389/fimmu.2018.00063</w:t>
        </w:r>
      </w:hyperlink>
      <w:r w:rsidRPr="000C4EF7">
        <w:rPr>
          <w:rFonts w:eastAsia="Times New Roman"/>
          <w:lang w:eastAsia="en-GB"/>
        </w:rPr>
        <w:t>.</w:t>
      </w:r>
    </w:p>
    <w:p w14:paraId="623CE640" w14:textId="77777777" w:rsidR="000C4EF7" w:rsidRPr="00D40D5C" w:rsidRDefault="000C4EF7" w:rsidP="00B23FF8">
      <w:pPr>
        <w:snapToGrid w:val="0"/>
        <w:spacing w:afterLines="60" w:after="144" w:line="240" w:lineRule="auto"/>
        <w:ind w:hanging="480"/>
        <w:rPr>
          <w:rFonts w:eastAsia="Times New Roman"/>
          <w:lang w:eastAsia="en-GB"/>
        </w:rPr>
      </w:pPr>
      <w:r w:rsidRPr="000C4EF7">
        <w:rPr>
          <w:rFonts w:eastAsia="Times New Roman"/>
          <w:lang w:eastAsia="en-GB"/>
        </w:rPr>
        <w:t xml:space="preserve">Vibert, Julien, and Véronique Thomas-Vaslin. 2017. ‘Modelling T Cell Proliferation: Dynamics Heterogeneity Depending on Cell Differentiation, Age, and Genetic Background’. </w:t>
      </w:r>
      <w:r w:rsidRPr="000C4EF7">
        <w:rPr>
          <w:rFonts w:eastAsia="Times New Roman"/>
          <w:i/>
          <w:iCs/>
          <w:lang w:eastAsia="en-GB"/>
        </w:rPr>
        <w:t>PLoS Computational Biology</w:t>
      </w:r>
      <w:r w:rsidRPr="000C4EF7">
        <w:rPr>
          <w:rFonts w:eastAsia="Times New Roman"/>
          <w:lang w:eastAsia="en-GB"/>
        </w:rPr>
        <w:t xml:space="preserve"> 13 (3): e1005417. </w:t>
      </w:r>
      <w:hyperlink r:id="rId294" w:history="1">
        <w:r w:rsidRPr="00D40D5C">
          <w:rPr>
            <w:rFonts w:eastAsia="Times New Roman"/>
            <w:color w:val="0000FF"/>
            <w:u w:val="single"/>
            <w:lang w:eastAsia="en-GB"/>
          </w:rPr>
          <w:t>https://doi.org/10.1371/journal.pcbi.1005417</w:t>
        </w:r>
      </w:hyperlink>
      <w:r w:rsidRPr="000C4EF7">
        <w:rPr>
          <w:rFonts w:eastAsia="Times New Roman"/>
          <w:lang w:eastAsia="en-GB"/>
        </w:rPr>
        <w:t>.</w:t>
      </w:r>
    </w:p>
    <w:p w14:paraId="555A06CE" w14:textId="77777777" w:rsidR="000C4EF7" w:rsidRPr="00D40D5C" w:rsidRDefault="000C4EF7" w:rsidP="00B23FF8">
      <w:pPr>
        <w:snapToGrid w:val="0"/>
        <w:spacing w:afterLines="60" w:after="144" w:line="240" w:lineRule="auto"/>
        <w:ind w:hanging="480"/>
        <w:rPr>
          <w:rFonts w:eastAsia="Times New Roman"/>
          <w:lang w:eastAsia="en-GB"/>
        </w:rPr>
      </w:pPr>
      <w:r w:rsidRPr="000C4EF7">
        <w:rPr>
          <w:rFonts w:eastAsia="Times New Roman"/>
          <w:lang w:eastAsia="en-GB"/>
        </w:rPr>
        <w:t xml:space="preserve">Voak, Andrew A., Andy Harris, Zeeshan Qaiser, Simon L. Croft, and Karin Seifert. 2017. ‘Pharmacodynamics and Biodistribution of Single-Dose Liposomal Amphotericin B at </w:t>
      </w:r>
      <w:r w:rsidRPr="000C4EF7">
        <w:rPr>
          <w:rFonts w:eastAsia="Times New Roman"/>
          <w:lang w:eastAsia="en-GB"/>
        </w:rPr>
        <w:lastRenderedPageBreak/>
        <w:t xml:space="preserve">Different Stages of Experimental Visceral Leishmaniasis’. </w:t>
      </w:r>
      <w:r w:rsidRPr="000C4EF7">
        <w:rPr>
          <w:rFonts w:eastAsia="Times New Roman"/>
          <w:i/>
          <w:iCs/>
          <w:lang w:eastAsia="en-GB"/>
        </w:rPr>
        <w:t>Antimicrobial Agents and Chemotherapy</w:t>
      </w:r>
      <w:r w:rsidRPr="000C4EF7">
        <w:rPr>
          <w:rFonts w:eastAsia="Times New Roman"/>
          <w:lang w:eastAsia="en-GB"/>
        </w:rPr>
        <w:t xml:space="preserve"> 61 (9). </w:t>
      </w:r>
      <w:hyperlink r:id="rId295" w:history="1">
        <w:r w:rsidRPr="00D40D5C">
          <w:rPr>
            <w:rFonts w:eastAsia="Times New Roman"/>
            <w:color w:val="0000FF"/>
            <w:u w:val="single"/>
            <w:lang w:eastAsia="en-GB"/>
          </w:rPr>
          <w:t>https://doi.org/10.1128/AAC.00497-17</w:t>
        </w:r>
      </w:hyperlink>
      <w:r w:rsidRPr="000C4EF7">
        <w:rPr>
          <w:rFonts w:eastAsia="Times New Roman"/>
          <w:lang w:eastAsia="en-GB"/>
        </w:rPr>
        <w:t>.</w:t>
      </w:r>
    </w:p>
    <w:p w14:paraId="79C3F9B4" w14:textId="77777777" w:rsidR="000C4EF7" w:rsidRPr="00D40D5C" w:rsidRDefault="000C4EF7" w:rsidP="00B23FF8">
      <w:pPr>
        <w:snapToGrid w:val="0"/>
        <w:spacing w:afterLines="60" w:after="144" w:line="240" w:lineRule="auto"/>
        <w:ind w:hanging="480"/>
        <w:rPr>
          <w:rFonts w:eastAsia="Times New Roman"/>
          <w:lang w:eastAsia="en-GB"/>
        </w:rPr>
      </w:pPr>
      <w:r w:rsidRPr="000C4EF7">
        <w:rPr>
          <w:rFonts w:eastAsia="Times New Roman"/>
          <w:lang w:eastAsia="en-GB"/>
        </w:rPr>
        <w:t xml:space="preserve">Voak, Andrew A., Joseph F. Standing, Nuno Sepúlveda, Andy Harris, Simon L. Croft, and Karin Seifert. 2018. ‘Pharmacodynamics and Cellular Accumulation of Amphotericin B and Miltefosine in Leishmania Donovani-Infected Primary Macrophages’. </w:t>
      </w:r>
      <w:r w:rsidRPr="000C4EF7">
        <w:rPr>
          <w:rFonts w:eastAsia="Times New Roman"/>
          <w:i/>
          <w:iCs/>
          <w:lang w:eastAsia="en-GB"/>
        </w:rPr>
        <w:t>Journal of Antimicrobial Chemotherapy</w:t>
      </w:r>
      <w:r w:rsidRPr="000C4EF7">
        <w:rPr>
          <w:rFonts w:eastAsia="Times New Roman"/>
          <w:lang w:eastAsia="en-GB"/>
        </w:rPr>
        <w:t xml:space="preserve"> 73 (5): 1314–23. </w:t>
      </w:r>
      <w:hyperlink r:id="rId296" w:history="1">
        <w:r w:rsidRPr="00D40D5C">
          <w:rPr>
            <w:rFonts w:eastAsia="Times New Roman"/>
            <w:color w:val="0000FF"/>
            <w:u w:val="single"/>
            <w:lang w:eastAsia="en-GB"/>
          </w:rPr>
          <w:t>https://doi.org/10.1093/jac/dky014</w:t>
        </w:r>
      </w:hyperlink>
      <w:r w:rsidRPr="000C4EF7">
        <w:rPr>
          <w:rFonts w:eastAsia="Times New Roman"/>
          <w:lang w:eastAsia="en-GB"/>
        </w:rPr>
        <w:t>.</w:t>
      </w:r>
    </w:p>
    <w:p w14:paraId="6E4F6BAB" w14:textId="77777777" w:rsidR="000C4EF7" w:rsidRPr="00D40D5C" w:rsidRDefault="000C4EF7" w:rsidP="00B23FF8">
      <w:pPr>
        <w:snapToGrid w:val="0"/>
        <w:spacing w:afterLines="60" w:after="144" w:line="240" w:lineRule="auto"/>
        <w:ind w:hanging="480"/>
        <w:rPr>
          <w:rFonts w:eastAsia="Times New Roman"/>
          <w:lang w:eastAsia="en-GB"/>
        </w:rPr>
      </w:pPr>
      <w:r w:rsidRPr="000C4EF7">
        <w:rPr>
          <w:rFonts w:eastAsia="Times New Roman"/>
          <w:lang w:eastAsia="en-GB"/>
        </w:rPr>
        <w:t xml:space="preserve">Vogelsinger, Helene, Stefan Weiler, Angela Djanani, Jordan Kountchev, Rosa Bellmann-Weiler, Christian J. Wiedermann, and Romuald Bellmann. 2006. ‘Amphotericin B Tissue Distribution in Autopsy Material after Treatment with Liposomal Amphotericin B and Amphotericin B Colloidal Dispersion’. </w:t>
      </w:r>
      <w:r w:rsidRPr="000C4EF7">
        <w:rPr>
          <w:rFonts w:eastAsia="Times New Roman"/>
          <w:i/>
          <w:iCs/>
          <w:lang w:eastAsia="en-GB"/>
        </w:rPr>
        <w:t>The Journal of Antimicrobial Chemotherapy</w:t>
      </w:r>
      <w:r w:rsidRPr="000C4EF7">
        <w:rPr>
          <w:rFonts w:eastAsia="Times New Roman"/>
          <w:lang w:eastAsia="en-GB"/>
        </w:rPr>
        <w:t xml:space="preserve"> 57 (6): 1153–60. </w:t>
      </w:r>
      <w:hyperlink r:id="rId297" w:history="1">
        <w:r w:rsidRPr="00D40D5C">
          <w:rPr>
            <w:rFonts w:eastAsia="Times New Roman"/>
            <w:color w:val="0000FF"/>
            <w:u w:val="single"/>
            <w:lang w:eastAsia="en-GB"/>
          </w:rPr>
          <w:t>https://doi.org/1</w:t>
        </w:r>
        <w:r w:rsidRPr="000C4EF7">
          <w:rPr>
            <w:rFonts w:eastAsia="Times New Roman"/>
            <w:color w:val="0000FF"/>
            <w:u w:val="single"/>
            <w:lang w:eastAsia="en-GB"/>
          </w:rPr>
          <w:t>0.1093/jac/dkl141</w:t>
        </w:r>
      </w:hyperlink>
      <w:r w:rsidRPr="000C4EF7">
        <w:rPr>
          <w:rFonts w:eastAsia="Times New Roman"/>
          <w:lang w:eastAsia="en-GB"/>
        </w:rPr>
        <w:t>.</w:t>
      </w:r>
    </w:p>
    <w:p w14:paraId="77E273EE" w14:textId="77777777" w:rsidR="000C4EF7" w:rsidRPr="000C4EF7" w:rsidRDefault="000C4EF7" w:rsidP="00B23FF8">
      <w:pPr>
        <w:snapToGrid w:val="0"/>
        <w:spacing w:afterLines="60" w:after="144" w:line="240" w:lineRule="auto"/>
        <w:ind w:hanging="480"/>
        <w:rPr>
          <w:rFonts w:eastAsia="Times New Roman"/>
          <w:lang w:eastAsia="en-GB"/>
        </w:rPr>
      </w:pPr>
      <w:r w:rsidRPr="000C4EF7">
        <w:rPr>
          <w:rFonts w:eastAsia="Times New Roman"/>
          <w:lang w:eastAsia="en-GB"/>
        </w:rPr>
        <w:t xml:space="preserve">Wang, L. H., R. M. Fielding, P. C. Smith, and L. S. Guo. 1995. ‘Comparative Tissue Distribution and Elimination of Amphotericin B Colloidal Dispersion (Amphocil) and Fungizone after Repeated Dosing in Rats’. </w:t>
      </w:r>
      <w:r w:rsidRPr="000C4EF7">
        <w:rPr>
          <w:rFonts w:eastAsia="Times New Roman"/>
          <w:i/>
          <w:iCs/>
          <w:lang w:eastAsia="en-GB"/>
        </w:rPr>
        <w:t>Pharmaceutical Research</w:t>
      </w:r>
      <w:r w:rsidRPr="000C4EF7">
        <w:rPr>
          <w:rFonts w:eastAsia="Times New Roman"/>
          <w:lang w:eastAsia="en-GB"/>
        </w:rPr>
        <w:t xml:space="preserve"> 12 (2): 275–83.</w:t>
      </w:r>
    </w:p>
    <w:p w14:paraId="4586788E" w14:textId="77777777" w:rsidR="000C4EF7" w:rsidRPr="00D40D5C" w:rsidRDefault="000C4EF7" w:rsidP="00B23FF8">
      <w:pPr>
        <w:snapToGrid w:val="0"/>
        <w:spacing w:afterLines="60" w:after="144" w:line="240" w:lineRule="auto"/>
        <w:ind w:hanging="480"/>
        <w:rPr>
          <w:rFonts w:eastAsia="Times New Roman"/>
          <w:lang w:eastAsia="en-GB"/>
        </w:rPr>
      </w:pPr>
      <w:r w:rsidRPr="000C4EF7">
        <w:rPr>
          <w:rFonts w:eastAsia="Times New Roman"/>
          <w:lang w:eastAsia="en-GB"/>
        </w:rPr>
        <w:t xml:space="preserve">Wheeler, Richard John, Eva Gluenz, and Keith Gull. 2013. ‘The Limits on Trypanosomatid Morphological Diversity’. </w:t>
      </w:r>
      <w:r w:rsidRPr="000C4EF7">
        <w:rPr>
          <w:rFonts w:eastAsia="Times New Roman"/>
          <w:i/>
          <w:iCs/>
          <w:lang w:eastAsia="en-GB"/>
        </w:rPr>
        <w:t>PLoS ONE</w:t>
      </w:r>
      <w:r w:rsidRPr="000C4EF7">
        <w:rPr>
          <w:rFonts w:eastAsia="Times New Roman"/>
          <w:lang w:eastAsia="en-GB"/>
        </w:rPr>
        <w:t xml:space="preserve"> 8 (11). </w:t>
      </w:r>
      <w:hyperlink r:id="rId298" w:history="1">
        <w:r w:rsidRPr="00D40D5C">
          <w:rPr>
            <w:rFonts w:eastAsia="Times New Roman"/>
            <w:color w:val="0000FF"/>
            <w:u w:val="single"/>
            <w:lang w:eastAsia="en-GB"/>
          </w:rPr>
          <w:t>https://doi.org/10.1371/journal.pone.0079581</w:t>
        </w:r>
      </w:hyperlink>
      <w:r w:rsidRPr="000C4EF7">
        <w:rPr>
          <w:rFonts w:eastAsia="Times New Roman"/>
          <w:lang w:eastAsia="en-GB"/>
        </w:rPr>
        <w:t>.</w:t>
      </w:r>
    </w:p>
    <w:p w14:paraId="52CBCC9B" w14:textId="77777777" w:rsidR="000C4EF7" w:rsidRPr="00D40D5C" w:rsidRDefault="000C4EF7" w:rsidP="00B23FF8">
      <w:pPr>
        <w:snapToGrid w:val="0"/>
        <w:spacing w:afterLines="60" w:after="144" w:line="240" w:lineRule="auto"/>
        <w:ind w:hanging="480"/>
        <w:rPr>
          <w:rFonts w:eastAsia="Times New Roman"/>
          <w:lang w:eastAsia="en-GB"/>
        </w:rPr>
      </w:pPr>
      <w:r w:rsidRPr="000C4EF7">
        <w:rPr>
          <w:rFonts w:eastAsia="Times New Roman"/>
          <w:lang w:eastAsia="en-GB"/>
        </w:rPr>
        <w:t xml:space="preserve">WHO Expert Committee on the Control of Leishmaniases. 2010. ‘Control of the Leishmaniases’. Technical Report 949. WHO Technical Report Series. Geneva. </w:t>
      </w:r>
      <w:hyperlink r:id="rId299" w:history="1">
        <w:r w:rsidRPr="00D40D5C">
          <w:rPr>
            <w:rFonts w:eastAsia="Times New Roman"/>
            <w:color w:val="0000FF"/>
            <w:u w:val="single"/>
            <w:lang w:eastAsia="en-GB"/>
          </w:rPr>
          <w:t>http://apps.who.int/iris/bitstream/handle/10665/44412/WHO_TRS_949_eng.pdf?sequence=1&amp;isAllowed=y</w:t>
        </w:r>
      </w:hyperlink>
      <w:r w:rsidRPr="000C4EF7">
        <w:rPr>
          <w:rFonts w:eastAsia="Times New Roman"/>
          <w:lang w:eastAsia="en-GB"/>
        </w:rPr>
        <w:t>.</w:t>
      </w:r>
    </w:p>
    <w:p w14:paraId="6F753B29" w14:textId="77777777" w:rsidR="000C4EF7" w:rsidRPr="00D40D5C" w:rsidRDefault="000C4EF7" w:rsidP="00B23FF8">
      <w:pPr>
        <w:snapToGrid w:val="0"/>
        <w:spacing w:afterLines="60" w:after="144" w:line="240" w:lineRule="auto"/>
        <w:ind w:hanging="480"/>
        <w:rPr>
          <w:rFonts w:eastAsia="Times New Roman"/>
          <w:lang w:eastAsia="en-GB"/>
        </w:rPr>
      </w:pPr>
      <w:r w:rsidRPr="000C4EF7">
        <w:rPr>
          <w:rFonts w:eastAsia="Times New Roman"/>
          <w:lang w:eastAsia="en-GB"/>
        </w:rPr>
        <w:t xml:space="preserve">Wilcoxon, Frank. 1945. ‘Individual Comparisons by Ranking Methods’. </w:t>
      </w:r>
      <w:r w:rsidRPr="000C4EF7">
        <w:rPr>
          <w:rFonts w:eastAsia="Times New Roman"/>
          <w:i/>
          <w:iCs/>
          <w:lang w:eastAsia="en-GB"/>
        </w:rPr>
        <w:t>Biometrics Bulletin</w:t>
      </w:r>
      <w:r w:rsidRPr="000C4EF7">
        <w:rPr>
          <w:rFonts w:eastAsia="Times New Roman"/>
          <w:lang w:eastAsia="en-GB"/>
        </w:rPr>
        <w:t xml:space="preserve"> 1 (6): 80–83. </w:t>
      </w:r>
      <w:hyperlink r:id="rId300" w:history="1">
        <w:r w:rsidRPr="00D40D5C">
          <w:rPr>
            <w:rFonts w:eastAsia="Times New Roman"/>
            <w:color w:val="0000FF"/>
            <w:u w:val="single"/>
            <w:lang w:eastAsia="en-GB"/>
          </w:rPr>
          <w:t>https://</w:t>
        </w:r>
        <w:r w:rsidRPr="000C4EF7">
          <w:rPr>
            <w:rFonts w:eastAsia="Times New Roman"/>
            <w:color w:val="0000FF"/>
            <w:u w:val="single"/>
            <w:lang w:eastAsia="en-GB"/>
          </w:rPr>
          <w:t>doi.org/10.2307/3001968</w:t>
        </w:r>
      </w:hyperlink>
      <w:r w:rsidRPr="000C4EF7">
        <w:rPr>
          <w:rFonts w:eastAsia="Times New Roman"/>
          <w:lang w:eastAsia="en-GB"/>
        </w:rPr>
        <w:t>.</w:t>
      </w:r>
    </w:p>
    <w:p w14:paraId="7F6B8076" w14:textId="77777777" w:rsidR="000C4EF7" w:rsidRPr="00D40D5C" w:rsidRDefault="000C4EF7" w:rsidP="00B23FF8">
      <w:pPr>
        <w:snapToGrid w:val="0"/>
        <w:spacing w:afterLines="60" w:after="144" w:line="240" w:lineRule="auto"/>
        <w:ind w:hanging="480"/>
        <w:rPr>
          <w:rFonts w:eastAsia="Times New Roman"/>
          <w:lang w:eastAsia="en-GB"/>
        </w:rPr>
      </w:pPr>
      <w:r w:rsidRPr="000C4EF7">
        <w:rPr>
          <w:rFonts w:eastAsia="Times New Roman"/>
          <w:lang w:eastAsia="en-GB"/>
        </w:rPr>
        <w:t xml:space="preserve">Williams, Richard A., Jon Timmis, and Eva E. Qwarnstrom. 2014. ‘Computational Models of the NF-KB Signalling Pathway’. </w:t>
      </w:r>
      <w:r w:rsidRPr="000C4EF7">
        <w:rPr>
          <w:rFonts w:eastAsia="Times New Roman"/>
          <w:i/>
          <w:iCs/>
          <w:lang w:eastAsia="en-GB"/>
        </w:rPr>
        <w:t>Computation</w:t>
      </w:r>
      <w:r w:rsidRPr="000C4EF7">
        <w:rPr>
          <w:rFonts w:eastAsia="Times New Roman"/>
          <w:lang w:eastAsia="en-GB"/>
        </w:rPr>
        <w:t xml:space="preserve"> 2 (4): 131–58. </w:t>
      </w:r>
      <w:hyperlink r:id="rId301" w:history="1">
        <w:r w:rsidRPr="00D40D5C">
          <w:rPr>
            <w:rFonts w:eastAsia="Times New Roman"/>
            <w:color w:val="0000FF"/>
            <w:u w:val="single"/>
            <w:lang w:eastAsia="en-GB"/>
          </w:rPr>
          <w:t>https://doi.org/10.3390/co</w:t>
        </w:r>
        <w:r w:rsidRPr="000C4EF7">
          <w:rPr>
            <w:rFonts w:eastAsia="Times New Roman"/>
            <w:color w:val="0000FF"/>
            <w:u w:val="single"/>
            <w:lang w:eastAsia="en-GB"/>
          </w:rPr>
          <w:t>mputation2040131</w:t>
        </w:r>
      </w:hyperlink>
      <w:r w:rsidRPr="000C4EF7">
        <w:rPr>
          <w:rFonts w:eastAsia="Times New Roman"/>
          <w:lang w:eastAsia="en-GB"/>
        </w:rPr>
        <w:t>.</w:t>
      </w:r>
    </w:p>
    <w:p w14:paraId="5A2C36B6" w14:textId="77777777" w:rsidR="000C4EF7" w:rsidRPr="000C4EF7" w:rsidRDefault="000C4EF7" w:rsidP="00B23FF8">
      <w:pPr>
        <w:snapToGrid w:val="0"/>
        <w:spacing w:afterLines="60" w:after="144" w:line="240" w:lineRule="auto"/>
        <w:ind w:hanging="480"/>
        <w:rPr>
          <w:rFonts w:eastAsia="Times New Roman"/>
          <w:lang w:eastAsia="en-GB"/>
        </w:rPr>
      </w:pPr>
      <w:r w:rsidRPr="000C4EF7">
        <w:rPr>
          <w:rFonts w:eastAsia="Times New Roman"/>
          <w:lang w:eastAsia="en-GB"/>
        </w:rPr>
        <w:t xml:space="preserve">Wilson, M. E., D. J. Innes, A. D. Sousa, and R. D. Pearson. 1987. ‘Early Histopathology of Experimental Infection with Leishmania Donovani in Hamsters’. </w:t>
      </w:r>
      <w:r w:rsidRPr="000C4EF7">
        <w:rPr>
          <w:rFonts w:eastAsia="Times New Roman"/>
          <w:i/>
          <w:iCs/>
          <w:lang w:eastAsia="en-GB"/>
        </w:rPr>
        <w:t>The Journal of Parasitology</w:t>
      </w:r>
      <w:r w:rsidRPr="000C4EF7">
        <w:rPr>
          <w:rFonts w:eastAsia="Times New Roman"/>
          <w:lang w:eastAsia="en-GB"/>
        </w:rPr>
        <w:t xml:space="preserve"> 73 (1): 55–63.</w:t>
      </w:r>
    </w:p>
    <w:p w14:paraId="6D3BCA18" w14:textId="77777777" w:rsidR="000C4EF7" w:rsidRPr="00D40D5C" w:rsidRDefault="000C4EF7" w:rsidP="00B23FF8">
      <w:pPr>
        <w:snapToGrid w:val="0"/>
        <w:spacing w:afterLines="60" w:after="144" w:line="240" w:lineRule="auto"/>
        <w:ind w:hanging="480"/>
        <w:rPr>
          <w:rFonts w:eastAsia="Times New Roman"/>
          <w:lang w:eastAsia="en-GB"/>
        </w:rPr>
      </w:pPr>
      <w:r w:rsidRPr="000C4EF7">
        <w:rPr>
          <w:rFonts w:eastAsia="Times New Roman"/>
          <w:lang w:eastAsia="en-GB"/>
        </w:rPr>
        <w:t xml:space="preserve">Wynn, A. A., K. Miyakawa, E. Miyata, G. Dranoff, M. Takeya, and K. Takahashi. 2001. ‘Role of Granulocyte/Macrophage Colony-Stimulating Factor in Zymocel-Induced Hepatic Granuloma Formation’. </w:t>
      </w:r>
      <w:r w:rsidRPr="000C4EF7">
        <w:rPr>
          <w:rFonts w:eastAsia="Times New Roman"/>
          <w:i/>
          <w:iCs/>
          <w:lang w:eastAsia="en-GB"/>
        </w:rPr>
        <w:t>The American Journal of Pathology</w:t>
      </w:r>
      <w:r w:rsidRPr="000C4EF7">
        <w:rPr>
          <w:rFonts w:eastAsia="Times New Roman"/>
          <w:lang w:eastAsia="en-GB"/>
        </w:rPr>
        <w:t xml:space="preserve"> 158 (1): 131–45. </w:t>
      </w:r>
      <w:hyperlink r:id="rId302" w:history="1">
        <w:r w:rsidRPr="00D40D5C">
          <w:rPr>
            <w:rFonts w:eastAsia="Times New Roman"/>
            <w:color w:val="0000FF"/>
            <w:u w:val="single"/>
            <w:lang w:eastAsia="en-GB"/>
          </w:rPr>
          <w:t>https://doi.org/10.1016/S0002-9440(10)63951-X</w:t>
        </w:r>
      </w:hyperlink>
      <w:r w:rsidRPr="000C4EF7">
        <w:rPr>
          <w:rFonts w:eastAsia="Times New Roman"/>
          <w:lang w:eastAsia="en-GB"/>
        </w:rPr>
        <w:t>.</w:t>
      </w:r>
    </w:p>
    <w:p w14:paraId="29C4DCBA" w14:textId="77777777" w:rsidR="000C4EF7" w:rsidRPr="00D40D5C" w:rsidRDefault="000C4EF7" w:rsidP="00B23FF8">
      <w:pPr>
        <w:snapToGrid w:val="0"/>
        <w:spacing w:afterLines="60" w:after="144" w:line="240" w:lineRule="auto"/>
        <w:ind w:hanging="480"/>
        <w:rPr>
          <w:rFonts w:eastAsia="Times New Roman"/>
          <w:lang w:eastAsia="en-GB"/>
        </w:rPr>
      </w:pPr>
      <w:r w:rsidRPr="000C4EF7">
        <w:rPr>
          <w:rFonts w:eastAsia="Times New Roman"/>
          <w:lang w:eastAsia="en-GB"/>
        </w:rPr>
        <w:t xml:space="preserve">Yates, F. 1934. ‘The Analysis of Multiple Classifications with Unequal Numbers in the Different Classes’. </w:t>
      </w:r>
      <w:r w:rsidRPr="000C4EF7">
        <w:rPr>
          <w:rFonts w:eastAsia="Times New Roman"/>
          <w:i/>
          <w:iCs/>
          <w:lang w:eastAsia="en-GB"/>
        </w:rPr>
        <w:t>Journal of the American Statistical Association</w:t>
      </w:r>
      <w:r w:rsidRPr="000C4EF7">
        <w:rPr>
          <w:rFonts w:eastAsia="Times New Roman"/>
          <w:lang w:eastAsia="en-GB"/>
        </w:rPr>
        <w:t xml:space="preserve"> 29 (185): 51–66. </w:t>
      </w:r>
      <w:hyperlink r:id="rId303" w:history="1">
        <w:r w:rsidRPr="00D40D5C">
          <w:rPr>
            <w:rFonts w:eastAsia="Times New Roman"/>
            <w:color w:val="0000FF"/>
            <w:u w:val="single"/>
            <w:lang w:eastAsia="en-GB"/>
          </w:rPr>
          <w:t>https://doi.org/10.2307/2278459</w:t>
        </w:r>
      </w:hyperlink>
      <w:r w:rsidRPr="000C4EF7">
        <w:rPr>
          <w:rFonts w:eastAsia="Times New Roman"/>
          <w:lang w:eastAsia="en-GB"/>
        </w:rPr>
        <w:t>.</w:t>
      </w:r>
    </w:p>
    <w:p w14:paraId="00549587" w14:textId="77777777" w:rsidR="000C4EF7" w:rsidRPr="00D40D5C" w:rsidRDefault="000C4EF7" w:rsidP="00B23FF8">
      <w:pPr>
        <w:snapToGrid w:val="0"/>
        <w:spacing w:afterLines="60" w:after="144" w:line="240" w:lineRule="auto"/>
        <w:ind w:hanging="480"/>
        <w:rPr>
          <w:rFonts w:eastAsia="Times New Roman"/>
          <w:lang w:eastAsia="en-GB"/>
        </w:rPr>
      </w:pPr>
      <w:r w:rsidRPr="000C4EF7">
        <w:rPr>
          <w:rFonts w:eastAsia="Times New Roman"/>
          <w:lang w:eastAsia="en-GB"/>
        </w:rPr>
        <w:t xml:space="preserve">Yi, John S., Maureen A. Cox, and Allan J. Zajac. 2010. ‘T-Cell Exhaustion: Characteristics, Causes and Conversion’. </w:t>
      </w:r>
      <w:r w:rsidRPr="000C4EF7">
        <w:rPr>
          <w:rFonts w:eastAsia="Times New Roman"/>
          <w:i/>
          <w:iCs/>
          <w:lang w:eastAsia="en-GB"/>
        </w:rPr>
        <w:t>Immunology</w:t>
      </w:r>
      <w:r w:rsidRPr="000C4EF7">
        <w:rPr>
          <w:rFonts w:eastAsia="Times New Roman"/>
          <w:lang w:eastAsia="en-GB"/>
        </w:rPr>
        <w:t xml:space="preserve"> 129 (4): 474–81. </w:t>
      </w:r>
      <w:hyperlink r:id="rId304" w:history="1">
        <w:r w:rsidRPr="00D40D5C">
          <w:rPr>
            <w:rFonts w:eastAsia="Times New Roman"/>
            <w:color w:val="0000FF"/>
            <w:u w:val="single"/>
            <w:lang w:eastAsia="en-GB"/>
          </w:rPr>
          <w:t>https://doi.org/10.1111/j.1365-2567.2010.03255.x</w:t>
        </w:r>
      </w:hyperlink>
      <w:r w:rsidRPr="000C4EF7">
        <w:rPr>
          <w:rFonts w:eastAsia="Times New Roman"/>
          <w:lang w:eastAsia="en-GB"/>
        </w:rPr>
        <w:t>.</w:t>
      </w:r>
    </w:p>
    <w:p w14:paraId="47F91A3C" w14:textId="77777777" w:rsidR="000C4EF7" w:rsidRPr="00D40D5C" w:rsidRDefault="000C4EF7" w:rsidP="00B23FF8">
      <w:pPr>
        <w:snapToGrid w:val="0"/>
        <w:spacing w:afterLines="60" w:after="144" w:line="240" w:lineRule="auto"/>
        <w:ind w:hanging="480"/>
        <w:rPr>
          <w:rFonts w:eastAsia="Times New Roman"/>
          <w:lang w:eastAsia="en-GB"/>
        </w:rPr>
      </w:pPr>
      <w:r w:rsidRPr="000C4EF7">
        <w:rPr>
          <w:rFonts w:eastAsia="Times New Roman"/>
          <w:lang w:eastAsia="en-GB"/>
        </w:rPr>
        <w:t xml:space="preserve">Zamora-Chimal, Jaime, Joselín Hernández-Ruiz, and Ingeborg Becker. 2017. ‘NKT Cells in Leishmaniasis’. </w:t>
      </w:r>
      <w:r w:rsidRPr="000C4EF7">
        <w:rPr>
          <w:rFonts w:eastAsia="Times New Roman"/>
          <w:i/>
          <w:iCs/>
          <w:lang w:eastAsia="en-GB"/>
        </w:rPr>
        <w:t>Immunobiology</w:t>
      </w:r>
      <w:r w:rsidRPr="000C4EF7">
        <w:rPr>
          <w:rFonts w:eastAsia="Times New Roman"/>
          <w:lang w:eastAsia="en-GB"/>
        </w:rPr>
        <w:t xml:space="preserve"> 222 (4): 641–46. </w:t>
      </w:r>
      <w:hyperlink r:id="rId305" w:history="1">
        <w:r w:rsidRPr="00D40D5C">
          <w:rPr>
            <w:rFonts w:eastAsia="Times New Roman"/>
            <w:color w:val="0000FF"/>
            <w:u w:val="single"/>
            <w:lang w:eastAsia="en-GB"/>
          </w:rPr>
          <w:t>https://do</w:t>
        </w:r>
        <w:r w:rsidRPr="000C4EF7">
          <w:rPr>
            <w:rFonts w:eastAsia="Times New Roman"/>
            <w:color w:val="0000FF"/>
            <w:u w:val="single"/>
            <w:lang w:eastAsia="en-GB"/>
          </w:rPr>
          <w:t>i.org/10.1016/j.imbio.2016.11.014</w:t>
        </w:r>
      </w:hyperlink>
      <w:r w:rsidRPr="000C4EF7">
        <w:rPr>
          <w:rFonts w:eastAsia="Times New Roman"/>
          <w:lang w:eastAsia="en-GB"/>
        </w:rPr>
        <w:t>.</w:t>
      </w:r>
    </w:p>
    <w:p w14:paraId="3A70407F" w14:textId="77777777" w:rsidR="000C4EF7" w:rsidRPr="00D40D5C" w:rsidRDefault="000C4EF7" w:rsidP="00B23FF8">
      <w:pPr>
        <w:snapToGrid w:val="0"/>
        <w:spacing w:afterLines="60" w:after="144" w:line="240" w:lineRule="auto"/>
        <w:ind w:hanging="480"/>
        <w:rPr>
          <w:rFonts w:eastAsia="Times New Roman"/>
          <w:lang w:eastAsia="en-GB"/>
        </w:rPr>
      </w:pPr>
      <w:r w:rsidRPr="000C4EF7">
        <w:rPr>
          <w:rFonts w:eastAsia="Times New Roman"/>
          <w:lang w:eastAsia="en-GB"/>
        </w:rPr>
        <w:t xml:space="preserve">Zemanová, Eva, Milan Jirků, Isabel L. Mauricio, Aleš Horák, Michael A. Miles, and Julius Lukeš. 2007. ‘The Leishmania Donovani Complex: Genotypes of Five Metabolic Enzymes (ICD, ME, MPI, G6PDH, and FH), New Targets for Multilocus Sequence Typing’. </w:t>
      </w:r>
      <w:r w:rsidRPr="000C4EF7">
        <w:rPr>
          <w:rFonts w:eastAsia="Times New Roman"/>
          <w:i/>
          <w:iCs/>
          <w:lang w:eastAsia="en-GB"/>
        </w:rPr>
        <w:lastRenderedPageBreak/>
        <w:t>International Journal for Parasitology</w:t>
      </w:r>
      <w:r w:rsidRPr="000C4EF7">
        <w:rPr>
          <w:rFonts w:eastAsia="Times New Roman"/>
          <w:lang w:eastAsia="en-GB"/>
        </w:rPr>
        <w:t xml:space="preserve"> 37 (2): 149–60. </w:t>
      </w:r>
      <w:hyperlink r:id="rId306" w:history="1">
        <w:r w:rsidRPr="00D40D5C">
          <w:rPr>
            <w:rFonts w:eastAsia="Times New Roman"/>
            <w:color w:val="0000FF"/>
            <w:u w:val="single"/>
            <w:lang w:eastAsia="en-GB"/>
          </w:rPr>
          <w:t>https://doi.org/10.1016/j.ijpara.2006.08.008</w:t>
        </w:r>
      </w:hyperlink>
      <w:r w:rsidRPr="000C4EF7">
        <w:rPr>
          <w:rFonts w:eastAsia="Times New Roman"/>
          <w:lang w:eastAsia="en-GB"/>
        </w:rPr>
        <w:t>.</w:t>
      </w:r>
    </w:p>
    <w:p w14:paraId="7F67220C" w14:textId="77777777" w:rsidR="000C4EF7" w:rsidRPr="00D40D5C" w:rsidRDefault="000C4EF7" w:rsidP="00B23FF8">
      <w:pPr>
        <w:snapToGrid w:val="0"/>
        <w:spacing w:afterLines="60" w:after="144" w:line="240" w:lineRule="auto"/>
        <w:ind w:hanging="480"/>
        <w:rPr>
          <w:rFonts w:eastAsia="Times New Roman"/>
          <w:lang w:eastAsia="en-GB"/>
        </w:rPr>
      </w:pPr>
      <w:r w:rsidRPr="000C4EF7">
        <w:rPr>
          <w:rFonts w:eastAsia="Times New Roman"/>
          <w:lang w:eastAsia="en-GB"/>
        </w:rPr>
        <w:t xml:space="preserve">Zhang, Wen-Wei, Susana Mendez, Anirban Ghosh, Peter Myler, Al Ivens, Joachim Clos, David L. Sacks, and Greg Matlashewski. 2003. ‘Comparison of the A2 Gene Locus in Leishmania Donovani and Leishmania Major and Its Control over Cutaneous Infection’. </w:t>
      </w:r>
      <w:r w:rsidRPr="000C4EF7">
        <w:rPr>
          <w:rFonts w:eastAsia="Times New Roman"/>
          <w:i/>
          <w:iCs/>
          <w:lang w:eastAsia="en-GB"/>
        </w:rPr>
        <w:t>The Journal of Biological Chemistry</w:t>
      </w:r>
      <w:r w:rsidRPr="000C4EF7">
        <w:rPr>
          <w:rFonts w:eastAsia="Times New Roman"/>
          <w:lang w:eastAsia="en-GB"/>
        </w:rPr>
        <w:t xml:space="preserve"> 278 (37): 35508–15. </w:t>
      </w:r>
      <w:hyperlink r:id="rId307" w:history="1">
        <w:r w:rsidRPr="00D40D5C">
          <w:rPr>
            <w:rFonts w:eastAsia="Times New Roman"/>
            <w:color w:val="0000FF"/>
            <w:u w:val="single"/>
            <w:lang w:eastAsia="en-GB"/>
          </w:rPr>
          <w:t>https://doi.org/10.1074/jbc.M305030200</w:t>
        </w:r>
      </w:hyperlink>
      <w:r w:rsidRPr="000C4EF7">
        <w:rPr>
          <w:rFonts w:eastAsia="Times New Roman"/>
          <w:lang w:eastAsia="en-GB"/>
        </w:rPr>
        <w:t>.</w:t>
      </w:r>
    </w:p>
    <w:p w14:paraId="3292255D" w14:textId="77777777" w:rsidR="000C4EF7" w:rsidRPr="00D40D5C" w:rsidRDefault="000C4EF7" w:rsidP="00B23FF8">
      <w:pPr>
        <w:snapToGrid w:val="0"/>
        <w:spacing w:afterLines="60" w:after="144" w:line="240" w:lineRule="auto"/>
        <w:ind w:hanging="480"/>
        <w:rPr>
          <w:rFonts w:eastAsia="Times New Roman"/>
          <w:lang w:eastAsia="en-GB"/>
        </w:rPr>
      </w:pPr>
      <w:r w:rsidRPr="000C4EF7">
        <w:rPr>
          <w:rFonts w:eastAsia="Times New Roman"/>
          <w:lang w:eastAsia="en-GB"/>
        </w:rPr>
        <w:t xml:space="preserve">Zhou, Zhou, Ming-Jiang Xu, and Bin Gao. 2016. ‘Hepatocytes: A Key Cell Type for Innate Immunity’. </w:t>
      </w:r>
      <w:r w:rsidRPr="000C4EF7">
        <w:rPr>
          <w:rFonts w:eastAsia="Times New Roman"/>
          <w:i/>
          <w:iCs/>
          <w:lang w:eastAsia="en-GB"/>
        </w:rPr>
        <w:t>Cellular &amp; Molecular Immunology</w:t>
      </w:r>
      <w:r w:rsidRPr="000C4EF7">
        <w:rPr>
          <w:rFonts w:eastAsia="Times New Roman"/>
          <w:lang w:eastAsia="en-GB"/>
        </w:rPr>
        <w:t xml:space="preserve"> 13 (3): 301–15. </w:t>
      </w:r>
      <w:hyperlink r:id="rId308" w:history="1">
        <w:r w:rsidRPr="00D40D5C">
          <w:rPr>
            <w:rFonts w:eastAsia="Times New Roman"/>
            <w:color w:val="0000FF"/>
            <w:u w:val="single"/>
            <w:lang w:eastAsia="en-GB"/>
          </w:rPr>
          <w:t>https://doi.org/10.1038/cmi.2015.97</w:t>
        </w:r>
      </w:hyperlink>
      <w:r w:rsidRPr="000C4EF7">
        <w:rPr>
          <w:rFonts w:eastAsia="Times New Roman"/>
          <w:lang w:eastAsia="en-GB"/>
        </w:rPr>
        <w:t>.</w:t>
      </w:r>
    </w:p>
    <w:p w14:paraId="2BB03621" w14:textId="77777777" w:rsidR="000C4EF7" w:rsidRPr="00D40D5C" w:rsidRDefault="000C4EF7" w:rsidP="00B23FF8">
      <w:pPr>
        <w:snapToGrid w:val="0"/>
        <w:spacing w:afterLines="60" w:after="144" w:line="240" w:lineRule="auto"/>
        <w:ind w:hanging="480"/>
        <w:rPr>
          <w:rFonts w:eastAsia="Times New Roman"/>
          <w:lang w:eastAsia="en-GB"/>
        </w:rPr>
      </w:pPr>
      <w:r w:rsidRPr="000C4EF7">
        <w:rPr>
          <w:rFonts w:eastAsia="Times New Roman"/>
          <w:lang w:eastAsia="en-GB"/>
        </w:rPr>
        <w:t xml:space="preserve">Zhu, Ao, Jianhua Guo, Bing-Jie Ni, Shuying Wang, Qing Yang, and Yongzhen Peng. 2015. ‘A Novel Protocol for Model Calibration in Biological Wastewater Treatment’. </w:t>
      </w:r>
      <w:r w:rsidRPr="000C4EF7">
        <w:rPr>
          <w:rFonts w:eastAsia="Times New Roman"/>
          <w:i/>
          <w:iCs/>
          <w:lang w:eastAsia="en-GB"/>
        </w:rPr>
        <w:t>Scientific Reports</w:t>
      </w:r>
      <w:r w:rsidRPr="000C4EF7">
        <w:rPr>
          <w:rFonts w:eastAsia="Times New Roman"/>
          <w:lang w:eastAsia="en-GB"/>
        </w:rPr>
        <w:t xml:space="preserve"> 5 (February): 8493. </w:t>
      </w:r>
      <w:hyperlink r:id="rId309" w:history="1">
        <w:r w:rsidRPr="00D40D5C">
          <w:rPr>
            <w:rFonts w:eastAsia="Times New Roman"/>
            <w:color w:val="0000FF"/>
            <w:u w:val="single"/>
            <w:lang w:eastAsia="en-GB"/>
          </w:rPr>
          <w:t>https://doi.org/10.1038/srep08493</w:t>
        </w:r>
      </w:hyperlink>
      <w:r w:rsidRPr="000C4EF7">
        <w:rPr>
          <w:rFonts w:eastAsia="Times New Roman"/>
          <w:lang w:eastAsia="en-GB"/>
        </w:rPr>
        <w:t>.</w:t>
      </w:r>
    </w:p>
    <w:p w14:paraId="2219658F" w14:textId="77777777" w:rsidR="000C4EF7" w:rsidRPr="00D40D5C" w:rsidRDefault="000C4EF7" w:rsidP="00B23FF8">
      <w:pPr>
        <w:snapToGrid w:val="0"/>
        <w:spacing w:afterLines="60" w:after="144" w:line="240" w:lineRule="auto"/>
        <w:ind w:hanging="480"/>
        <w:rPr>
          <w:rFonts w:eastAsia="Times New Roman"/>
          <w:lang w:eastAsia="en-GB"/>
        </w:rPr>
      </w:pPr>
      <w:r w:rsidRPr="000C4EF7">
        <w:rPr>
          <w:rFonts w:eastAsia="Times New Roman"/>
          <w:lang w:eastAsia="en-GB"/>
        </w:rPr>
        <w:t xml:space="preserve">Zijlstra, Eduard E. 2016. ‘The Immunology of Post-Kala-Azar Dermal Leishmaniasis (PKDL)’. </w:t>
      </w:r>
      <w:r w:rsidRPr="000C4EF7">
        <w:rPr>
          <w:rFonts w:eastAsia="Times New Roman"/>
          <w:i/>
          <w:iCs/>
          <w:lang w:eastAsia="en-GB"/>
        </w:rPr>
        <w:t>Parasites &amp; Vectors</w:t>
      </w:r>
      <w:r w:rsidRPr="000C4EF7">
        <w:rPr>
          <w:rFonts w:eastAsia="Times New Roman"/>
          <w:lang w:eastAsia="en-GB"/>
        </w:rPr>
        <w:t xml:space="preserve"> 9 (1): 464. </w:t>
      </w:r>
      <w:hyperlink r:id="rId310" w:history="1">
        <w:r w:rsidRPr="00D40D5C">
          <w:rPr>
            <w:rFonts w:eastAsia="Times New Roman"/>
            <w:color w:val="0000FF"/>
            <w:u w:val="single"/>
            <w:lang w:eastAsia="en-GB"/>
          </w:rPr>
          <w:t>https://doi.org/10.1186/s13071-016-1721-0</w:t>
        </w:r>
      </w:hyperlink>
      <w:r w:rsidRPr="000C4EF7">
        <w:rPr>
          <w:rFonts w:eastAsia="Times New Roman"/>
          <w:lang w:eastAsia="en-GB"/>
        </w:rPr>
        <w:t>.</w:t>
      </w:r>
    </w:p>
    <w:p w14:paraId="4359E30F" w14:textId="77777777" w:rsidR="000C4EF7" w:rsidRPr="00D40D5C" w:rsidRDefault="000C4EF7" w:rsidP="00B23FF8">
      <w:pPr>
        <w:snapToGrid w:val="0"/>
        <w:spacing w:afterLines="60" w:after="144" w:line="240" w:lineRule="auto"/>
        <w:ind w:hanging="480"/>
        <w:rPr>
          <w:rFonts w:eastAsia="Times New Roman"/>
          <w:lang w:eastAsia="en-GB"/>
        </w:rPr>
      </w:pPr>
      <w:r w:rsidRPr="000C4EF7">
        <w:rPr>
          <w:rFonts w:eastAsia="Times New Roman"/>
          <w:lang w:eastAsia="en-GB"/>
        </w:rPr>
        <w:t xml:space="preserve">Zijlstra, EE, AM Musa, EAG Khalil, IM El Hassan, and AM El-Hassan. 2003. ‘Post-Kala-Azar Dermal Leishmaniasis’. </w:t>
      </w:r>
      <w:r w:rsidRPr="000C4EF7">
        <w:rPr>
          <w:rFonts w:eastAsia="Times New Roman"/>
          <w:i/>
          <w:iCs/>
          <w:lang w:eastAsia="en-GB"/>
        </w:rPr>
        <w:t>The Lancet Infectious Diseases</w:t>
      </w:r>
      <w:r w:rsidRPr="000C4EF7">
        <w:rPr>
          <w:rFonts w:eastAsia="Times New Roman"/>
          <w:lang w:eastAsia="en-GB"/>
        </w:rPr>
        <w:t xml:space="preserve"> 3 (2): 87–98. </w:t>
      </w:r>
      <w:hyperlink r:id="rId311" w:history="1">
        <w:r w:rsidRPr="00D40D5C">
          <w:rPr>
            <w:rFonts w:eastAsia="Times New Roman"/>
            <w:color w:val="0000FF"/>
            <w:u w:val="single"/>
            <w:lang w:eastAsia="en-GB"/>
          </w:rPr>
          <w:t>https://doi.org/10.1016/S1473-3099(03)00517-6</w:t>
        </w:r>
      </w:hyperlink>
      <w:r w:rsidRPr="000C4EF7">
        <w:rPr>
          <w:rFonts w:eastAsia="Times New Roman"/>
          <w:lang w:eastAsia="en-GB"/>
        </w:rPr>
        <w:t>.</w:t>
      </w:r>
    </w:p>
    <w:p w14:paraId="6A68948F" w14:textId="77777777" w:rsidR="000C4EF7" w:rsidRPr="000C4EF7" w:rsidRDefault="000C4EF7" w:rsidP="00B23FF8">
      <w:pPr>
        <w:snapToGrid w:val="0"/>
        <w:spacing w:afterLines="60" w:after="144" w:line="240" w:lineRule="auto"/>
        <w:ind w:hanging="480"/>
        <w:rPr>
          <w:rFonts w:eastAsia="Times New Roman"/>
          <w:lang w:eastAsia="en-GB"/>
        </w:rPr>
      </w:pPr>
      <w:r w:rsidRPr="000C4EF7">
        <w:rPr>
          <w:rFonts w:eastAsia="Times New Roman"/>
          <w:lang w:eastAsia="en-GB"/>
        </w:rPr>
        <w:t xml:space="preserve">Zúñiga-Pflücker, Juan Carlos. 2004. ‘T-Cell Development Made Simple’. </w:t>
      </w:r>
      <w:r w:rsidRPr="000C4EF7">
        <w:rPr>
          <w:rFonts w:eastAsia="Times New Roman"/>
          <w:i/>
          <w:iCs/>
          <w:lang w:eastAsia="en-GB"/>
        </w:rPr>
        <w:t>Nature Reviews Immunology</w:t>
      </w:r>
      <w:r w:rsidRPr="000C4EF7">
        <w:rPr>
          <w:rFonts w:eastAsia="Times New Roman"/>
          <w:lang w:eastAsia="en-GB"/>
        </w:rPr>
        <w:t xml:space="preserve"> 4 (January): 67.</w:t>
      </w:r>
    </w:p>
    <w:p w14:paraId="4918112F" w14:textId="77777777" w:rsidR="000C4EF7" w:rsidRPr="000C4EF7" w:rsidRDefault="000C4EF7" w:rsidP="00B23FF8">
      <w:pPr>
        <w:snapToGrid w:val="0"/>
        <w:spacing w:afterLines="60" w:after="144" w:line="240" w:lineRule="auto"/>
      </w:pPr>
    </w:p>
    <w:p w14:paraId="7A712978" w14:textId="7B9FB35A" w:rsidR="0098602E" w:rsidRPr="000C4EF7" w:rsidRDefault="0098602E" w:rsidP="00B23FF8">
      <w:pPr>
        <w:snapToGrid w:val="0"/>
        <w:spacing w:afterLines="60" w:after="144" w:line="240" w:lineRule="auto"/>
      </w:pPr>
    </w:p>
    <w:sectPr w:rsidR="0098602E" w:rsidRPr="000C4EF7" w:rsidSect="00CB207C">
      <w:pgSz w:w="11900" w:h="16840"/>
      <w:pgMar w:top="1134" w:right="851" w:bottom="1134" w:left="226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3BB8A39D" w14:textId="77777777" w:rsidR="0087125F" w:rsidRDefault="0087125F" w:rsidP="00E96C8F">
      <w:pPr>
        <w:spacing w:line="240" w:lineRule="auto"/>
      </w:pPr>
      <w:r>
        <w:separator/>
      </w:r>
    </w:p>
  </w:endnote>
  <w:endnote w:type="continuationSeparator" w:id="0">
    <w:p w14:paraId="2BACE3D0" w14:textId="77777777" w:rsidR="0087125F" w:rsidRDefault="0087125F" w:rsidP="00E96C8F">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20002A87" w:usb1="80000000" w:usb2="00000008"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A00002EF" w:usb1="4000207B" w:usb2="00000000" w:usb3="00000000" w:csb0="0000009F" w:csb1="00000000"/>
  </w:font>
  <w:font w:name="MS Gothic">
    <w:altName w:val="ＭＳ ゴシック"/>
    <w:panose1 w:val="020B0609070205080204"/>
    <w:charset w:val="80"/>
    <w:family w:val="modern"/>
    <w:pitch w:val="fixed"/>
    <w:sig w:usb0="E00002FF" w:usb1="6AC7FDFB" w:usb2="08000012" w:usb3="00000000" w:csb0="0002009F" w:csb1="00000000"/>
  </w:font>
  <w:font w:name="Calibri Light">
    <w:panose1 w:val="020F0302020204030204"/>
    <w:charset w:val="00"/>
    <w:family w:val="swiss"/>
    <w:pitch w:val="variable"/>
    <w:sig w:usb0="E0002AFF" w:usb1="C0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BlairMdITC TT">
    <w:altName w:val="Calibri"/>
    <w:panose1 w:val="020B0604020202020204"/>
    <w:charset w:val="00"/>
    <w:family w:val="auto"/>
    <w:pitch w:val="variable"/>
    <w:sig w:usb0="00000003" w:usb1="00000000" w:usb2="00000000" w:usb3="00000000" w:csb0="00000001" w:csb1="00000000"/>
  </w:font>
  <w:font w:name="Cambria Math">
    <w:panose1 w:val="02040503050406030204"/>
    <w:charset w:val="00"/>
    <w:family w:val="roman"/>
    <w:pitch w:val="variable"/>
    <w:sig w:usb0="E00002FF" w:usb1="420024FF" w:usb2="00000000" w:usb3="00000000" w:csb0="0000019F" w:csb1="00000000"/>
  </w:font>
  <w:font w:name="Helvetica">
    <w:panose1 w:val="00000000000000000000"/>
    <w:charset w:val="00"/>
    <w:family w:val="auto"/>
    <w:pitch w:val="variable"/>
    <w:sig w:usb0="E00002FF" w:usb1="5000785B" w:usb2="00000000" w:usb3="00000000" w:csb0="0000019F" w:csb1="00000000"/>
  </w:font>
  <w:font w:name="inherit">
    <w:altName w:val="Cambria"/>
    <w:panose1 w:val="020B0604020202020204"/>
    <w:charset w:val="00"/>
    <w:family w:val="roman"/>
    <w:notTrueType/>
    <w:pitch w:val="default"/>
  </w:font>
  <w:font w:name="Heiti TC Light">
    <w:panose1 w:val="02000000000000000000"/>
    <w:charset w:val="80"/>
    <w:family w:val="auto"/>
    <w:pitch w:val="variable"/>
    <w:sig w:usb0="8000002F" w:usb1="0807004A" w:usb2="00000010" w:usb3="00000000" w:csb0="003E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572207533"/>
      <w:docPartObj>
        <w:docPartGallery w:val="Page Numbers (Bottom of Page)"/>
        <w:docPartUnique/>
      </w:docPartObj>
    </w:sdtPr>
    <w:sdtContent>
      <w:p w14:paraId="0AFBA78E" w14:textId="05569C4E" w:rsidR="00F61130" w:rsidRDefault="00F61130" w:rsidP="00F61130">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0DD12BBA" w14:textId="77777777" w:rsidR="00F61130" w:rsidRDefault="00F61130" w:rsidP="008138EF">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239798317"/>
      <w:docPartObj>
        <w:docPartGallery w:val="Page Numbers (Bottom of Page)"/>
        <w:docPartUnique/>
      </w:docPartObj>
    </w:sdtPr>
    <w:sdtContent>
      <w:p w14:paraId="0BA1DFF4" w14:textId="7A47B170" w:rsidR="00F61130" w:rsidRDefault="00F61130" w:rsidP="00F61130">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w:t>
        </w:r>
        <w:r>
          <w:rPr>
            <w:rStyle w:val="PageNumber"/>
          </w:rPr>
          <w:fldChar w:fldCharType="end"/>
        </w:r>
      </w:p>
    </w:sdtContent>
  </w:sdt>
  <w:p w14:paraId="5B977103" w14:textId="77CD3FB0" w:rsidR="00F61130" w:rsidRDefault="00F61130" w:rsidP="00E743CA">
    <w:pPr>
      <w:pStyle w:val="Footer"/>
      <w:ind w:right="360"/>
      <w:jc w:val="right"/>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1516104424"/>
      <w:docPartObj>
        <w:docPartGallery w:val="Page Numbers (Bottom of Page)"/>
        <w:docPartUnique/>
      </w:docPartObj>
    </w:sdtPr>
    <w:sdtContent>
      <w:p w14:paraId="5A85028C" w14:textId="40E79244" w:rsidR="00F61130" w:rsidRDefault="00F61130" w:rsidP="00F61130">
        <w:pPr>
          <w:pStyle w:val="Footer"/>
          <w:framePr w:wrap="none" w:vAnchor="text" w:hAnchor="margin" w:xAlign="right" w:y="1"/>
          <w:jc w:val="right"/>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w:t>
        </w:r>
        <w:r>
          <w:rPr>
            <w:rStyle w:val="PageNumber"/>
          </w:rPr>
          <w:fldChar w:fldCharType="end"/>
        </w:r>
      </w:p>
    </w:sdtContent>
  </w:sdt>
  <w:p w14:paraId="39A6BA70" w14:textId="792E59ED" w:rsidR="00F61130" w:rsidRDefault="00F61130" w:rsidP="00F61130">
    <w:pPr>
      <w:pStyle w:val="Footer"/>
      <w:framePr w:wrap="none" w:vAnchor="text" w:hAnchor="margin" w:xAlign="right" w:y="1"/>
      <w:ind w:right="360"/>
      <w:rPr>
        <w:rStyle w:val="PageNumber"/>
      </w:rPr>
    </w:pPr>
  </w:p>
  <w:p w14:paraId="471A341E" w14:textId="0C53FF5D" w:rsidR="00F61130" w:rsidRDefault="00F61130" w:rsidP="00E743CA">
    <w:pPr>
      <w:pStyle w:val="Footer"/>
      <w:ind w:right="360"/>
      <w:jc w:val="righ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C1A1953" w14:textId="77777777" w:rsidR="0087125F" w:rsidRDefault="0087125F" w:rsidP="00E96C8F">
      <w:pPr>
        <w:spacing w:line="240" w:lineRule="auto"/>
      </w:pPr>
      <w:r>
        <w:separator/>
      </w:r>
    </w:p>
  </w:footnote>
  <w:footnote w:type="continuationSeparator" w:id="0">
    <w:p w14:paraId="1AB0470F" w14:textId="77777777" w:rsidR="0087125F" w:rsidRDefault="0087125F" w:rsidP="00E96C8F">
      <w:pPr>
        <w:spacing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2CA2755"/>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 w15:restartNumberingAfterBreak="0">
    <w:nsid w:val="041A18B7"/>
    <w:multiLevelType w:val="multilevel"/>
    <w:tmpl w:val="0088B306"/>
    <w:lvl w:ilvl="0">
      <w:start w:val="3"/>
      <w:numFmt w:val="decimal"/>
      <w:lvlText w:val="Chapter %1."/>
      <w:lvlJc w:val="left"/>
      <w:pPr>
        <w:ind w:left="360" w:hanging="360"/>
      </w:pPr>
      <w:rPr>
        <w:rFonts w:hint="default"/>
        <w:b/>
      </w:rPr>
    </w:lvl>
    <w:lvl w:ilvl="1">
      <w:start w:val="1"/>
      <w:numFmt w:val="decimal"/>
      <w:lvlText w:val="%1.%2"/>
      <w:lvlJc w:val="left"/>
      <w:pPr>
        <w:ind w:left="576" w:hanging="576"/>
      </w:pPr>
      <w:rPr>
        <w:rFonts w:hint="default"/>
        <w:b/>
        <w:i w:val="0"/>
        <w:sz w:val="24"/>
        <w:szCs w:val="24"/>
      </w:rPr>
    </w:lvl>
    <w:lvl w:ilvl="2">
      <w:start w:val="1"/>
      <w:numFmt w:val="decimal"/>
      <w:lvlText w:val="%1.%2.%3"/>
      <w:lvlJc w:val="left"/>
      <w:pPr>
        <w:ind w:left="720" w:hanging="720"/>
      </w:pPr>
      <w:rPr>
        <w:rFonts w:hint="default"/>
        <w:b/>
      </w:rPr>
    </w:lvl>
    <w:lvl w:ilvl="3">
      <w:start w:val="1"/>
      <w:numFmt w:val="decimal"/>
      <w:lvlText w:val="%1.%2.%3.%4"/>
      <w:lvlJc w:val="left"/>
      <w:pPr>
        <w:ind w:left="864" w:hanging="864"/>
      </w:pPr>
      <w:rPr>
        <w:rFonts w:hint="default"/>
        <w:b/>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2" w15:restartNumberingAfterBreak="0">
    <w:nsid w:val="0BB00040"/>
    <w:multiLevelType w:val="multilevel"/>
    <w:tmpl w:val="558C2BFA"/>
    <w:lvl w:ilvl="0">
      <w:start w:val="1"/>
      <w:numFmt w:val="decimal"/>
      <w:suff w:val="space"/>
      <w:lvlText w:val="Chapter %1"/>
      <w:lvlJc w:val="left"/>
      <w:pPr>
        <w:ind w:left="0" w:firstLine="0"/>
      </w:pPr>
      <w:rPr>
        <w:rFonts w:hint="default"/>
      </w:rPr>
    </w:lvl>
    <w:lvl w:ilvl="1">
      <w:start w:val="1"/>
      <w:numFmt w:val="decimal"/>
      <w:suff w:val="nothing"/>
      <w:lvlText w:val="%2.%1"/>
      <w:lvlJc w:val="left"/>
      <w:pPr>
        <w:ind w:left="0" w:firstLine="0"/>
      </w:pPr>
      <w:rPr>
        <w:rFonts w:hint="default"/>
      </w:rPr>
    </w:lvl>
    <w:lvl w:ilvl="2">
      <w:start w:val="1"/>
      <w:numFmt w:val="none"/>
      <w:suff w:val="nothing"/>
      <w:lvlText w:val=""/>
      <w:lvlJc w:val="left"/>
      <w:pPr>
        <w:ind w:left="0" w:firstLine="0"/>
      </w:pPr>
      <w:rPr>
        <w:rFonts w:hint="default"/>
      </w:rPr>
    </w:lvl>
    <w:lvl w:ilvl="3">
      <w:start w:val="1"/>
      <w:numFmt w:val="none"/>
      <w:suff w:val="nothing"/>
      <w:lvlText w:val=""/>
      <w:lvlJc w:val="left"/>
      <w:pPr>
        <w:ind w:left="0" w:firstLine="0"/>
      </w:pPr>
      <w:rPr>
        <w:rFonts w:hint="default"/>
      </w:rPr>
    </w:lvl>
    <w:lvl w:ilvl="4">
      <w:start w:val="1"/>
      <w:numFmt w:val="none"/>
      <w:suff w:val="nothing"/>
      <w:lvlText w:val=""/>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3" w15:restartNumberingAfterBreak="0">
    <w:nsid w:val="11A8040E"/>
    <w:multiLevelType w:val="multilevel"/>
    <w:tmpl w:val="66A06D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128651BD"/>
    <w:multiLevelType w:val="multilevel"/>
    <w:tmpl w:val="2B222D42"/>
    <w:lvl w:ilvl="0">
      <w:start w:val="1"/>
      <w:numFmt w:val="decimal"/>
      <w:lvlText w:val="Chapter %1."/>
      <w:lvlJc w:val="left"/>
      <w:pPr>
        <w:ind w:left="360" w:hanging="360"/>
      </w:pPr>
      <w:rPr>
        <w:rFonts w:hint="default"/>
        <w:b/>
      </w:rPr>
    </w:lvl>
    <w:lvl w:ilvl="1">
      <w:start w:val="1"/>
      <w:numFmt w:val="decimal"/>
      <w:lvlText w:val="%1.%2"/>
      <w:lvlJc w:val="left"/>
      <w:pPr>
        <w:ind w:left="576" w:hanging="576"/>
      </w:pPr>
      <w:rPr>
        <w:b/>
        <w:i w:val="0"/>
        <w:sz w:val="24"/>
        <w:szCs w:val="24"/>
      </w:rPr>
    </w:lvl>
    <w:lvl w:ilvl="2">
      <w:start w:val="1"/>
      <w:numFmt w:val="decimal"/>
      <w:lvlText w:val="%1.%2.%3"/>
      <w:lvlJc w:val="left"/>
      <w:pPr>
        <w:ind w:left="720" w:hanging="720"/>
      </w:pPr>
      <w:rPr>
        <w:b/>
      </w:rPr>
    </w:lvl>
    <w:lvl w:ilvl="3">
      <w:start w:val="1"/>
      <w:numFmt w:val="decimal"/>
      <w:lvlText w:val="%1.%2.%3.%4"/>
      <w:lvlJc w:val="left"/>
      <w:pPr>
        <w:ind w:left="864" w:hanging="864"/>
      </w:pPr>
      <w:rPr>
        <w:b/>
      </w:r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5" w15:restartNumberingAfterBreak="0">
    <w:nsid w:val="1A625EBB"/>
    <w:multiLevelType w:val="multilevel"/>
    <w:tmpl w:val="18DC3500"/>
    <w:lvl w:ilvl="0">
      <w:start w:val="1"/>
      <w:numFmt w:val="decimal"/>
      <w:suff w:val="space"/>
      <w:lvlText w:val="Chapter %1"/>
      <w:lvlJc w:val="left"/>
      <w:pPr>
        <w:ind w:left="0" w:firstLine="0"/>
      </w:pPr>
      <w:rPr>
        <w:rFonts w:hint="default"/>
      </w:rPr>
    </w:lvl>
    <w:lvl w:ilvl="1">
      <w:start w:val="1"/>
      <w:numFmt w:val="decimal"/>
      <w:suff w:val="space"/>
      <w:lvlText w:val="%1.%2"/>
      <w:lvlJc w:val="left"/>
      <w:pPr>
        <w:ind w:left="0" w:firstLine="0"/>
      </w:pPr>
      <w:rPr>
        <w:rFonts w:ascii="Times New Roman" w:hAnsi="Times New Roman" w:hint="default"/>
        <w:b/>
        <w:bCs w:val="0"/>
        <w:i w:val="0"/>
        <w:iCs w:val="0"/>
        <w:caps w:val="0"/>
        <w:smallCaps w:val="0"/>
        <w:strike w:val="0"/>
        <w:dstrike w:val="0"/>
        <w:outline w:val="0"/>
        <w:shadow w:val="0"/>
        <w:emboss w:val="0"/>
        <w:imprint w:val="0"/>
        <w:noProof w:val="0"/>
        <w:vanish w:val="0"/>
        <w:color w:val="000000" w:themeColor="text1"/>
        <w:spacing w:val="0"/>
        <w:kern w:val="0"/>
        <w:position w:val="0"/>
        <w:sz w:val="24"/>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suff w:val="space"/>
      <w:lvlText w:val="%1.%2.%3"/>
      <w:lvlJc w:val="left"/>
      <w:pPr>
        <w:ind w:left="0" w:firstLine="0"/>
      </w:pPr>
      <w:rPr>
        <w:rFonts w:ascii="Times New Roman" w:hAnsi="Times New Roman" w:hint="default"/>
        <w:b/>
        <w:i w:val="0"/>
        <w:sz w:val="24"/>
      </w:rPr>
    </w:lvl>
    <w:lvl w:ilvl="3">
      <w:start w:val="1"/>
      <w:numFmt w:val="decimal"/>
      <w:suff w:val="nothing"/>
      <w:lvlText w:val="%1.%2.%3.%4"/>
      <w:lvlJc w:val="left"/>
      <w:pPr>
        <w:ind w:left="0" w:firstLine="0"/>
      </w:pPr>
      <w:rPr>
        <w:rFonts w:hint="default"/>
      </w:rPr>
    </w:lvl>
    <w:lvl w:ilvl="4">
      <w:start w:val="1"/>
      <w:numFmt w:val="none"/>
      <w:suff w:val="nothing"/>
      <w:lvlText w:val=""/>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6" w15:restartNumberingAfterBreak="0">
    <w:nsid w:val="1D632036"/>
    <w:multiLevelType w:val="multilevel"/>
    <w:tmpl w:val="FC68CA78"/>
    <w:lvl w:ilvl="0">
      <w:start w:val="4"/>
      <w:numFmt w:val="decimal"/>
      <w:lvlText w:val="Chapter %1."/>
      <w:lvlJc w:val="left"/>
      <w:pPr>
        <w:ind w:left="360" w:hanging="360"/>
      </w:pPr>
      <w:rPr>
        <w:rFonts w:hint="default"/>
        <w:b/>
      </w:rPr>
    </w:lvl>
    <w:lvl w:ilvl="1">
      <w:start w:val="1"/>
      <w:numFmt w:val="decimal"/>
      <w:lvlText w:val="%1.%2"/>
      <w:lvlJc w:val="left"/>
      <w:pPr>
        <w:ind w:left="576" w:hanging="576"/>
      </w:pPr>
      <w:rPr>
        <w:rFonts w:hint="default"/>
        <w:b/>
        <w:i w:val="0"/>
        <w:sz w:val="24"/>
        <w:szCs w:val="24"/>
      </w:rPr>
    </w:lvl>
    <w:lvl w:ilvl="2">
      <w:start w:val="1"/>
      <w:numFmt w:val="decimal"/>
      <w:lvlText w:val="%1.%2.%3"/>
      <w:lvlJc w:val="left"/>
      <w:pPr>
        <w:ind w:left="720" w:hanging="720"/>
      </w:pPr>
      <w:rPr>
        <w:rFonts w:hint="default"/>
        <w:b/>
      </w:rPr>
    </w:lvl>
    <w:lvl w:ilvl="3">
      <w:start w:val="1"/>
      <w:numFmt w:val="decimal"/>
      <w:lvlText w:val="%1.%2.%3.%4"/>
      <w:lvlJc w:val="left"/>
      <w:pPr>
        <w:ind w:left="864" w:hanging="864"/>
      </w:pPr>
      <w:rPr>
        <w:rFonts w:hint="default"/>
        <w:b/>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7" w15:restartNumberingAfterBreak="0">
    <w:nsid w:val="244F3238"/>
    <w:multiLevelType w:val="multilevel"/>
    <w:tmpl w:val="06D6965C"/>
    <w:lvl w:ilvl="0">
      <w:start w:val="1"/>
      <w:numFmt w:val="decimal"/>
      <w:suff w:val="space"/>
      <w:lvlText w:val="Chapter %1"/>
      <w:lvlJc w:val="left"/>
      <w:pPr>
        <w:ind w:left="0" w:firstLine="0"/>
      </w:pPr>
      <w:rPr>
        <w:rFonts w:hint="default"/>
      </w:rPr>
    </w:lvl>
    <w:lvl w:ilvl="1">
      <w:start w:val="1"/>
      <w:numFmt w:val="decimal"/>
      <w:suff w:val="nothing"/>
      <w:lvlText w:val="%2.%1 "/>
      <w:lvlJc w:val="left"/>
      <w:pPr>
        <w:ind w:left="0" w:firstLine="0"/>
      </w:pPr>
      <w:rPr>
        <w:rFonts w:ascii="Times New Roman" w:hAnsi="Times New Roman" w:hint="default"/>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none"/>
      <w:suff w:val="nothing"/>
      <w:lvlText w:val=""/>
      <w:lvlJc w:val="left"/>
      <w:pPr>
        <w:ind w:left="0" w:firstLine="0"/>
      </w:pPr>
      <w:rPr>
        <w:rFonts w:hint="default"/>
      </w:rPr>
    </w:lvl>
    <w:lvl w:ilvl="3">
      <w:start w:val="1"/>
      <w:numFmt w:val="none"/>
      <w:suff w:val="nothing"/>
      <w:lvlText w:val=""/>
      <w:lvlJc w:val="left"/>
      <w:pPr>
        <w:ind w:left="0" w:firstLine="0"/>
      </w:pPr>
      <w:rPr>
        <w:rFonts w:hint="default"/>
      </w:rPr>
    </w:lvl>
    <w:lvl w:ilvl="4">
      <w:start w:val="1"/>
      <w:numFmt w:val="none"/>
      <w:suff w:val="nothing"/>
      <w:lvlText w:val=""/>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8" w15:restartNumberingAfterBreak="0">
    <w:nsid w:val="24CF57EB"/>
    <w:multiLevelType w:val="multilevel"/>
    <w:tmpl w:val="6660F844"/>
    <w:lvl w:ilvl="0">
      <w:start w:val="1"/>
      <w:numFmt w:val="decimal"/>
      <w:suff w:val="space"/>
      <w:lvlText w:val="Chapter %1"/>
      <w:lvlJc w:val="left"/>
      <w:pPr>
        <w:ind w:left="0" w:firstLine="0"/>
      </w:pPr>
      <w:rPr>
        <w:rFonts w:hint="default"/>
      </w:rPr>
    </w:lvl>
    <w:lvl w:ilvl="1">
      <w:start w:val="1"/>
      <w:numFmt w:val="decimal"/>
      <w:suff w:val="space"/>
      <w:lvlText w:val="%1.%2"/>
      <w:lvlJc w:val="left"/>
      <w:pPr>
        <w:ind w:left="0" w:firstLine="0"/>
      </w:pPr>
      <w:rPr>
        <w:rFonts w:ascii="Times New Roman" w:hAnsi="Times New Roman" w:hint="default"/>
        <w:b/>
        <w:bCs w:val="0"/>
        <w:i w:val="0"/>
        <w:iCs w:val="0"/>
        <w:caps w:val="0"/>
        <w:smallCaps w:val="0"/>
        <w:strike w:val="0"/>
        <w:dstrike w:val="0"/>
        <w:outline w:val="0"/>
        <w:shadow w:val="0"/>
        <w:emboss w:val="0"/>
        <w:imprint w:val="0"/>
        <w:noProof w:val="0"/>
        <w:vanish w:val="0"/>
        <w:color w:val="000000" w:themeColor="text1"/>
        <w:spacing w:val="0"/>
        <w:kern w:val="0"/>
        <w:position w:val="0"/>
        <w:sz w:val="24"/>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suff w:val="space"/>
      <w:lvlText w:val="%1.%2.%3"/>
      <w:lvlJc w:val="left"/>
      <w:pPr>
        <w:ind w:left="0" w:firstLine="0"/>
      </w:pPr>
      <w:rPr>
        <w:rFonts w:ascii="Times New Roman" w:hAnsi="Times New Roman" w:hint="default"/>
        <w:b/>
        <w:i w:val="0"/>
        <w:sz w:val="24"/>
      </w:rPr>
    </w:lvl>
    <w:lvl w:ilvl="3">
      <w:start w:val="1"/>
      <w:numFmt w:val="decimal"/>
      <w:suff w:val="nothing"/>
      <w:lvlText w:val="%1.%2.%3.%4"/>
      <w:lvlJc w:val="left"/>
      <w:pPr>
        <w:ind w:left="0" w:firstLine="0"/>
      </w:pPr>
      <w:rPr>
        <w:rFonts w:hint="default"/>
      </w:rPr>
    </w:lvl>
    <w:lvl w:ilvl="4">
      <w:start w:val="1"/>
      <w:numFmt w:val="none"/>
      <w:suff w:val="nothing"/>
      <w:lvlText w:val=""/>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9" w15:restartNumberingAfterBreak="0">
    <w:nsid w:val="2A454531"/>
    <w:multiLevelType w:val="multilevel"/>
    <w:tmpl w:val="CB2A8226"/>
    <w:lvl w:ilvl="0">
      <w:start w:val="1"/>
      <w:numFmt w:val="decimal"/>
      <w:suff w:val="space"/>
      <w:lvlText w:val="Chapter %1"/>
      <w:lvlJc w:val="left"/>
      <w:pPr>
        <w:ind w:left="0" w:firstLine="0"/>
      </w:pPr>
      <w:rPr>
        <w:rFonts w:hint="default"/>
      </w:rPr>
    </w:lvl>
    <w:lvl w:ilvl="1">
      <w:start w:val="1"/>
      <w:numFmt w:val="decimal"/>
      <w:suff w:val="nothing"/>
      <w:lvlText w:val="%1.%2 "/>
      <w:lvlJc w:val="left"/>
      <w:pPr>
        <w:ind w:left="0" w:firstLine="0"/>
      </w:pPr>
      <w:rPr>
        <w:rFonts w:ascii="Times New Roman" w:hAnsi="Times New Roman" w:hint="default"/>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none"/>
      <w:suff w:val="nothing"/>
      <w:lvlText w:val=""/>
      <w:lvlJc w:val="left"/>
      <w:pPr>
        <w:ind w:left="0" w:firstLine="0"/>
      </w:pPr>
      <w:rPr>
        <w:rFonts w:hint="default"/>
      </w:rPr>
    </w:lvl>
    <w:lvl w:ilvl="3">
      <w:start w:val="1"/>
      <w:numFmt w:val="none"/>
      <w:suff w:val="nothing"/>
      <w:lvlText w:val=""/>
      <w:lvlJc w:val="left"/>
      <w:pPr>
        <w:ind w:left="0" w:firstLine="0"/>
      </w:pPr>
      <w:rPr>
        <w:rFonts w:hint="default"/>
      </w:rPr>
    </w:lvl>
    <w:lvl w:ilvl="4">
      <w:start w:val="1"/>
      <w:numFmt w:val="none"/>
      <w:suff w:val="nothing"/>
      <w:lvlText w:val=""/>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10" w15:restartNumberingAfterBreak="0">
    <w:nsid w:val="2E31468F"/>
    <w:multiLevelType w:val="multilevel"/>
    <w:tmpl w:val="08090029"/>
    <w:lvl w:ilvl="0">
      <w:start w:val="1"/>
      <w:numFmt w:val="decimal"/>
      <w:suff w:val="space"/>
      <w:lvlText w:val="Chapter %1"/>
      <w:lvlJc w:val="left"/>
      <w:pPr>
        <w:ind w:left="0" w:firstLine="0"/>
      </w:pPr>
    </w:lvl>
    <w:lvl w:ilvl="1">
      <w:start w:val="1"/>
      <w:numFmt w:val="none"/>
      <w:suff w:val="nothing"/>
      <w:lvlText w:val=""/>
      <w:lvlJc w:val="left"/>
      <w:pPr>
        <w:ind w:left="0" w:firstLine="0"/>
      </w:pPr>
    </w:lvl>
    <w:lvl w:ilvl="2">
      <w:start w:val="1"/>
      <w:numFmt w:val="none"/>
      <w:suff w:val="nothing"/>
      <w:lvlText w:val=""/>
      <w:lvlJc w:val="left"/>
      <w:pPr>
        <w:ind w:left="0" w:firstLine="0"/>
      </w:pPr>
    </w:lvl>
    <w:lvl w:ilvl="3">
      <w:start w:val="1"/>
      <w:numFmt w:val="none"/>
      <w:suff w:val="nothing"/>
      <w:lvlText w:val=""/>
      <w:lvlJc w:val="left"/>
      <w:pPr>
        <w:ind w:left="0" w:firstLine="0"/>
      </w:pPr>
    </w:lvl>
    <w:lvl w:ilvl="4">
      <w:start w:val="1"/>
      <w:numFmt w:val="none"/>
      <w:suff w:val="nothing"/>
      <w:lvlText w:val=""/>
      <w:lvlJc w:val="left"/>
      <w:pPr>
        <w:ind w:left="0" w:firstLine="0"/>
      </w:pPr>
    </w:lvl>
    <w:lvl w:ilvl="5">
      <w:start w:val="1"/>
      <w:numFmt w:val="none"/>
      <w:suff w:val="nothing"/>
      <w:lvlText w:val=""/>
      <w:lvlJc w:val="left"/>
      <w:pPr>
        <w:ind w:left="0" w:firstLine="0"/>
      </w:pPr>
    </w:lvl>
    <w:lvl w:ilvl="6">
      <w:start w:val="1"/>
      <w:numFmt w:val="none"/>
      <w:suff w:val="nothing"/>
      <w:lvlText w:val=""/>
      <w:lvlJc w:val="left"/>
      <w:pPr>
        <w:ind w:left="0" w:firstLine="0"/>
      </w:pPr>
    </w:lvl>
    <w:lvl w:ilvl="7">
      <w:start w:val="1"/>
      <w:numFmt w:val="none"/>
      <w:suff w:val="nothing"/>
      <w:lvlText w:val=""/>
      <w:lvlJc w:val="left"/>
      <w:pPr>
        <w:ind w:left="0" w:firstLine="0"/>
      </w:pPr>
    </w:lvl>
    <w:lvl w:ilvl="8">
      <w:start w:val="1"/>
      <w:numFmt w:val="none"/>
      <w:suff w:val="nothing"/>
      <w:lvlText w:val=""/>
      <w:lvlJc w:val="left"/>
      <w:pPr>
        <w:ind w:left="0" w:firstLine="0"/>
      </w:pPr>
    </w:lvl>
  </w:abstractNum>
  <w:abstractNum w:abstractNumId="11" w15:restartNumberingAfterBreak="0">
    <w:nsid w:val="2ED9095D"/>
    <w:multiLevelType w:val="hybridMultilevel"/>
    <w:tmpl w:val="693CAEA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31DE5B3B"/>
    <w:multiLevelType w:val="multilevel"/>
    <w:tmpl w:val="85B04958"/>
    <w:lvl w:ilvl="0">
      <w:start w:val="3"/>
      <w:numFmt w:val="decimal"/>
      <w:lvlText w:val="Chapter %1."/>
      <w:lvlJc w:val="left"/>
      <w:pPr>
        <w:ind w:left="360" w:hanging="360"/>
      </w:pPr>
      <w:rPr>
        <w:rFonts w:hint="default"/>
        <w:b/>
      </w:rPr>
    </w:lvl>
    <w:lvl w:ilvl="1">
      <w:start w:val="1"/>
      <w:numFmt w:val="decimal"/>
      <w:lvlText w:val="%1.%2"/>
      <w:lvlJc w:val="left"/>
      <w:pPr>
        <w:ind w:left="576" w:hanging="576"/>
      </w:pPr>
      <w:rPr>
        <w:rFonts w:hint="default"/>
        <w:b/>
        <w:i w:val="0"/>
        <w:sz w:val="24"/>
        <w:szCs w:val="24"/>
      </w:rPr>
    </w:lvl>
    <w:lvl w:ilvl="2">
      <w:start w:val="1"/>
      <w:numFmt w:val="decimal"/>
      <w:lvlText w:val="%1.%2.%3"/>
      <w:lvlJc w:val="left"/>
      <w:pPr>
        <w:ind w:left="720" w:hanging="720"/>
      </w:pPr>
      <w:rPr>
        <w:rFonts w:hint="default"/>
        <w:b/>
      </w:rPr>
    </w:lvl>
    <w:lvl w:ilvl="3">
      <w:start w:val="1"/>
      <w:numFmt w:val="decimal"/>
      <w:lvlText w:val="%1.%2.%3.%4"/>
      <w:lvlJc w:val="left"/>
      <w:pPr>
        <w:ind w:left="864" w:hanging="864"/>
      </w:pPr>
      <w:rPr>
        <w:rFonts w:hint="default"/>
        <w:b/>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3" w15:restartNumberingAfterBreak="0">
    <w:nsid w:val="31EF626C"/>
    <w:multiLevelType w:val="hybridMultilevel"/>
    <w:tmpl w:val="693CAEA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371265DD"/>
    <w:multiLevelType w:val="hybridMultilevel"/>
    <w:tmpl w:val="693CAEA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3B8C19C9"/>
    <w:multiLevelType w:val="multilevel"/>
    <w:tmpl w:val="96B2AF7E"/>
    <w:lvl w:ilvl="0">
      <w:start w:val="1"/>
      <w:numFmt w:val="decimal"/>
      <w:suff w:val="space"/>
      <w:lvlText w:val="Chapter %1"/>
      <w:lvlJc w:val="left"/>
      <w:pPr>
        <w:ind w:left="0" w:firstLine="0"/>
      </w:pPr>
      <w:rPr>
        <w:rFonts w:hint="default"/>
      </w:rPr>
    </w:lvl>
    <w:lvl w:ilvl="1">
      <w:start w:val="1"/>
      <w:numFmt w:val="decimal"/>
      <w:suff w:val="nothing"/>
      <w:lvlText w:val="%1.%2&#9;"/>
      <w:lvlJc w:val="left"/>
      <w:pPr>
        <w:ind w:left="0" w:firstLine="0"/>
      </w:pPr>
      <w:rPr>
        <w:rFonts w:ascii="Times New Roman" w:hAnsi="Times New Roman" w:hint="default"/>
        <w:b/>
        <w:bCs w:val="0"/>
        <w:i w:val="0"/>
        <w:iCs w:val="0"/>
        <w:caps w:val="0"/>
        <w:smallCaps w:val="0"/>
        <w:strike w:val="0"/>
        <w:dstrike w:val="0"/>
        <w:outline w:val="0"/>
        <w:shadow w:val="0"/>
        <w:emboss w:val="0"/>
        <w:imprint w:val="0"/>
        <w:noProof w:val="0"/>
        <w:vanish w:val="0"/>
        <w:color w:val="000000" w:themeColor="text1"/>
        <w:spacing w:val="0"/>
        <w:kern w:val="0"/>
        <w:position w:val="0"/>
        <w:sz w:val="24"/>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none"/>
      <w:suff w:val="nothing"/>
      <w:lvlText w:val=""/>
      <w:lvlJc w:val="left"/>
      <w:pPr>
        <w:ind w:left="0" w:firstLine="0"/>
      </w:pPr>
      <w:rPr>
        <w:rFonts w:hint="default"/>
      </w:rPr>
    </w:lvl>
    <w:lvl w:ilvl="3">
      <w:start w:val="1"/>
      <w:numFmt w:val="none"/>
      <w:suff w:val="nothing"/>
      <w:lvlText w:val=""/>
      <w:lvlJc w:val="left"/>
      <w:pPr>
        <w:ind w:left="0" w:firstLine="0"/>
      </w:pPr>
      <w:rPr>
        <w:rFonts w:hint="default"/>
      </w:rPr>
    </w:lvl>
    <w:lvl w:ilvl="4">
      <w:start w:val="1"/>
      <w:numFmt w:val="none"/>
      <w:suff w:val="nothing"/>
      <w:lvlText w:val=""/>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16" w15:restartNumberingAfterBreak="0">
    <w:nsid w:val="3F4D2941"/>
    <w:multiLevelType w:val="multilevel"/>
    <w:tmpl w:val="9E627DE6"/>
    <w:lvl w:ilvl="0">
      <w:start w:val="1"/>
      <w:numFmt w:val="decimal"/>
      <w:suff w:val="space"/>
      <w:lvlText w:val="Chapter %1"/>
      <w:lvlJc w:val="left"/>
      <w:pPr>
        <w:ind w:left="0" w:firstLine="0"/>
      </w:pPr>
      <w:rPr>
        <w:rFonts w:hint="default"/>
      </w:rPr>
    </w:lvl>
    <w:lvl w:ilvl="1">
      <w:start w:val="1"/>
      <w:numFmt w:val="decimal"/>
      <w:suff w:val="nothing"/>
      <w:lvlText w:val="%2.%1 "/>
      <w:lvlJc w:val="left"/>
      <w:pPr>
        <w:ind w:left="0" w:firstLine="0"/>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none"/>
      <w:suff w:val="nothing"/>
      <w:lvlText w:val=""/>
      <w:lvlJc w:val="left"/>
      <w:pPr>
        <w:ind w:left="0" w:firstLine="0"/>
      </w:pPr>
      <w:rPr>
        <w:rFonts w:hint="default"/>
      </w:rPr>
    </w:lvl>
    <w:lvl w:ilvl="3">
      <w:start w:val="1"/>
      <w:numFmt w:val="none"/>
      <w:suff w:val="nothing"/>
      <w:lvlText w:val=""/>
      <w:lvlJc w:val="left"/>
      <w:pPr>
        <w:ind w:left="0" w:firstLine="0"/>
      </w:pPr>
      <w:rPr>
        <w:rFonts w:hint="default"/>
      </w:rPr>
    </w:lvl>
    <w:lvl w:ilvl="4">
      <w:start w:val="1"/>
      <w:numFmt w:val="none"/>
      <w:suff w:val="nothing"/>
      <w:lvlText w:val=""/>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17" w15:restartNumberingAfterBreak="0">
    <w:nsid w:val="45CF46BD"/>
    <w:multiLevelType w:val="multilevel"/>
    <w:tmpl w:val="FC74B1A2"/>
    <w:lvl w:ilvl="0">
      <w:start w:val="3"/>
      <w:numFmt w:val="decimal"/>
      <w:lvlText w:val="Chapter %1."/>
      <w:lvlJc w:val="left"/>
      <w:pPr>
        <w:ind w:left="360" w:hanging="360"/>
      </w:pPr>
      <w:rPr>
        <w:rFonts w:hint="default"/>
        <w:b/>
      </w:rPr>
    </w:lvl>
    <w:lvl w:ilvl="1">
      <w:start w:val="1"/>
      <w:numFmt w:val="decimal"/>
      <w:lvlText w:val="%1.%2"/>
      <w:lvlJc w:val="left"/>
      <w:pPr>
        <w:ind w:left="576" w:hanging="576"/>
      </w:pPr>
      <w:rPr>
        <w:rFonts w:hint="default"/>
        <w:b/>
        <w:i w:val="0"/>
        <w:sz w:val="24"/>
        <w:szCs w:val="24"/>
      </w:rPr>
    </w:lvl>
    <w:lvl w:ilvl="2">
      <w:start w:val="1"/>
      <w:numFmt w:val="decimal"/>
      <w:lvlText w:val="%1.%2.%3"/>
      <w:lvlJc w:val="left"/>
      <w:pPr>
        <w:ind w:left="720" w:hanging="720"/>
      </w:pPr>
      <w:rPr>
        <w:rFonts w:hint="default"/>
        <w:b/>
      </w:rPr>
    </w:lvl>
    <w:lvl w:ilvl="3">
      <w:start w:val="1"/>
      <w:numFmt w:val="decimal"/>
      <w:lvlText w:val="%1.%2.%3.%4"/>
      <w:lvlJc w:val="left"/>
      <w:pPr>
        <w:ind w:left="864" w:hanging="864"/>
      </w:pPr>
      <w:rPr>
        <w:rFonts w:hint="default"/>
        <w:b/>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8" w15:restartNumberingAfterBreak="0">
    <w:nsid w:val="48151B02"/>
    <w:multiLevelType w:val="multilevel"/>
    <w:tmpl w:val="85B04958"/>
    <w:lvl w:ilvl="0">
      <w:start w:val="3"/>
      <w:numFmt w:val="decimal"/>
      <w:lvlText w:val="Chapter %1."/>
      <w:lvlJc w:val="left"/>
      <w:pPr>
        <w:ind w:left="360" w:hanging="360"/>
      </w:pPr>
      <w:rPr>
        <w:rFonts w:hint="default"/>
        <w:b/>
      </w:rPr>
    </w:lvl>
    <w:lvl w:ilvl="1">
      <w:start w:val="1"/>
      <w:numFmt w:val="decimal"/>
      <w:lvlText w:val="%1.%2"/>
      <w:lvlJc w:val="left"/>
      <w:pPr>
        <w:ind w:left="576" w:hanging="576"/>
      </w:pPr>
      <w:rPr>
        <w:rFonts w:hint="default"/>
        <w:b/>
        <w:i w:val="0"/>
        <w:sz w:val="24"/>
        <w:szCs w:val="24"/>
      </w:rPr>
    </w:lvl>
    <w:lvl w:ilvl="2">
      <w:start w:val="1"/>
      <w:numFmt w:val="decimal"/>
      <w:lvlText w:val="%1.%2.%3"/>
      <w:lvlJc w:val="left"/>
      <w:pPr>
        <w:ind w:left="720" w:hanging="720"/>
      </w:pPr>
      <w:rPr>
        <w:rFonts w:hint="default"/>
        <w:b/>
      </w:rPr>
    </w:lvl>
    <w:lvl w:ilvl="3">
      <w:start w:val="1"/>
      <w:numFmt w:val="decimal"/>
      <w:lvlText w:val="%1.%2.%3.%4"/>
      <w:lvlJc w:val="left"/>
      <w:pPr>
        <w:ind w:left="864" w:hanging="864"/>
      </w:pPr>
      <w:rPr>
        <w:rFonts w:hint="default"/>
        <w:b/>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9" w15:restartNumberingAfterBreak="0">
    <w:nsid w:val="4A155DC3"/>
    <w:multiLevelType w:val="multilevel"/>
    <w:tmpl w:val="1542E216"/>
    <w:lvl w:ilvl="0">
      <w:start w:val="1"/>
      <w:numFmt w:val="decimal"/>
      <w:suff w:val="space"/>
      <w:lvlText w:val="Chapter %1"/>
      <w:lvlJc w:val="left"/>
      <w:pPr>
        <w:ind w:left="0" w:firstLine="0"/>
      </w:pPr>
      <w:rPr>
        <w:rFonts w:hint="default"/>
      </w:rPr>
    </w:lvl>
    <w:lvl w:ilvl="1">
      <w:start w:val="1"/>
      <w:numFmt w:val="decimal"/>
      <w:suff w:val="space"/>
      <w:lvlText w:val="%1.%2"/>
      <w:lvlJc w:val="left"/>
      <w:pPr>
        <w:ind w:left="0" w:firstLine="0"/>
      </w:pPr>
      <w:rPr>
        <w:rFonts w:ascii="Times New Roman" w:hAnsi="Times New Roman" w:hint="default"/>
        <w:b/>
        <w:bCs w:val="0"/>
        <w:i w:val="0"/>
        <w:iCs w:val="0"/>
        <w:caps w:val="0"/>
        <w:smallCaps w:val="0"/>
        <w:strike w:val="0"/>
        <w:dstrike w:val="0"/>
        <w:outline w:val="0"/>
        <w:shadow w:val="0"/>
        <w:emboss w:val="0"/>
        <w:imprint w:val="0"/>
        <w:noProof w:val="0"/>
        <w:vanish w:val="0"/>
        <w:color w:val="000000" w:themeColor="text1"/>
        <w:spacing w:val="0"/>
        <w:kern w:val="0"/>
        <w:position w:val="0"/>
        <w:sz w:val="24"/>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suff w:val="space"/>
      <w:lvlText w:val="%1.%2.%3"/>
      <w:lvlJc w:val="left"/>
      <w:pPr>
        <w:ind w:left="0" w:firstLine="0"/>
      </w:pPr>
      <w:rPr>
        <w:rFonts w:ascii="Times New Roman" w:hAnsi="Times New Roman" w:hint="default"/>
        <w:b/>
        <w:i w:val="0"/>
        <w:sz w:val="24"/>
      </w:rPr>
    </w:lvl>
    <w:lvl w:ilvl="3">
      <w:start w:val="1"/>
      <w:numFmt w:val="decimal"/>
      <w:suff w:val="nothing"/>
      <w:lvlText w:val="%1.%2.%3.%4"/>
      <w:lvlJc w:val="left"/>
      <w:pPr>
        <w:ind w:left="0" w:firstLine="0"/>
      </w:pPr>
      <w:rPr>
        <w:rFonts w:hint="default"/>
      </w:rPr>
    </w:lvl>
    <w:lvl w:ilvl="4">
      <w:start w:val="1"/>
      <w:numFmt w:val="none"/>
      <w:suff w:val="nothing"/>
      <w:lvlText w:val=""/>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20" w15:restartNumberingAfterBreak="0">
    <w:nsid w:val="4F996D86"/>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1" w15:restartNumberingAfterBreak="0">
    <w:nsid w:val="50081A57"/>
    <w:multiLevelType w:val="multilevel"/>
    <w:tmpl w:val="CD721694"/>
    <w:lvl w:ilvl="0">
      <w:start w:val="1"/>
      <w:numFmt w:val="decimal"/>
      <w:pStyle w:val="Heading1"/>
      <w:suff w:val="space"/>
      <w:lvlText w:val="Chapter %1"/>
      <w:lvlJc w:val="left"/>
      <w:pPr>
        <w:ind w:left="0" w:firstLine="0"/>
      </w:pPr>
      <w:rPr>
        <w:rFonts w:hint="default"/>
      </w:rPr>
    </w:lvl>
    <w:lvl w:ilvl="1">
      <w:start w:val="1"/>
      <w:numFmt w:val="decimal"/>
      <w:pStyle w:val="Heading2"/>
      <w:suff w:val="space"/>
      <w:lvlText w:val="%1.%2"/>
      <w:lvlJc w:val="left"/>
      <w:pPr>
        <w:ind w:left="0" w:firstLine="0"/>
      </w:pPr>
      <w:rPr>
        <w:rFonts w:ascii="Times New Roman" w:hAnsi="Times New Roman" w:hint="default"/>
        <w:b/>
        <w:bCs w:val="0"/>
        <w:i w:val="0"/>
        <w:iCs w:val="0"/>
        <w:caps w:val="0"/>
        <w:smallCaps w:val="0"/>
        <w:strike w:val="0"/>
        <w:dstrike w:val="0"/>
        <w:outline w:val="0"/>
        <w:shadow w:val="0"/>
        <w:emboss w:val="0"/>
        <w:imprint w:val="0"/>
        <w:noProof w:val="0"/>
        <w:vanish w:val="0"/>
        <w:color w:val="000000" w:themeColor="text1"/>
        <w:spacing w:val="0"/>
        <w:kern w:val="0"/>
        <w:position w:val="0"/>
        <w:sz w:val="24"/>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pStyle w:val="Heading3"/>
      <w:suff w:val="space"/>
      <w:lvlText w:val="%1.%2.%3"/>
      <w:lvlJc w:val="left"/>
      <w:pPr>
        <w:ind w:left="0" w:firstLine="0"/>
      </w:pPr>
      <w:rPr>
        <w:rFonts w:ascii="Times New Roman" w:hAnsi="Times New Roman" w:hint="default"/>
        <w:b/>
        <w:i w:val="0"/>
        <w:sz w:val="24"/>
      </w:rPr>
    </w:lvl>
    <w:lvl w:ilvl="3">
      <w:start w:val="1"/>
      <w:numFmt w:val="decimal"/>
      <w:pStyle w:val="Heading4"/>
      <w:lvlText w:val="%1.%2.%3.%4"/>
      <w:lvlJc w:val="left"/>
      <w:pPr>
        <w:ind w:left="0" w:firstLine="0"/>
      </w:pPr>
      <w:rPr>
        <w:rFonts w:hint="default"/>
      </w:rPr>
    </w:lvl>
    <w:lvl w:ilvl="4">
      <w:start w:val="1"/>
      <w:numFmt w:val="none"/>
      <w:pStyle w:val="Heading5"/>
      <w:suff w:val="nothing"/>
      <w:lvlText w:val=""/>
      <w:lvlJc w:val="left"/>
      <w:pPr>
        <w:ind w:left="0" w:firstLine="0"/>
      </w:pPr>
      <w:rPr>
        <w:rFonts w:hint="default"/>
      </w:rPr>
    </w:lvl>
    <w:lvl w:ilvl="5">
      <w:start w:val="1"/>
      <w:numFmt w:val="none"/>
      <w:pStyle w:val="Heading6"/>
      <w:suff w:val="nothing"/>
      <w:lvlText w:val=""/>
      <w:lvlJc w:val="left"/>
      <w:pPr>
        <w:ind w:left="0" w:firstLine="0"/>
      </w:pPr>
      <w:rPr>
        <w:rFonts w:hint="default"/>
      </w:rPr>
    </w:lvl>
    <w:lvl w:ilvl="6">
      <w:start w:val="1"/>
      <w:numFmt w:val="none"/>
      <w:pStyle w:val="Heading7"/>
      <w:suff w:val="nothing"/>
      <w:lvlText w:val=""/>
      <w:lvlJc w:val="left"/>
      <w:pPr>
        <w:ind w:left="0" w:firstLine="0"/>
      </w:pPr>
      <w:rPr>
        <w:rFonts w:hint="default"/>
      </w:rPr>
    </w:lvl>
    <w:lvl w:ilvl="7">
      <w:start w:val="1"/>
      <w:numFmt w:val="none"/>
      <w:pStyle w:val="Heading8"/>
      <w:suff w:val="nothing"/>
      <w:lvlText w:val=""/>
      <w:lvlJc w:val="left"/>
      <w:pPr>
        <w:ind w:left="0" w:firstLine="0"/>
      </w:pPr>
      <w:rPr>
        <w:rFonts w:hint="default"/>
      </w:rPr>
    </w:lvl>
    <w:lvl w:ilvl="8">
      <w:start w:val="1"/>
      <w:numFmt w:val="none"/>
      <w:pStyle w:val="Heading9"/>
      <w:suff w:val="nothing"/>
      <w:lvlText w:val=""/>
      <w:lvlJc w:val="left"/>
      <w:pPr>
        <w:ind w:left="0" w:firstLine="0"/>
      </w:pPr>
      <w:rPr>
        <w:rFonts w:hint="default"/>
      </w:rPr>
    </w:lvl>
  </w:abstractNum>
  <w:abstractNum w:abstractNumId="22" w15:restartNumberingAfterBreak="0">
    <w:nsid w:val="509357FC"/>
    <w:multiLevelType w:val="multilevel"/>
    <w:tmpl w:val="B71424A4"/>
    <w:lvl w:ilvl="0">
      <w:start w:val="4"/>
      <w:numFmt w:val="decimal"/>
      <w:lvlText w:val="Chapter %1."/>
      <w:lvlJc w:val="left"/>
      <w:pPr>
        <w:ind w:left="360" w:hanging="360"/>
      </w:pPr>
      <w:rPr>
        <w:rFonts w:hint="default"/>
        <w:b/>
      </w:rPr>
    </w:lvl>
    <w:lvl w:ilvl="1">
      <w:start w:val="1"/>
      <w:numFmt w:val="decimal"/>
      <w:lvlText w:val="%1.%2"/>
      <w:lvlJc w:val="left"/>
      <w:pPr>
        <w:ind w:left="576" w:hanging="576"/>
      </w:pPr>
      <w:rPr>
        <w:rFonts w:hint="default"/>
        <w:b/>
        <w:i w:val="0"/>
        <w:sz w:val="24"/>
        <w:szCs w:val="24"/>
      </w:rPr>
    </w:lvl>
    <w:lvl w:ilvl="2">
      <w:start w:val="1"/>
      <w:numFmt w:val="decimal"/>
      <w:lvlText w:val="%1.%2.%3"/>
      <w:lvlJc w:val="left"/>
      <w:pPr>
        <w:ind w:left="720" w:hanging="720"/>
      </w:pPr>
      <w:rPr>
        <w:rFonts w:hint="default"/>
        <w:b/>
      </w:rPr>
    </w:lvl>
    <w:lvl w:ilvl="3">
      <w:start w:val="1"/>
      <w:numFmt w:val="decimal"/>
      <w:lvlText w:val="%1.%2.%3.%4"/>
      <w:lvlJc w:val="left"/>
      <w:pPr>
        <w:ind w:left="864" w:hanging="864"/>
      </w:pPr>
      <w:rPr>
        <w:rFonts w:hint="default"/>
        <w:b/>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23" w15:restartNumberingAfterBreak="0">
    <w:nsid w:val="5F383330"/>
    <w:multiLevelType w:val="multilevel"/>
    <w:tmpl w:val="D6200E9A"/>
    <w:lvl w:ilvl="0">
      <w:start w:val="1"/>
      <w:numFmt w:val="decimal"/>
      <w:suff w:val="space"/>
      <w:lvlText w:val="Chapter %1"/>
      <w:lvlJc w:val="left"/>
      <w:pPr>
        <w:ind w:left="0" w:firstLine="0"/>
      </w:pPr>
      <w:rPr>
        <w:rFonts w:hint="default"/>
      </w:rPr>
    </w:lvl>
    <w:lvl w:ilvl="1">
      <w:start w:val="1"/>
      <w:numFmt w:val="decimal"/>
      <w:suff w:val="nothing"/>
      <w:lvlText w:val="%2.%1 "/>
      <w:lvlJc w:val="left"/>
      <w:pPr>
        <w:ind w:left="0" w:firstLine="0"/>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none"/>
      <w:suff w:val="nothing"/>
      <w:lvlText w:val=""/>
      <w:lvlJc w:val="left"/>
      <w:pPr>
        <w:ind w:left="0" w:firstLine="0"/>
      </w:pPr>
      <w:rPr>
        <w:rFonts w:hint="default"/>
      </w:rPr>
    </w:lvl>
    <w:lvl w:ilvl="3">
      <w:start w:val="1"/>
      <w:numFmt w:val="none"/>
      <w:suff w:val="nothing"/>
      <w:lvlText w:val=""/>
      <w:lvlJc w:val="left"/>
      <w:pPr>
        <w:ind w:left="0" w:firstLine="0"/>
      </w:pPr>
      <w:rPr>
        <w:rFonts w:hint="default"/>
      </w:rPr>
    </w:lvl>
    <w:lvl w:ilvl="4">
      <w:start w:val="1"/>
      <w:numFmt w:val="none"/>
      <w:suff w:val="nothing"/>
      <w:lvlText w:val=""/>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24" w15:restartNumberingAfterBreak="0">
    <w:nsid w:val="601716F7"/>
    <w:multiLevelType w:val="multilevel"/>
    <w:tmpl w:val="7F6E3EC4"/>
    <w:lvl w:ilvl="0">
      <w:start w:val="1"/>
      <w:numFmt w:val="decimal"/>
      <w:suff w:val="space"/>
      <w:lvlText w:val="Chapter %1"/>
      <w:lvlJc w:val="left"/>
      <w:pPr>
        <w:ind w:left="0" w:firstLine="0"/>
      </w:pPr>
      <w:rPr>
        <w:rFonts w:hint="default"/>
      </w:rPr>
    </w:lvl>
    <w:lvl w:ilvl="1">
      <w:start w:val="1"/>
      <w:numFmt w:val="decimal"/>
      <w:suff w:val="nothing"/>
      <w:lvlText w:val="%1. "/>
      <w:lvlJc w:val="left"/>
      <w:pPr>
        <w:ind w:left="0" w:firstLine="0"/>
      </w:pPr>
      <w:rPr>
        <w:rFonts w:ascii="Times New Roman" w:hAnsi="Times New Roman" w:hint="default"/>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none"/>
      <w:suff w:val="nothing"/>
      <w:lvlText w:val=""/>
      <w:lvlJc w:val="left"/>
      <w:pPr>
        <w:ind w:left="0" w:firstLine="0"/>
      </w:pPr>
      <w:rPr>
        <w:rFonts w:hint="default"/>
      </w:rPr>
    </w:lvl>
    <w:lvl w:ilvl="3">
      <w:start w:val="1"/>
      <w:numFmt w:val="none"/>
      <w:suff w:val="nothing"/>
      <w:lvlText w:val=""/>
      <w:lvlJc w:val="left"/>
      <w:pPr>
        <w:ind w:left="0" w:firstLine="0"/>
      </w:pPr>
      <w:rPr>
        <w:rFonts w:hint="default"/>
      </w:rPr>
    </w:lvl>
    <w:lvl w:ilvl="4">
      <w:start w:val="1"/>
      <w:numFmt w:val="none"/>
      <w:suff w:val="nothing"/>
      <w:lvlText w:val=""/>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25" w15:restartNumberingAfterBreak="0">
    <w:nsid w:val="61775F00"/>
    <w:multiLevelType w:val="multilevel"/>
    <w:tmpl w:val="63F04344"/>
    <w:lvl w:ilvl="0">
      <w:start w:val="1"/>
      <w:numFmt w:val="decimal"/>
      <w:suff w:val="space"/>
      <w:lvlText w:val="Chapter %1"/>
      <w:lvlJc w:val="left"/>
      <w:pPr>
        <w:ind w:left="0" w:firstLine="0"/>
      </w:pPr>
      <w:rPr>
        <w:rFonts w:hint="default"/>
      </w:rPr>
    </w:lvl>
    <w:lvl w:ilvl="1">
      <w:start w:val="1"/>
      <w:numFmt w:val="decimal"/>
      <w:suff w:val="nothing"/>
      <w:lvlText w:val="%1.%2&#9;"/>
      <w:lvlJc w:val="left"/>
      <w:pPr>
        <w:ind w:left="0" w:firstLine="0"/>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none"/>
      <w:suff w:val="nothing"/>
      <w:lvlText w:val=""/>
      <w:lvlJc w:val="left"/>
      <w:pPr>
        <w:ind w:left="0" w:firstLine="0"/>
      </w:pPr>
      <w:rPr>
        <w:rFonts w:hint="default"/>
      </w:rPr>
    </w:lvl>
    <w:lvl w:ilvl="3">
      <w:start w:val="1"/>
      <w:numFmt w:val="none"/>
      <w:suff w:val="nothing"/>
      <w:lvlText w:val=""/>
      <w:lvlJc w:val="left"/>
      <w:pPr>
        <w:ind w:left="0" w:firstLine="0"/>
      </w:pPr>
      <w:rPr>
        <w:rFonts w:hint="default"/>
      </w:rPr>
    </w:lvl>
    <w:lvl w:ilvl="4">
      <w:start w:val="1"/>
      <w:numFmt w:val="none"/>
      <w:suff w:val="nothing"/>
      <w:lvlText w:val=""/>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26" w15:restartNumberingAfterBreak="0">
    <w:nsid w:val="733637A2"/>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7" w15:restartNumberingAfterBreak="0">
    <w:nsid w:val="78B45A1B"/>
    <w:multiLevelType w:val="multilevel"/>
    <w:tmpl w:val="702CD84E"/>
    <w:lvl w:ilvl="0">
      <w:start w:val="3"/>
      <w:numFmt w:val="decimal"/>
      <w:lvlText w:val="Chapter %1."/>
      <w:lvlJc w:val="left"/>
      <w:pPr>
        <w:ind w:left="360" w:hanging="360"/>
      </w:pPr>
      <w:rPr>
        <w:rFonts w:hint="default"/>
        <w:b/>
      </w:rPr>
    </w:lvl>
    <w:lvl w:ilvl="1">
      <w:start w:val="1"/>
      <w:numFmt w:val="decimal"/>
      <w:lvlText w:val="%1.%2"/>
      <w:lvlJc w:val="left"/>
      <w:pPr>
        <w:ind w:left="576" w:hanging="576"/>
      </w:pPr>
      <w:rPr>
        <w:rFonts w:hint="default"/>
        <w:b/>
        <w:i w:val="0"/>
        <w:sz w:val="24"/>
        <w:szCs w:val="24"/>
      </w:rPr>
    </w:lvl>
    <w:lvl w:ilvl="2">
      <w:start w:val="1"/>
      <w:numFmt w:val="decimal"/>
      <w:lvlText w:val="%1.%2.%3"/>
      <w:lvlJc w:val="left"/>
      <w:pPr>
        <w:ind w:left="720" w:hanging="720"/>
      </w:pPr>
      <w:rPr>
        <w:rFonts w:hint="default"/>
        <w:b/>
      </w:rPr>
    </w:lvl>
    <w:lvl w:ilvl="3">
      <w:start w:val="1"/>
      <w:numFmt w:val="decimal"/>
      <w:lvlText w:val="%1.%2.%3.%4"/>
      <w:lvlJc w:val="left"/>
      <w:pPr>
        <w:ind w:left="864" w:hanging="864"/>
      </w:pPr>
      <w:rPr>
        <w:rFonts w:hint="default"/>
        <w:b/>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28" w15:restartNumberingAfterBreak="0">
    <w:nsid w:val="79224EA5"/>
    <w:multiLevelType w:val="multilevel"/>
    <w:tmpl w:val="7F6E2F5A"/>
    <w:lvl w:ilvl="0">
      <w:start w:val="1"/>
      <w:numFmt w:val="decimal"/>
      <w:suff w:val="space"/>
      <w:lvlText w:val="Chapter %1"/>
      <w:lvlJc w:val="left"/>
      <w:pPr>
        <w:ind w:left="0" w:firstLine="0"/>
      </w:pPr>
      <w:rPr>
        <w:rFonts w:hint="default"/>
      </w:rPr>
    </w:lvl>
    <w:lvl w:ilvl="1">
      <w:start w:val="1"/>
      <w:numFmt w:val="decimal"/>
      <w:suff w:val="nothing"/>
      <w:lvlText w:val="%2.%1"/>
      <w:lvlJc w:val="left"/>
      <w:pPr>
        <w:ind w:left="0" w:firstLine="0"/>
      </w:pPr>
      <w:rPr>
        <w:rFonts w:ascii="Times New Roman" w:hAnsi="Times New Roman" w:hint="default"/>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none"/>
      <w:suff w:val="nothing"/>
      <w:lvlText w:val=""/>
      <w:lvlJc w:val="left"/>
      <w:pPr>
        <w:ind w:left="0" w:firstLine="0"/>
      </w:pPr>
      <w:rPr>
        <w:rFonts w:hint="default"/>
      </w:rPr>
    </w:lvl>
    <w:lvl w:ilvl="3">
      <w:start w:val="1"/>
      <w:numFmt w:val="none"/>
      <w:suff w:val="nothing"/>
      <w:lvlText w:val=""/>
      <w:lvlJc w:val="left"/>
      <w:pPr>
        <w:ind w:left="0" w:firstLine="0"/>
      </w:pPr>
      <w:rPr>
        <w:rFonts w:hint="default"/>
      </w:rPr>
    </w:lvl>
    <w:lvl w:ilvl="4">
      <w:start w:val="1"/>
      <w:numFmt w:val="none"/>
      <w:suff w:val="nothing"/>
      <w:lvlText w:val=""/>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29" w15:restartNumberingAfterBreak="0">
    <w:nsid w:val="79870FD1"/>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num w:numId="1">
    <w:abstractNumId w:val="27"/>
  </w:num>
  <w:num w:numId="2">
    <w:abstractNumId w:val="4"/>
  </w:num>
  <w:num w:numId="3">
    <w:abstractNumId w:val="17"/>
  </w:num>
  <w:num w:numId="4">
    <w:abstractNumId w:val="27"/>
  </w:num>
  <w:num w:numId="5">
    <w:abstractNumId w:val="1"/>
  </w:num>
  <w:num w:numId="6">
    <w:abstractNumId w:val="27"/>
    <w:lvlOverride w:ilvl="0">
      <w:startOverride w:val="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27"/>
    <w:lvlOverride w:ilvl="0">
      <w:startOverride w:val="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6"/>
  </w:num>
  <w:num w:numId="9">
    <w:abstractNumId w:val="27"/>
  </w:num>
  <w:num w:numId="10">
    <w:abstractNumId w:val="12"/>
  </w:num>
  <w:num w:numId="11">
    <w:abstractNumId w:val="27"/>
    <w:lvlOverride w:ilvl="0">
      <w:startOverride w:val="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18"/>
  </w:num>
  <w:num w:numId="13">
    <w:abstractNumId w:val="22"/>
  </w:num>
  <w:num w:numId="14">
    <w:abstractNumId w:val="21"/>
  </w:num>
  <w:num w:numId="15">
    <w:abstractNumId w:val="21"/>
  </w:num>
  <w:num w:numId="16">
    <w:abstractNumId w:val="10"/>
  </w:num>
  <w:num w:numId="17">
    <w:abstractNumId w:val="2"/>
  </w:num>
  <w:num w:numId="18">
    <w:abstractNumId w:val="16"/>
  </w:num>
  <w:num w:numId="19">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23"/>
  </w:num>
  <w:num w:numId="21">
    <w:abstractNumId w:val="7"/>
  </w:num>
  <w:num w:numId="22">
    <w:abstractNumId w:val="24"/>
  </w:num>
  <w:num w:numId="23">
    <w:abstractNumId w:val="28"/>
  </w:num>
  <w:num w:numId="24">
    <w:abstractNumId w:val="9"/>
  </w:num>
  <w:num w:numId="25">
    <w:abstractNumId w:val="25"/>
  </w:num>
  <w:num w:numId="26">
    <w:abstractNumId w:val="15"/>
  </w:num>
  <w:num w:numId="27">
    <w:abstractNumId w:val="20"/>
  </w:num>
  <w:num w:numId="28">
    <w:abstractNumId w:val="26"/>
  </w:num>
  <w:num w:numId="29">
    <w:abstractNumId w:val="0"/>
  </w:num>
  <w:num w:numId="30">
    <w:abstractNumId w:val="29"/>
  </w:num>
  <w:num w:numId="31">
    <w:abstractNumId w:val="19"/>
  </w:num>
  <w:num w:numId="32">
    <w:abstractNumId w:val="8"/>
  </w:num>
  <w:num w:numId="33">
    <w:abstractNumId w:val="5"/>
  </w:num>
  <w:num w:numId="34">
    <w:abstractNumId w:val="3"/>
  </w:num>
  <w:num w:numId="35">
    <w:abstractNumId w:val="11"/>
  </w:num>
  <w:num w:numId="36">
    <w:abstractNumId w:val="14"/>
  </w:num>
  <w:num w:numId="37">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9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EN.InstantFormat" w:val="&lt;ENInstantFormat&gt;&lt;Enabled&gt;1&lt;/Enabled&gt;&lt;ScanUnformatted&gt;1&lt;/ScanUnformatted&gt;&lt;ScanChanges&gt;1&lt;/ScanChanges&gt;&lt;Suspended&gt;0&lt;/Suspended&gt;&lt;/ENInstantFormat&gt;"/>
  </w:docVars>
  <w:rsids>
    <w:rsidRoot w:val="006B1176"/>
    <w:rsid w:val="000003BB"/>
    <w:rsid w:val="0000045A"/>
    <w:rsid w:val="00000922"/>
    <w:rsid w:val="00000EC4"/>
    <w:rsid w:val="00001342"/>
    <w:rsid w:val="00003981"/>
    <w:rsid w:val="00007B87"/>
    <w:rsid w:val="00007C4A"/>
    <w:rsid w:val="00010140"/>
    <w:rsid w:val="00010AEE"/>
    <w:rsid w:val="00010FD8"/>
    <w:rsid w:val="00011E80"/>
    <w:rsid w:val="0001334E"/>
    <w:rsid w:val="00021523"/>
    <w:rsid w:val="000234FA"/>
    <w:rsid w:val="00024441"/>
    <w:rsid w:val="00025067"/>
    <w:rsid w:val="000250F5"/>
    <w:rsid w:val="00027110"/>
    <w:rsid w:val="00027137"/>
    <w:rsid w:val="00030E10"/>
    <w:rsid w:val="00031241"/>
    <w:rsid w:val="00031DCA"/>
    <w:rsid w:val="00031DF8"/>
    <w:rsid w:val="00031E65"/>
    <w:rsid w:val="000377F6"/>
    <w:rsid w:val="00037C39"/>
    <w:rsid w:val="00037C73"/>
    <w:rsid w:val="00042D8A"/>
    <w:rsid w:val="0004454D"/>
    <w:rsid w:val="00045B9B"/>
    <w:rsid w:val="00045C15"/>
    <w:rsid w:val="0005163C"/>
    <w:rsid w:val="0005527F"/>
    <w:rsid w:val="00055AA2"/>
    <w:rsid w:val="00057516"/>
    <w:rsid w:val="000577A9"/>
    <w:rsid w:val="00060EF3"/>
    <w:rsid w:val="00064AB4"/>
    <w:rsid w:val="00065C28"/>
    <w:rsid w:val="00065F42"/>
    <w:rsid w:val="000711E2"/>
    <w:rsid w:val="00073A44"/>
    <w:rsid w:val="00073CAC"/>
    <w:rsid w:val="00076EA0"/>
    <w:rsid w:val="000771C7"/>
    <w:rsid w:val="000832A5"/>
    <w:rsid w:val="00085F48"/>
    <w:rsid w:val="00090E12"/>
    <w:rsid w:val="00090F43"/>
    <w:rsid w:val="00092911"/>
    <w:rsid w:val="000930E0"/>
    <w:rsid w:val="00094CBC"/>
    <w:rsid w:val="00095F84"/>
    <w:rsid w:val="00096414"/>
    <w:rsid w:val="00096B6E"/>
    <w:rsid w:val="000A0B20"/>
    <w:rsid w:val="000A1F0C"/>
    <w:rsid w:val="000A237B"/>
    <w:rsid w:val="000A287C"/>
    <w:rsid w:val="000A66CE"/>
    <w:rsid w:val="000A6A05"/>
    <w:rsid w:val="000A70E0"/>
    <w:rsid w:val="000B06EB"/>
    <w:rsid w:val="000B16CE"/>
    <w:rsid w:val="000B202A"/>
    <w:rsid w:val="000B4201"/>
    <w:rsid w:val="000B4A57"/>
    <w:rsid w:val="000B5019"/>
    <w:rsid w:val="000B516D"/>
    <w:rsid w:val="000B62AA"/>
    <w:rsid w:val="000B6BA5"/>
    <w:rsid w:val="000B71D6"/>
    <w:rsid w:val="000C08B3"/>
    <w:rsid w:val="000C156B"/>
    <w:rsid w:val="000C331D"/>
    <w:rsid w:val="000C4712"/>
    <w:rsid w:val="000C4AEE"/>
    <w:rsid w:val="000C4DD6"/>
    <w:rsid w:val="000C4EF7"/>
    <w:rsid w:val="000C6E86"/>
    <w:rsid w:val="000C71E1"/>
    <w:rsid w:val="000C7703"/>
    <w:rsid w:val="000D211B"/>
    <w:rsid w:val="000D2E0D"/>
    <w:rsid w:val="000D3B5E"/>
    <w:rsid w:val="000D4AB9"/>
    <w:rsid w:val="000D5978"/>
    <w:rsid w:val="000D6332"/>
    <w:rsid w:val="000D636F"/>
    <w:rsid w:val="000D6470"/>
    <w:rsid w:val="000D76BA"/>
    <w:rsid w:val="000E10DC"/>
    <w:rsid w:val="000E62A7"/>
    <w:rsid w:val="000E7C4F"/>
    <w:rsid w:val="000F0C8D"/>
    <w:rsid w:val="000F320E"/>
    <w:rsid w:val="000F4AAE"/>
    <w:rsid w:val="000F516F"/>
    <w:rsid w:val="000F7448"/>
    <w:rsid w:val="00100466"/>
    <w:rsid w:val="00101122"/>
    <w:rsid w:val="001021DC"/>
    <w:rsid w:val="00103A37"/>
    <w:rsid w:val="00104C2F"/>
    <w:rsid w:val="00105EDF"/>
    <w:rsid w:val="00105FEB"/>
    <w:rsid w:val="001060A4"/>
    <w:rsid w:val="00106204"/>
    <w:rsid w:val="00106209"/>
    <w:rsid w:val="00106815"/>
    <w:rsid w:val="00106B34"/>
    <w:rsid w:val="001105D7"/>
    <w:rsid w:val="00112B82"/>
    <w:rsid w:val="00113A2C"/>
    <w:rsid w:val="001153A1"/>
    <w:rsid w:val="001170BC"/>
    <w:rsid w:val="00120034"/>
    <w:rsid w:val="00123529"/>
    <w:rsid w:val="00123C51"/>
    <w:rsid w:val="00127E08"/>
    <w:rsid w:val="00133255"/>
    <w:rsid w:val="001366E3"/>
    <w:rsid w:val="001371F3"/>
    <w:rsid w:val="00137883"/>
    <w:rsid w:val="0014007F"/>
    <w:rsid w:val="0014085E"/>
    <w:rsid w:val="0014134B"/>
    <w:rsid w:val="00143E24"/>
    <w:rsid w:val="00144153"/>
    <w:rsid w:val="00144595"/>
    <w:rsid w:val="00144C78"/>
    <w:rsid w:val="001460C4"/>
    <w:rsid w:val="001466EA"/>
    <w:rsid w:val="001503DD"/>
    <w:rsid w:val="00150E57"/>
    <w:rsid w:val="0015319C"/>
    <w:rsid w:val="00154F21"/>
    <w:rsid w:val="001560F7"/>
    <w:rsid w:val="0015721C"/>
    <w:rsid w:val="00157ECE"/>
    <w:rsid w:val="00162201"/>
    <w:rsid w:val="00167CC4"/>
    <w:rsid w:val="00171B55"/>
    <w:rsid w:val="0017757F"/>
    <w:rsid w:val="0018136B"/>
    <w:rsid w:val="001859E6"/>
    <w:rsid w:val="00185FDB"/>
    <w:rsid w:val="00187F94"/>
    <w:rsid w:val="0019319E"/>
    <w:rsid w:val="00193B35"/>
    <w:rsid w:val="00193D2E"/>
    <w:rsid w:val="001946AF"/>
    <w:rsid w:val="00195944"/>
    <w:rsid w:val="001A10B0"/>
    <w:rsid w:val="001A255B"/>
    <w:rsid w:val="001A4329"/>
    <w:rsid w:val="001A511C"/>
    <w:rsid w:val="001A5E3E"/>
    <w:rsid w:val="001A6456"/>
    <w:rsid w:val="001A7021"/>
    <w:rsid w:val="001A70D2"/>
    <w:rsid w:val="001B118E"/>
    <w:rsid w:val="001B3EE4"/>
    <w:rsid w:val="001B4A2E"/>
    <w:rsid w:val="001B69B7"/>
    <w:rsid w:val="001C0713"/>
    <w:rsid w:val="001C1993"/>
    <w:rsid w:val="001C2763"/>
    <w:rsid w:val="001C44AB"/>
    <w:rsid w:val="001C4C07"/>
    <w:rsid w:val="001C5303"/>
    <w:rsid w:val="001C5A40"/>
    <w:rsid w:val="001D3008"/>
    <w:rsid w:val="001D4F31"/>
    <w:rsid w:val="001D76D3"/>
    <w:rsid w:val="001E0C35"/>
    <w:rsid w:val="001E0E9E"/>
    <w:rsid w:val="001E23B7"/>
    <w:rsid w:val="001E4087"/>
    <w:rsid w:val="001E42D9"/>
    <w:rsid w:val="001E7A09"/>
    <w:rsid w:val="001F0D20"/>
    <w:rsid w:val="001F1286"/>
    <w:rsid w:val="001F1F8E"/>
    <w:rsid w:val="001F5A88"/>
    <w:rsid w:val="001F7625"/>
    <w:rsid w:val="002029CE"/>
    <w:rsid w:val="00202A84"/>
    <w:rsid w:val="0020480B"/>
    <w:rsid w:val="00204D8D"/>
    <w:rsid w:val="0020534E"/>
    <w:rsid w:val="00205AF1"/>
    <w:rsid w:val="0020600A"/>
    <w:rsid w:val="00206787"/>
    <w:rsid w:val="00216481"/>
    <w:rsid w:val="00216DBD"/>
    <w:rsid w:val="00221D43"/>
    <w:rsid w:val="00222029"/>
    <w:rsid w:val="00225279"/>
    <w:rsid w:val="002269DE"/>
    <w:rsid w:val="00226D2B"/>
    <w:rsid w:val="002308EC"/>
    <w:rsid w:val="002317D5"/>
    <w:rsid w:val="00231F21"/>
    <w:rsid w:val="00237515"/>
    <w:rsid w:val="00237BEC"/>
    <w:rsid w:val="00241820"/>
    <w:rsid w:val="0024287F"/>
    <w:rsid w:val="0024719B"/>
    <w:rsid w:val="00247D40"/>
    <w:rsid w:val="00252045"/>
    <w:rsid w:val="00253B59"/>
    <w:rsid w:val="00253CB5"/>
    <w:rsid w:val="00257C3E"/>
    <w:rsid w:val="00261083"/>
    <w:rsid w:val="0026427F"/>
    <w:rsid w:val="00264CE8"/>
    <w:rsid w:val="00265A23"/>
    <w:rsid w:val="00266D0F"/>
    <w:rsid w:val="002671AE"/>
    <w:rsid w:val="00267348"/>
    <w:rsid w:val="00267C55"/>
    <w:rsid w:val="00270093"/>
    <w:rsid w:val="00272F4F"/>
    <w:rsid w:val="0027375E"/>
    <w:rsid w:val="002764F6"/>
    <w:rsid w:val="00280C30"/>
    <w:rsid w:val="00281CE7"/>
    <w:rsid w:val="00284E10"/>
    <w:rsid w:val="00284EC6"/>
    <w:rsid w:val="0028652D"/>
    <w:rsid w:val="0028759F"/>
    <w:rsid w:val="00290151"/>
    <w:rsid w:val="00292947"/>
    <w:rsid w:val="00292EC5"/>
    <w:rsid w:val="00295AAB"/>
    <w:rsid w:val="002A09F5"/>
    <w:rsid w:val="002A0F30"/>
    <w:rsid w:val="002A1004"/>
    <w:rsid w:val="002A2BD2"/>
    <w:rsid w:val="002A4107"/>
    <w:rsid w:val="002A4AC5"/>
    <w:rsid w:val="002A596C"/>
    <w:rsid w:val="002B1049"/>
    <w:rsid w:val="002B1606"/>
    <w:rsid w:val="002B50B0"/>
    <w:rsid w:val="002B5983"/>
    <w:rsid w:val="002B6FEB"/>
    <w:rsid w:val="002C3FA9"/>
    <w:rsid w:val="002C659C"/>
    <w:rsid w:val="002C69AE"/>
    <w:rsid w:val="002D1A28"/>
    <w:rsid w:val="002D239E"/>
    <w:rsid w:val="002D2824"/>
    <w:rsid w:val="002D4747"/>
    <w:rsid w:val="002D6382"/>
    <w:rsid w:val="002D67FB"/>
    <w:rsid w:val="002E18DC"/>
    <w:rsid w:val="002E4A60"/>
    <w:rsid w:val="002E5F7A"/>
    <w:rsid w:val="002E714B"/>
    <w:rsid w:val="002E727B"/>
    <w:rsid w:val="002E74FE"/>
    <w:rsid w:val="002F49F0"/>
    <w:rsid w:val="002F4B05"/>
    <w:rsid w:val="002F6D94"/>
    <w:rsid w:val="00300757"/>
    <w:rsid w:val="003009C2"/>
    <w:rsid w:val="003017FC"/>
    <w:rsid w:val="00302B8E"/>
    <w:rsid w:val="00303778"/>
    <w:rsid w:val="0030536E"/>
    <w:rsid w:val="003065A4"/>
    <w:rsid w:val="0030664E"/>
    <w:rsid w:val="00307780"/>
    <w:rsid w:val="00313897"/>
    <w:rsid w:val="00313AF0"/>
    <w:rsid w:val="00315D17"/>
    <w:rsid w:val="003176AB"/>
    <w:rsid w:val="00320386"/>
    <w:rsid w:val="00324F3B"/>
    <w:rsid w:val="0032534B"/>
    <w:rsid w:val="00327582"/>
    <w:rsid w:val="00330DFD"/>
    <w:rsid w:val="00331551"/>
    <w:rsid w:val="0033598D"/>
    <w:rsid w:val="003367D7"/>
    <w:rsid w:val="00340CC6"/>
    <w:rsid w:val="003428E9"/>
    <w:rsid w:val="00344DC7"/>
    <w:rsid w:val="00345AA9"/>
    <w:rsid w:val="00346D67"/>
    <w:rsid w:val="00347499"/>
    <w:rsid w:val="003479DF"/>
    <w:rsid w:val="00350AB3"/>
    <w:rsid w:val="003520B6"/>
    <w:rsid w:val="003524C9"/>
    <w:rsid w:val="003547AA"/>
    <w:rsid w:val="00360F33"/>
    <w:rsid w:val="00362813"/>
    <w:rsid w:val="00366989"/>
    <w:rsid w:val="00366E75"/>
    <w:rsid w:val="00366F49"/>
    <w:rsid w:val="00372981"/>
    <w:rsid w:val="0037541E"/>
    <w:rsid w:val="00375B2F"/>
    <w:rsid w:val="00376470"/>
    <w:rsid w:val="00384509"/>
    <w:rsid w:val="003905D8"/>
    <w:rsid w:val="00391462"/>
    <w:rsid w:val="00391C34"/>
    <w:rsid w:val="00392940"/>
    <w:rsid w:val="00392BD0"/>
    <w:rsid w:val="00394041"/>
    <w:rsid w:val="00395F2A"/>
    <w:rsid w:val="003976ED"/>
    <w:rsid w:val="003A0FA4"/>
    <w:rsid w:val="003A17B9"/>
    <w:rsid w:val="003A2372"/>
    <w:rsid w:val="003A59B1"/>
    <w:rsid w:val="003A5C80"/>
    <w:rsid w:val="003A7CB4"/>
    <w:rsid w:val="003B018A"/>
    <w:rsid w:val="003B1744"/>
    <w:rsid w:val="003B2D5F"/>
    <w:rsid w:val="003B311F"/>
    <w:rsid w:val="003B34F0"/>
    <w:rsid w:val="003B49A7"/>
    <w:rsid w:val="003B592E"/>
    <w:rsid w:val="003C0805"/>
    <w:rsid w:val="003C2C1D"/>
    <w:rsid w:val="003C34AF"/>
    <w:rsid w:val="003C7DE3"/>
    <w:rsid w:val="003D019B"/>
    <w:rsid w:val="003D0296"/>
    <w:rsid w:val="003D5A0A"/>
    <w:rsid w:val="003D7234"/>
    <w:rsid w:val="003D7838"/>
    <w:rsid w:val="003E0A44"/>
    <w:rsid w:val="003E37B3"/>
    <w:rsid w:val="003E3F7C"/>
    <w:rsid w:val="003E4523"/>
    <w:rsid w:val="003E5874"/>
    <w:rsid w:val="003E6829"/>
    <w:rsid w:val="003E6F72"/>
    <w:rsid w:val="003F01B1"/>
    <w:rsid w:val="003F1062"/>
    <w:rsid w:val="003F18EF"/>
    <w:rsid w:val="003F19AE"/>
    <w:rsid w:val="003F34A3"/>
    <w:rsid w:val="003F3B2A"/>
    <w:rsid w:val="003F5EA2"/>
    <w:rsid w:val="004014E3"/>
    <w:rsid w:val="00403629"/>
    <w:rsid w:val="00403ABE"/>
    <w:rsid w:val="00406DF8"/>
    <w:rsid w:val="00406E0D"/>
    <w:rsid w:val="00407096"/>
    <w:rsid w:val="00407D15"/>
    <w:rsid w:val="004100BA"/>
    <w:rsid w:val="00410C1B"/>
    <w:rsid w:val="004138D0"/>
    <w:rsid w:val="00415379"/>
    <w:rsid w:val="00415A68"/>
    <w:rsid w:val="00422FE2"/>
    <w:rsid w:val="00432561"/>
    <w:rsid w:val="00432CAC"/>
    <w:rsid w:val="004351E3"/>
    <w:rsid w:val="004352C2"/>
    <w:rsid w:val="00436239"/>
    <w:rsid w:val="004404EE"/>
    <w:rsid w:val="00440AA4"/>
    <w:rsid w:val="00440E95"/>
    <w:rsid w:val="004420C7"/>
    <w:rsid w:val="00442217"/>
    <w:rsid w:val="00442484"/>
    <w:rsid w:val="0044250D"/>
    <w:rsid w:val="00445BAB"/>
    <w:rsid w:val="00447BD3"/>
    <w:rsid w:val="00450D8E"/>
    <w:rsid w:val="0045112F"/>
    <w:rsid w:val="004519EC"/>
    <w:rsid w:val="00451B86"/>
    <w:rsid w:val="00451F5D"/>
    <w:rsid w:val="004557CA"/>
    <w:rsid w:val="004563D7"/>
    <w:rsid w:val="0045777E"/>
    <w:rsid w:val="004638CA"/>
    <w:rsid w:val="004641CF"/>
    <w:rsid w:val="004646B4"/>
    <w:rsid w:val="004647AB"/>
    <w:rsid w:val="00465834"/>
    <w:rsid w:val="004728B5"/>
    <w:rsid w:val="00473D40"/>
    <w:rsid w:val="00476DFC"/>
    <w:rsid w:val="0047740A"/>
    <w:rsid w:val="0048123D"/>
    <w:rsid w:val="00481429"/>
    <w:rsid w:val="004829B2"/>
    <w:rsid w:val="004837CF"/>
    <w:rsid w:val="004842D8"/>
    <w:rsid w:val="004861DF"/>
    <w:rsid w:val="0048657A"/>
    <w:rsid w:val="00492DBD"/>
    <w:rsid w:val="0049355C"/>
    <w:rsid w:val="00493B1F"/>
    <w:rsid w:val="0049561A"/>
    <w:rsid w:val="00495F8B"/>
    <w:rsid w:val="0049614A"/>
    <w:rsid w:val="00496C2F"/>
    <w:rsid w:val="004975BF"/>
    <w:rsid w:val="004A03C4"/>
    <w:rsid w:val="004A105D"/>
    <w:rsid w:val="004A1ADD"/>
    <w:rsid w:val="004A1BD3"/>
    <w:rsid w:val="004A3F70"/>
    <w:rsid w:val="004A56A2"/>
    <w:rsid w:val="004A75C8"/>
    <w:rsid w:val="004B00EA"/>
    <w:rsid w:val="004B102C"/>
    <w:rsid w:val="004B16E3"/>
    <w:rsid w:val="004B3387"/>
    <w:rsid w:val="004B4B87"/>
    <w:rsid w:val="004B587A"/>
    <w:rsid w:val="004B5A31"/>
    <w:rsid w:val="004B6674"/>
    <w:rsid w:val="004B7DC8"/>
    <w:rsid w:val="004B7DE2"/>
    <w:rsid w:val="004C0876"/>
    <w:rsid w:val="004C1FDD"/>
    <w:rsid w:val="004C382F"/>
    <w:rsid w:val="004C4533"/>
    <w:rsid w:val="004C53E0"/>
    <w:rsid w:val="004D17E1"/>
    <w:rsid w:val="004D3811"/>
    <w:rsid w:val="004D3F97"/>
    <w:rsid w:val="004D5BC3"/>
    <w:rsid w:val="004E0952"/>
    <w:rsid w:val="004E2B02"/>
    <w:rsid w:val="004E315A"/>
    <w:rsid w:val="004E4F20"/>
    <w:rsid w:val="004E793F"/>
    <w:rsid w:val="004F142F"/>
    <w:rsid w:val="004F186E"/>
    <w:rsid w:val="004F36C4"/>
    <w:rsid w:val="004F4A06"/>
    <w:rsid w:val="004F5047"/>
    <w:rsid w:val="0050027F"/>
    <w:rsid w:val="005078D7"/>
    <w:rsid w:val="0051027A"/>
    <w:rsid w:val="00521C66"/>
    <w:rsid w:val="005230E6"/>
    <w:rsid w:val="005237D1"/>
    <w:rsid w:val="00530060"/>
    <w:rsid w:val="00530A00"/>
    <w:rsid w:val="00532FE0"/>
    <w:rsid w:val="00533B1B"/>
    <w:rsid w:val="00534CB6"/>
    <w:rsid w:val="00536B9C"/>
    <w:rsid w:val="00540F5D"/>
    <w:rsid w:val="00540F80"/>
    <w:rsid w:val="00550F49"/>
    <w:rsid w:val="00551F78"/>
    <w:rsid w:val="00552EF5"/>
    <w:rsid w:val="00553A43"/>
    <w:rsid w:val="0055498C"/>
    <w:rsid w:val="0055611A"/>
    <w:rsid w:val="00560645"/>
    <w:rsid w:val="005610D6"/>
    <w:rsid w:val="00561A73"/>
    <w:rsid w:val="00566DB0"/>
    <w:rsid w:val="005673AF"/>
    <w:rsid w:val="00572E3F"/>
    <w:rsid w:val="00573FF2"/>
    <w:rsid w:val="005740AD"/>
    <w:rsid w:val="00574EE4"/>
    <w:rsid w:val="00574F83"/>
    <w:rsid w:val="00576202"/>
    <w:rsid w:val="005822D1"/>
    <w:rsid w:val="00586E8E"/>
    <w:rsid w:val="005900F3"/>
    <w:rsid w:val="0059142F"/>
    <w:rsid w:val="00591983"/>
    <w:rsid w:val="00592F8E"/>
    <w:rsid w:val="00593133"/>
    <w:rsid w:val="00596BE4"/>
    <w:rsid w:val="005971B9"/>
    <w:rsid w:val="00597B3A"/>
    <w:rsid w:val="005A0713"/>
    <w:rsid w:val="005A5DF2"/>
    <w:rsid w:val="005A651D"/>
    <w:rsid w:val="005B3F61"/>
    <w:rsid w:val="005B5E74"/>
    <w:rsid w:val="005B70BE"/>
    <w:rsid w:val="005C1847"/>
    <w:rsid w:val="005C283A"/>
    <w:rsid w:val="005C58E4"/>
    <w:rsid w:val="005C5E03"/>
    <w:rsid w:val="005D122B"/>
    <w:rsid w:val="005D1F15"/>
    <w:rsid w:val="005D2E29"/>
    <w:rsid w:val="005D3305"/>
    <w:rsid w:val="005D37FD"/>
    <w:rsid w:val="005D3B25"/>
    <w:rsid w:val="005D4320"/>
    <w:rsid w:val="005D50E9"/>
    <w:rsid w:val="005D548A"/>
    <w:rsid w:val="005D57BB"/>
    <w:rsid w:val="005E355D"/>
    <w:rsid w:val="005E4FFC"/>
    <w:rsid w:val="005E6CD1"/>
    <w:rsid w:val="005F5C44"/>
    <w:rsid w:val="005F6E20"/>
    <w:rsid w:val="005F7419"/>
    <w:rsid w:val="006007F4"/>
    <w:rsid w:val="0060082A"/>
    <w:rsid w:val="0060171C"/>
    <w:rsid w:val="00601C8D"/>
    <w:rsid w:val="00601DF7"/>
    <w:rsid w:val="006040C8"/>
    <w:rsid w:val="006043F4"/>
    <w:rsid w:val="00606122"/>
    <w:rsid w:val="00611940"/>
    <w:rsid w:val="00615012"/>
    <w:rsid w:val="006202AA"/>
    <w:rsid w:val="00620BEB"/>
    <w:rsid w:val="00622F4A"/>
    <w:rsid w:val="00623BEE"/>
    <w:rsid w:val="006260DC"/>
    <w:rsid w:val="00626C81"/>
    <w:rsid w:val="00632104"/>
    <w:rsid w:val="00636278"/>
    <w:rsid w:val="0064016C"/>
    <w:rsid w:val="0064299B"/>
    <w:rsid w:val="006429AB"/>
    <w:rsid w:val="00646486"/>
    <w:rsid w:val="0065037C"/>
    <w:rsid w:val="006509BD"/>
    <w:rsid w:val="006514DD"/>
    <w:rsid w:val="00653884"/>
    <w:rsid w:val="006550E8"/>
    <w:rsid w:val="00657486"/>
    <w:rsid w:val="00657D24"/>
    <w:rsid w:val="006615ED"/>
    <w:rsid w:val="006618C7"/>
    <w:rsid w:val="0066379B"/>
    <w:rsid w:val="00664714"/>
    <w:rsid w:val="006660C7"/>
    <w:rsid w:val="006665CE"/>
    <w:rsid w:val="0067081D"/>
    <w:rsid w:val="00670B2D"/>
    <w:rsid w:val="00670C71"/>
    <w:rsid w:val="006715A5"/>
    <w:rsid w:val="00671735"/>
    <w:rsid w:val="006723E9"/>
    <w:rsid w:val="00673CA1"/>
    <w:rsid w:val="00674E2C"/>
    <w:rsid w:val="00676836"/>
    <w:rsid w:val="00677FD0"/>
    <w:rsid w:val="00682A63"/>
    <w:rsid w:val="00683541"/>
    <w:rsid w:val="0068538F"/>
    <w:rsid w:val="00687CFC"/>
    <w:rsid w:val="00691CED"/>
    <w:rsid w:val="00691E12"/>
    <w:rsid w:val="00692EE3"/>
    <w:rsid w:val="00693DCB"/>
    <w:rsid w:val="006948C1"/>
    <w:rsid w:val="006959BA"/>
    <w:rsid w:val="00696081"/>
    <w:rsid w:val="0069653A"/>
    <w:rsid w:val="00697E35"/>
    <w:rsid w:val="006A23B1"/>
    <w:rsid w:val="006A2630"/>
    <w:rsid w:val="006A409E"/>
    <w:rsid w:val="006A5D97"/>
    <w:rsid w:val="006A5DFE"/>
    <w:rsid w:val="006A6703"/>
    <w:rsid w:val="006A71C3"/>
    <w:rsid w:val="006B0547"/>
    <w:rsid w:val="006B1176"/>
    <w:rsid w:val="006B1885"/>
    <w:rsid w:val="006B2BB5"/>
    <w:rsid w:val="006B6F67"/>
    <w:rsid w:val="006B7976"/>
    <w:rsid w:val="006C0533"/>
    <w:rsid w:val="006C0A41"/>
    <w:rsid w:val="006C196E"/>
    <w:rsid w:val="006C1F16"/>
    <w:rsid w:val="006C2AD5"/>
    <w:rsid w:val="006C2ED9"/>
    <w:rsid w:val="006C4DF8"/>
    <w:rsid w:val="006C7AF1"/>
    <w:rsid w:val="006D2EDF"/>
    <w:rsid w:val="006D4E53"/>
    <w:rsid w:val="006D5596"/>
    <w:rsid w:val="006D715E"/>
    <w:rsid w:val="006D7B7B"/>
    <w:rsid w:val="006E0C60"/>
    <w:rsid w:val="006E0F27"/>
    <w:rsid w:val="006E34EC"/>
    <w:rsid w:val="006E39A5"/>
    <w:rsid w:val="006E49D2"/>
    <w:rsid w:val="006F0D9E"/>
    <w:rsid w:val="006F1AF5"/>
    <w:rsid w:val="006F289F"/>
    <w:rsid w:val="006F30B9"/>
    <w:rsid w:val="006F4CAB"/>
    <w:rsid w:val="006F674A"/>
    <w:rsid w:val="0070081F"/>
    <w:rsid w:val="0070185E"/>
    <w:rsid w:val="0070186E"/>
    <w:rsid w:val="00703327"/>
    <w:rsid w:val="00710B99"/>
    <w:rsid w:val="007123D3"/>
    <w:rsid w:val="00712928"/>
    <w:rsid w:val="007136D8"/>
    <w:rsid w:val="00713C98"/>
    <w:rsid w:val="00716D21"/>
    <w:rsid w:val="00722DED"/>
    <w:rsid w:val="00722E3F"/>
    <w:rsid w:val="007230D9"/>
    <w:rsid w:val="00725542"/>
    <w:rsid w:val="007275CF"/>
    <w:rsid w:val="007336AA"/>
    <w:rsid w:val="00737237"/>
    <w:rsid w:val="007379BD"/>
    <w:rsid w:val="00743EBF"/>
    <w:rsid w:val="00744DCE"/>
    <w:rsid w:val="0074503A"/>
    <w:rsid w:val="0074700A"/>
    <w:rsid w:val="0075112E"/>
    <w:rsid w:val="007523BC"/>
    <w:rsid w:val="007538E3"/>
    <w:rsid w:val="007544FF"/>
    <w:rsid w:val="00755AFD"/>
    <w:rsid w:val="0076010F"/>
    <w:rsid w:val="00761191"/>
    <w:rsid w:val="007612C2"/>
    <w:rsid w:val="007621FC"/>
    <w:rsid w:val="007707DF"/>
    <w:rsid w:val="00771ECC"/>
    <w:rsid w:val="007734E7"/>
    <w:rsid w:val="00775A58"/>
    <w:rsid w:val="007764FA"/>
    <w:rsid w:val="007774F2"/>
    <w:rsid w:val="00777B9C"/>
    <w:rsid w:val="007837F2"/>
    <w:rsid w:val="007842A9"/>
    <w:rsid w:val="007844AB"/>
    <w:rsid w:val="007873B8"/>
    <w:rsid w:val="00790899"/>
    <w:rsid w:val="00791C6B"/>
    <w:rsid w:val="007956C1"/>
    <w:rsid w:val="00795AB2"/>
    <w:rsid w:val="007971C8"/>
    <w:rsid w:val="007A007D"/>
    <w:rsid w:val="007A0883"/>
    <w:rsid w:val="007A1578"/>
    <w:rsid w:val="007A33BC"/>
    <w:rsid w:val="007A345D"/>
    <w:rsid w:val="007A44AE"/>
    <w:rsid w:val="007A5401"/>
    <w:rsid w:val="007A5EDD"/>
    <w:rsid w:val="007A5F59"/>
    <w:rsid w:val="007A6EED"/>
    <w:rsid w:val="007A73BA"/>
    <w:rsid w:val="007B3BB5"/>
    <w:rsid w:val="007B40A4"/>
    <w:rsid w:val="007B50A0"/>
    <w:rsid w:val="007B736F"/>
    <w:rsid w:val="007C1B10"/>
    <w:rsid w:val="007C29FF"/>
    <w:rsid w:val="007C2CB7"/>
    <w:rsid w:val="007C3CB4"/>
    <w:rsid w:val="007C3FAD"/>
    <w:rsid w:val="007C5262"/>
    <w:rsid w:val="007C5838"/>
    <w:rsid w:val="007D1AE5"/>
    <w:rsid w:val="007D4658"/>
    <w:rsid w:val="007D5BB0"/>
    <w:rsid w:val="007D72B2"/>
    <w:rsid w:val="007E204D"/>
    <w:rsid w:val="007E29E8"/>
    <w:rsid w:val="007E5083"/>
    <w:rsid w:val="007E6245"/>
    <w:rsid w:val="007E704E"/>
    <w:rsid w:val="007F39D6"/>
    <w:rsid w:val="007F4C8A"/>
    <w:rsid w:val="007F597F"/>
    <w:rsid w:val="00803C0E"/>
    <w:rsid w:val="008046B7"/>
    <w:rsid w:val="0080587B"/>
    <w:rsid w:val="00806442"/>
    <w:rsid w:val="008077C6"/>
    <w:rsid w:val="008109EE"/>
    <w:rsid w:val="00811563"/>
    <w:rsid w:val="00811814"/>
    <w:rsid w:val="00812605"/>
    <w:rsid w:val="00812E75"/>
    <w:rsid w:val="00812F53"/>
    <w:rsid w:val="008138EF"/>
    <w:rsid w:val="00813ACF"/>
    <w:rsid w:val="008153DC"/>
    <w:rsid w:val="008155D6"/>
    <w:rsid w:val="00816702"/>
    <w:rsid w:val="0082063A"/>
    <w:rsid w:val="008228A0"/>
    <w:rsid w:val="00826767"/>
    <w:rsid w:val="00827BE5"/>
    <w:rsid w:val="008300AD"/>
    <w:rsid w:val="00830117"/>
    <w:rsid w:val="00833A99"/>
    <w:rsid w:val="00835750"/>
    <w:rsid w:val="008376BD"/>
    <w:rsid w:val="00837E8C"/>
    <w:rsid w:val="00842966"/>
    <w:rsid w:val="0084331B"/>
    <w:rsid w:val="00843E82"/>
    <w:rsid w:val="008446CB"/>
    <w:rsid w:val="008446F8"/>
    <w:rsid w:val="00844E99"/>
    <w:rsid w:val="0084538E"/>
    <w:rsid w:val="0084690F"/>
    <w:rsid w:val="008471BE"/>
    <w:rsid w:val="00852402"/>
    <w:rsid w:val="00853D39"/>
    <w:rsid w:val="00854BC7"/>
    <w:rsid w:val="00856954"/>
    <w:rsid w:val="008569DC"/>
    <w:rsid w:val="00860D6D"/>
    <w:rsid w:val="00861122"/>
    <w:rsid w:val="00867F49"/>
    <w:rsid w:val="0087125F"/>
    <w:rsid w:val="00871260"/>
    <w:rsid w:val="0087588C"/>
    <w:rsid w:val="00877A35"/>
    <w:rsid w:val="00877FD2"/>
    <w:rsid w:val="00880022"/>
    <w:rsid w:val="00880081"/>
    <w:rsid w:val="00881879"/>
    <w:rsid w:val="00884223"/>
    <w:rsid w:val="00885C90"/>
    <w:rsid w:val="0089424F"/>
    <w:rsid w:val="0089620A"/>
    <w:rsid w:val="008A1A2C"/>
    <w:rsid w:val="008A3D97"/>
    <w:rsid w:val="008A6213"/>
    <w:rsid w:val="008A7717"/>
    <w:rsid w:val="008B3AD6"/>
    <w:rsid w:val="008B42EB"/>
    <w:rsid w:val="008C08B0"/>
    <w:rsid w:val="008C16B5"/>
    <w:rsid w:val="008C1F35"/>
    <w:rsid w:val="008C5691"/>
    <w:rsid w:val="008D21D9"/>
    <w:rsid w:val="008D3B7A"/>
    <w:rsid w:val="008D5322"/>
    <w:rsid w:val="008D575A"/>
    <w:rsid w:val="008D5CE9"/>
    <w:rsid w:val="008D61E9"/>
    <w:rsid w:val="008D6C77"/>
    <w:rsid w:val="008D7084"/>
    <w:rsid w:val="008E1761"/>
    <w:rsid w:val="008E2915"/>
    <w:rsid w:val="008E3654"/>
    <w:rsid w:val="008E59EB"/>
    <w:rsid w:val="008E6CEE"/>
    <w:rsid w:val="008E798C"/>
    <w:rsid w:val="008F277F"/>
    <w:rsid w:val="008F2DB0"/>
    <w:rsid w:val="008F5533"/>
    <w:rsid w:val="008F5D3E"/>
    <w:rsid w:val="0090142E"/>
    <w:rsid w:val="00901910"/>
    <w:rsid w:val="0090282F"/>
    <w:rsid w:val="0090549D"/>
    <w:rsid w:val="009057A6"/>
    <w:rsid w:val="0090615D"/>
    <w:rsid w:val="0090645F"/>
    <w:rsid w:val="00907220"/>
    <w:rsid w:val="0091374D"/>
    <w:rsid w:val="009154C0"/>
    <w:rsid w:val="009154DE"/>
    <w:rsid w:val="0091551E"/>
    <w:rsid w:val="009168D0"/>
    <w:rsid w:val="00921CAF"/>
    <w:rsid w:val="0092307A"/>
    <w:rsid w:val="00925628"/>
    <w:rsid w:val="00925E25"/>
    <w:rsid w:val="00927728"/>
    <w:rsid w:val="00927D08"/>
    <w:rsid w:val="00931364"/>
    <w:rsid w:val="00931413"/>
    <w:rsid w:val="00932BD4"/>
    <w:rsid w:val="00933E60"/>
    <w:rsid w:val="0093434D"/>
    <w:rsid w:val="00936296"/>
    <w:rsid w:val="00936C4E"/>
    <w:rsid w:val="0093771E"/>
    <w:rsid w:val="00937A21"/>
    <w:rsid w:val="00941B52"/>
    <w:rsid w:val="009425D4"/>
    <w:rsid w:val="00942B45"/>
    <w:rsid w:val="00946CC0"/>
    <w:rsid w:val="00947095"/>
    <w:rsid w:val="0094722E"/>
    <w:rsid w:val="009479AD"/>
    <w:rsid w:val="00951D51"/>
    <w:rsid w:val="009523E8"/>
    <w:rsid w:val="009525CA"/>
    <w:rsid w:val="009573C8"/>
    <w:rsid w:val="0095758B"/>
    <w:rsid w:val="0096090C"/>
    <w:rsid w:val="009625EF"/>
    <w:rsid w:val="00964D33"/>
    <w:rsid w:val="00965815"/>
    <w:rsid w:val="00966D93"/>
    <w:rsid w:val="00967039"/>
    <w:rsid w:val="009671C3"/>
    <w:rsid w:val="00971844"/>
    <w:rsid w:val="0097530B"/>
    <w:rsid w:val="00980A37"/>
    <w:rsid w:val="0098206B"/>
    <w:rsid w:val="00982301"/>
    <w:rsid w:val="00985429"/>
    <w:rsid w:val="00985675"/>
    <w:rsid w:val="009856CF"/>
    <w:rsid w:val="00985B84"/>
    <w:rsid w:val="0098602E"/>
    <w:rsid w:val="0098676E"/>
    <w:rsid w:val="009868D4"/>
    <w:rsid w:val="00991FC8"/>
    <w:rsid w:val="0099477F"/>
    <w:rsid w:val="00996542"/>
    <w:rsid w:val="00996ED1"/>
    <w:rsid w:val="009A2724"/>
    <w:rsid w:val="009A5C64"/>
    <w:rsid w:val="009A5D7C"/>
    <w:rsid w:val="009A6371"/>
    <w:rsid w:val="009A647F"/>
    <w:rsid w:val="009A7602"/>
    <w:rsid w:val="009A7895"/>
    <w:rsid w:val="009B05E1"/>
    <w:rsid w:val="009B0B0A"/>
    <w:rsid w:val="009B0F5A"/>
    <w:rsid w:val="009B1068"/>
    <w:rsid w:val="009B157A"/>
    <w:rsid w:val="009B398F"/>
    <w:rsid w:val="009B51F9"/>
    <w:rsid w:val="009C0B3A"/>
    <w:rsid w:val="009C1C32"/>
    <w:rsid w:val="009C4CBF"/>
    <w:rsid w:val="009C5CC9"/>
    <w:rsid w:val="009C676C"/>
    <w:rsid w:val="009D07B9"/>
    <w:rsid w:val="009D2202"/>
    <w:rsid w:val="009D2352"/>
    <w:rsid w:val="009D423F"/>
    <w:rsid w:val="009D605F"/>
    <w:rsid w:val="009D672E"/>
    <w:rsid w:val="009D711A"/>
    <w:rsid w:val="009D77B7"/>
    <w:rsid w:val="009D77BC"/>
    <w:rsid w:val="009E3428"/>
    <w:rsid w:val="009E65EF"/>
    <w:rsid w:val="009E6632"/>
    <w:rsid w:val="009F02B1"/>
    <w:rsid w:val="009F079F"/>
    <w:rsid w:val="009F0E22"/>
    <w:rsid w:val="009F3A0D"/>
    <w:rsid w:val="009F7059"/>
    <w:rsid w:val="009F70AC"/>
    <w:rsid w:val="009F7D7D"/>
    <w:rsid w:val="00A0268B"/>
    <w:rsid w:val="00A0367D"/>
    <w:rsid w:val="00A0509F"/>
    <w:rsid w:val="00A05531"/>
    <w:rsid w:val="00A10BE7"/>
    <w:rsid w:val="00A10C47"/>
    <w:rsid w:val="00A123B0"/>
    <w:rsid w:val="00A145DF"/>
    <w:rsid w:val="00A14BB2"/>
    <w:rsid w:val="00A14E73"/>
    <w:rsid w:val="00A165D7"/>
    <w:rsid w:val="00A17164"/>
    <w:rsid w:val="00A21C57"/>
    <w:rsid w:val="00A2389C"/>
    <w:rsid w:val="00A23A4C"/>
    <w:rsid w:val="00A25753"/>
    <w:rsid w:val="00A26ADA"/>
    <w:rsid w:val="00A32111"/>
    <w:rsid w:val="00A33FEA"/>
    <w:rsid w:val="00A36E67"/>
    <w:rsid w:val="00A453AC"/>
    <w:rsid w:val="00A47045"/>
    <w:rsid w:val="00A51173"/>
    <w:rsid w:val="00A55795"/>
    <w:rsid w:val="00A61045"/>
    <w:rsid w:val="00A6379E"/>
    <w:rsid w:val="00A671E3"/>
    <w:rsid w:val="00A72384"/>
    <w:rsid w:val="00A7341F"/>
    <w:rsid w:val="00A73E3C"/>
    <w:rsid w:val="00A74364"/>
    <w:rsid w:val="00A74C37"/>
    <w:rsid w:val="00A755B3"/>
    <w:rsid w:val="00A75738"/>
    <w:rsid w:val="00A758D1"/>
    <w:rsid w:val="00A76FE3"/>
    <w:rsid w:val="00A83C8B"/>
    <w:rsid w:val="00A843E6"/>
    <w:rsid w:val="00A8446F"/>
    <w:rsid w:val="00A847B8"/>
    <w:rsid w:val="00A850BD"/>
    <w:rsid w:val="00A85391"/>
    <w:rsid w:val="00A862B7"/>
    <w:rsid w:val="00A90F1E"/>
    <w:rsid w:val="00A91FC7"/>
    <w:rsid w:val="00A93DF7"/>
    <w:rsid w:val="00AA0A30"/>
    <w:rsid w:val="00AA0EB5"/>
    <w:rsid w:val="00AA14EC"/>
    <w:rsid w:val="00AA161C"/>
    <w:rsid w:val="00AA42BE"/>
    <w:rsid w:val="00AA44B7"/>
    <w:rsid w:val="00AA464E"/>
    <w:rsid w:val="00AA644D"/>
    <w:rsid w:val="00AA797F"/>
    <w:rsid w:val="00AA7E0B"/>
    <w:rsid w:val="00AB206B"/>
    <w:rsid w:val="00AB3115"/>
    <w:rsid w:val="00AB37D8"/>
    <w:rsid w:val="00AB393D"/>
    <w:rsid w:val="00AB634E"/>
    <w:rsid w:val="00AB6F75"/>
    <w:rsid w:val="00AC3EF2"/>
    <w:rsid w:val="00AC550A"/>
    <w:rsid w:val="00AC6453"/>
    <w:rsid w:val="00AD1BA3"/>
    <w:rsid w:val="00AD1D6C"/>
    <w:rsid w:val="00AD4449"/>
    <w:rsid w:val="00AE16A0"/>
    <w:rsid w:val="00AE22CE"/>
    <w:rsid w:val="00AE5D1C"/>
    <w:rsid w:val="00AE7B90"/>
    <w:rsid w:val="00B0403A"/>
    <w:rsid w:val="00B0485C"/>
    <w:rsid w:val="00B05B5E"/>
    <w:rsid w:val="00B07734"/>
    <w:rsid w:val="00B07A1C"/>
    <w:rsid w:val="00B07FAD"/>
    <w:rsid w:val="00B1079D"/>
    <w:rsid w:val="00B107B0"/>
    <w:rsid w:val="00B10D4C"/>
    <w:rsid w:val="00B15A80"/>
    <w:rsid w:val="00B15BD3"/>
    <w:rsid w:val="00B1673D"/>
    <w:rsid w:val="00B169B4"/>
    <w:rsid w:val="00B21FF2"/>
    <w:rsid w:val="00B22062"/>
    <w:rsid w:val="00B233F8"/>
    <w:rsid w:val="00B2378D"/>
    <w:rsid w:val="00B23FF8"/>
    <w:rsid w:val="00B24E32"/>
    <w:rsid w:val="00B251C6"/>
    <w:rsid w:val="00B2594A"/>
    <w:rsid w:val="00B300CA"/>
    <w:rsid w:val="00B3072D"/>
    <w:rsid w:val="00B30F08"/>
    <w:rsid w:val="00B312AB"/>
    <w:rsid w:val="00B3526D"/>
    <w:rsid w:val="00B361FA"/>
    <w:rsid w:val="00B367DE"/>
    <w:rsid w:val="00B36982"/>
    <w:rsid w:val="00B40F5C"/>
    <w:rsid w:val="00B41E69"/>
    <w:rsid w:val="00B4233C"/>
    <w:rsid w:val="00B42A9D"/>
    <w:rsid w:val="00B42DEB"/>
    <w:rsid w:val="00B44CE9"/>
    <w:rsid w:val="00B45D57"/>
    <w:rsid w:val="00B469F1"/>
    <w:rsid w:val="00B46FE3"/>
    <w:rsid w:val="00B5010D"/>
    <w:rsid w:val="00B513E4"/>
    <w:rsid w:val="00B51B7D"/>
    <w:rsid w:val="00B52D4A"/>
    <w:rsid w:val="00B52F99"/>
    <w:rsid w:val="00B602A3"/>
    <w:rsid w:val="00B62206"/>
    <w:rsid w:val="00B62FD1"/>
    <w:rsid w:val="00B64532"/>
    <w:rsid w:val="00B66E15"/>
    <w:rsid w:val="00B70ED8"/>
    <w:rsid w:val="00B70F67"/>
    <w:rsid w:val="00B72500"/>
    <w:rsid w:val="00B74829"/>
    <w:rsid w:val="00B75A40"/>
    <w:rsid w:val="00B75AD7"/>
    <w:rsid w:val="00B800CC"/>
    <w:rsid w:val="00B80F7A"/>
    <w:rsid w:val="00B81BA6"/>
    <w:rsid w:val="00B820E7"/>
    <w:rsid w:val="00B83901"/>
    <w:rsid w:val="00B862D7"/>
    <w:rsid w:val="00B871EF"/>
    <w:rsid w:val="00B87572"/>
    <w:rsid w:val="00B8772A"/>
    <w:rsid w:val="00B94F8C"/>
    <w:rsid w:val="00B94FC1"/>
    <w:rsid w:val="00B9505F"/>
    <w:rsid w:val="00B96608"/>
    <w:rsid w:val="00B969CE"/>
    <w:rsid w:val="00BA2B5D"/>
    <w:rsid w:val="00BA2DE0"/>
    <w:rsid w:val="00BA4DFF"/>
    <w:rsid w:val="00BA61D7"/>
    <w:rsid w:val="00BA6AD4"/>
    <w:rsid w:val="00BB16D7"/>
    <w:rsid w:val="00BB1F80"/>
    <w:rsid w:val="00BB352D"/>
    <w:rsid w:val="00BB3C37"/>
    <w:rsid w:val="00BB4384"/>
    <w:rsid w:val="00BC1D1F"/>
    <w:rsid w:val="00BC2360"/>
    <w:rsid w:val="00BC3F38"/>
    <w:rsid w:val="00BD04D0"/>
    <w:rsid w:val="00BD1855"/>
    <w:rsid w:val="00BD3FAB"/>
    <w:rsid w:val="00BD6994"/>
    <w:rsid w:val="00BD7F86"/>
    <w:rsid w:val="00BD7FEF"/>
    <w:rsid w:val="00BE122D"/>
    <w:rsid w:val="00BE291F"/>
    <w:rsid w:val="00BE4216"/>
    <w:rsid w:val="00BE7C57"/>
    <w:rsid w:val="00BF00CD"/>
    <w:rsid w:val="00BF228D"/>
    <w:rsid w:val="00BF2EC4"/>
    <w:rsid w:val="00BF45C4"/>
    <w:rsid w:val="00BF4924"/>
    <w:rsid w:val="00BF6F34"/>
    <w:rsid w:val="00BF7AD6"/>
    <w:rsid w:val="00C00830"/>
    <w:rsid w:val="00C00A9E"/>
    <w:rsid w:val="00C01CD8"/>
    <w:rsid w:val="00C01E50"/>
    <w:rsid w:val="00C034F5"/>
    <w:rsid w:val="00C03B75"/>
    <w:rsid w:val="00C04EE6"/>
    <w:rsid w:val="00C062EF"/>
    <w:rsid w:val="00C07741"/>
    <w:rsid w:val="00C10795"/>
    <w:rsid w:val="00C115C5"/>
    <w:rsid w:val="00C1366B"/>
    <w:rsid w:val="00C21A64"/>
    <w:rsid w:val="00C26A6F"/>
    <w:rsid w:val="00C272D8"/>
    <w:rsid w:val="00C27C25"/>
    <w:rsid w:val="00C30279"/>
    <w:rsid w:val="00C3358A"/>
    <w:rsid w:val="00C33A4C"/>
    <w:rsid w:val="00C34D65"/>
    <w:rsid w:val="00C35CE9"/>
    <w:rsid w:val="00C365A3"/>
    <w:rsid w:val="00C43BEA"/>
    <w:rsid w:val="00C441E9"/>
    <w:rsid w:val="00C4563E"/>
    <w:rsid w:val="00C45ACE"/>
    <w:rsid w:val="00C45E9F"/>
    <w:rsid w:val="00C46DBF"/>
    <w:rsid w:val="00C52BC5"/>
    <w:rsid w:val="00C52D36"/>
    <w:rsid w:val="00C53EDD"/>
    <w:rsid w:val="00C603D8"/>
    <w:rsid w:val="00C608D6"/>
    <w:rsid w:val="00C60947"/>
    <w:rsid w:val="00C61958"/>
    <w:rsid w:val="00C63A4A"/>
    <w:rsid w:val="00C65641"/>
    <w:rsid w:val="00C6738E"/>
    <w:rsid w:val="00C677E3"/>
    <w:rsid w:val="00C679C9"/>
    <w:rsid w:val="00C728E6"/>
    <w:rsid w:val="00C73CA9"/>
    <w:rsid w:val="00C765D5"/>
    <w:rsid w:val="00C76BB5"/>
    <w:rsid w:val="00C77C04"/>
    <w:rsid w:val="00C80233"/>
    <w:rsid w:val="00C84C3C"/>
    <w:rsid w:val="00C852BE"/>
    <w:rsid w:val="00C8640C"/>
    <w:rsid w:val="00C8763E"/>
    <w:rsid w:val="00C9062C"/>
    <w:rsid w:val="00C9280A"/>
    <w:rsid w:val="00C93CEF"/>
    <w:rsid w:val="00C9425F"/>
    <w:rsid w:val="00C975CA"/>
    <w:rsid w:val="00CA0748"/>
    <w:rsid w:val="00CA09C5"/>
    <w:rsid w:val="00CA1783"/>
    <w:rsid w:val="00CA20BD"/>
    <w:rsid w:val="00CA3FAB"/>
    <w:rsid w:val="00CA55CD"/>
    <w:rsid w:val="00CB09BA"/>
    <w:rsid w:val="00CB2000"/>
    <w:rsid w:val="00CB207C"/>
    <w:rsid w:val="00CB2BF7"/>
    <w:rsid w:val="00CB5481"/>
    <w:rsid w:val="00CB55EB"/>
    <w:rsid w:val="00CB5BC1"/>
    <w:rsid w:val="00CB5CFD"/>
    <w:rsid w:val="00CB6F61"/>
    <w:rsid w:val="00CB7D31"/>
    <w:rsid w:val="00CC0144"/>
    <w:rsid w:val="00CC07A6"/>
    <w:rsid w:val="00CC1327"/>
    <w:rsid w:val="00CC1E6E"/>
    <w:rsid w:val="00CC472C"/>
    <w:rsid w:val="00CC788B"/>
    <w:rsid w:val="00CD3D73"/>
    <w:rsid w:val="00CD3F99"/>
    <w:rsid w:val="00CD4CB1"/>
    <w:rsid w:val="00CD683B"/>
    <w:rsid w:val="00CE0BE8"/>
    <w:rsid w:val="00CE197B"/>
    <w:rsid w:val="00CE28E2"/>
    <w:rsid w:val="00CE37DB"/>
    <w:rsid w:val="00CE3F6F"/>
    <w:rsid w:val="00CE4845"/>
    <w:rsid w:val="00CE4F69"/>
    <w:rsid w:val="00CF0396"/>
    <w:rsid w:val="00CF08E5"/>
    <w:rsid w:val="00CF21C8"/>
    <w:rsid w:val="00CF429C"/>
    <w:rsid w:val="00CF5C2B"/>
    <w:rsid w:val="00CF5FC6"/>
    <w:rsid w:val="00CF68CE"/>
    <w:rsid w:val="00CF6AD5"/>
    <w:rsid w:val="00CF6F99"/>
    <w:rsid w:val="00D0020A"/>
    <w:rsid w:val="00D00BB4"/>
    <w:rsid w:val="00D0291A"/>
    <w:rsid w:val="00D02CAE"/>
    <w:rsid w:val="00D034D1"/>
    <w:rsid w:val="00D06F35"/>
    <w:rsid w:val="00D127D0"/>
    <w:rsid w:val="00D12AD8"/>
    <w:rsid w:val="00D147AE"/>
    <w:rsid w:val="00D14A98"/>
    <w:rsid w:val="00D15574"/>
    <w:rsid w:val="00D15B6D"/>
    <w:rsid w:val="00D170B4"/>
    <w:rsid w:val="00D219FA"/>
    <w:rsid w:val="00D22C76"/>
    <w:rsid w:val="00D24ADD"/>
    <w:rsid w:val="00D24FE4"/>
    <w:rsid w:val="00D25FEC"/>
    <w:rsid w:val="00D269D1"/>
    <w:rsid w:val="00D27231"/>
    <w:rsid w:val="00D32E46"/>
    <w:rsid w:val="00D33737"/>
    <w:rsid w:val="00D362A7"/>
    <w:rsid w:val="00D364AA"/>
    <w:rsid w:val="00D376DB"/>
    <w:rsid w:val="00D40D5C"/>
    <w:rsid w:val="00D45B5F"/>
    <w:rsid w:val="00D4656B"/>
    <w:rsid w:val="00D50249"/>
    <w:rsid w:val="00D52156"/>
    <w:rsid w:val="00D53570"/>
    <w:rsid w:val="00D538EF"/>
    <w:rsid w:val="00D540E9"/>
    <w:rsid w:val="00D56B2D"/>
    <w:rsid w:val="00D600A9"/>
    <w:rsid w:val="00D60343"/>
    <w:rsid w:val="00D61A39"/>
    <w:rsid w:val="00D64CF6"/>
    <w:rsid w:val="00D6635D"/>
    <w:rsid w:val="00D66FF0"/>
    <w:rsid w:val="00D6780D"/>
    <w:rsid w:val="00D72521"/>
    <w:rsid w:val="00D74D38"/>
    <w:rsid w:val="00D771B5"/>
    <w:rsid w:val="00D808D2"/>
    <w:rsid w:val="00D818DE"/>
    <w:rsid w:val="00D8285D"/>
    <w:rsid w:val="00D8344F"/>
    <w:rsid w:val="00D84682"/>
    <w:rsid w:val="00D84E0E"/>
    <w:rsid w:val="00D8614F"/>
    <w:rsid w:val="00D873F5"/>
    <w:rsid w:val="00D90772"/>
    <w:rsid w:val="00D912B0"/>
    <w:rsid w:val="00D918C4"/>
    <w:rsid w:val="00D91ADA"/>
    <w:rsid w:val="00D92C5C"/>
    <w:rsid w:val="00D944C3"/>
    <w:rsid w:val="00D9511B"/>
    <w:rsid w:val="00DA0A8C"/>
    <w:rsid w:val="00DA1628"/>
    <w:rsid w:val="00DA63AE"/>
    <w:rsid w:val="00DA6E52"/>
    <w:rsid w:val="00DA748E"/>
    <w:rsid w:val="00DA7F49"/>
    <w:rsid w:val="00DA7F53"/>
    <w:rsid w:val="00DB20FD"/>
    <w:rsid w:val="00DC2582"/>
    <w:rsid w:val="00DC5F60"/>
    <w:rsid w:val="00DC7788"/>
    <w:rsid w:val="00DD0376"/>
    <w:rsid w:val="00DD140B"/>
    <w:rsid w:val="00DD1E3F"/>
    <w:rsid w:val="00DD1E62"/>
    <w:rsid w:val="00DD323B"/>
    <w:rsid w:val="00DD5152"/>
    <w:rsid w:val="00DD6AD6"/>
    <w:rsid w:val="00DD6D4C"/>
    <w:rsid w:val="00DD765D"/>
    <w:rsid w:val="00DE1251"/>
    <w:rsid w:val="00DE1407"/>
    <w:rsid w:val="00DE1A5C"/>
    <w:rsid w:val="00DE292A"/>
    <w:rsid w:val="00DE459A"/>
    <w:rsid w:val="00DF000F"/>
    <w:rsid w:val="00DF2866"/>
    <w:rsid w:val="00DF32B2"/>
    <w:rsid w:val="00DF4CD3"/>
    <w:rsid w:val="00DF70EB"/>
    <w:rsid w:val="00DF7750"/>
    <w:rsid w:val="00E00D6B"/>
    <w:rsid w:val="00E00D77"/>
    <w:rsid w:val="00E03226"/>
    <w:rsid w:val="00E05887"/>
    <w:rsid w:val="00E070EE"/>
    <w:rsid w:val="00E118AE"/>
    <w:rsid w:val="00E11EB6"/>
    <w:rsid w:val="00E24B13"/>
    <w:rsid w:val="00E24F5C"/>
    <w:rsid w:val="00E256D4"/>
    <w:rsid w:val="00E27154"/>
    <w:rsid w:val="00E30F4E"/>
    <w:rsid w:val="00E3204A"/>
    <w:rsid w:val="00E33764"/>
    <w:rsid w:val="00E341D3"/>
    <w:rsid w:val="00E3493D"/>
    <w:rsid w:val="00E3644B"/>
    <w:rsid w:val="00E37309"/>
    <w:rsid w:val="00E37779"/>
    <w:rsid w:val="00E40685"/>
    <w:rsid w:val="00E41555"/>
    <w:rsid w:val="00E418DD"/>
    <w:rsid w:val="00E4475A"/>
    <w:rsid w:val="00E44977"/>
    <w:rsid w:val="00E45F28"/>
    <w:rsid w:val="00E51D3C"/>
    <w:rsid w:val="00E52974"/>
    <w:rsid w:val="00E53FBF"/>
    <w:rsid w:val="00E54B4A"/>
    <w:rsid w:val="00E54D0A"/>
    <w:rsid w:val="00E54E44"/>
    <w:rsid w:val="00E5551E"/>
    <w:rsid w:val="00E63858"/>
    <w:rsid w:val="00E639CF"/>
    <w:rsid w:val="00E64D0C"/>
    <w:rsid w:val="00E64DC1"/>
    <w:rsid w:val="00E65E72"/>
    <w:rsid w:val="00E664D4"/>
    <w:rsid w:val="00E6693B"/>
    <w:rsid w:val="00E729B2"/>
    <w:rsid w:val="00E743CA"/>
    <w:rsid w:val="00E7580A"/>
    <w:rsid w:val="00E75AB4"/>
    <w:rsid w:val="00E8411A"/>
    <w:rsid w:val="00E8486C"/>
    <w:rsid w:val="00E8627B"/>
    <w:rsid w:val="00E8666B"/>
    <w:rsid w:val="00E869ED"/>
    <w:rsid w:val="00E93E71"/>
    <w:rsid w:val="00E96C8F"/>
    <w:rsid w:val="00EA1D57"/>
    <w:rsid w:val="00EA2579"/>
    <w:rsid w:val="00EA5026"/>
    <w:rsid w:val="00EA521F"/>
    <w:rsid w:val="00EA579F"/>
    <w:rsid w:val="00EA5CBB"/>
    <w:rsid w:val="00EA6971"/>
    <w:rsid w:val="00EA74D1"/>
    <w:rsid w:val="00EA7973"/>
    <w:rsid w:val="00EB00C0"/>
    <w:rsid w:val="00EB2C91"/>
    <w:rsid w:val="00EB609E"/>
    <w:rsid w:val="00EC019D"/>
    <w:rsid w:val="00EC2957"/>
    <w:rsid w:val="00EC360E"/>
    <w:rsid w:val="00EC40DA"/>
    <w:rsid w:val="00EC7CEF"/>
    <w:rsid w:val="00ED0716"/>
    <w:rsid w:val="00ED6109"/>
    <w:rsid w:val="00EE1B0C"/>
    <w:rsid w:val="00EE1C9E"/>
    <w:rsid w:val="00EE51D8"/>
    <w:rsid w:val="00EE550D"/>
    <w:rsid w:val="00EE5D4C"/>
    <w:rsid w:val="00EE6B38"/>
    <w:rsid w:val="00EF32C2"/>
    <w:rsid w:val="00EF467F"/>
    <w:rsid w:val="00EF5B57"/>
    <w:rsid w:val="00EF5E9F"/>
    <w:rsid w:val="00EF60C1"/>
    <w:rsid w:val="00EF78B7"/>
    <w:rsid w:val="00F00558"/>
    <w:rsid w:val="00F00952"/>
    <w:rsid w:val="00F00B2D"/>
    <w:rsid w:val="00F0112A"/>
    <w:rsid w:val="00F01FC1"/>
    <w:rsid w:val="00F037C3"/>
    <w:rsid w:val="00F136FF"/>
    <w:rsid w:val="00F13F13"/>
    <w:rsid w:val="00F14D25"/>
    <w:rsid w:val="00F159AA"/>
    <w:rsid w:val="00F20505"/>
    <w:rsid w:val="00F20C78"/>
    <w:rsid w:val="00F221BF"/>
    <w:rsid w:val="00F26E78"/>
    <w:rsid w:val="00F27B0B"/>
    <w:rsid w:val="00F30303"/>
    <w:rsid w:val="00F30350"/>
    <w:rsid w:val="00F32A09"/>
    <w:rsid w:val="00F358DE"/>
    <w:rsid w:val="00F37F83"/>
    <w:rsid w:val="00F40B16"/>
    <w:rsid w:val="00F41A2A"/>
    <w:rsid w:val="00F4206A"/>
    <w:rsid w:val="00F44DE2"/>
    <w:rsid w:val="00F452D2"/>
    <w:rsid w:val="00F45343"/>
    <w:rsid w:val="00F45C4B"/>
    <w:rsid w:val="00F47C3C"/>
    <w:rsid w:val="00F50212"/>
    <w:rsid w:val="00F53553"/>
    <w:rsid w:val="00F54577"/>
    <w:rsid w:val="00F57F02"/>
    <w:rsid w:val="00F61130"/>
    <w:rsid w:val="00F6299A"/>
    <w:rsid w:val="00F62B64"/>
    <w:rsid w:val="00F62FD6"/>
    <w:rsid w:val="00F633B5"/>
    <w:rsid w:val="00F63785"/>
    <w:rsid w:val="00F64F3A"/>
    <w:rsid w:val="00F70C50"/>
    <w:rsid w:val="00F725A2"/>
    <w:rsid w:val="00F73C11"/>
    <w:rsid w:val="00F7425F"/>
    <w:rsid w:val="00F768C4"/>
    <w:rsid w:val="00F77576"/>
    <w:rsid w:val="00F814B4"/>
    <w:rsid w:val="00F83305"/>
    <w:rsid w:val="00F84D57"/>
    <w:rsid w:val="00F85551"/>
    <w:rsid w:val="00F85593"/>
    <w:rsid w:val="00F85F69"/>
    <w:rsid w:val="00F876F7"/>
    <w:rsid w:val="00F87ACD"/>
    <w:rsid w:val="00F87D39"/>
    <w:rsid w:val="00F907FB"/>
    <w:rsid w:val="00F91216"/>
    <w:rsid w:val="00F9181C"/>
    <w:rsid w:val="00F933D1"/>
    <w:rsid w:val="00F968CD"/>
    <w:rsid w:val="00F96F0A"/>
    <w:rsid w:val="00F97C62"/>
    <w:rsid w:val="00FA2087"/>
    <w:rsid w:val="00FA3049"/>
    <w:rsid w:val="00FA5B14"/>
    <w:rsid w:val="00FA5D07"/>
    <w:rsid w:val="00FA7F92"/>
    <w:rsid w:val="00FB09BC"/>
    <w:rsid w:val="00FB2891"/>
    <w:rsid w:val="00FB350A"/>
    <w:rsid w:val="00FB3530"/>
    <w:rsid w:val="00FB3842"/>
    <w:rsid w:val="00FB69D1"/>
    <w:rsid w:val="00FB7E0A"/>
    <w:rsid w:val="00FC0331"/>
    <w:rsid w:val="00FC0B9E"/>
    <w:rsid w:val="00FC0D1D"/>
    <w:rsid w:val="00FC1BC3"/>
    <w:rsid w:val="00FC227A"/>
    <w:rsid w:val="00FC23A0"/>
    <w:rsid w:val="00FD4BFD"/>
    <w:rsid w:val="00FD5AA2"/>
    <w:rsid w:val="00FD712F"/>
    <w:rsid w:val="00FE1D8F"/>
    <w:rsid w:val="00FE3B84"/>
    <w:rsid w:val="00FE3DDE"/>
    <w:rsid w:val="00FE65EC"/>
    <w:rsid w:val="00FE7490"/>
    <w:rsid w:val="00FF0C90"/>
    <w:rsid w:val="00FF0C9B"/>
    <w:rsid w:val="00FF1E45"/>
    <w:rsid w:val="00FF1EC5"/>
    <w:rsid w:val="00FF28D6"/>
    <w:rsid w:val="00FF5FCD"/>
    <w:rsid w:val="00FF609E"/>
    <w:rsid w:val="00FF7492"/>
    <w:rsid w:val="00FF7B02"/>
    <w:rsid w:val="00FF7C59"/>
  </w:rsids>
  <m:mathPr>
    <m:mathFont m:val="Cambria Math"/>
    <m:brkBin m:val="before"/>
    <m:brkBinSub m:val="--"/>
    <m:smallFrac m:val="0"/>
    <m:dispDef/>
    <m:lMargin m:val="0"/>
    <m:rMargin m:val="0"/>
    <m:defJc m:val="centerGroup"/>
    <m:wrapIndent m:val="1440"/>
    <m:intLim m:val="subSup"/>
    <m:naryLim m:val="undOvr"/>
  </m:mathPr>
  <w:themeFontLang w:val="en-GB" w:eastAsia="ja-JP"/>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2A5F542"/>
  <w15:chartTrackingRefBased/>
  <w15:docId w15:val="{D53928C8-F2D8-F840-A330-819711EAAFF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Arial" w:eastAsiaTheme="minorHAnsi" w:hAnsi="Arial" w:cs="Arial"/>
        <w:sz w:val="24"/>
        <w:szCs w:val="24"/>
        <w:lang w:val="en-GB"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6B1176"/>
    <w:pPr>
      <w:spacing w:line="480" w:lineRule="auto"/>
    </w:pPr>
    <w:rPr>
      <w:rFonts w:ascii="Times New Roman" w:hAnsi="Times New Roman" w:cs="Times New Roman"/>
    </w:rPr>
  </w:style>
  <w:style w:type="paragraph" w:styleId="Heading1">
    <w:name w:val="heading 1"/>
    <w:basedOn w:val="Normal"/>
    <w:next w:val="Normal"/>
    <w:link w:val="Heading1Char"/>
    <w:uiPriority w:val="9"/>
    <w:qFormat/>
    <w:rsid w:val="004D3F97"/>
    <w:pPr>
      <w:keepNext/>
      <w:keepLines/>
      <w:numPr>
        <w:numId w:val="15"/>
      </w:numPr>
      <w:spacing w:before="240" w:line="360" w:lineRule="auto"/>
      <w:outlineLvl w:val="0"/>
    </w:pPr>
    <w:rPr>
      <w:rFonts w:eastAsiaTheme="majorEastAsia" w:cstheme="majorBidi"/>
      <w:b/>
      <w:color w:val="000000" w:themeColor="text1"/>
      <w:sz w:val="48"/>
      <w:szCs w:val="32"/>
    </w:rPr>
  </w:style>
  <w:style w:type="paragraph" w:styleId="Heading2">
    <w:name w:val="heading 2"/>
    <w:basedOn w:val="Normal"/>
    <w:next w:val="Normal"/>
    <w:link w:val="Heading2Char"/>
    <w:uiPriority w:val="9"/>
    <w:unhideWhenUsed/>
    <w:qFormat/>
    <w:rsid w:val="004D3F97"/>
    <w:pPr>
      <w:keepNext/>
      <w:keepLines/>
      <w:numPr>
        <w:ilvl w:val="1"/>
        <w:numId w:val="15"/>
      </w:numPr>
      <w:spacing w:before="40" w:line="360" w:lineRule="auto"/>
      <w:outlineLvl w:val="1"/>
    </w:pPr>
    <w:rPr>
      <w:rFonts w:eastAsiaTheme="majorEastAsia" w:cstheme="majorBidi"/>
      <w:b/>
      <w:color w:val="000000" w:themeColor="text1"/>
      <w:szCs w:val="26"/>
    </w:rPr>
  </w:style>
  <w:style w:type="paragraph" w:styleId="Heading3">
    <w:name w:val="heading 3"/>
    <w:basedOn w:val="Normal"/>
    <w:next w:val="Normal"/>
    <w:link w:val="Heading3Char"/>
    <w:uiPriority w:val="9"/>
    <w:unhideWhenUsed/>
    <w:qFormat/>
    <w:rsid w:val="004D3F97"/>
    <w:pPr>
      <w:keepNext/>
      <w:keepLines/>
      <w:numPr>
        <w:ilvl w:val="2"/>
        <w:numId w:val="15"/>
      </w:numPr>
      <w:spacing w:before="40" w:line="360" w:lineRule="auto"/>
      <w:outlineLvl w:val="2"/>
    </w:pPr>
    <w:rPr>
      <w:rFonts w:eastAsiaTheme="majorEastAsia" w:cstheme="majorBidi"/>
      <w:b/>
    </w:rPr>
  </w:style>
  <w:style w:type="paragraph" w:styleId="Heading4">
    <w:name w:val="heading 4"/>
    <w:basedOn w:val="Normal"/>
    <w:next w:val="Normal"/>
    <w:link w:val="Heading4Char"/>
    <w:uiPriority w:val="9"/>
    <w:unhideWhenUsed/>
    <w:qFormat/>
    <w:rsid w:val="004D3F97"/>
    <w:pPr>
      <w:keepNext/>
      <w:keepLines/>
      <w:numPr>
        <w:ilvl w:val="3"/>
        <w:numId w:val="15"/>
      </w:numPr>
      <w:spacing w:before="40" w:line="360" w:lineRule="auto"/>
      <w:outlineLvl w:val="3"/>
    </w:pPr>
    <w:rPr>
      <w:rFonts w:eastAsiaTheme="majorEastAsia" w:cstheme="majorBidi"/>
      <w:b/>
      <w:iCs/>
    </w:rPr>
  </w:style>
  <w:style w:type="paragraph" w:styleId="Heading5">
    <w:name w:val="heading 5"/>
    <w:basedOn w:val="Normal"/>
    <w:next w:val="Normal"/>
    <w:link w:val="Heading5Char"/>
    <w:uiPriority w:val="9"/>
    <w:unhideWhenUsed/>
    <w:qFormat/>
    <w:rsid w:val="004D3F97"/>
    <w:pPr>
      <w:keepNext/>
      <w:keepLines/>
      <w:numPr>
        <w:ilvl w:val="4"/>
        <w:numId w:val="15"/>
      </w:numPr>
      <w:spacing w:before="200"/>
      <w:outlineLvl w:val="4"/>
    </w:pPr>
    <w:rPr>
      <w:rFonts w:eastAsiaTheme="majorEastAsia" w:cstheme="majorBidi"/>
      <w:b/>
      <w:color w:val="000000" w:themeColor="text1"/>
    </w:rPr>
  </w:style>
  <w:style w:type="paragraph" w:styleId="Heading6">
    <w:name w:val="heading 6"/>
    <w:basedOn w:val="Normal"/>
    <w:next w:val="Normal"/>
    <w:link w:val="Heading6Char"/>
    <w:uiPriority w:val="9"/>
    <w:unhideWhenUsed/>
    <w:qFormat/>
    <w:rsid w:val="004D3F97"/>
    <w:pPr>
      <w:keepNext/>
      <w:keepLines/>
      <w:numPr>
        <w:ilvl w:val="5"/>
        <w:numId w:val="15"/>
      </w:numPr>
      <w:spacing w:before="200"/>
      <w:outlineLvl w:val="5"/>
    </w:pPr>
    <w:rPr>
      <w:rFonts w:eastAsiaTheme="majorEastAsia" w:cstheme="majorBidi"/>
      <w:b/>
      <w:iCs/>
      <w:color w:val="000000" w:themeColor="text1"/>
    </w:rPr>
  </w:style>
  <w:style w:type="paragraph" w:styleId="Heading7">
    <w:name w:val="heading 7"/>
    <w:basedOn w:val="Normal"/>
    <w:next w:val="Normal"/>
    <w:link w:val="Heading7Char"/>
    <w:uiPriority w:val="9"/>
    <w:semiHidden/>
    <w:unhideWhenUsed/>
    <w:qFormat/>
    <w:rsid w:val="004D3F97"/>
    <w:pPr>
      <w:keepNext/>
      <w:keepLines/>
      <w:numPr>
        <w:ilvl w:val="6"/>
        <w:numId w:val="15"/>
      </w:numPr>
      <w:spacing w:before="20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4D3F97"/>
    <w:pPr>
      <w:keepNext/>
      <w:keepLines/>
      <w:numPr>
        <w:ilvl w:val="7"/>
        <w:numId w:val="15"/>
      </w:numPr>
      <w:spacing w:before="20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semiHidden/>
    <w:unhideWhenUsed/>
    <w:qFormat/>
    <w:rsid w:val="004D3F97"/>
    <w:pPr>
      <w:keepNext/>
      <w:keepLines/>
      <w:numPr>
        <w:ilvl w:val="8"/>
        <w:numId w:val="15"/>
      </w:numPr>
      <w:spacing w:before="20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FE3DDE"/>
    <w:rPr>
      <w:rFonts w:ascii="Times New Roman" w:eastAsiaTheme="majorEastAsia" w:hAnsi="Times New Roman" w:cstheme="majorBidi"/>
      <w:b/>
      <w:color w:val="000000" w:themeColor="text1"/>
      <w:sz w:val="48"/>
      <w:szCs w:val="32"/>
    </w:rPr>
  </w:style>
  <w:style w:type="character" w:customStyle="1" w:styleId="Heading2Char">
    <w:name w:val="Heading 2 Char"/>
    <w:basedOn w:val="DefaultParagraphFont"/>
    <w:link w:val="Heading2"/>
    <w:uiPriority w:val="9"/>
    <w:rsid w:val="00C608D6"/>
    <w:rPr>
      <w:rFonts w:ascii="Times New Roman" w:eastAsiaTheme="majorEastAsia" w:hAnsi="Times New Roman" w:cstheme="majorBidi"/>
      <w:b/>
      <w:color w:val="000000" w:themeColor="text1"/>
      <w:szCs w:val="26"/>
    </w:rPr>
  </w:style>
  <w:style w:type="character" w:customStyle="1" w:styleId="Heading3Char">
    <w:name w:val="Heading 3 Char"/>
    <w:basedOn w:val="DefaultParagraphFont"/>
    <w:link w:val="Heading3"/>
    <w:uiPriority w:val="9"/>
    <w:rsid w:val="00C608D6"/>
    <w:rPr>
      <w:rFonts w:ascii="Times New Roman" w:eastAsiaTheme="majorEastAsia" w:hAnsi="Times New Roman" w:cstheme="majorBidi"/>
      <w:b/>
    </w:rPr>
  </w:style>
  <w:style w:type="character" w:customStyle="1" w:styleId="Heading4Char">
    <w:name w:val="Heading 4 Char"/>
    <w:basedOn w:val="DefaultParagraphFont"/>
    <w:link w:val="Heading4"/>
    <w:uiPriority w:val="9"/>
    <w:rsid w:val="00AB3115"/>
    <w:rPr>
      <w:rFonts w:ascii="Times New Roman" w:eastAsiaTheme="majorEastAsia" w:hAnsi="Times New Roman" w:cstheme="majorBidi"/>
      <w:b/>
      <w:iCs/>
    </w:rPr>
  </w:style>
  <w:style w:type="character" w:customStyle="1" w:styleId="Heading5Char">
    <w:name w:val="Heading 5 Char"/>
    <w:basedOn w:val="DefaultParagraphFont"/>
    <w:link w:val="Heading5"/>
    <w:uiPriority w:val="9"/>
    <w:rsid w:val="006B1176"/>
    <w:rPr>
      <w:rFonts w:ascii="Times New Roman" w:eastAsiaTheme="majorEastAsia" w:hAnsi="Times New Roman" w:cstheme="majorBidi"/>
      <w:b/>
      <w:color w:val="000000" w:themeColor="text1"/>
    </w:rPr>
  </w:style>
  <w:style w:type="character" w:customStyle="1" w:styleId="Heading6Char">
    <w:name w:val="Heading 6 Char"/>
    <w:basedOn w:val="DefaultParagraphFont"/>
    <w:link w:val="Heading6"/>
    <w:uiPriority w:val="9"/>
    <w:rsid w:val="006B1176"/>
    <w:rPr>
      <w:rFonts w:ascii="Times New Roman" w:eastAsiaTheme="majorEastAsia" w:hAnsi="Times New Roman" w:cstheme="majorBidi"/>
      <w:b/>
      <w:iCs/>
      <w:color w:val="000000" w:themeColor="text1"/>
    </w:rPr>
  </w:style>
  <w:style w:type="character" w:customStyle="1" w:styleId="Heading7Char">
    <w:name w:val="Heading 7 Char"/>
    <w:basedOn w:val="DefaultParagraphFont"/>
    <w:link w:val="Heading7"/>
    <w:uiPriority w:val="9"/>
    <w:semiHidden/>
    <w:rsid w:val="006B1176"/>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6B1176"/>
    <w:rPr>
      <w:rFonts w:asciiTheme="majorHAnsi" w:eastAsiaTheme="majorEastAsia" w:hAnsiTheme="majorHAnsi" w:cstheme="majorBidi"/>
      <w:color w:val="404040" w:themeColor="text1" w:themeTint="BF"/>
      <w:sz w:val="20"/>
      <w:szCs w:val="20"/>
    </w:rPr>
  </w:style>
  <w:style w:type="character" w:customStyle="1" w:styleId="Heading9Char">
    <w:name w:val="Heading 9 Char"/>
    <w:basedOn w:val="DefaultParagraphFont"/>
    <w:link w:val="Heading9"/>
    <w:uiPriority w:val="9"/>
    <w:semiHidden/>
    <w:rsid w:val="006B1176"/>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unhideWhenUsed/>
    <w:qFormat/>
    <w:rsid w:val="006B1176"/>
    <w:pPr>
      <w:spacing w:after="200"/>
    </w:pPr>
    <w:rPr>
      <w:iCs/>
      <w:color w:val="000000" w:themeColor="text1"/>
      <w:szCs w:val="18"/>
    </w:rPr>
  </w:style>
  <w:style w:type="paragraph" w:styleId="Header">
    <w:name w:val="header"/>
    <w:basedOn w:val="Normal"/>
    <w:link w:val="HeaderChar"/>
    <w:uiPriority w:val="99"/>
    <w:unhideWhenUsed/>
    <w:rsid w:val="00E96C8F"/>
    <w:pPr>
      <w:tabs>
        <w:tab w:val="center" w:pos="4513"/>
        <w:tab w:val="right" w:pos="9026"/>
      </w:tabs>
      <w:spacing w:line="240" w:lineRule="auto"/>
    </w:pPr>
  </w:style>
  <w:style w:type="character" w:customStyle="1" w:styleId="HeaderChar">
    <w:name w:val="Header Char"/>
    <w:basedOn w:val="DefaultParagraphFont"/>
    <w:link w:val="Header"/>
    <w:uiPriority w:val="99"/>
    <w:rsid w:val="00E96C8F"/>
    <w:rPr>
      <w:rFonts w:ascii="Times New Roman" w:hAnsi="Times New Roman" w:cs="Times New Roman"/>
    </w:rPr>
  </w:style>
  <w:style w:type="paragraph" w:styleId="Footer">
    <w:name w:val="footer"/>
    <w:basedOn w:val="Normal"/>
    <w:link w:val="FooterChar"/>
    <w:uiPriority w:val="99"/>
    <w:unhideWhenUsed/>
    <w:rsid w:val="00E96C8F"/>
    <w:pPr>
      <w:tabs>
        <w:tab w:val="center" w:pos="4513"/>
        <w:tab w:val="right" w:pos="9026"/>
      </w:tabs>
      <w:spacing w:line="240" w:lineRule="auto"/>
    </w:pPr>
  </w:style>
  <w:style w:type="character" w:customStyle="1" w:styleId="FooterChar">
    <w:name w:val="Footer Char"/>
    <w:basedOn w:val="DefaultParagraphFont"/>
    <w:link w:val="Footer"/>
    <w:uiPriority w:val="99"/>
    <w:rsid w:val="00E96C8F"/>
    <w:rPr>
      <w:rFonts w:ascii="Times New Roman" w:hAnsi="Times New Roman" w:cs="Times New Roman"/>
    </w:rPr>
  </w:style>
  <w:style w:type="character" w:styleId="PageNumber">
    <w:name w:val="page number"/>
    <w:basedOn w:val="DefaultParagraphFont"/>
    <w:uiPriority w:val="99"/>
    <w:semiHidden/>
    <w:unhideWhenUsed/>
    <w:rsid w:val="008138EF"/>
  </w:style>
  <w:style w:type="paragraph" w:styleId="NormalWeb">
    <w:name w:val="Normal (Web)"/>
    <w:basedOn w:val="Normal"/>
    <w:uiPriority w:val="99"/>
    <w:unhideWhenUsed/>
    <w:rsid w:val="00B2378D"/>
    <w:pPr>
      <w:spacing w:before="100" w:beforeAutospacing="1" w:after="100" w:afterAutospacing="1" w:line="240" w:lineRule="auto"/>
    </w:pPr>
    <w:rPr>
      <w:rFonts w:eastAsia="Times New Roman"/>
    </w:rPr>
  </w:style>
  <w:style w:type="character" w:styleId="Strong">
    <w:name w:val="Strong"/>
    <w:basedOn w:val="DefaultParagraphFont"/>
    <w:uiPriority w:val="22"/>
    <w:qFormat/>
    <w:rsid w:val="00B2378D"/>
    <w:rPr>
      <w:b/>
      <w:bCs/>
    </w:rPr>
  </w:style>
  <w:style w:type="character" w:styleId="Emphasis">
    <w:name w:val="Emphasis"/>
    <w:basedOn w:val="DefaultParagraphFont"/>
    <w:uiPriority w:val="20"/>
    <w:qFormat/>
    <w:rsid w:val="00B2378D"/>
    <w:rPr>
      <w:i/>
      <w:iCs/>
    </w:rPr>
  </w:style>
  <w:style w:type="paragraph" w:styleId="TOC2">
    <w:name w:val="toc 2"/>
    <w:basedOn w:val="Normal"/>
    <w:next w:val="Normal"/>
    <w:autoRedefine/>
    <w:uiPriority w:val="39"/>
    <w:unhideWhenUsed/>
    <w:rsid w:val="00B1079D"/>
    <w:pPr>
      <w:tabs>
        <w:tab w:val="right" w:leader="dot" w:pos="8771"/>
      </w:tabs>
      <w:spacing w:after="100" w:line="360" w:lineRule="auto"/>
      <w:ind w:left="240"/>
    </w:pPr>
  </w:style>
  <w:style w:type="paragraph" w:styleId="TOC1">
    <w:name w:val="toc 1"/>
    <w:basedOn w:val="Normal"/>
    <w:next w:val="Normal"/>
    <w:autoRedefine/>
    <w:uiPriority w:val="39"/>
    <w:unhideWhenUsed/>
    <w:rsid w:val="00B251C6"/>
    <w:pPr>
      <w:tabs>
        <w:tab w:val="right" w:leader="dot" w:pos="8771"/>
      </w:tabs>
      <w:spacing w:after="100" w:line="276" w:lineRule="auto"/>
    </w:pPr>
  </w:style>
  <w:style w:type="character" w:styleId="Hyperlink">
    <w:name w:val="Hyperlink"/>
    <w:basedOn w:val="DefaultParagraphFont"/>
    <w:uiPriority w:val="99"/>
    <w:unhideWhenUsed/>
    <w:rsid w:val="00713C98"/>
    <w:rPr>
      <w:color w:val="0563C1" w:themeColor="hyperlink"/>
      <w:u w:val="single"/>
    </w:rPr>
  </w:style>
  <w:style w:type="paragraph" w:styleId="TOC3">
    <w:name w:val="toc 3"/>
    <w:basedOn w:val="Normal"/>
    <w:next w:val="Normal"/>
    <w:autoRedefine/>
    <w:uiPriority w:val="39"/>
    <w:unhideWhenUsed/>
    <w:rsid w:val="006202AA"/>
    <w:pPr>
      <w:spacing w:after="100"/>
      <w:ind w:left="480"/>
    </w:pPr>
  </w:style>
  <w:style w:type="paragraph" w:styleId="TableofFigures">
    <w:name w:val="table of figures"/>
    <w:basedOn w:val="Normal"/>
    <w:next w:val="Normal"/>
    <w:uiPriority w:val="99"/>
    <w:unhideWhenUsed/>
    <w:rsid w:val="007275CF"/>
  </w:style>
  <w:style w:type="table" w:styleId="TableGrid">
    <w:name w:val="Table Grid"/>
    <w:basedOn w:val="TableNormal"/>
    <w:uiPriority w:val="39"/>
    <w:rsid w:val="004728B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4">
    <w:name w:val="toc 4"/>
    <w:basedOn w:val="Normal"/>
    <w:next w:val="Normal"/>
    <w:autoRedefine/>
    <w:uiPriority w:val="39"/>
    <w:unhideWhenUsed/>
    <w:rsid w:val="00AB3115"/>
    <w:pPr>
      <w:spacing w:after="100"/>
      <w:ind w:left="720"/>
    </w:pPr>
  </w:style>
  <w:style w:type="character" w:styleId="CommentReference">
    <w:name w:val="annotation reference"/>
    <w:basedOn w:val="DefaultParagraphFont"/>
    <w:uiPriority w:val="99"/>
    <w:semiHidden/>
    <w:unhideWhenUsed/>
    <w:rsid w:val="00E54D0A"/>
    <w:rPr>
      <w:sz w:val="18"/>
      <w:szCs w:val="18"/>
    </w:rPr>
  </w:style>
  <w:style w:type="paragraph" w:styleId="CommentText">
    <w:name w:val="annotation text"/>
    <w:basedOn w:val="Normal"/>
    <w:link w:val="CommentTextChar"/>
    <w:uiPriority w:val="99"/>
    <w:semiHidden/>
    <w:unhideWhenUsed/>
    <w:rsid w:val="00E54D0A"/>
    <w:pPr>
      <w:spacing w:line="240" w:lineRule="auto"/>
    </w:pPr>
  </w:style>
  <w:style w:type="character" w:customStyle="1" w:styleId="CommentTextChar">
    <w:name w:val="Comment Text Char"/>
    <w:basedOn w:val="DefaultParagraphFont"/>
    <w:link w:val="CommentText"/>
    <w:uiPriority w:val="99"/>
    <w:semiHidden/>
    <w:rsid w:val="00E54D0A"/>
    <w:rPr>
      <w:rFonts w:ascii="Times New Roman" w:hAnsi="Times New Roman" w:cs="Times New Roman"/>
    </w:rPr>
  </w:style>
  <w:style w:type="paragraph" w:styleId="BalloonText">
    <w:name w:val="Balloon Text"/>
    <w:basedOn w:val="Normal"/>
    <w:link w:val="BalloonTextChar"/>
    <w:uiPriority w:val="99"/>
    <w:semiHidden/>
    <w:unhideWhenUsed/>
    <w:rsid w:val="00E54D0A"/>
    <w:pPr>
      <w:spacing w:line="240" w:lineRule="auto"/>
    </w:pPr>
    <w:rPr>
      <w:sz w:val="18"/>
      <w:szCs w:val="18"/>
    </w:rPr>
  </w:style>
  <w:style w:type="character" w:customStyle="1" w:styleId="BalloonTextChar">
    <w:name w:val="Balloon Text Char"/>
    <w:basedOn w:val="DefaultParagraphFont"/>
    <w:link w:val="BalloonText"/>
    <w:uiPriority w:val="99"/>
    <w:semiHidden/>
    <w:rsid w:val="00E54D0A"/>
    <w:rPr>
      <w:rFonts w:ascii="Times New Roman" w:hAnsi="Times New Roman" w:cs="Times New Roman"/>
      <w:sz w:val="18"/>
      <w:szCs w:val="18"/>
    </w:rPr>
  </w:style>
  <w:style w:type="paragraph" w:styleId="Bibliography">
    <w:name w:val="Bibliography"/>
    <w:basedOn w:val="Normal"/>
    <w:next w:val="Normal"/>
    <w:uiPriority w:val="37"/>
    <w:unhideWhenUsed/>
    <w:rsid w:val="00E664D4"/>
    <w:pPr>
      <w:spacing w:line="240" w:lineRule="auto"/>
      <w:ind w:left="720" w:hanging="720"/>
    </w:pPr>
  </w:style>
  <w:style w:type="character" w:styleId="PlaceholderText">
    <w:name w:val="Placeholder Text"/>
    <w:basedOn w:val="DefaultParagraphFont"/>
    <w:uiPriority w:val="99"/>
    <w:semiHidden/>
    <w:rsid w:val="006723E9"/>
    <w:rPr>
      <w:color w:val="808080"/>
    </w:rPr>
  </w:style>
  <w:style w:type="paragraph" w:customStyle="1" w:styleId="Default">
    <w:name w:val="Default"/>
    <w:rsid w:val="002D6382"/>
    <w:pPr>
      <w:autoSpaceDE w:val="0"/>
      <w:autoSpaceDN w:val="0"/>
      <w:adjustRightInd w:val="0"/>
    </w:pPr>
    <w:rPr>
      <w:rFonts w:ascii="Times New Roman" w:hAnsi="Times New Roman" w:cs="Times New Roman"/>
      <w:color w:val="000000"/>
    </w:rPr>
  </w:style>
  <w:style w:type="paragraph" w:styleId="TOC5">
    <w:name w:val="toc 5"/>
    <w:basedOn w:val="Normal"/>
    <w:next w:val="Normal"/>
    <w:autoRedefine/>
    <w:uiPriority w:val="39"/>
    <w:unhideWhenUsed/>
    <w:rsid w:val="00C61958"/>
    <w:pPr>
      <w:spacing w:after="100" w:line="240" w:lineRule="auto"/>
      <w:ind w:left="960"/>
    </w:pPr>
    <w:rPr>
      <w:rFonts w:asciiTheme="minorHAnsi" w:eastAsiaTheme="minorEastAsia" w:hAnsiTheme="minorHAnsi" w:cstheme="minorBidi"/>
      <w:lang w:eastAsia="en-GB"/>
    </w:rPr>
  </w:style>
  <w:style w:type="paragraph" w:styleId="TOC6">
    <w:name w:val="toc 6"/>
    <w:basedOn w:val="Normal"/>
    <w:next w:val="Normal"/>
    <w:autoRedefine/>
    <w:uiPriority w:val="39"/>
    <w:unhideWhenUsed/>
    <w:rsid w:val="00C61958"/>
    <w:pPr>
      <w:spacing w:after="100" w:line="240" w:lineRule="auto"/>
      <w:ind w:left="1200"/>
    </w:pPr>
    <w:rPr>
      <w:rFonts w:asciiTheme="minorHAnsi" w:eastAsiaTheme="minorEastAsia" w:hAnsiTheme="minorHAnsi" w:cstheme="minorBidi"/>
      <w:lang w:eastAsia="en-GB"/>
    </w:rPr>
  </w:style>
  <w:style w:type="paragraph" w:styleId="TOC7">
    <w:name w:val="toc 7"/>
    <w:basedOn w:val="Normal"/>
    <w:next w:val="Normal"/>
    <w:autoRedefine/>
    <w:uiPriority w:val="39"/>
    <w:unhideWhenUsed/>
    <w:rsid w:val="00C61958"/>
    <w:pPr>
      <w:spacing w:after="100" w:line="240" w:lineRule="auto"/>
      <w:ind w:left="1440"/>
    </w:pPr>
    <w:rPr>
      <w:rFonts w:asciiTheme="minorHAnsi" w:eastAsiaTheme="minorEastAsia" w:hAnsiTheme="minorHAnsi" w:cstheme="minorBidi"/>
      <w:lang w:eastAsia="en-GB"/>
    </w:rPr>
  </w:style>
  <w:style w:type="paragraph" w:styleId="TOC8">
    <w:name w:val="toc 8"/>
    <w:basedOn w:val="Normal"/>
    <w:next w:val="Normal"/>
    <w:autoRedefine/>
    <w:uiPriority w:val="39"/>
    <w:unhideWhenUsed/>
    <w:rsid w:val="00C61958"/>
    <w:pPr>
      <w:spacing w:after="100" w:line="240" w:lineRule="auto"/>
      <w:ind w:left="1680"/>
    </w:pPr>
    <w:rPr>
      <w:rFonts w:asciiTheme="minorHAnsi" w:eastAsiaTheme="minorEastAsia" w:hAnsiTheme="minorHAnsi" w:cstheme="minorBidi"/>
      <w:lang w:eastAsia="en-GB"/>
    </w:rPr>
  </w:style>
  <w:style w:type="paragraph" w:styleId="TOC9">
    <w:name w:val="toc 9"/>
    <w:basedOn w:val="Normal"/>
    <w:next w:val="Normal"/>
    <w:autoRedefine/>
    <w:uiPriority w:val="39"/>
    <w:unhideWhenUsed/>
    <w:rsid w:val="00C61958"/>
    <w:pPr>
      <w:spacing w:after="100" w:line="240" w:lineRule="auto"/>
      <w:ind w:left="1920"/>
    </w:pPr>
    <w:rPr>
      <w:rFonts w:asciiTheme="minorHAnsi" w:eastAsiaTheme="minorEastAsia" w:hAnsiTheme="minorHAnsi" w:cstheme="minorBidi"/>
      <w:lang w:eastAsia="en-GB"/>
    </w:rPr>
  </w:style>
  <w:style w:type="character" w:styleId="UnresolvedMention">
    <w:name w:val="Unresolved Mention"/>
    <w:basedOn w:val="DefaultParagraphFont"/>
    <w:uiPriority w:val="99"/>
    <w:unhideWhenUsed/>
    <w:rsid w:val="00C61958"/>
    <w:rPr>
      <w:color w:val="808080"/>
      <w:shd w:val="clear" w:color="auto" w:fill="E6E6E6"/>
    </w:rPr>
  </w:style>
  <w:style w:type="paragraph" w:styleId="ListParagraph">
    <w:name w:val="List Paragraph"/>
    <w:basedOn w:val="Normal"/>
    <w:uiPriority w:val="34"/>
    <w:qFormat/>
    <w:rsid w:val="00D0020A"/>
    <w:pPr>
      <w:ind w:left="720"/>
      <w:contextualSpacing/>
    </w:pPr>
  </w:style>
  <w:style w:type="paragraph" w:styleId="NoSpacing">
    <w:name w:val="No Spacing"/>
    <w:link w:val="NoSpacingChar"/>
    <w:uiPriority w:val="1"/>
    <w:qFormat/>
    <w:rsid w:val="003F34A3"/>
    <w:rPr>
      <w:rFonts w:asciiTheme="minorHAnsi" w:eastAsiaTheme="minorEastAsia" w:hAnsiTheme="minorHAnsi" w:cstheme="minorBidi"/>
      <w:sz w:val="22"/>
      <w:szCs w:val="22"/>
      <w:lang w:val="en-US" w:eastAsia="zh-CN"/>
    </w:rPr>
  </w:style>
  <w:style w:type="character" w:customStyle="1" w:styleId="NoSpacingChar">
    <w:name w:val="No Spacing Char"/>
    <w:basedOn w:val="DefaultParagraphFont"/>
    <w:link w:val="NoSpacing"/>
    <w:uiPriority w:val="1"/>
    <w:rsid w:val="003F34A3"/>
    <w:rPr>
      <w:rFonts w:asciiTheme="minorHAnsi" w:eastAsiaTheme="minorEastAsia" w:hAnsiTheme="minorHAnsi" w:cstheme="minorBidi"/>
      <w:sz w:val="22"/>
      <w:szCs w:val="22"/>
      <w:lang w:val="en-US" w:eastAsia="zh-CN"/>
    </w:rPr>
  </w:style>
  <w:style w:type="paragraph" w:styleId="CommentSubject">
    <w:name w:val="annotation subject"/>
    <w:basedOn w:val="CommentText"/>
    <w:next w:val="CommentText"/>
    <w:link w:val="CommentSubjectChar"/>
    <w:uiPriority w:val="99"/>
    <w:semiHidden/>
    <w:unhideWhenUsed/>
    <w:rsid w:val="00392940"/>
    <w:rPr>
      <w:b/>
      <w:bCs/>
      <w:sz w:val="20"/>
      <w:szCs w:val="20"/>
    </w:rPr>
  </w:style>
  <w:style w:type="character" w:customStyle="1" w:styleId="CommentSubjectChar">
    <w:name w:val="Comment Subject Char"/>
    <w:basedOn w:val="CommentTextChar"/>
    <w:link w:val="CommentSubject"/>
    <w:uiPriority w:val="99"/>
    <w:semiHidden/>
    <w:rsid w:val="00392940"/>
    <w:rPr>
      <w:rFonts w:ascii="Times New Roman" w:hAnsi="Times New Roman" w:cs="Times New Roman"/>
      <w:b/>
      <w:bCs/>
      <w:sz w:val="20"/>
      <w:szCs w:val="20"/>
    </w:rPr>
  </w:style>
  <w:style w:type="paragraph" w:styleId="EndnoteText">
    <w:name w:val="endnote text"/>
    <w:basedOn w:val="Normal"/>
    <w:link w:val="EndnoteTextChar"/>
    <w:uiPriority w:val="99"/>
    <w:semiHidden/>
    <w:unhideWhenUsed/>
    <w:rsid w:val="00A7341F"/>
    <w:pPr>
      <w:spacing w:line="240" w:lineRule="auto"/>
    </w:pPr>
    <w:rPr>
      <w:sz w:val="20"/>
      <w:szCs w:val="20"/>
    </w:rPr>
  </w:style>
  <w:style w:type="character" w:customStyle="1" w:styleId="EndnoteTextChar">
    <w:name w:val="Endnote Text Char"/>
    <w:basedOn w:val="DefaultParagraphFont"/>
    <w:link w:val="EndnoteText"/>
    <w:uiPriority w:val="99"/>
    <w:semiHidden/>
    <w:rsid w:val="00A7341F"/>
    <w:rPr>
      <w:rFonts w:ascii="Times New Roman" w:hAnsi="Times New Roman" w:cs="Times New Roman"/>
      <w:sz w:val="20"/>
      <w:szCs w:val="20"/>
    </w:rPr>
  </w:style>
  <w:style w:type="character" w:styleId="EndnoteReference">
    <w:name w:val="endnote reference"/>
    <w:basedOn w:val="DefaultParagraphFont"/>
    <w:uiPriority w:val="99"/>
    <w:semiHidden/>
    <w:unhideWhenUsed/>
    <w:rsid w:val="00A7341F"/>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275967">
      <w:bodyDiv w:val="1"/>
      <w:marLeft w:val="0"/>
      <w:marRight w:val="0"/>
      <w:marTop w:val="0"/>
      <w:marBottom w:val="0"/>
      <w:divBdr>
        <w:top w:val="none" w:sz="0" w:space="0" w:color="auto"/>
        <w:left w:val="none" w:sz="0" w:space="0" w:color="auto"/>
        <w:bottom w:val="none" w:sz="0" w:space="0" w:color="auto"/>
        <w:right w:val="none" w:sz="0" w:space="0" w:color="auto"/>
      </w:divBdr>
    </w:div>
    <w:div w:id="106043465">
      <w:bodyDiv w:val="1"/>
      <w:marLeft w:val="0"/>
      <w:marRight w:val="0"/>
      <w:marTop w:val="0"/>
      <w:marBottom w:val="0"/>
      <w:divBdr>
        <w:top w:val="none" w:sz="0" w:space="0" w:color="auto"/>
        <w:left w:val="none" w:sz="0" w:space="0" w:color="auto"/>
        <w:bottom w:val="none" w:sz="0" w:space="0" w:color="auto"/>
        <w:right w:val="none" w:sz="0" w:space="0" w:color="auto"/>
      </w:divBdr>
    </w:div>
    <w:div w:id="209146940">
      <w:bodyDiv w:val="1"/>
      <w:marLeft w:val="0"/>
      <w:marRight w:val="0"/>
      <w:marTop w:val="0"/>
      <w:marBottom w:val="0"/>
      <w:divBdr>
        <w:top w:val="none" w:sz="0" w:space="0" w:color="auto"/>
        <w:left w:val="none" w:sz="0" w:space="0" w:color="auto"/>
        <w:bottom w:val="none" w:sz="0" w:space="0" w:color="auto"/>
        <w:right w:val="none" w:sz="0" w:space="0" w:color="auto"/>
      </w:divBdr>
    </w:div>
    <w:div w:id="394016640">
      <w:bodyDiv w:val="1"/>
      <w:marLeft w:val="0"/>
      <w:marRight w:val="0"/>
      <w:marTop w:val="0"/>
      <w:marBottom w:val="0"/>
      <w:divBdr>
        <w:top w:val="none" w:sz="0" w:space="0" w:color="auto"/>
        <w:left w:val="none" w:sz="0" w:space="0" w:color="auto"/>
        <w:bottom w:val="none" w:sz="0" w:space="0" w:color="auto"/>
        <w:right w:val="none" w:sz="0" w:space="0" w:color="auto"/>
      </w:divBdr>
    </w:div>
    <w:div w:id="473643717">
      <w:bodyDiv w:val="1"/>
      <w:marLeft w:val="0"/>
      <w:marRight w:val="0"/>
      <w:marTop w:val="0"/>
      <w:marBottom w:val="0"/>
      <w:divBdr>
        <w:top w:val="none" w:sz="0" w:space="0" w:color="auto"/>
        <w:left w:val="none" w:sz="0" w:space="0" w:color="auto"/>
        <w:bottom w:val="none" w:sz="0" w:space="0" w:color="auto"/>
        <w:right w:val="none" w:sz="0" w:space="0" w:color="auto"/>
      </w:divBdr>
    </w:div>
    <w:div w:id="522938910">
      <w:bodyDiv w:val="1"/>
      <w:marLeft w:val="0"/>
      <w:marRight w:val="0"/>
      <w:marTop w:val="0"/>
      <w:marBottom w:val="0"/>
      <w:divBdr>
        <w:top w:val="none" w:sz="0" w:space="0" w:color="auto"/>
        <w:left w:val="none" w:sz="0" w:space="0" w:color="auto"/>
        <w:bottom w:val="none" w:sz="0" w:space="0" w:color="auto"/>
        <w:right w:val="none" w:sz="0" w:space="0" w:color="auto"/>
      </w:divBdr>
    </w:div>
    <w:div w:id="751588895">
      <w:bodyDiv w:val="1"/>
      <w:marLeft w:val="0"/>
      <w:marRight w:val="0"/>
      <w:marTop w:val="0"/>
      <w:marBottom w:val="0"/>
      <w:divBdr>
        <w:top w:val="none" w:sz="0" w:space="0" w:color="auto"/>
        <w:left w:val="none" w:sz="0" w:space="0" w:color="auto"/>
        <w:bottom w:val="none" w:sz="0" w:space="0" w:color="auto"/>
        <w:right w:val="none" w:sz="0" w:space="0" w:color="auto"/>
      </w:divBdr>
      <w:divsChild>
        <w:div w:id="966355953">
          <w:marLeft w:val="0"/>
          <w:marRight w:val="0"/>
          <w:marTop w:val="0"/>
          <w:marBottom w:val="0"/>
          <w:divBdr>
            <w:top w:val="none" w:sz="0" w:space="0" w:color="auto"/>
            <w:left w:val="none" w:sz="0" w:space="0" w:color="auto"/>
            <w:bottom w:val="none" w:sz="0" w:space="0" w:color="auto"/>
            <w:right w:val="none" w:sz="0" w:space="0" w:color="auto"/>
          </w:divBdr>
          <w:divsChild>
            <w:div w:id="377821637">
              <w:marLeft w:val="0"/>
              <w:marRight w:val="0"/>
              <w:marTop w:val="0"/>
              <w:marBottom w:val="0"/>
              <w:divBdr>
                <w:top w:val="none" w:sz="0" w:space="0" w:color="auto"/>
                <w:left w:val="none" w:sz="0" w:space="0" w:color="auto"/>
                <w:bottom w:val="none" w:sz="0" w:space="0" w:color="auto"/>
                <w:right w:val="none" w:sz="0" w:space="0" w:color="auto"/>
              </w:divBdr>
              <w:divsChild>
                <w:div w:id="5041696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78463367">
      <w:bodyDiv w:val="1"/>
      <w:marLeft w:val="0"/>
      <w:marRight w:val="0"/>
      <w:marTop w:val="0"/>
      <w:marBottom w:val="0"/>
      <w:divBdr>
        <w:top w:val="none" w:sz="0" w:space="0" w:color="auto"/>
        <w:left w:val="none" w:sz="0" w:space="0" w:color="auto"/>
        <w:bottom w:val="none" w:sz="0" w:space="0" w:color="auto"/>
        <w:right w:val="none" w:sz="0" w:space="0" w:color="auto"/>
      </w:divBdr>
    </w:div>
    <w:div w:id="1256671023">
      <w:bodyDiv w:val="1"/>
      <w:marLeft w:val="0"/>
      <w:marRight w:val="0"/>
      <w:marTop w:val="0"/>
      <w:marBottom w:val="0"/>
      <w:divBdr>
        <w:top w:val="none" w:sz="0" w:space="0" w:color="auto"/>
        <w:left w:val="none" w:sz="0" w:space="0" w:color="auto"/>
        <w:bottom w:val="none" w:sz="0" w:space="0" w:color="auto"/>
        <w:right w:val="none" w:sz="0" w:space="0" w:color="auto"/>
      </w:divBdr>
    </w:div>
    <w:div w:id="1322151603">
      <w:bodyDiv w:val="1"/>
      <w:marLeft w:val="0"/>
      <w:marRight w:val="0"/>
      <w:marTop w:val="0"/>
      <w:marBottom w:val="0"/>
      <w:divBdr>
        <w:top w:val="none" w:sz="0" w:space="0" w:color="auto"/>
        <w:left w:val="none" w:sz="0" w:space="0" w:color="auto"/>
        <w:bottom w:val="none" w:sz="0" w:space="0" w:color="auto"/>
        <w:right w:val="none" w:sz="0" w:space="0" w:color="auto"/>
      </w:divBdr>
    </w:div>
    <w:div w:id="1732390242">
      <w:bodyDiv w:val="1"/>
      <w:marLeft w:val="0"/>
      <w:marRight w:val="0"/>
      <w:marTop w:val="0"/>
      <w:marBottom w:val="0"/>
      <w:divBdr>
        <w:top w:val="none" w:sz="0" w:space="0" w:color="auto"/>
        <w:left w:val="none" w:sz="0" w:space="0" w:color="auto"/>
        <w:bottom w:val="none" w:sz="0" w:space="0" w:color="auto"/>
        <w:right w:val="none" w:sz="0" w:space="0" w:color="auto"/>
      </w:divBdr>
    </w:div>
    <w:div w:id="2043087966">
      <w:bodyDiv w:val="1"/>
      <w:marLeft w:val="0"/>
      <w:marRight w:val="0"/>
      <w:marTop w:val="0"/>
      <w:marBottom w:val="0"/>
      <w:divBdr>
        <w:top w:val="none" w:sz="0" w:space="0" w:color="auto"/>
        <w:left w:val="none" w:sz="0" w:space="0" w:color="auto"/>
        <w:bottom w:val="none" w:sz="0" w:space="0" w:color="auto"/>
        <w:right w:val="none" w:sz="0" w:space="0" w:color="auto"/>
      </w:divBdr>
    </w:div>
    <w:div w:id="213405458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doi.org/10.1371/journal.pone.0035671" TargetMode="External"/><Relationship Id="rId299" Type="http://schemas.openxmlformats.org/officeDocument/2006/relationships/hyperlink" Target="http://apps.who.int/iris/bitstream/handle/10665/44412/WHO_TRS_949_eng.pdf?sequence=1&amp;isAllowed=y" TargetMode="External"/><Relationship Id="rId21" Type="http://schemas.openxmlformats.org/officeDocument/2006/relationships/image" Target="media/image3.emf"/><Relationship Id="rId63" Type="http://schemas.openxmlformats.org/officeDocument/2006/relationships/image" Target="media/image45.emf"/><Relationship Id="rId159" Type="http://schemas.openxmlformats.org/officeDocument/2006/relationships/hyperlink" Target="https://doi.org/10.1038/s41467-017-00103-8" TargetMode="External"/><Relationship Id="rId170" Type="http://schemas.openxmlformats.org/officeDocument/2006/relationships/hyperlink" Target="https://doi.org/10.1021/j100540a008" TargetMode="External"/><Relationship Id="rId226" Type="http://schemas.openxmlformats.org/officeDocument/2006/relationships/hyperlink" Target="https://doi.org/10.1038/cti.2016.84" TargetMode="External"/><Relationship Id="rId268" Type="http://schemas.openxmlformats.org/officeDocument/2006/relationships/hyperlink" Target="https://doi.org/10.1007/s00795-003-0230-3" TargetMode="External"/><Relationship Id="rId32" Type="http://schemas.openxmlformats.org/officeDocument/2006/relationships/image" Target="media/image14.emf"/><Relationship Id="rId74" Type="http://schemas.openxmlformats.org/officeDocument/2006/relationships/image" Target="media/image56.emf"/><Relationship Id="rId128" Type="http://schemas.openxmlformats.org/officeDocument/2006/relationships/hyperlink" Target="https://doi.org/10.1002/eji.200939863" TargetMode="External"/><Relationship Id="rId5" Type="http://schemas.openxmlformats.org/officeDocument/2006/relationships/webSettings" Target="webSettings.xml"/><Relationship Id="rId181" Type="http://schemas.openxmlformats.org/officeDocument/2006/relationships/hyperlink" Target="https://doi.org/10.1016/S0378-5173(99)00256-2" TargetMode="External"/><Relationship Id="rId237" Type="http://schemas.openxmlformats.org/officeDocument/2006/relationships/hyperlink" Target="https://doi.org/10.1016/B978-0-12-380920-9.00027-4" TargetMode="External"/><Relationship Id="rId279" Type="http://schemas.openxmlformats.org/officeDocument/2006/relationships/hyperlink" Target="https://doi.org/10.1128/CDLI.9.5.951-958.2002" TargetMode="External"/><Relationship Id="rId43" Type="http://schemas.openxmlformats.org/officeDocument/2006/relationships/image" Target="media/image25.emf"/><Relationship Id="rId139" Type="http://schemas.openxmlformats.org/officeDocument/2006/relationships/hyperlink" Target="https://doi.org/10.4049/jimmunol.1300768" TargetMode="External"/><Relationship Id="rId290" Type="http://schemas.openxmlformats.org/officeDocument/2006/relationships/hyperlink" Target="https://doi.org/10.1038/nrmicro1657" TargetMode="External"/><Relationship Id="rId304" Type="http://schemas.openxmlformats.org/officeDocument/2006/relationships/hyperlink" Target="https://doi.org/10.1111/j.1365-2567.2010.03255.x" TargetMode="External"/><Relationship Id="rId85" Type="http://schemas.openxmlformats.org/officeDocument/2006/relationships/image" Target="media/image67.emf"/><Relationship Id="rId150" Type="http://schemas.openxmlformats.org/officeDocument/2006/relationships/hyperlink" Target="https://doi.org/10.1007/s11999-012-2317-4" TargetMode="External"/><Relationship Id="rId192" Type="http://schemas.openxmlformats.org/officeDocument/2006/relationships/hyperlink" Target="https://doi.org/10.1002/eji.1830220211" TargetMode="External"/><Relationship Id="rId206" Type="http://schemas.openxmlformats.org/officeDocument/2006/relationships/hyperlink" Target="https://doi.org/10.1186/1752-0509-6-1" TargetMode="External"/><Relationship Id="rId248" Type="http://schemas.openxmlformats.org/officeDocument/2006/relationships/hyperlink" Target="https://doi.org/10.1016/j.jhep.2016.07.009" TargetMode="External"/><Relationship Id="rId12" Type="http://schemas.openxmlformats.org/officeDocument/2006/relationships/hyperlink" Target="file:////Users/jhamp/Desktop/Thesis%20Corrections/Thesis%20Corrections%203:1:19.docx" TargetMode="External"/><Relationship Id="rId108" Type="http://schemas.openxmlformats.org/officeDocument/2006/relationships/image" Target="media/image90.emf"/><Relationship Id="rId54" Type="http://schemas.openxmlformats.org/officeDocument/2006/relationships/image" Target="media/image36.emf"/><Relationship Id="rId96" Type="http://schemas.openxmlformats.org/officeDocument/2006/relationships/image" Target="media/image78.emf"/><Relationship Id="rId161" Type="http://schemas.openxmlformats.org/officeDocument/2006/relationships/hyperlink" Target="https://doi.org/10.7717/peerj.3877" TargetMode="External"/><Relationship Id="rId217" Type="http://schemas.openxmlformats.org/officeDocument/2006/relationships/hyperlink" Target="https://doi.org/10.1038/nri3024" TargetMode="External"/><Relationship Id="rId259" Type="http://schemas.openxmlformats.org/officeDocument/2006/relationships/hyperlink" Target="https://doi.org/10.1126/scitranslmed.aai7786" TargetMode="External"/><Relationship Id="rId23" Type="http://schemas.openxmlformats.org/officeDocument/2006/relationships/image" Target="media/image5.emf"/><Relationship Id="rId119" Type="http://schemas.openxmlformats.org/officeDocument/2006/relationships/hyperlink" Target="https://doi.org/10.1084/jem.20040704" TargetMode="External"/><Relationship Id="rId270" Type="http://schemas.openxmlformats.org/officeDocument/2006/relationships/hyperlink" Target="https://doi.org/10.1016/j.mbs.2016.02.015" TargetMode="External"/><Relationship Id="rId65" Type="http://schemas.openxmlformats.org/officeDocument/2006/relationships/image" Target="media/image47.emf"/><Relationship Id="rId130" Type="http://schemas.openxmlformats.org/officeDocument/2006/relationships/hyperlink" Target="https://doi.org/10.4269/ajtmh.16-0279" TargetMode="External"/><Relationship Id="rId172" Type="http://schemas.openxmlformats.org/officeDocument/2006/relationships/hyperlink" Target="https://doi.org/10.1038/nri1309" TargetMode="External"/><Relationship Id="rId193" Type="http://schemas.openxmlformats.org/officeDocument/2006/relationships/hyperlink" Target="https://doi.org/10.1007/s00281-015-0548-7" TargetMode="External"/><Relationship Id="rId207" Type="http://schemas.openxmlformats.org/officeDocument/2006/relationships/hyperlink" Target="http://www.who.int/news-room/fact-sheets/detail/leishmaniasis" TargetMode="External"/><Relationship Id="rId228" Type="http://schemas.openxmlformats.org/officeDocument/2006/relationships/hyperlink" Target="https://doi.org/10.4049/jimmunol.167.6.3114" TargetMode="External"/><Relationship Id="rId249" Type="http://schemas.openxmlformats.org/officeDocument/2006/relationships/hyperlink" Target="https://doi.org/10.1093/jac/28.suppl_B.49" TargetMode="External"/><Relationship Id="rId13" Type="http://schemas.openxmlformats.org/officeDocument/2006/relationships/hyperlink" Target="file:////Users/jhamp/Desktop/Thesis%20Corrections/Thesis%20Corrections%203:1:19.docx" TargetMode="External"/><Relationship Id="rId109" Type="http://schemas.openxmlformats.org/officeDocument/2006/relationships/image" Target="media/image91.emf"/><Relationship Id="rId260" Type="http://schemas.openxmlformats.org/officeDocument/2006/relationships/hyperlink" Target="https://doi.org/10.1371/journal.pone.0033413" TargetMode="External"/><Relationship Id="rId281" Type="http://schemas.openxmlformats.org/officeDocument/2006/relationships/hyperlink" Target="https://doi.org/10.1098/rsob.170165" TargetMode="External"/><Relationship Id="rId34" Type="http://schemas.openxmlformats.org/officeDocument/2006/relationships/image" Target="media/image16.emf"/><Relationship Id="rId55" Type="http://schemas.openxmlformats.org/officeDocument/2006/relationships/image" Target="media/image37.emf"/><Relationship Id="rId76" Type="http://schemas.openxmlformats.org/officeDocument/2006/relationships/image" Target="media/image58.emf"/><Relationship Id="rId97" Type="http://schemas.openxmlformats.org/officeDocument/2006/relationships/image" Target="media/image79.png"/><Relationship Id="rId120" Type="http://schemas.openxmlformats.org/officeDocument/2006/relationships/hyperlink" Target="https://doi.org/10.3109/02652040802587173" TargetMode="External"/><Relationship Id="rId141" Type="http://schemas.openxmlformats.org/officeDocument/2006/relationships/hyperlink" Target="https://doi.org/10.1016/0014-4894(89)90122-7" TargetMode="External"/><Relationship Id="rId7" Type="http://schemas.openxmlformats.org/officeDocument/2006/relationships/endnotes" Target="endnotes.xml"/><Relationship Id="rId162" Type="http://schemas.openxmlformats.org/officeDocument/2006/relationships/hyperlink" Target="https://doi.org/10.1039/C6LC01374K" TargetMode="External"/><Relationship Id="rId183" Type="http://schemas.openxmlformats.org/officeDocument/2006/relationships/hyperlink" Target="https://doi.org/10.1111/2041-210X.12050" TargetMode="External"/><Relationship Id="rId218" Type="http://schemas.openxmlformats.org/officeDocument/2006/relationships/hyperlink" Target="https://doi.org/10.1016/j.regen.2018.03.003" TargetMode="External"/><Relationship Id="rId239" Type="http://schemas.openxmlformats.org/officeDocument/2006/relationships/hyperlink" Target="https://doi.org/10.1016/j.bbrc.2010.07.099" TargetMode="External"/><Relationship Id="rId250" Type="http://schemas.openxmlformats.org/officeDocument/2006/relationships/hyperlink" Target="https://doi.org/10.1186/s13071-018-2613-2" TargetMode="External"/><Relationship Id="rId271" Type="http://schemas.openxmlformats.org/officeDocument/2006/relationships/hyperlink" Target="https://doi.org/10.1016/j.jtbi.2016.10.004" TargetMode="External"/><Relationship Id="rId292" Type="http://schemas.openxmlformats.org/officeDocument/2006/relationships/hyperlink" Target="https://doi.org/10.1016/j.pt.2012.05.002" TargetMode="External"/><Relationship Id="rId306" Type="http://schemas.openxmlformats.org/officeDocument/2006/relationships/hyperlink" Target="https://doi.org/10.1016/j.ijpara.2006.08.008" TargetMode="External"/><Relationship Id="rId24" Type="http://schemas.openxmlformats.org/officeDocument/2006/relationships/image" Target="media/image6.emf"/><Relationship Id="rId45" Type="http://schemas.openxmlformats.org/officeDocument/2006/relationships/image" Target="media/image27.emf"/><Relationship Id="rId66" Type="http://schemas.openxmlformats.org/officeDocument/2006/relationships/image" Target="media/image48.emf"/><Relationship Id="rId87" Type="http://schemas.openxmlformats.org/officeDocument/2006/relationships/image" Target="media/image69.emf"/><Relationship Id="rId110" Type="http://schemas.openxmlformats.org/officeDocument/2006/relationships/hyperlink" Target="https://doi.org/10.1016/j.suc.2010.04.017" TargetMode="External"/><Relationship Id="rId131" Type="http://schemas.openxmlformats.org/officeDocument/2006/relationships/hyperlink" Target="https://doi.org/10.1128/JCM.00416-09" TargetMode="External"/><Relationship Id="rId152" Type="http://schemas.openxmlformats.org/officeDocument/2006/relationships/hyperlink" Target="https://doi.org/10.1093/biomet/60.3.613" TargetMode="External"/><Relationship Id="rId173" Type="http://schemas.openxmlformats.org/officeDocument/2006/relationships/hyperlink" Target="https://doi.org/10.1186/1475-2875-6-169" TargetMode="External"/><Relationship Id="rId194" Type="http://schemas.openxmlformats.org/officeDocument/2006/relationships/hyperlink" Target="https://doi.org/10.1111/j.0105-2896.2004.00188.x" TargetMode="External"/><Relationship Id="rId208" Type="http://schemas.openxmlformats.org/officeDocument/2006/relationships/hyperlink" Target="https://doi.org/10.1084/jem.161.5.1079" TargetMode="External"/><Relationship Id="rId229" Type="http://schemas.openxmlformats.org/officeDocument/2006/relationships/hyperlink" Target="https://doi.org/10.1101/gr.1262503" TargetMode="External"/><Relationship Id="rId240" Type="http://schemas.openxmlformats.org/officeDocument/2006/relationships/hyperlink" Target="https://doi.org/10.1084/jem.20170355" TargetMode="External"/><Relationship Id="rId261" Type="http://schemas.openxmlformats.org/officeDocument/2006/relationships/hyperlink" Target="https://doi.org/10.3389/fmicb.2012.00223" TargetMode="External"/><Relationship Id="rId14" Type="http://schemas.openxmlformats.org/officeDocument/2006/relationships/hyperlink" Target="file:////Users/jhamp/Desktop/Thesis%20Corrections/Thesis%20Corrections%203:1:19.docx" TargetMode="External"/><Relationship Id="rId35" Type="http://schemas.openxmlformats.org/officeDocument/2006/relationships/image" Target="media/image17.emf"/><Relationship Id="rId56" Type="http://schemas.openxmlformats.org/officeDocument/2006/relationships/image" Target="media/image38.emf"/><Relationship Id="rId77" Type="http://schemas.openxmlformats.org/officeDocument/2006/relationships/image" Target="media/image59.emf"/><Relationship Id="rId100" Type="http://schemas.openxmlformats.org/officeDocument/2006/relationships/image" Target="media/image82.png"/><Relationship Id="rId282" Type="http://schemas.openxmlformats.org/officeDocument/2006/relationships/hyperlink" Target="http://www.ncbi.nlm.nih.gov/books/NBK493226/" TargetMode="External"/><Relationship Id="rId8" Type="http://schemas.openxmlformats.org/officeDocument/2006/relationships/footer" Target="footer1.xml"/><Relationship Id="rId98" Type="http://schemas.openxmlformats.org/officeDocument/2006/relationships/image" Target="media/image80.emf"/><Relationship Id="rId121" Type="http://schemas.openxmlformats.org/officeDocument/2006/relationships/hyperlink" Target="https://doi.org/10.1371/journal.pntd.0001542" TargetMode="External"/><Relationship Id="rId142" Type="http://schemas.openxmlformats.org/officeDocument/2006/relationships/hyperlink" Target="https://doi.org/10.1111/j.1462-5822.2011.01602.x" TargetMode="External"/><Relationship Id="rId163" Type="http://schemas.openxmlformats.org/officeDocument/2006/relationships/hyperlink" Target="https://doi.org/10.1111/j.1948-7134.2011.00109.x" TargetMode="External"/><Relationship Id="rId184" Type="http://schemas.openxmlformats.org/officeDocument/2006/relationships/hyperlink" Target="https://doi.org/10.1021/acs.bioconjchem.5b00463" TargetMode="External"/><Relationship Id="rId219" Type="http://schemas.openxmlformats.org/officeDocument/2006/relationships/hyperlink" Target="https://doi.org/10.1111/j.1365-2915.2012.01034.x" TargetMode="External"/><Relationship Id="rId230" Type="http://schemas.openxmlformats.org/officeDocument/2006/relationships/hyperlink" Target="https://doi.org/10.1111/j.1600-0773.1991.tb01240.x" TargetMode="External"/><Relationship Id="rId251" Type="http://schemas.openxmlformats.org/officeDocument/2006/relationships/hyperlink" Target="https://doi.org/10.1128/AAC.00030-11" TargetMode="External"/><Relationship Id="rId25" Type="http://schemas.openxmlformats.org/officeDocument/2006/relationships/image" Target="media/image7.emf"/><Relationship Id="rId46" Type="http://schemas.openxmlformats.org/officeDocument/2006/relationships/image" Target="media/image28.emf"/><Relationship Id="rId67" Type="http://schemas.openxmlformats.org/officeDocument/2006/relationships/image" Target="media/image49.emf"/><Relationship Id="rId272" Type="http://schemas.openxmlformats.org/officeDocument/2006/relationships/hyperlink" Target="https://doi.org/10.1155/2012/139127" TargetMode="External"/><Relationship Id="rId293" Type="http://schemas.openxmlformats.org/officeDocument/2006/relationships/hyperlink" Target="https://doi.org/10.3389/fimmu.2018.00063" TargetMode="External"/><Relationship Id="rId307" Type="http://schemas.openxmlformats.org/officeDocument/2006/relationships/hyperlink" Target="https://doi.org/10.1074/jbc.M305030200" TargetMode="External"/><Relationship Id="rId88" Type="http://schemas.openxmlformats.org/officeDocument/2006/relationships/image" Target="media/image70.emf"/><Relationship Id="rId111" Type="http://schemas.openxmlformats.org/officeDocument/2006/relationships/hyperlink" Target="https://www.dndi.org/diseases-projects/leishmaniasis/" TargetMode="External"/><Relationship Id="rId132" Type="http://schemas.openxmlformats.org/officeDocument/2006/relationships/hyperlink" Target="https://doi.org/10.1111/j.1478-3231.2006.01342.x" TargetMode="External"/><Relationship Id="rId153" Type="http://schemas.openxmlformats.org/officeDocument/2006/relationships/hyperlink" Target="https://doi.org/10.1006/jtbi.1995.0165" TargetMode="External"/><Relationship Id="rId174" Type="http://schemas.openxmlformats.org/officeDocument/2006/relationships/hyperlink" Target="https://doi.org/10.1080/01621459.1960.10483369" TargetMode="External"/><Relationship Id="rId195" Type="http://schemas.openxmlformats.org/officeDocument/2006/relationships/hyperlink" Target="https://doi.org/10.1038/nrmicro2608" TargetMode="External"/><Relationship Id="rId209" Type="http://schemas.openxmlformats.org/officeDocument/2006/relationships/hyperlink" Target="https://doi.org/10.1371/journal.pntd.0005600" TargetMode="External"/><Relationship Id="rId220" Type="http://schemas.openxmlformats.org/officeDocument/2006/relationships/hyperlink" Target="https://doi.org/10.1111/j.1600-065X.2010.00928.x" TargetMode="External"/><Relationship Id="rId241" Type="http://schemas.openxmlformats.org/officeDocument/2006/relationships/hyperlink" Target="https://doi.org/10.1016/j.ijid.2010.06.019" TargetMode="External"/><Relationship Id="rId15" Type="http://schemas.openxmlformats.org/officeDocument/2006/relationships/hyperlink" Target="file:////Users/jhamp/Desktop/Thesis%20Corrections/Thesis%20Corrections%203:1:19.docx" TargetMode="External"/><Relationship Id="rId36" Type="http://schemas.openxmlformats.org/officeDocument/2006/relationships/image" Target="media/image18.emf"/><Relationship Id="rId57" Type="http://schemas.openxmlformats.org/officeDocument/2006/relationships/image" Target="media/image39.emf"/><Relationship Id="rId262" Type="http://schemas.openxmlformats.org/officeDocument/2006/relationships/hyperlink" Target="https://doi.org/10.1198/106186007X178979" TargetMode="External"/><Relationship Id="rId283" Type="http://schemas.openxmlformats.org/officeDocument/2006/relationships/hyperlink" Target="https://doi.org/10.1146/annurev.immunol.23.021704.115816" TargetMode="External"/><Relationship Id="rId78" Type="http://schemas.openxmlformats.org/officeDocument/2006/relationships/image" Target="media/image60.emf"/><Relationship Id="rId99" Type="http://schemas.openxmlformats.org/officeDocument/2006/relationships/image" Target="media/image81.emf"/><Relationship Id="rId101" Type="http://schemas.openxmlformats.org/officeDocument/2006/relationships/image" Target="media/image83.emf"/><Relationship Id="rId122" Type="http://schemas.openxmlformats.org/officeDocument/2006/relationships/hyperlink" Target="https://doi.org/10.1517/14728214.2012.748036" TargetMode="External"/><Relationship Id="rId143" Type="http://schemas.openxmlformats.org/officeDocument/2006/relationships/hyperlink" Target="https://doi.org/10.1016/j.it.2011.03.010" TargetMode="External"/><Relationship Id="rId164" Type="http://schemas.openxmlformats.org/officeDocument/2006/relationships/hyperlink" Target="https://doi.org/10.1038/srep20772" TargetMode="External"/><Relationship Id="rId185" Type="http://schemas.openxmlformats.org/officeDocument/2006/relationships/hyperlink" Target="https://doi.org/10.4049/jimmunol.1500124" TargetMode="External"/><Relationship Id="rId9" Type="http://schemas.openxmlformats.org/officeDocument/2006/relationships/footer" Target="footer2.xml"/><Relationship Id="rId210" Type="http://schemas.openxmlformats.org/officeDocument/2006/relationships/hyperlink" Target="https://doi.org/10.1097/MIB.0b013e318280b1e3" TargetMode="External"/><Relationship Id="rId26" Type="http://schemas.openxmlformats.org/officeDocument/2006/relationships/image" Target="media/image8.(null)"/><Relationship Id="rId231" Type="http://schemas.openxmlformats.org/officeDocument/2006/relationships/hyperlink" Target="https://doi.org/10.1128/AAC.50.5.1788-1797.2006" TargetMode="External"/><Relationship Id="rId252" Type="http://schemas.openxmlformats.org/officeDocument/2006/relationships/hyperlink" Target="https://doi.org/10.1017/S0031182009991156" TargetMode="External"/><Relationship Id="rId273" Type="http://schemas.openxmlformats.org/officeDocument/2006/relationships/hyperlink" Target="https://doi.org/10.4049/jimmunol.164.7.3681" TargetMode="External"/><Relationship Id="rId294" Type="http://schemas.openxmlformats.org/officeDocument/2006/relationships/hyperlink" Target="https://doi.org/10.1371/journal.pcbi.1005417" TargetMode="External"/><Relationship Id="rId308" Type="http://schemas.openxmlformats.org/officeDocument/2006/relationships/hyperlink" Target="https://doi.org/10.1038/cmi.2015.97" TargetMode="External"/><Relationship Id="rId47" Type="http://schemas.openxmlformats.org/officeDocument/2006/relationships/image" Target="media/image29.emf"/><Relationship Id="rId68" Type="http://schemas.openxmlformats.org/officeDocument/2006/relationships/image" Target="media/image50.emf"/><Relationship Id="rId89" Type="http://schemas.openxmlformats.org/officeDocument/2006/relationships/image" Target="media/image71.emf"/><Relationship Id="rId112" Type="http://schemas.openxmlformats.org/officeDocument/2006/relationships/hyperlink" Target="https://doi.org/10.1371/journal.pcbi.1003334" TargetMode="External"/><Relationship Id="rId133" Type="http://schemas.openxmlformats.org/officeDocument/2006/relationships/hyperlink" Target="https://doi.org/10.1038/nature05907" TargetMode="External"/><Relationship Id="rId154" Type="http://schemas.openxmlformats.org/officeDocument/2006/relationships/hyperlink" Target="https://doi.org/10.1002/jemt.1060140304" TargetMode="External"/><Relationship Id="rId175" Type="http://schemas.openxmlformats.org/officeDocument/2006/relationships/hyperlink" Target="https://doi.org/10.1371/journal.pntd.0003023" TargetMode="External"/><Relationship Id="rId196" Type="http://schemas.openxmlformats.org/officeDocument/2006/relationships/hyperlink" Target="https://doi.org/10.1186/1471-2105-11-202" TargetMode="External"/><Relationship Id="rId200" Type="http://schemas.openxmlformats.org/officeDocument/2006/relationships/hyperlink" Target="https://doi.org/10.3748/wjg.v12.i46.7413" TargetMode="External"/><Relationship Id="rId16" Type="http://schemas.openxmlformats.org/officeDocument/2006/relationships/footer" Target="footer3.xml"/><Relationship Id="rId221" Type="http://schemas.openxmlformats.org/officeDocument/2006/relationships/hyperlink" Target="https://doi.org/10.12703/P6-13" TargetMode="External"/><Relationship Id="rId242" Type="http://schemas.openxmlformats.org/officeDocument/2006/relationships/hyperlink" Target="https://doi.org/10.1152/advan.00066.2013" TargetMode="External"/><Relationship Id="rId263" Type="http://schemas.openxmlformats.org/officeDocument/2006/relationships/hyperlink" Target="https://doi.org/10.1371/journal.pone.0028493" TargetMode="External"/><Relationship Id="rId284" Type="http://schemas.openxmlformats.org/officeDocument/2006/relationships/hyperlink" Target="https://doi.org/10.1096/fj.15-277202" TargetMode="External"/><Relationship Id="rId37" Type="http://schemas.openxmlformats.org/officeDocument/2006/relationships/image" Target="media/image19.emf"/><Relationship Id="rId58" Type="http://schemas.openxmlformats.org/officeDocument/2006/relationships/image" Target="media/image40.emf"/><Relationship Id="rId79" Type="http://schemas.openxmlformats.org/officeDocument/2006/relationships/image" Target="media/image61.emf"/><Relationship Id="rId102" Type="http://schemas.openxmlformats.org/officeDocument/2006/relationships/image" Target="media/image84.emf"/><Relationship Id="rId123" Type="http://schemas.openxmlformats.org/officeDocument/2006/relationships/hyperlink" Target="https://doi.org/10.1007/s00418-009-0577-1" TargetMode="External"/><Relationship Id="rId144" Type="http://schemas.openxmlformats.org/officeDocument/2006/relationships/hyperlink" Target="https://doi.org/10.1073/pnas.0801631105" TargetMode="External"/><Relationship Id="rId90" Type="http://schemas.openxmlformats.org/officeDocument/2006/relationships/image" Target="media/image72.emf"/><Relationship Id="rId165" Type="http://schemas.openxmlformats.org/officeDocument/2006/relationships/hyperlink" Target="http://etheses.whiterose.ac.uk/16125/" TargetMode="External"/><Relationship Id="rId186" Type="http://schemas.openxmlformats.org/officeDocument/2006/relationships/hyperlink" Target="https://doi.org/10.1371/journal.ppat.1000431" TargetMode="External"/><Relationship Id="rId211" Type="http://schemas.openxmlformats.org/officeDocument/2006/relationships/hyperlink" Target="https://doi.org/10.2147/HIV.S93789" TargetMode="External"/><Relationship Id="rId232" Type="http://schemas.openxmlformats.org/officeDocument/2006/relationships/hyperlink" Target="https://doi.org/10.3389/fimmu.2013.00035" TargetMode="External"/><Relationship Id="rId253" Type="http://schemas.openxmlformats.org/officeDocument/2006/relationships/hyperlink" Target="https://doi.org/10.1098/rsif.2014.0704" TargetMode="External"/><Relationship Id="rId274" Type="http://schemas.openxmlformats.org/officeDocument/2006/relationships/hyperlink" Target="https://doi.org/10.1093/jac/dkm077" TargetMode="External"/><Relationship Id="rId295" Type="http://schemas.openxmlformats.org/officeDocument/2006/relationships/hyperlink" Target="https://doi.org/10.1128/AAC.00497-17" TargetMode="External"/><Relationship Id="rId309" Type="http://schemas.openxmlformats.org/officeDocument/2006/relationships/hyperlink" Target="https://doi.org/10.1038/srep08493" TargetMode="External"/><Relationship Id="rId27" Type="http://schemas.openxmlformats.org/officeDocument/2006/relationships/image" Target="media/image9.(null)"/><Relationship Id="rId48" Type="http://schemas.openxmlformats.org/officeDocument/2006/relationships/image" Target="media/image30.emf"/><Relationship Id="rId69" Type="http://schemas.openxmlformats.org/officeDocument/2006/relationships/image" Target="media/image51.png"/><Relationship Id="rId113" Type="http://schemas.openxmlformats.org/officeDocument/2006/relationships/hyperlink" Target="https://www.ncbi.nlm.nih.gov/books/NBK21070/" TargetMode="External"/><Relationship Id="rId134" Type="http://schemas.openxmlformats.org/officeDocument/2006/relationships/hyperlink" Target="https://doi.org/10.1038/nrd3248" TargetMode="External"/><Relationship Id="rId80" Type="http://schemas.openxmlformats.org/officeDocument/2006/relationships/image" Target="media/image62.(null)"/><Relationship Id="rId155" Type="http://schemas.openxmlformats.org/officeDocument/2006/relationships/hyperlink" Target="https://doi.org/10.1109/4235.996017" TargetMode="External"/><Relationship Id="rId176" Type="http://schemas.openxmlformats.org/officeDocument/2006/relationships/hyperlink" Target="https://doi.org/10.1126/science.1116681" TargetMode="External"/><Relationship Id="rId197" Type="http://schemas.openxmlformats.org/officeDocument/2006/relationships/hyperlink" Target="https://doi.org/10.3389/fimmu.2013.00156" TargetMode="External"/><Relationship Id="rId201" Type="http://schemas.openxmlformats.org/officeDocument/2006/relationships/hyperlink" Target="https://doi.org/10.3389/fimmu.2012.00251" TargetMode="External"/><Relationship Id="rId222" Type="http://schemas.openxmlformats.org/officeDocument/2006/relationships/hyperlink" Target="https://doi.org/10.1039/C7RA01070B" TargetMode="External"/><Relationship Id="rId243" Type="http://schemas.openxmlformats.org/officeDocument/2006/relationships/hyperlink" Target="https://doi.org/10.1146/annurev.me.22.020171.001131" TargetMode="External"/><Relationship Id="rId264" Type="http://schemas.openxmlformats.org/officeDocument/2006/relationships/hyperlink" Target="https://doi.org/10.1002/cphy.c130024" TargetMode="External"/><Relationship Id="rId285" Type="http://schemas.openxmlformats.org/officeDocument/2006/relationships/hyperlink" Target="https://doi.org/10.1038/s41598-017-14935-3" TargetMode="External"/><Relationship Id="rId17" Type="http://schemas.openxmlformats.org/officeDocument/2006/relationships/image" Target="media/image1.emf"/><Relationship Id="rId38" Type="http://schemas.openxmlformats.org/officeDocument/2006/relationships/image" Target="media/image20.emf"/><Relationship Id="rId59" Type="http://schemas.openxmlformats.org/officeDocument/2006/relationships/image" Target="media/image41.emf"/><Relationship Id="rId103" Type="http://schemas.openxmlformats.org/officeDocument/2006/relationships/image" Target="media/image85.emf"/><Relationship Id="rId124" Type="http://schemas.openxmlformats.org/officeDocument/2006/relationships/hyperlink" Target="https://doi.org/10.1016/j.mib.2008.06.003" TargetMode="External"/><Relationship Id="rId310" Type="http://schemas.openxmlformats.org/officeDocument/2006/relationships/hyperlink" Target="https://doi.org/10.1186/s13071-016-1721-0" TargetMode="External"/><Relationship Id="rId70" Type="http://schemas.openxmlformats.org/officeDocument/2006/relationships/image" Target="media/image52.png"/><Relationship Id="rId91" Type="http://schemas.openxmlformats.org/officeDocument/2006/relationships/image" Target="media/image73.emf"/><Relationship Id="rId145" Type="http://schemas.openxmlformats.org/officeDocument/2006/relationships/hyperlink" Target="https://doi.org/10.1093/jac/dku290" TargetMode="External"/><Relationship Id="rId166" Type="http://schemas.openxmlformats.org/officeDocument/2006/relationships/hyperlink" Target="https://doi.org/10.1016/j.chom.2011.03.011" TargetMode="External"/><Relationship Id="rId187" Type="http://schemas.openxmlformats.org/officeDocument/2006/relationships/hyperlink" Target="https://doi.org/10.1208/s12248-011-9267-8" TargetMode="External"/><Relationship Id="rId1" Type="http://schemas.openxmlformats.org/officeDocument/2006/relationships/customXml" Target="../customXml/item1.xml"/><Relationship Id="rId212" Type="http://schemas.openxmlformats.org/officeDocument/2006/relationships/hyperlink" Target="https://doi.org/10.1186/s13071-016-1413-9" TargetMode="External"/><Relationship Id="rId233" Type="http://schemas.openxmlformats.org/officeDocument/2006/relationships/hyperlink" Target="https://doi.org/10.1371/journal.pone.0047907" TargetMode="External"/><Relationship Id="rId254" Type="http://schemas.openxmlformats.org/officeDocument/2006/relationships/hyperlink" Target="https://doi.org/10.1098/rsif.2016.0543" TargetMode="External"/><Relationship Id="rId28" Type="http://schemas.openxmlformats.org/officeDocument/2006/relationships/image" Target="media/image10.emf"/><Relationship Id="rId49" Type="http://schemas.openxmlformats.org/officeDocument/2006/relationships/image" Target="media/image31.emf"/><Relationship Id="rId114" Type="http://schemas.openxmlformats.org/officeDocument/2006/relationships/hyperlink" Target="https://doi.org/10.1371/journal.pcbi.1002916" TargetMode="External"/><Relationship Id="rId275" Type="http://schemas.openxmlformats.org/officeDocument/2006/relationships/hyperlink" Target="https://doi.org/10.1016/j.tiv.2006.06.003" TargetMode="External"/><Relationship Id="rId296" Type="http://schemas.openxmlformats.org/officeDocument/2006/relationships/hyperlink" Target="https://doi.org/10.1093/jac/dky014" TargetMode="External"/><Relationship Id="rId300" Type="http://schemas.openxmlformats.org/officeDocument/2006/relationships/hyperlink" Target="https://doi.org/10.2307/3001968" TargetMode="External"/><Relationship Id="rId60" Type="http://schemas.openxmlformats.org/officeDocument/2006/relationships/image" Target="media/image42.emf"/><Relationship Id="rId81" Type="http://schemas.openxmlformats.org/officeDocument/2006/relationships/image" Target="media/image63.png"/><Relationship Id="rId135" Type="http://schemas.openxmlformats.org/officeDocument/2006/relationships/hyperlink" Target="https://doi.org/10.1007/s10928-005-0054-y" TargetMode="External"/><Relationship Id="rId156" Type="http://schemas.openxmlformats.org/officeDocument/2006/relationships/hyperlink" Target="http://www.who.int/leishmaniasis/resources/who_leish_91.30/en/" TargetMode="External"/><Relationship Id="rId177" Type="http://schemas.openxmlformats.org/officeDocument/2006/relationships/hyperlink" Target="https://doi.org/10.1111/j.1462-5822.2007.01018.x" TargetMode="External"/><Relationship Id="rId198" Type="http://schemas.openxmlformats.org/officeDocument/2006/relationships/hyperlink" Target="https://doi.org/10.1182/blood-2007-02-073841" TargetMode="External"/><Relationship Id="rId202" Type="http://schemas.openxmlformats.org/officeDocument/2006/relationships/hyperlink" Target="https://doi.org/10.1371/journal.pone.0178800" TargetMode="External"/><Relationship Id="rId223" Type="http://schemas.openxmlformats.org/officeDocument/2006/relationships/hyperlink" Target="https://doi.org/10.1128/JVI.03428-13" TargetMode="External"/><Relationship Id="rId244" Type="http://schemas.openxmlformats.org/officeDocument/2006/relationships/hyperlink" Target="https://doi.org/10.1371/journal.ppat.1000484" TargetMode="External"/><Relationship Id="rId18" Type="http://schemas.openxmlformats.org/officeDocument/2006/relationships/hyperlink" Target="http://www.who.int/leishmaniasis/burden/en/" TargetMode="External"/><Relationship Id="rId39" Type="http://schemas.openxmlformats.org/officeDocument/2006/relationships/image" Target="media/image21.emf"/><Relationship Id="rId265" Type="http://schemas.openxmlformats.org/officeDocument/2006/relationships/hyperlink" Target="https://doi.org/10.4049/jimmunol.1100416" TargetMode="External"/><Relationship Id="rId286" Type="http://schemas.openxmlformats.org/officeDocument/2006/relationships/hyperlink" Target="http://www.who.int/neglected_diseases/mediacentre/WHA_60.13_Eng.pdf" TargetMode="External"/><Relationship Id="rId50" Type="http://schemas.openxmlformats.org/officeDocument/2006/relationships/image" Target="media/image32.emf"/><Relationship Id="rId104" Type="http://schemas.openxmlformats.org/officeDocument/2006/relationships/image" Target="media/image86.emf"/><Relationship Id="rId125" Type="http://schemas.openxmlformats.org/officeDocument/2006/relationships/hyperlink" Target="https://doi.org/10.1038/s41564-018-0154-2" TargetMode="External"/><Relationship Id="rId146" Type="http://schemas.openxmlformats.org/officeDocument/2006/relationships/hyperlink" Target="http://etheses.whiterose.ac.uk/19258/" TargetMode="External"/><Relationship Id="rId167" Type="http://schemas.openxmlformats.org/officeDocument/2006/relationships/hyperlink" Target="https://doi.org/10.1111/j.1365-4632.2010.04558.x" TargetMode="External"/><Relationship Id="rId188" Type="http://schemas.openxmlformats.org/officeDocument/2006/relationships/hyperlink" Target="https://doi.org/10.1007/s11095-013-1127-z" TargetMode="External"/><Relationship Id="rId311" Type="http://schemas.openxmlformats.org/officeDocument/2006/relationships/hyperlink" Target="https://doi.org/10.1016/S1473-3099(03)00517-6" TargetMode="External"/><Relationship Id="rId71" Type="http://schemas.openxmlformats.org/officeDocument/2006/relationships/image" Target="media/image53.emf"/><Relationship Id="rId92" Type="http://schemas.openxmlformats.org/officeDocument/2006/relationships/image" Target="media/image74.emf"/><Relationship Id="rId213" Type="http://schemas.openxmlformats.org/officeDocument/2006/relationships/hyperlink" Target="https://doi.org/10.1016/j.ijpharm.2009.07.030" TargetMode="External"/><Relationship Id="rId234" Type="http://schemas.openxmlformats.org/officeDocument/2006/relationships/hyperlink" Target="https://doi.org/10.3389/fimmu.2018.00637" TargetMode="External"/><Relationship Id="rId2" Type="http://schemas.openxmlformats.org/officeDocument/2006/relationships/numbering" Target="numbering.xml"/><Relationship Id="rId29" Type="http://schemas.openxmlformats.org/officeDocument/2006/relationships/image" Target="media/image11.emf"/><Relationship Id="rId255" Type="http://schemas.openxmlformats.org/officeDocument/2006/relationships/hyperlink" Target="https://doi.org/10.2147/CLEP.S44267" TargetMode="External"/><Relationship Id="rId276" Type="http://schemas.openxmlformats.org/officeDocument/2006/relationships/hyperlink" Target="https://doi.org/10.3389/fimmu.2012.00005" TargetMode="External"/><Relationship Id="rId297" Type="http://schemas.openxmlformats.org/officeDocument/2006/relationships/hyperlink" Target="https://doi.org/10.1093/jac/dkl141" TargetMode="External"/><Relationship Id="rId40" Type="http://schemas.openxmlformats.org/officeDocument/2006/relationships/image" Target="media/image22.emf"/><Relationship Id="rId115" Type="http://schemas.openxmlformats.org/officeDocument/2006/relationships/hyperlink" Target="https://doi.org/10.3389/fimmu.2012.00172" TargetMode="External"/><Relationship Id="rId136" Type="http://schemas.openxmlformats.org/officeDocument/2006/relationships/hyperlink" Target="https://doi.org/10.1038/s41577-018-0001-y" TargetMode="External"/><Relationship Id="rId157" Type="http://schemas.openxmlformats.org/officeDocument/2006/relationships/hyperlink" Target="https://doi.org/10.1371/journal.pntd.0002869" TargetMode="External"/><Relationship Id="rId178" Type="http://schemas.openxmlformats.org/officeDocument/2006/relationships/hyperlink" Target="https://doi.org/10.1016/S1473-3099(02)00347-X" TargetMode="External"/><Relationship Id="rId301" Type="http://schemas.openxmlformats.org/officeDocument/2006/relationships/hyperlink" Target="https://doi.org/10.3390/computation2040131" TargetMode="External"/><Relationship Id="rId61" Type="http://schemas.openxmlformats.org/officeDocument/2006/relationships/image" Target="media/image43.emf"/><Relationship Id="rId82" Type="http://schemas.openxmlformats.org/officeDocument/2006/relationships/image" Target="media/image64.emf"/><Relationship Id="rId199" Type="http://schemas.openxmlformats.org/officeDocument/2006/relationships/hyperlink" Target="https://doi.org/10.1038/nri3399" TargetMode="External"/><Relationship Id="rId203" Type="http://schemas.openxmlformats.org/officeDocument/2006/relationships/hyperlink" Target="https://doi.org/10.1016/j.immuni.2016.02.017" TargetMode="External"/><Relationship Id="rId19" Type="http://schemas.openxmlformats.org/officeDocument/2006/relationships/hyperlink" Target="http://www.who.int/leishmaniasis/burden/en/" TargetMode="External"/><Relationship Id="rId224" Type="http://schemas.openxmlformats.org/officeDocument/2006/relationships/hyperlink" Target="https://doi.org/10.1371/journal.ppat.1003053" TargetMode="External"/><Relationship Id="rId245" Type="http://schemas.openxmlformats.org/officeDocument/2006/relationships/hyperlink" Target="https://doi.org/10.1371/journal.ppat.1000813" TargetMode="External"/><Relationship Id="rId266" Type="http://schemas.openxmlformats.org/officeDocument/2006/relationships/hyperlink" Target="https://doi.org/10.1038/ncomms10321" TargetMode="External"/><Relationship Id="rId287" Type="http://schemas.openxmlformats.org/officeDocument/2006/relationships/hyperlink" Target="https://doi.org/10.1371/journal.pntd.0001798" TargetMode="External"/><Relationship Id="rId30" Type="http://schemas.openxmlformats.org/officeDocument/2006/relationships/image" Target="media/image12.emf"/><Relationship Id="rId105" Type="http://schemas.openxmlformats.org/officeDocument/2006/relationships/image" Target="media/image87.emf"/><Relationship Id="rId126" Type="http://schemas.openxmlformats.org/officeDocument/2006/relationships/hyperlink" Target="https://doi.org/10.1371/journal.ppat.1000805" TargetMode="External"/><Relationship Id="rId147" Type="http://schemas.openxmlformats.org/officeDocument/2006/relationships/hyperlink" Target="https://doi.org/10.1002/(SICI)1521-4141(199901)29:01%3c203::AID-IMMU203%3e3.0.CO;2-B" TargetMode="External"/><Relationship Id="rId168" Type="http://schemas.openxmlformats.org/officeDocument/2006/relationships/hyperlink" Target="https://doi.org/10.1515/jtim-2015-0002" TargetMode="External"/><Relationship Id="rId312" Type="http://schemas.openxmlformats.org/officeDocument/2006/relationships/fontTable" Target="fontTable.xml"/><Relationship Id="rId51" Type="http://schemas.openxmlformats.org/officeDocument/2006/relationships/image" Target="media/image33.emf"/><Relationship Id="rId72" Type="http://schemas.openxmlformats.org/officeDocument/2006/relationships/image" Target="media/image54.emf"/><Relationship Id="rId93" Type="http://schemas.openxmlformats.org/officeDocument/2006/relationships/image" Target="media/image75.emf"/><Relationship Id="rId189" Type="http://schemas.openxmlformats.org/officeDocument/2006/relationships/hyperlink" Target="https://doi.org/10.1016/S0076-6879(04)87016-2" TargetMode="External"/><Relationship Id="rId3" Type="http://schemas.openxmlformats.org/officeDocument/2006/relationships/styles" Target="styles.xml"/><Relationship Id="rId214" Type="http://schemas.openxmlformats.org/officeDocument/2006/relationships/hyperlink" Target="https://doi.org/10.1098/rsif.2012.0968" TargetMode="External"/><Relationship Id="rId235" Type="http://schemas.openxmlformats.org/officeDocument/2006/relationships/hyperlink" Target="https://doi.org/10.1016/j.pt.2013.12.004" TargetMode="External"/><Relationship Id="rId256" Type="http://schemas.openxmlformats.org/officeDocument/2006/relationships/hyperlink" Target="http://apps.who.int/iris/handle/10665/66625" TargetMode="External"/><Relationship Id="rId277" Type="http://schemas.openxmlformats.org/officeDocument/2006/relationships/hyperlink" Target="https://doi.org/10.1371/journal.ppat.1000028" TargetMode="External"/><Relationship Id="rId298" Type="http://schemas.openxmlformats.org/officeDocument/2006/relationships/hyperlink" Target="https://doi.org/10.1371/journal.pone.0079581" TargetMode="External"/><Relationship Id="rId116" Type="http://schemas.openxmlformats.org/officeDocument/2006/relationships/hyperlink" Target="https://doi.org/10.1002/1521-4141(200104)31:4%3c1199::AID-IMMU1199gt;3.0.CO;2-6" TargetMode="External"/><Relationship Id="rId137" Type="http://schemas.openxmlformats.org/officeDocument/2006/relationships/hyperlink" Target="https://doi.org/10.1016/0895-7177(96)00103-3" TargetMode="External"/><Relationship Id="rId158" Type="http://schemas.openxmlformats.org/officeDocument/2006/relationships/hyperlink" Target="https://doi.org/10.1002/cphy.c120026" TargetMode="External"/><Relationship Id="rId302" Type="http://schemas.openxmlformats.org/officeDocument/2006/relationships/hyperlink" Target="https://doi.org/10.1016/S0002-9440(10)63951-X" TargetMode="External"/><Relationship Id="rId20" Type="http://schemas.openxmlformats.org/officeDocument/2006/relationships/image" Target="media/image2.emf"/><Relationship Id="rId41" Type="http://schemas.openxmlformats.org/officeDocument/2006/relationships/image" Target="media/image23.emf"/><Relationship Id="rId62" Type="http://schemas.openxmlformats.org/officeDocument/2006/relationships/image" Target="media/image44.emf"/><Relationship Id="rId83" Type="http://schemas.openxmlformats.org/officeDocument/2006/relationships/image" Target="media/image65.emf"/><Relationship Id="rId179" Type="http://schemas.openxmlformats.org/officeDocument/2006/relationships/hyperlink" Target="https://doi.org/10.1007/s40265-013-0069-4" TargetMode="External"/><Relationship Id="rId190" Type="http://schemas.openxmlformats.org/officeDocument/2006/relationships/hyperlink" Target="https://doi.org/10.1371/journal.ppat.1002646" TargetMode="External"/><Relationship Id="rId204" Type="http://schemas.openxmlformats.org/officeDocument/2006/relationships/hyperlink" Target="https://doi.org/10.1182/blood-2016-03-700336" TargetMode="External"/><Relationship Id="rId225" Type="http://schemas.openxmlformats.org/officeDocument/2006/relationships/hyperlink" Target="https://doi.org/10.1016/j.ecolmodel.2011.01.020" TargetMode="External"/><Relationship Id="rId246" Type="http://schemas.openxmlformats.org/officeDocument/2006/relationships/hyperlink" Target="https://doi.org/10.1371/journal.pcbi.1005650" TargetMode="External"/><Relationship Id="rId267" Type="http://schemas.openxmlformats.org/officeDocument/2006/relationships/hyperlink" Target="https://doi.org/10.1038/ncomms10321" TargetMode="External"/><Relationship Id="rId288" Type="http://schemas.openxmlformats.org/officeDocument/2006/relationships/hyperlink" Target="https://doi.org/10.1038/nrgastro.2017.38" TargetMode="External"/><Relationship Id="rId106" Type="http://schemas.openxmlformats.org/officeDocument/2006/relationships/image" Target="media/image88.emf"/><Relationship Id="rId127" Type="http://schemas.openxmlformats.org/officeDocument/2006/relationships/hyperlink" Target="https://doi.org/10.1128/IAI.00633-10" TargetMode="External"/><Relationship Id="rId313" Type="http://schemas.openxmlformats.org/officeDocument/2006/relationships/theme" Target="theme/theme1.xml"/><Relationship Id="rId10" Type="http://schemas.openxmlformats.org/officeDocument/2006/relationships/hyperlink" Target="file:////Users/jhamp/Desktop/Thesis%20Corrections/Thesis%20Corrections%203:1:19.docx" TargetMode="External"/><Relationship Id="rId31" Type="http://schemas.openxmlformats.org/officeDocument/2006/relationships/image" Target="media/image13.emf"/><Relationship Id="rId52" Type="http://schemas.openxmlformats.org/officeDocument/2006/relationships/image" Target="media/image34.emf"/><Relationship Id="rId73" Type="http://schemas.openxmlformats.org/officeDocument/2006/relationships/image" Target="media/image55.png"/><Relationship Id="rId94" Type="http://schemas.openxmlformats.org/officeDocument/2006/relationships/image" Target="media/image76.emf"/><Relationship Id="rId148" Type="http://schemas.openxmlformats.org/officeDocument/2006/relationships/hyperlink" Target="https://doi.org/10.1002/(SICI)1521-4141(199901)29:01%3c203::AID-IMMU203%3e3.0.CO;2-B" TargetMode="External"/><Relationship Id="rId169" Type="http://schemas.openxmlformats.org/officeDocument/2006/relationships/hyperlink" Target="https://doi.org/10.1093/jac/dkp140" TargetMode="External"/><Relationship Id="rId4" Type="http://schemas.openxmlformats.org/officeDocument/2006/relationships/settings" Target="settings.xml"/><Relationship Id="rId180" Type="http://schemas.openxmlformats.org/officeDocument/2006/relationships/hyperlink" Target="https://doi.org/10.1371/journal.pcbi.1003805" TargetMode="External"/><Relationship Id="rId215" Type="http://schemas.openxmlformats.org/officeDocument/2006/relationships/hyperlink" Target="https://doi.org/10.1038/psp.2014.45" TargetMode="External"/><Relationship Id="rId236" Type="http://schemas.openxmlformats.org/officeDocument/2006/relationships/hyperlink" Target="https://doi.org/10.1128/IAI.01468-12" TargetMode="External"/><Relationship Id="rId257" Type="http://schemas.openxmlformats.org/officeDocument/2006/relationships/hyperlink" Target="https://doi.org/10.3389/fcimb.2017.00309" TargetMode="External"/><Relationship Id="rId278" Type="http://schemas.openxmlformats.org/officeDocument/2006/relationships/hyperlink" Target="https://doi.org/10.1186/s13071-017-2028-5" TargetMode="External"/><Relationship Id="rId303" Type="http://schemas.openxmlformats.org/officeDocument/2006/relationships/hyperlink" Target="https://doi.org/10.2307/2278459" TargetMode="External"/><Relationship Id="rId42" Type="http://schemas.openxmlformats.org/officeDocument/2006/relationships/image" Target="media/image24.emf"/><Relationship Id="rId84" Type="http://schemas.openxmlformats.org/officeDocument/2006/relationships/image" Target="media/image66.emf"/><Relationship Id="rId138" Type="http://schemas.openxmlformats.org/officeDocument/2006/relationships/hyperlink" Target="https://doi.org/10.4049/jimmunol.1300768" TargetMode="External"/><Relationship Id="rId191" Type="http://schemas.openxmlformats.org/officeDocument/2006/relationships/hyperlink" Target="https://doi.org/10.1186/s12879-014-0653-6" TargetMode="External"/><Relationship Id="rId205" Type="http://schemas.openxmlformats.org/officeDocument/2006/relationships/hyperlink" Target="https://doi.org/10.3389/fimmu.2017.00474" TargetMode="External"/><Relationship Id="rId247" Type="http://schemas.openxmlformats.org/officeDocument/2006/relationships/hyperlink" Target="https://doi.org/10.1371/journal.pntd.0004868" TargetMode="External"/><Relationship Id="rId107" Type="http://schemas.openxmlformats.org/officeDocument/2006/relationships/image" Target="media/image89.emf"/><Relationship Id="rId289" Type="http://schemas.openxmlformats.org/officeDocument/2006/relationships/hyperlink" Target="https://doi.org/10.1007/s00018-006-6073-z" TargetMode="External"/><Relationship Id="rId11" Type="http://schemas.openxmlformats.org/officeDocument/2006/relationships/hyperlink" Target="file:////Users/jhamp/Desktop/Thesis%20Corrections/Thesis%20Corrections%203:1:19.docx" TargetMode="External"/><Relationship Id="rId53" Type="http://schemas.openxmlformats.org/officeDocument/2006/relationships/image" Target="media/image35.emf"/><Relationship Id="rId149" Type="http://schemas.openxmlformats.org/officeDocument/2006/relationships/hyperlink" Target="https://doi.org/10.1590/0037-8682-0193-2017" TargetMode="External"/><Relationship Id="rId95" Type="http://schemas.openxmlformats.org/officeDocument/2006/relationships/image" Target="media/image77.emf"/><Relationship Id="rId160" Type="http://schemas.openxmlformats.org/officeDocument/2006/relationships/hyperlink" Target="https://doi.org/10.1371/journal.pntd.0000703" TargetMode="External"/><Relationship Id="rId216" Type="http://schemas.openxmlformats.org/officeDocument/2006/relationships/hyperlink" Target="https://doi.org/10.1098/rsif.2008.0205" TargetMode="External"/><Relationship Id="rId258" Type="http://schemas.openxmlformats.org/officeDocument/2006/relationships/hyperlink" Target="https://doi.org/10.1371/journal.ppat.1002536" TargetMode="External"/><Relationship Id="rId22" Type="http://schemas.openxmlformats.org/officeDocument/2006/relationships/image" Target="media/image4.emf"/><Relationship Id="rId64" Type="http://schemas.openxmlformats.org/officeDocument/2006/relationships/image" Target="media/image46.emf"/><Relationship Id="rId118" Type="http://schemas.openxmlformats.org/officeDocument/2006/relationships/hyperlink" Target="https://doi.org/10.1016/j.pt.2006.09.004" TargetMode="External"/><Relationship Id="rId171" Type="http://schemas.openxmlformats.org/officeDocument/2006/relationships/hyperlink" Target="https://doi.org/10.1016/j.immuni.2016.02.024" TargetMode="External"/><Relationship Id="rId227" Type="http://schemas.openxmlformats.org/officeDocument/2006/relationships/hyperlink" Target="https://doi.org/10.4049/jimmunol.166.3.1912" TargetMode="External"/><Relationship Id="rId269" Type="http://schemas.openxmlformats.org/officeDocument/2006/relationships/hyperlink" Target="https://doi.org/10.1038/nri3070" TargetMode="External"/><Relationship Id="rId33" Type="http://schemas.openxmlformats.org/officeDocument/2006/relationships/image" Target="media/image15.emf"/><Relationship Id="rId129" Type="http://schemas.openxmlformats.org/officeDocument/2006/relationships/hyperlink" Target="https://doi.org/10.1007/s00430-016-0449-y" TargetMode="External"/><Relationship Id="rId280" Type="http://schemas.openxmlformats.org/officeDocument/2006/relationships/hyperlink" Target="https://doi.org/10.3389/fimmu.2014.00266" TargetMode="External"/><Relationship Id="rId75" Type="http://schemas.openxmlformats.org/officeDocument/2006/relationships/image" Target="media/image57.emf"/><Relationship Id="rId140" Type="http://schemas.openxmlformats.org/officeDocument/2006/relationships/hyperlink" Target="https://doi.org/10.1017/S1462399499001179" TargetMode="External"/><Relationship Id="rId182" Type="http://schemas.openxmlformats.org/officeDocument/2006/relationships/hyperlink" Target="https://doi.org/10.1155/2016/4789279" TargetMode="External"/><Relationship Id="rId6" Type="http://schemas.openxmlformats.org/officeDocument/2006/relationships/footnotes" Target="footnotes.xml"/><Relationship Id="rId238" Type="http://schemas.openxmlformats.org/officeDocument/2006/relationships/hyperlink" Target="https://doi.org/10.1111/j.1365-3156.2008.02195.x" TargetMode="External"/><Relationship Id="rId291" Type="http://schemas.openxmlformats.org/officeDocument/2006/relationships/hyperlink" Target="https://doi.org/10.1016/j.jmp.2012.02.005" TargetMode="External"/><Relationship Id="rId305" Type="http://schemas.openxmlformats.org/officeDocument/2006/relationships/hyperlink" Target="https://doi.org/10.1016/j.imbio.2016.11.014" TargetMode="External"/><Relationship Id="rId44" Type="http://schemas.openxmlformats.org/officeDocument/2006/relationships/image" Target="media/image26.emf"/><Relationship Id="rId86" Type="http://schemas.openxmlformats.org/officeDocument/2006/relationships/image" Target="media/image68.emf"/><Relationship Id="rId151" Type="http://schemas.openxmlformats.org/officeDocument/2006/relationships/hyperlink" Target="https://doi.org/10.1002/hep.510260223"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FBEBC0C-BA13-E249-9D9B-C259A612640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40</TotalTime>
  <Pages>231</Pages>
  <Words>255707</Words>
  <Characters>1457536</Characters>
  <Application>Microsoft Office Word</Application>
  <DocSecurity>0</DocSecurity>
  <Lines>12146</Lines>
  <Paragraphs>3419</Paragraphs>
  <ScaleCrop>false</ScaleCrop>
  <HeadingPairs>
    <vt:vector size="2" baseType="variant">
      <vt:variant>
        <vt:lpstr>Title</vt:lpstr>
      </vt:variant>
      <vt:variant>
        <vt:i4>1</vt:i4>
      </vt:variant>
    </vt:vector>
  </HeadingPairs>
  <TitlesOfParts>
    <vt:vector size="1" baseType="lpstr">
      <vt:lpstr>An interdisciplinary approach to investigating drug distribution during experimental visceral leishmaniasis</vt:lpstr>
    </vt:vector>
  </TitlesOfParts>
  <Company/>
  <LinksUpToDate>false</LinksUpToDate>
  <CharactersWithSpaces>1709824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An interdisciplinary approach to investigating drug distribution during experimental visceral leishmaniasis</dc:title>
  <dc:subject/>
  <dc:creator>Microsoft Office User</dc:creator>
  <cp:keywords/>
  <dc:description/>
  <cp:lastModifiedBy>Jonathan Hamp</cp:lastModifiedBy>
  <cp:revision>11</cp:revision>
  <cp:lastPrinted>2018-09-11T03:10:00Z</cp:lastPrinted>
  <dcterms:created xsi:type="dcterms:W3CDTF">2019-02-03T21:12:00Z</dcterms:created>
  <dcterms:modified xsi:type="dcterms:W3CDTF">2019-03-17T12:00:00Z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ZOTERO_PREF_1">
    <vt:lpwstr>&lt;data data-version="3" zotero-version="5.0.55"&gt;&lt;session id="fLSdjPTJ"/&gt;&lt;style id="http://www.zotero.org/styles/chicago-author-date" locale="en-US" hasBibliography="1" bibliographyStyleHasBeenSet="1"/&gt;&lt;prefs&gt;&lt;pref name="fieldType" value="Field"/&gt;&lt;pref name</vt:lpwstr>
  </property>
  <property fmtid="{D5CDD505-2E9C-101B-9397-08002B2CF9AE}" pid="3" name="ZOTERO_PREF_2">
    <vt:lpwstr>="automaticJournalAbbreviations" value="true"/&gt;&lt;pref name="delayCitationUpdates" value="true"/&gt;&lt;pref name="dontAskDelayCitationUpdates" value="true"/&gt;&lt;/prefs&gt;&lt;/data&gt;</vt:lpwstr>
  </property>
</Properties>
</file>